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704E3" w14:textId="77777777" w:rsidR="00AD3FDD" w:rsidRDefault="00AD3FDD" w:rsidP="00C25170">
      <w:bookmarkStart w:id="0" w:name="_GoBack"/>
      <w:bookmarkEnd w:id="0"/>
      <w:r>
        <w:rPr>
          <w:noProof/>
          <w:lang w:eastAsia="en-AU"/>
        </w:rPr>
        <w:drawing>
          <wp:anchor distT="0" distB="0" distL="114300" distR="114300" simplePos="0" relativeHeight="251658240" behindDoc="1" locked="0" layoutInCell="1" allowOverlap="1" wp14:anchorId="4BE41932" wp14:editId="08A77699">
            <wp:simplePos x="0" y="0"/>
            <wp:positionH relativeFrom="page">
              <wp:align>left</wp:align>
            </wp:positionH>
            <wp:positionV relativeFrom="page">
              <wp:align>top</wp:align>
            </wp:positionV>
            <wp:extent cx="7557133" cy="1952625"/>
            <wp:effectExtent l="0" t="0" r="635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7"/>
                    <a:stretch>
                      <a:fillRect/>
                    </a:stretch>
                  </pic:blipFill>
                  <pic:spPr>
                    <a:xfrm>
                      <a:off x="0" y="0"/>
                      <a:ext cx="7572350" cy="1956557"/>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1B7D807C" wp14:editId="38B6D1AA">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2383155" cy="727075"/>
                    </a:xfrm>
                    <a:prstGeom prst="rect">
                      <a:avLst/>
                    </a:prstGeom>
                  </pic:spPr>
                </pic:pic>
              </a:graphicData>
            </a:graphic>
          </wp:inline>
        </w:drawing>
      </w:r>
    </w:p>
    <w:p w14:paraId="5D337871" w14:textId="77777777" w:rsidR="00AD3FDD" w:rsidRDefault="00AD3FDD" w:rsidP="00CD1E37"/>
    <w:p w14:paraId="1AA06A2F" w14:textId="77777777" w:rsidR="00D04788" w:rsidRPr="009117C5" w:rsidRDefault="00AD3FDD" w:rsidP="00CD1E37">
      <w:pPr>
        <w:pStyle w:val="Title"/>
      </w:pPr>
      <w:r w:rsidRPr="009117C5">
        <w:t xml:space="preserve">Impact Analysis </w:t>
      </w:r>
    </w:p>
    <w:p w14:paraId="17164C77" w14:textId="4C5D16C2" w:rsidR="00AD3FDD" w:rsidRDefault="00AD3FDD" w:rsidP="00CD1E37">
      <w:pPr>
        <w:pStyle w:val="Subtitle"/>
      </w:pPr>
      <w:r w:rsidRPr="009117C5">
        <w:t xml:space="preserve">Australian Skills Guarantee </w:t>
      </w:r>
      <w:r w:rsidR="00C81EAB" w:rsidRPr="009117C5">
        <w:t xml:space="preserve">Procurement </w:t>
      </w:r>
      <w:r w:rsidR="00D96880" w:rsidRPr="009117C5">
        <w:t>Connected Policy (</w:t>
      </w:r>
      <w:r w:rsidRPr="009117C5">
        <w:t>PCP</w:t>
      </w:r>
      <w:r w:rsidR="00D96880" w:rsidRPr="009117C5">
        <w:t>)</w:t>
      </w:r>
      <w:r w:rsidR="002A7C27" w:rsidRPr="009117C5">
        <w:t xml:space="preserve"> </w:t>
      </w:r>
      <w:r w:rsidR="009117C5" w:rsidRPr="009117C5">
        <w:t xml:space="preserve">guidelines </w:t>
      </w:r>
    </w:p>
    <w:p w14:paraId="04322557" w14:textId="77777777" w:rsidR="00EF6DB5" w:rsidRDefault="00EF6DB5" w:rsidP="00CD1E37">
      <w:r>
        <w:br w:type="page"/>
      </w:r>
    </w:p>
    <w:sdt>
      <w:sdtPr>
        <w:rPr>
          <w:rFonts w:asciiTheme="minorHAnsi" w:eastAsiaTheme="minorHAnsi" w:hAnsiTheme="minorHAnsi" w:cstheme="minorBidi"/>
          <w:b w:val="0"/>
          <w:color w:val="auto"/>
          <w:kern w:val="2"/>
          <w:sz w:val="22"/>
          <w:szCs w:val="22"/>
          <w:lang w:val="en-AU"/>
          <w14:ligatures w14:val="standardContextual"/>
        </w:rPr>
        <w:id w:val="1412435622"/>
        <w:docPartObj>
          <w:docPartGallery w:val="Table of Contents"/>
          <w:docPartUnique/>
        </w:docPartObj>
      </w:sdtPr>
      <w:sdtEndPr>
        <w:rPr>
          <w:kern w:val="0"/>
          <w14:ligatures w14:val="none"/>
        </w:rPr>
      </w:sdtEndPr>
      <w:sdtContent>
        <w:p w14:paraId="0228C529" w14:textId="2921792B" w:rsidR="002B51C0" w:rsidRDefault="002B51C0" w:rsidP="00CD1E37">
          <w:pPr>
            <w:pStyle w:val="TOCHeading"/>
          </w:pPr>
          <w:r>
            <w:t>Contents</w:t>
          </w:r>
        </w:p>
        <w:p w14:paraId="22118F19" w14:textId="61B87C0D" w:rsidR="00CC58CD" w:rsidRDefault="009649C6">
          <w:pPr>
            <w:pStyle w:val="TOC1"/>
            <w:rPr>
              <w:rFonts w:eastAsiaTheme="minorEastAsia"/>
              <w:b w:val="0"/>
              <w:noProof/>
              <w:kern w:val="2"/>
              <w:lang w:eastAsia="en-AU"/>
              <w14:ligatures w14:val="standardContextual"/>
            </w:rPr>
          </w:pPr>
          <w:r>
            <w:fldChar w:fldCharType="begin"/>
          </w:r>
          <w:r>
            <w:instrText xml:space="preserve"> TOC \o "1-2" \h \z \u </w:instrText>
          </w:r>
          <w:r>
            <w:fldChar w:fldCharType="separate"/>
          </w:r>
          <w:hyperlink w:anchor="_Toc159246204" w:history="1">
            <w:r w:rsidR="00CC58CD" w:rsidRPr="00887356">
              <w:rPr>
                <w:rStyle w:val="Hyperlink"/>
                <w:noProof/>
              </w:rPr>
              <w:t>Introduction</w:t>
            </w:r>
            <w:r w:rsidR="00CC58CD">
              <w:rPr>
                <w:noProof/>
                <w:webHidden/>
              </w:rPr>
              <w:tab/>
            </w:r>
            <w:r w:rsidR="00CC58CD">
              <w:rPr>
                <w:noProof/>
                <w:webHidden/>
              </w:rPr>
              <w:fldChar w:fldCharType="begin"/>
            </w:r>
            <w:r w:rsidR="00CC58CD">
              <w:rPr>
                <w:noProof/>
                <w:webHidden/>
              </w:rPr>
              <w:instrText xml:space="preserve"> PAGEREF _Toc159246204 \h </w:instrText>
            </w:r>
            <w:r w:rsidR="00CC58CD">
              <w:rPr>
                <w:noProof/>
                <w:webHidden/>
              </w:rPr>
            </w:r>
            <w:r w:rsidR="00CC58CD">
              <w:rPr>
                <w:noProof/>
                <w:webHidden/>
              </w:rPr>
              <w:fldChar w:fldCharType="separate"/>
            </w:r>
            <w:r w:rsidR="00CC58CD">
              <w:rPr>
                <w:noProof/>
                <w:webHidden/>
              </w:rPr>
              <w:t>4</w:t>
            </w:r>
            <w:r w:rsidR="00CC58CD">
              <w:rPr>
                <w:noProof/>
                <w:webHidden/>
              </w:rPr>
              <w:fldChar w:fldCharType="end"/>
            </w:r>
          </w:hyperlink>
        </w:p>
        <w:p w14:paraId="16AB6496" w14:textId="10672BD9" w:rsidR="00CC58CD" w:rsidRDefault="00476F06">
          <w:pPr>
            <w:pStyle w:val="TOC2"/>
            <w:rPr>
              <w:rFonts w:eastAsiaTheme="minorEastAsia"/>
              <w:noProof/>
              <w:kern w:val="2"/>
              <w:lang w:eastAsia="en-AU"/>
              <w14:ligatures w14:val="standardContextual"/>
            </w:rPr>
          </w:pPr>
          <w:hyperlink w:anchor="_Toc159246205" w:history="1">
            <w:r w:rsidR="00CC58CD" w:rsidRPr="00887356">
              <w:rPr>
                <w:rStyle w:val="Hyperlink"/>
                <w:noProof/>
              </w:rPr>
              <w:t>Status of the IA at each major decision point</w:t>
            </w:r>
            <w:r w:rsidR="00CC58CD">
              <w:rPr>
                <w:noProof/>
                <w:webHidden/>
              </w:rPr>
              <w:tab/>
            </w:r>
            <w:r w:rsidR="00CC58CD">
              <w:rPr>
                <w:noProof/>
                <w:webHidden/>
              </w:rPr>
              <w:fldChar w:fldCharType="begin"/>
            </w:r>
            <w:r w:rsidR="00CC58CD">
              <w:rPr>
                <w:noProof/>
                <w:webHidden/>
              </w:rPr>
              <w:instrText xml:space="preserve"> PAGEREF _Toc159246205 \h </w:instrText>
            </w:r>
            <w:r w:rsidR="00CC58CD">
              <w:rPr>
                <w:noProof/>
                <w:webHidden/>
              </w:rPr>
            </w:r>
            <w:r w:rsidR="00CC58CD">
              <w:rPr>
                <w:noProof/>
                <w:webHidden/>
              </w:rPr>
              <w:fldChar w:fldCharType="separate"/>
            </w:r>
            <w:r w:rsidR="00CC58CD">
              <w:rPr>
                <w:noProof/>
                <w:webHidden/>
              </w:rPr>
              <w:t>5</w:t>
            </w:r>
            <w:r w:rsidR="00CC58CD">
              <w:rPr>
                <w:noProof/>
                <w:webHidden/>
              </w:rPr>
              <w:fldChar w:fldCharType="end"/>
            </w:r>
          </w:hyperlink>
        </w:p>
        <w:p w14:paraId="483E924D" w14:textId="24648C45" w:rsidR="00CC58CD" w:rsidRDefault="00476F06">
          <w:pPr>
            <w:pStyle w:val="TOC1"/>
            <w:rPr>
              <w:rFonts w:eastAsiaTheme="minorEastAsia"/>
              <w:b w:val="0"/>
              <w:noProof/>
              <w:kern w:val="2"/>
              <w:lang w:eastAsia="en-AU"/>
              <w14:ligatures w14:val="standardContextual"/>
            </w:rPr>
          </w:pPr>
          <w:hyperlink w:anchor="_Toc159246206" w:history="1">
            <w:r w:rsidR="00CC58CD" w:rsidRPr="00887356">
              <w:rPr>
                <w:rStyle w:val="Hyperlink"/>
                <w:noProof/>
              </w:rPr>
              <w:t>Context</w:t>
            </w:r>
            <w:r w:rsidR="00CC58CD">
              <w:rPr>
                <w:noProof/>
                <w:webHidden/>
              </w:rPr>
              <w:tab/>
            </w:r>
            <w:r w:rsidR="00CC58CD">
              <w:rPr>
                <w:noProof/>
                <w:webHidden/>
              </w:rPr>
              <w:fldChar w:fldCharType="begin"/>
            </w:r>
            <w:r w:rsidR="00CC58CD">
              <w:rPr>
                <w:noProof/>
                <w:webHidden/>
              </w:rPr>
              <w:instrText xml:space="preserve"> PAGEREF _Toc159246206 \h </w:instrText>
            </w:r>
            <w:r w:rsidR="00CC58CD">
              <w:rPr>
                <w:noProof/>
                <w:webHidden/>
              </w:rPr>
            </w:r>
            <w:r w:rsidR="00CC58CD">
              <w:rPr>
                <w:noProof/>
                <w:webHidden/>
              </w:rPr>
              <w:fldChar w:fldCharType="separate"/>
            </w:r>
            <w:r w:rsidR="00CC58CD">
              <w:rPr>
                <w:noProof/>
                <w:webHidden/>
              </w:rPr>
              <w:t>6</w:t>
            </w:r>
            <w:r w:rsidR="00CC58CD">
              <w:rPr>
                <w:noProof/>
                <w:webHidden/>
              </w:rPr>
              <w:fldChar w:fldCharType="end"/>
            </w:r>
          </w:hyperlink>
        </w:p>
        <w:p w14:paraId="237F7C93" w14:textId="5EF866C6" w:rsidR="00CC58CD" w:rsidRDefault="00476F06">
          <w:pPr>
            <w:pStyle w:val="TOC2"/>
            <w:rPr>
              <w:rFonts w:eastAsiaTheme="minorEastAsia"/>
              <w:noProof/>
              <w:kern w:val="2"/>
              <w:lang w:eastAsia="en-AU"/>
              <w14:ligatures w14:val="standardContextual"/>
            </w:rPr>
          </w:pPr>
          <w:hyperlink w:anchor="_Toc159246207" w:history="1">
            <w:r w:rsidR="00CC58CD" w:rsidRPr="00887356">
              <w:rPr>
                <w:rStyle w:val="Hyperlink"/>
                <w:noProof/>
              </w:rPr>
              <w:t>Apprentices, trainees, and ICT cadets</w:t>
            </w:r>
            <w:r w:rsidR="00CC58CD">
              <w:rPr>
                <w:noProof/>
                <w:webHidden/>
              </w:rPr>
              <w:tab/>
            </w:r>
            <w:r w:rsidR="00CC58CD">
              <w:rPr>
                <w:noProof/>
                <w:webHidden/>
              </w:rPr>
              <w:fldChar w:fldCharType="begin"/>
            </w:r>
            <w:r w:rsidR="00CC58CD">
              <w:rPr>
                <w:noProof/>
                <w:webHidden/>
              </w:rPr>
              <w:instrText xml:space="preserve"> PAGEREF _Toc159246207 \h </w:instrText>
            </w:r>
            <w:r w:rsidR="00CC58CD">
              <w:rPr>
                <w:noProof/>
                <w:webHidden/>
              </w:rPr>
            </w:r>
            <w:r w:rsidR="00CC58CD">
              <w:rPr>
                <w:noProof/>
                <w:webHidden/>
              </w:rPr>
              <w:fldChar w:fldCharType="separate"/>
            </w:r>
            <w:r w:rsidR="00CC58CD">
              <w:rPr>
                <w:noProof/>
                <w:webHidden/>
              </w:rPr>
              <w:t>6</w:t>
            </w:r>
            <w:r w:rsidR="00CC58CD">
              <w:rPr>
                <w:noProof/>
                <w:webHidden/>
              </w:rPr>
              <w:fldChar w:fldCharType="end"/>
            </w:r>
          </w:hyperlink>
        </w:p>
        <w:p w14:paraId="6CDADCC1" w14:textId="617AA555" w:rsidR="00CC58CD" w:rsidRDefault="00476F06">
          <w:pPr>
            <w:pStyle w:val="TOC2"/>
            <w:rPr>
              <w:rFonts w:eastAsiaTheme="minorEastAsia"/>
              <w:noProof/>
              <w:kern w:val="2"/>
              <w:lang w:eastAsia="en-AU"/>
              <w14:ligatures w14:val="standardContextual"/>
            </w:rPr>
          </w:pPr>
          <w:hyperlink w:anchor="_Toc159246208" w:history="1">
            <w:r w:rsidR="00CC58CD" w:rsidRPr="00887356">
              <w:rPr>
                <w:rStyle w:val="Hyperlink"/>
                <w:noProof/>
              </w:rPr>
              <w:t>Major projects</w:t>
            </w:r>
            <w:r w:rsidR="00CC58CD">
              <w:rPr>
                <w:noProof/>
                <w:webHidden/>
              </w:rPr>
              <w:tab/>
            </w:r>
            <w:r w:rsidR="00CC58CD">
              <w:rPr>
                <w:noProof/>
                <w:webHidden/>
              </w:rPr>
              <w:fldChar w:fldCharType="begin"/>
            </w:r>
            <w:r w:rsidR="00CC58CD">
              <w:rPr>
                <w:noProof/>
                <w:webHidden/>
              </w:rPr>
              <w:instrText xml:space="preserve"> PAGEREF _Toc159246208 \h </w:instrText>
            </w:r>
            <w:r w:rsidR="00CC58CD">
              <w:rPr>
                <w:noProof/>
                <w:webHidden/>
              </w:rPr>
            </w:r>
            <w:r w:rsidR="00CC58CD">
              <w:rPr>
                <w:noProof/>
                <w:webHidden/>
              </w:rPr>
              <w:fldChar w:fldCharType="separate"/>
            </w:r>
            <w:r w:rsidR="00CC58CD">
              <w:rPr>
                <w:noProof/>
                <w:webHidden/>
              </w:rPr>
              <w:t>6</w:t>
            </w:r>
            <w:r w:rsidR="00CC58CD">
              <w:rPr>
                <w:noProof/>
                <w:webHidden/>
              </w:rPr>
              <w:fldChar w:fldCharType="end"/>
            </w:r>
          </w:hyperlink>
        </w:p>
        <w:p w14:paraId="2353D1A6" w14:textId="6CCFAFA5" w:rsidR="00CC58CD" w:rsidRDefault="00476F06">
          <w:pPr>
            <w:pStyle w:val="TOC2"/>
            <w:rPr>
              <w:rFonts w:eastAsiaTheme="minorEastAsia"/>
              <w:noProof/>
              <w:kern w:val="2"/>
              <w:lang w:eastAsia="en-AU"/>
              <w14:ligatures w14:val="standardContextual"/>
            </w:rPr>
          </w:pPr>
          <w:hyperlink w:anchor="_Toc159246209" w:history="1">
            <w:r w:rsidR="00CC58CD" w:rsidRPr="00887356">
              <w:rPr>
                <w:rStyle w:val="Hyperlink"/>
                <w:noProof/>
              </w:rPr>
              <w:t>Flagship construction projects</w:t>
            </w:r>
            <w:r w:rsidR="00CC58CD">
              <w:rPr>
                <w:noProof/>
                <w:webHidden/>
              </w:rPr>
              <w:tab/>
            </w:r>
            <w:r w:rsidR="00CC58CD">
              <w:rPr>
                <w:noProof/>
                <w:webHidden/>
              </w:rPr>
              <w:fldChar w:fldCharType="begin"/>
            </w:r>
            <w:r w:rsidR="00CC58CD">
              <w:rPr>
                <w:noProof/>
                <w:webHidden/>
              </w:rPr>
              <w:instrText xml:space="preserve"> PAGEREF _Toc159246209 \h </w:instrText>
            </w:r>
            <w:r w:rsidR="00CC58CD">
              <w:rPr>
                <w:noProof/>
                <w:webHidden/>
              </w:rPr>
            </w:r>
            <w:r w:rsidR="00CC58CD">
              <w:rPr>
                <w:noProof/>
                <w:webHidden/>
              </w:rPr>
              <w:fldChar w:fldCharType="separate"/>
            </w:r>
            <w:r w:rsidR="00CC58CD">
              <w:rPr>
                <w:noProof/>
                <w:webHidden/>
              </w:rPr>
              <w:t>7</w:t>
            </w:r>
            <w:r w:rsidR="00CC58CD">
              <w:rPr>
                <w:noProof/>
                <w:webHidden/>
              </w:rPr>
              <w:fldChar w:fldCharType="end"/>
            </w:r>
          </w:hyperlink>
        </w:p>
        <w:p w14:paraId="619E98C1" w14:textId="28274B4C" w:rsidR="00CC58CD" w:rsidRDefault="00476F06">
          <w:pPr>
            <w:pStyle w:val="TOC2"/>
            <w:rPr>
              <w:rFonts w:eastAsiaTheme="minorEastAsia"/>
              <w:noProof/>
              <w:kern w:val="2"/>
              <w:lang w:eastAsia="en-AU"/>
              <w14:ligatures w14:val="standardContextual"/>
            </w:rPr>
          </w:pPr>
          <w:hyperlink w:anchor="_Toc159246210" w:history="1">
            <w:r w:rsidR="00CC58CD" w:rsidRPr="00887356">
              <w:rPr>
                <w:rStyle w:val="Hyperlink"/>
                <w:noProof/>
              </w:rPr>
              <w:t>Types of construction companies</w:t>
            </w:r>
            <w:r w:rsidR="00CC58CD">
              <w:rPr>
                <w:noProof/>
                <w:webHidden/>
              </w:rPr>
              <w:tab/>
            </w:r>
            <w:r w:rsidR="00CC58CD">
              <w:rPr>
                <w:noProof/>
                <w:webHidden/>
              </w:rPr>
              <w:fldChar w:fldCharType="begin"/>
            </w:r>
            <w:r w:rsidR="00CC58CD">
              <w:rPr>
                <w:noProof/>
                <w:webHidden/>
              </w:rPr>
              <w:instrText xml:space="preserve"> PAGEREF _Toc159246210 \h </w:instrText>
            </w:r>
            <w:r w:rsidR="00CC58CD">
              <w:rPr>
                <w:noProof/>
                <w:webHidden/>
              </w:rPr>
            </w:r>
            <w:r w:rsidR="00CC58CD">
              <w:rPr>
                <w:noProof/>
                <w:webHidden/>
              </w:rPr>
              <w:fldChar w:fldCharType="separate"/>
            </w:r>
            <w:r w:rsidR="00CC58CD">
              <w:rPr>
                <w:noProof/>
                <w:webHidden/>
              </w:rPr>
              <w:t>7</w:t>
            </w:r>
            <w:r w:rsidR="00CC58CD">
              <w:rPr>
                <w:noProof/>
                <w:webHidden/>
              </w:rPr>
              <w:fldChar w:fldCharType="end"/>
            </w:r>
          </w:hyperlink>
        </w:p>
        <w:p w14:paraId="1C5720F2" w14:textId="501B0625" w:rsidR="00CC58CD" w:rsidRDefault="00476F06">
          <w:pPr>
            <w:pStyle w:val="TOC1"/>
            <w:rPr>
              <w:rFonts w:eastAsiaTheme="minorEastAsia"/>
              <w:b w:val="0"/>
              <w:noProof/>
              <w:kern w:val="2"/>
              <w:lang w:eastAsia="en-AU"/>
              <w14:ligatures w14:val="standardContextual"/>
            </w:rPr>
          </w:pPr>
          <w:hyperlink w:anchor="_Toc159246211" w:history="1">
            <w:r w:rsidR="00CC58CD" w:rsidRPr="00887356">
              <w:rPr>
                <w:rStyle w:val="Hyperlink"/>
                <w:noProof/>
              </w:rPr>
              <w:t>Question 1: The problem</w:t>
            </w:r>
            <w:r w:rsidR="00CC58CD">
              <w:rPr>
                <w:noProof/>
                <w:webHidden/>
              </w:rPr>
              <w:tab/>
            </w:r>
            <w:r w:rsidR="00CC58CD">
              <w:rPr>
                <w:noProof/>
                <w:webHidden/>
              </w:rPr>
              <w:fldChar w:fldCharType="begin"/>
            </w:r>
            <w:r w:rsidR="00CC58CD">
              <w:rPr>
                <w:noProof/>
                <w:webHidden/>
              </w:rPr>
              <w:instrText xml:space="preserve"> PAGEREF _Toc159246211 \h </w:instrText>
            </w:r>
            <w:r w:rsidR="00CC58CD">
              <w:rPr>
                <w:noProof/>
                <w:webHidden/>
              </w:rPr>
            </w:r>
            <w:r w:rsidR="00CC58CD">
              <w:rPr>
                <w:noProof/>
                <w:webHidden/>
              </w:rPr>
              <w:fldChar w:fldCharType="separate"/>
            </w:r>
            <w:r w:rsidR="00CC58CD">
              <w:rPr>
                <w:noProof/>
                <w:webHidden/>
              </w:rPr>
              <w:t>8</w:t>
            </w:r>
            <w:r w:rsidR="00CC58CD">
              <w:rPr>
                <w:noProof/>
                <w:webHidden/>
              </w:rPr>
              <w:fldChar w:fldCharType="end"/>
            </w:r>
          </w:hyperlink>
        </w:p>
        <w:p w14:paraId="5597AEEB" w14:textId="2E931747" w:rsidR="00CC58CD" w:rsidRDefault="00476F06">
          <w:pPr>
            <w:pStyle w:val="TOC2"/>
            <w:rPr>
              <w:rFonts w:eastAsiaTheme="minorEastAsia"/>
              <w:noProof/>
              <w:kern w:val="2"/>
              <w:lang w:eastAsia="en-AU"/>
              <w14:ligatures w14:val="standardContextual"/>
            </w:rPr>
          </w:pPr>
          <w:hyperlink w:anchor="_Toc159246212" w:history="1">
            <w:r w:rsidR="00CC58CD" w:rsidRPr="00887356">
              <w:rPr>
                <w:rStyle w:val="Hyperlink"/>
                <w:noProof/>
              </w:rPr>
              <w:t>The Australian construction and ICT workforce is facing skills shortages</w:t>
            </w:r>
            <w:r w:rsidR="00CC58CD">
              <w:rPr>
                <w:noProof/>
                <w:webHidden/>
              </w:rPr>
              <w:tab/>
            </w:r>
            <w:r w:rsidR="00CC58CD">
              <w:rPr>
                <w:noProof/>
                <w:webHidden/>
              </w:rPr>
              <w:fldChar w:fldCharType="begin"/>
            </w:r>
            <w:r w:rsidR="00CC58CD">
              <w:rPr>
                <w:noProof/>
                <w:webHidden/>
              </w:rPr>
              <w:instrText xml:space="preserve"> PAGEREF _Toc159246212 \h </w:instrText>
            </w:r>
            <w:r w:rsidR="00CC58CD">
              <w:rPr>
                <w:noProof/>
                <w:webHidden/>
              </w:rPr>
            </w:r>
            <w:r w:rsidR="00CC58CD">
              <w:rPr>
                <w:noProof/>
                <w:webHidden/>
              </w:rPr>
              <w:fldChar w:fldCharType="separate"/>
            </w:r>
            <w:r w:rsidR="00CC58CD">
              <w:rPr>
                <w:noProof/>
                <w:webHidden/>
              </w:rPr>
              <w:t>8</w:t>
            </w:r>
            <w:r w:rsidR="00CC58CD">
              <w:rPr>
                <w:noProof/>
                <w:webHidden/>
              </w:rPr>
              <w:fldChar w:fldCharType="end"/>
            </w:r>
          </w:hyperlink>
        </w:p>
        <w:p w14:paraId="371E4064" w14:textId="6C2B0D46" w:rsidR="00CC58CD" w:rsidRDefault="00476F06">
          <w:pPr>
            <w:pStyle w:val="TOC2"/>
            <w:rPr>
              <w:rFonts w:eastAsiaTheme="minorEastAsia"/>
              <w:noProof/>
              <w:kern w:val="2"/>
              <w:lang w:eastAsia="en-AU"/>
              <w14:ligatures w14:val="standardContextual"/>
            </w:rPr>
          </w:pPr>
          <w:hyperlink w:anchor="_Toc159246213" w:history="1">
            <w:r w:rsidR="00CC58CD" w:rsidRPr="00887356">
              <w:rPr>
                <w:rStyle w:val="Hyperlink"/>
                <w:noProof/>
              </w:rPr>
              <w:t>Sub-problem: Gender segregation is contributing to shortages</w:t>
            </w:r>
            <w:r w:rsidR="00CC58CD">
              <w:rPr>
                <w:noProof/>
                <w:webHidden/>
              </w:rPr>
              <w:tab/>
            </w:r>
            <w:r w:rsidR="00CC58CD">
              <w:rPr>
                <w:noProof/>
                <w:webHidden/>
              </w:rPr>
              <w:fldChar w:fldCharType="begin"/>
            </w:r>
            <w:r w:rsidR="00CC58CD">
              <w:rPr>
                <w:noProof/>
                <w:webHidden/>
              </w:rPr>
              <w:instrText xml:space="preserve"> PAGEREF _Toc159246213 \h </w:instrText>
            </w:r>
            <w:r w:rsidR="00CC58CD">
              <w:rPr>
                <w:noProof/>
                <w:webHidden/>
              </w:rPr>
            </w:r>
            <w:r w:rsidR="00CC58CD">
              <w:rPr>
                <w:noProof/>
                <w:webHidden/>
              </w:rPr>
              <w:fldChar w:fldCharType="separate"/>
            </w:r>
            <w:r w:rsidR="00CC58CD">
              <w:rPr>
                <w:noProof/>
                <w:webHidden/>
              </w:rPr>
              <w:t>8</w:t>
            </w:r>
            <w:r w:rsidR="00CC58CD">
              <w:rPr>
                <w:noProof/>
                <w:webHidden/>
              </w:rPr>
              <w:fldChar w:fldCharType="end"/>
            </w:r>
          </w:hyperlink>
        </w:p>
        <w:p w14:paraId="1E99200F" w14:textId="29ED12DA" w:rsidR="00CC58CD" w:rsidRDefault="00476F06">
          <w:pPr>
            <w:pStyle w:val="TOC2"/>
            <w:rPr>
              <w:rFonts w:eastAsiaTheme="minorEastAsia"/>
              <w:noProof/>
              <w:kern w:val="2"/>
              <w:lang w:eastAsia="en-AU"/>
              <w14:ligatures w14:val="standardContextual"/>
            </w:rPr>
          </w:pPr>
          <w:hyperlink w:anchor="_Toc159246214" w:history="1">
            <w:r w:rsidR="00CC58CD" w:rsidRPr="00887356">
              <w:rPr>
                <w:rStyle w:val="Hyperlink"/>
                <w:noProof/>
              </w:rPr>
              <w:t>Who is impacted by the problem?</w:t>
            </w:r>
            <w:r w:rsidR="00CC58CD">
              <w:rPr>
                <w:noProof/>
                <w:webHidden/>
              </w:rPr>
              <w:tab/>
            </w:r>
            <w:r w:rsidR="00CC58CD">
              <w:rPr>
                <w:noProof/>
                <w:webHidden/>
              </w:rPr>
              <w:fldChar w:fldCharType="begin"/>
            </w:r>
            <w:r w:rsidR="00CC58CD">
              <w:rPr>
                <w:noProof/>
                <w:webHidden/>
              </w:rPr>
              <w:instrText xml:space="preserve"> PAGEREF _Toc159246214 \h </w:instrText>
            </w:r>
            <w:r w:rsidR="00CC58CD">
              <w:rPr>
                <w:noProof/>
                <w:webHidden/>
              </w:rPr>
            </w:r>
            <w:r w:rsidR="00CC58CD">
              <w:rPr>
                <w:noProof/>
                <w:webHidden/>
              </w:rPr>
              <w:fldChar w:fldCharType="separate"/>
            </w:r>
            <w:r w:rsidR="00CC58CD">
              <w:rPr>
                <w:noProof/>
                <w:webHidden/>
              </w:rPr>
              <w:t>10</w:t>
            </w:r>
            <w:r w:rsidR="00CC58CD">
              <w:rPr>
                <w:noProof/>
                <w:webHidden/>
              </w:rPr>
              <w:fldChar w:fldCharType="end"/>
            </w:r>
          </w:hyperlink>
        </w:p>
        <w:p w14:paraId="736FB038" w14:textId="4E065625" w:rsidR="00CC58CD" w:rsidRDefault="00476F06">
          <w:pPr>
            <w:pStyle w:val="TOC2"/>
            <w:rPr>
              <w:rFonts w:eastAsiaTheme="minorEastAsia"/>
              <w:noProof/>
              <w:kern w:val="2"/>
              <w:lang w:eastAsia="en-AU"/>
              <w14:ligatures w14:val="standardContextual"/>
            </w:rPr>
          </w:pPr>
          <w:hyperlink w:anchor="_Toc159246215" w:history="1">
            <w:r w:rsidR="00CC58CD" w:rsidRPr="00887356">
              <w:rPr>
                <w:rStyle w:val="Hyperlink"/>
                <w:noProof/>
              </w:rPr>
              <w:t>What is currently being done</w:t>
            </w:r>
            <w:r w:rsidR="00CC58CD">
              <w:rPr>
                <w:noProof/>
                <w:webHidden/>
              </w:rPr>
              <w:tab/>
            </w:r>
            <w:r w:rsidR="00CC58CD">
              <w:rPr>
                <w:noProof/>
                <w:webHidden/>
              </w:rPr>
              <w:fldChar w:fldCharType="begin"/>
            </w:r>
            <w:r w:rsidR="00CC58CD">
              <w:rPr>
                <w:noProof/>
                <w:webHidden/>
              </w:rPr>
              <w:instrText xml:space="preserve"> PAGEREF _Toc159246215 \h </w:instrText>
            </w:r>
            <w:r w:rsidR="00CC58CD">
              <w:rPr>
                <w:noProof/>
                <w:webHidden/>
              </w:rPr>
            </w:r>
            <w:r w:rsidR="00CC58CD">
              <w:rPr>
                <w:noProof/>
                <w:webHidden/>
              </w:rPr>
              <w:fldChar w:fldCharType="separate"/>
            </w:r>
            <w:r w:rsidR="00CC58CD">
              <w:rPr>
                <w:noProof/>
                <w:webHidden/>
              </w:rPr>
              <w:t>14</w:t>
            </w:r>
            <w:r w:rsidR="00CC58CD">
              <w:rPr>
                <w:noProof/>
                <w:webHidden/>
              </w:rPr>
              <w:fldChar w:fldCharType="end"/>
            </w:r>
          </w:hyperlink>
        </w:p>
        <w:p w14:paraId="1EC84D35" w14:textId="0FE69A74" w:rsidR="00CC58CD" w:rsidRDefault="00476F06">
          <w:pPr>
            <w:pStyle w:val="TOC1"/>
            <w:rPr>
              <w:rFonts w:eastAsiaTheme="minorEastAsia"/>
              <w:b w:val="0"/>
              <w:noProof/>
              <w:kern w:val="2"/>
              <w:lang w:eastAsia="en-AU"/>
              <w14:ligatures w14:val="standardContextual"/>
            </w:rPr>
          </w:pPr>
          <w:hyperlink w:anchor="_Toc159246216" w:history="1">
            <w:r w:rsidR="00CC58CD" w:rsidRPr="00887356">
              <w:rPr>
                <w:rStyle w:val="Hyperlink"/>
                <w:noProof/>
              </w:rPr>
              <w:t>Question 2: Objectives of Government action </w:t>
            </w:r>
            <w:r w:rsidR="00CC58CD">
              <w:rPr>
                <w:noProof/>
                <w:webHidden/>
              </w:rPr>
              <w:tab/>
            </w:r>
            <w:r w:rsidR="00CC58CD">
              <w:rPr>
                <w:noProof/>
                <w:webHidden/>
              </w:rPr>
              <w:fldChar w:fldCharType="begin"/>
            </w:r>
            <w:r w:rsidR="00CC58CD">
              <w:rPr>
                <w:noProof/>
                <w:webHidden/>
              </w:rPr>
              <w:instrText xml:space="preserve"> PAGEREF _Toc159246216 \h </w:instrText>
            </w:r>
            <w:r w:rsidR="00CC58CD">
              <w:rPr>
                <w:noProof/>
                <w:webHidden/>
              </w:rPr>
            </w:r>
            <w:r w:rsidR="00CC58CD">
              <w:rPr>
                <w:noProof/>
                <w:webHidden/>
              </w:rPr>
              <w:fldChar w:fldCharType="separate"/>
            </w:r>
            <w:r w:rsidR="00CC58CD">
              <w:rPr>
                <w:noProof/>
                <w:webHidden/>
              </w:rPr>
              <w:t>19</w:t>
            </w:r>
            <w:r w:rsidR="00CC58CD">
              <w:rPr>
                <w:noProof/>
                <w:webHidden/>
              </w:rPr>
              <w:fldChar w:fldCharType="end"/>
            </w:r>
          </w:hyperlink>
        </w:p>
        <w:p w14:paraId="05469D49" w14:textId="0A6B5320" w:rsidR="00CC58CD" w:rsidRDefault="00476F06">
          <w:pPr>
            <w:pStyle w:val="TOC2"/>
            <w:rPr>
              <w:rFonts w:eastAsiaTheme="minorEastAsia"/>
              <w:noProof/>
              <w:kern w:val="2"/>
              <w:lang w:eastAsia="en-AU"/>
              <w14:ligatures w14:val="standardContextual"/>
            </w:rPr>
          </w:pPr>
          <w:hyperlink w:anchor="_Toc159246217" w:history="1">
            <w:r w:rsidR="00CC58CD" w:rsidRPr="00887356">
              <w:rPr>
                <w:rStyle w:val="Hyperlink"/>
                <w:noProof/>
              </w:rPr>
              <w:t>The private sector cannot address skills shortage and reduce gender segregation alone</w:t>
            </w:r>
            <w:r w:rsidR="00CC58CD">
              <w:rPr>
                <w:noProof/>
                <w:webHidden/>
              </w:rPr>
              <w:tab/>
            </w:r>
            <w:r w:rsidR="00CC58CD">
              <w:rPr>
                <w:noProof/>
                <w:webHidden/>
              </w:rPr>
              <w:fldChar w:fldCharType="begin"/>
            </w:r>
            <w:r w:rsidR="00CC58CD">
              <w:rPr>
                <w:noProof/>
                <w:webHidden/>
              </w:rPr>
              <w:instrText xml:space="preserve"> PAGEREF _Toc159246217 \h </w:instrText>
            </w:r>
            <w:r w:rsidR="00CC58CD">
              <w:rPr>
                <w:noProof/>
                <w:webHidden/>
              </w:rPr>
            </w:r>
            <w:r w:rsidR="00CC58CD">
              <w:rPr>
                <w:noProof/>
                <w:webHidden/>
              </w:rPr>
              <w:fldChar w:fldCharType="separate"/>
            </w:r>
            <w:r w:rsidR="00CC58CD">
              <w:rPr>
                <w:noProof/>
                <w:webHidden/>
              </w:rPr>
              <w:t>19</w:t>
            </w:r>
            <w:r w:rsidR="00CC58CD">
              <w:rPr>
                <w:noProof/>
                <w:webHidden/>
              </w:rPr>
              <w:fldChar w:fldCharType="end"/>
            </w:r>
          </w:hyperlink>
        </w:p>
        <w:p w14:paraId="010CA163" w14:textId="70D3FE2F" w:rsidR="00CC58CD" w:rsidRDefault="00476F06">
          <w:pPr>
            <w:pStyle w:val="TOC2"/>
            <w:rPr>
              <w:rFonts w:eastAsiaTheme="minorEastAsia"/>
              <w:noProof/>
              <w:kern w:val="2"/>
              <w:lang w:eastAsia="en-AU"/>
              <w14:ligatures w14:val="standardContextual"/>
            </w:rPr>
          </w:pPr>
          <w:hyperlink w:anchor="_Toc159246218" w:history="1">
            <w:r w:rsidR="00CC58CD" w:rsidRPr="00887356">
              <w:rPr>
                <w:rStyle w:val="Hyperlink"/>
                <w:noProof/>
              </w:rPr>
              <w:t>Objectives of Government action</w:t>
            </w:r>
            <w:r w:rsidR="00CC58CD">
              <w:rPr>
                <w:noProof/>
                <w:webHidden/>
              </w:rPr>
              <w:tab/>
            </w:r>
            <w:r w:rsidR="00CC58CD">
              <w:rPr>
                <w:noProof/>
                <w:webHidden/>
              </w:rPr>
              <w:fldChar w:fldCharType="begin"/>
            </w:r>
            <w:r w:rsidR="00CC58CD">
              <w:rPr>
                <w:noProof/>
                <w:webHidden/>
              </w:rPr>
              <w:instrText xml:space="preserve"> PAGEREF _Toc159246218 \h </w:instrText>
            </w:r>
            <w:r w:rsidR="00CC58CD">
              <w:rPr>
                <w:noProof/>
                <w:webHidden/>
              </w:rPr>
            </w:r>
            <w:r w:rsidR="00CC58CD">
              <w:rPr>
                <w:noProof/>
                <w:webHidden/>
              </w:rPr>
              <w:fldChar w:fldCharType="separate"/>
            </w:r>
            <w:r w:rsidR="00CC58CD">
              <w:rPr>
                <w:noProof/>
                <w:webHidden/>
              </w:rPr>
              <w:t>21</w:t>
            </w:r>
            <w:r w:rsidR="00CC58CD">
              <w:rPr>
                <w:noProof/>
                <w:webHidden/>
              </w:rPr>
              <w:fldChar w:fldCharType="end"/>
            </w:r>
          </w:hyperlink>
        </w:p>
        <w:p w14:paraId="5C97F85A" w14:textId="2F9823E4" w:rsidR="00CC58CD" w:rsidRDefault="00476F06">
          <w:pPr>
            <w:pStyle w:val="TOC2"/>
            <w:rPr>
              <w:rFonts w:eastAsiaTheme="minorEastAsia"/>
              <w:noProof/>
              <w:kern w:val="2"/>
              <w:lang w:eastAsia="en-AU"/>
              <w14:ligatures w14:val="standardContextual"/>
            </w:rPr>
          </w:pPr>
          <w:hyperlink w:anchor="_Toc159246219" w:history="1">
            <w:r w:rsidR="00CC58CD" w:rsidRPr="00887356">
              <w:rPr>
                <w:rStyle w:val="Hyperlink"/>
                <w:noProof/>
              </w:rPr>
              <w:t>What success looks like</w:t>
            </w:r>
            <w:r w:rsidR="00CC58CD">
              <w:rPr>
                <w:noProof/>
                <w:webHidden/>
              </w:rPr>
              <w:tab/>
            </w:r>
            <w:r w:rsidR="00CC58CD">
              <w:rPr>
                <w:noProof/>
                <w:webHidden/>
              </w:rPr>
              <w:fldChar w:fldCharType="begin"/>
            </w:r>
            <w:r w:rsidR="00CC58CD">
              <w:rPr>
                <w:noProof/>
                <w:webHidden/>
              </w:rPr>
              <w:instrText xml:space="preserve"> PAGEREF _Toc159246219 \h </w:instrText>
            </w:r>
            <w:r w:rsidR="00CC58CD">
              <w:rPr>
                <w:noProof/>
                <w:webHidden/>
              </w:rPr>
            </w:r>
            <w:r w:rsidR="00CC58CD">
              <w:rPr>
                <w:noProof/>
                <w:webHidden/>
              </w:rPr>
              <w:fldChar w:fldCharType="separate"/>
            </w:r>
            <w:r w:rsidR="00CC58CD">
              <w:rPr>
                <w:noProof/>
                <w:webHidden/>
              </w:rPr>
              <w:t>21</w:t>
            </w:r>
            <w:r w:rsidR="00CC58CD">
              <w:rPr>
                <w:noProof/>
                <w:webHidden/>
              </w:rPr>
              <w:fldChar w:fldCharType="end"/>
            </w:r>
          </w:hyperlink>
        </w:p>
        <w:p w14:paraId="4D1F8709" w14:textId="12AD4147" w:rsidR="00CC58CD" w:rsidRDefault="00476F06">
          <w:pPr>
            <w:pStyle w:val="TOC1"/>
            <w:rPr>
              <w:rFonts w:eastAsiaTheme="minorEastAsia"/>
              <w:b w:val="0"/>
              <w:noProof/>
              <w:kern w:val="2"/>
              <w:lang w:eastAsia="en-AU"/>
              <w14:ligatures w14:val="standardContextual"/>
            </w:rPr>
          </w:pPr>
          <w:hyperlink w:anchor="_Toc159246220" w:history="1">
            <w:r w:rsidR="00CC58CD" w:rsidRPr="00887356">
              <w:rPr>
                <w:rStyle w:val="Hyperlink"/>
                <w:noProof/>
              </w:rPr>
              <w:t>Question 3: Policy Options</w:t>
            </w:r>
            <w:r w:rsidR="00CC58CD">
              <w:rPr>
                <w:noProof/>
                <w:webHidden/>
              </w:rPr>
              <w:tab/>
            </w:r>
            <w:r w:rsidR="00CC58CD">
              <w:rPr>
                <w:noProof/>
                <w:webHidden/>
              </w:rPr>
              <w:fldChar w:fldCharType="begin"/>
            </w:r>
            <w:r w:rsidR="00CC58CD">
              <w:rPr>
                <w:noProof/>
                <w:webHidden/>
              </w:rPr>
              <w:instrText xml:space="preserve"> PAGEREF _Toc159246220 \h </w:instrText>
            </w:r>
            <w:r w:rsidR="00CC58CD">
              <w:rPr>
                <w:noProof/>
                <w:webHidden/>
              </w:rPr>
            </w:r>
            <w:r w:rsidR="00CC58CD">
              <w:rPr>
                <w:noProof/>
                <w:webHidden/>
              </w:rPr>
              <w:fldChar w:fldCharType="separate"/>
            </w:r>
            <w:r w:rsidR="00CC58CD">
              <w:rPr>
                <w:noProof/>
                <w:webHidden/>
              </w:rPr>
              <w:t>22</w:t>
            </w:r>
            <w:r w:rsidR="00CC58CD">
              <w:rPr>
                <w:noProof/>
                <w:webHidden/>
              </w:rPr>
              <w:fldChar w:fldCharType="end"/>
            </w:r>
          </w:hyperlink>
        </w:p>
        <w:p w14:paraId="4D8C509E" w14:textId="382BFEAC" w:rsidR="00CC58CD" w:rsidRDefault="00476F06">
          <w:pPr>
            <w:pStyle w:val="TOC2"/>
            <w:rPr>
              <w:rFonts w:eastAsiaTheme="minorEastAsia"/>
              <w:noProof/>
              <w:kern w:val="2"/>
              <w:lang w:eastAsia="en-AU"/>
              <w14:ligatures w14:val="standardContextual"/>
            </w:rPr>
          </w:pPr>
          <w:hyperlink w:anchor="_Toc159246221" w:history="1">
            <w:r w:rsidR="00CC58CD" w:rsidRPr="00887356">
              <w:rPr>
                <w:rStyle w:val="Hyperlink"/>
                <w:noProof/>
              </w:rPr>
              <w:t>Option 1: Take no action and continue with the status quo</w:t>
            </w:r>
            <w:r w:rsidR="00CC58CD">
              <w:rPr>
                <w:noProof/>
                <w:webHidden/>
              </w:rPr>
              <w:tab/>
            </w:r>
            <w:r w:rsidR="00CC58CD">
              <w:rPr>
                <w:noProof/>
                <w:webHidden/>
              </w:rPr>
              <w:fldChar w:fldCharType="begin"/>
            </w:r>
            <w:r w:rsidR="00CC58CD">
              <w:rPr>
                <w:noProof/>
                <w:webHidden/>
              </w:rPr>
              <w:instrText xml:space="preserve"> PAGEREF _Toc159246221 \h </w:instrText>
            </w:r>
            <w:r w:rsidR="00CC58CD">
              <w:rPr>
                <w:noProof/>
                <w:webHidden/>
              </w:rPr>
            </w:r>
            <w:r w:rsidR="00CC58CD">
              <w:rPr>
                <w:noProof/>
                <w:webHidden/>
              </w:rPr>
              <w:fldChar w:fldCharType="separate"/>
            </w:r>
            <w:r w:rsidR="00CC58CD">
              <w:rPr>
                <w:noProof/>
                <w:webHidden/>
              </w:rPr>
              <w:t>22</w:t>
            </w:r>
            <w:r w:rsidR="00CC58CD">
              <w:rPr>
                <w:noProof/>
                <w:webHidden/>
              </w:rPr>
              <w:fldChar w:fldCharType="end"/>
            </w:r>
          </w:hyperlink>
        </w:p>
        <w:p w14:paraId="1AFD89E7" w14:textId="7354C707" w:rsidR="00CC58CD" w:rsidRDefault="00476F06">
          <w:pPr>
            <w:pStyle w:val="TOC2"/>
            <w:rPr>
              <w:rFonts w:eastAsiaTheme="minorEastAsia"/>
              <w:noProof/>
              <w:kern w:val="2"/>
              <w:lang w:eastAsia="en-AU"/>
              <w14:ligatures w14:val="standardContextual"/>
            </w:rPr>
          </w:pPr>
          <w:hyperlink w:anchor="_Toc159246222" w:history="1">
            <w:r w:rsidR="00CC58CD" w:rsidRPr="00887356">
              <w:rPr>
                <w:rStyle w:val="Hyperlink"/>
                <w:noProof/>
              </w:rPr>
              <w:t>Option 2: Australian Skills Guarantee Procurement Connected Policy (PCP) guidelines</w:t>
            </w:r>
            <w:r w:rsidR="00CC58CD">
              <w:rPr>
                <w:noProof/>
                <w:webHidden/>
              </w:rPr>
              <w:tab/>
            </w:r>
            <w:r w:rsidR="00CC58CD">
              <w:rPr>
                <w:noProof/>
                <w:webHidden/>
              </w:rPr>
              <w:fldChar w:fldCharType="begin"/>
            </w:r>
            <w:r w:rsidR="00CC58CD">
              <w:rPr>
                <w:noProof/>
                <w:webHidden/>
              </w:rPr>
              <w:instrText xml:space="preserve"> PAGEREF _Toc159246222 \h </w:instrText>
            </w:r>
            <w:r w:rsidR="00CC58CD">
              <w:rPr>
                <w:noProof/>
                <w:webHidden/>
              </w:rPr>
            </w:r>
            <w:r w:rsidR="00CC58CD">
              <w:rPr>
                <w:noProof/>
                <w:webHidden/>
              </w:rPr>
              <w:fldChar w:fldCharType="separate"/>
            </w:r>
            <w:r w:rsidR="00CC58CD">
              <w:rPr>
                <w:noProof/>
                <w:webHidden/>
              </w:rPr>
              <w:t>23</w:t>
            </w:r>
            <w:r w:rsidR="00CC58CD">
              <w:rPr>
                <w:noProof/>
                <w:webHidden/>
              </w:rPr>
              <w:fldChar w:fldCharType="end"/>
            </w:r>
          </w:hyperlink>
        </w:p>
        <w:p w14:paraId="0BA027DB" w14:textId="33AE3BCC" w:rsidR="00CC58CD" w:rsidRDefault="00476F06">
          <w:pPr>
            <w:pStyle w:val="TOC2"/>
            <w:rPr>
              <w:rFonts w:eastAsiaTheme="minorEastAsia"/>
              <w:noProof/>
              <w:kern w:val="2"/>
              <w:lang w:eastAsia="en-AU"/>
              <w14:ligatures w14:val="standardContextual"/>
            </w:rPr>
          </w:pPr>
          <w:hyperlink w:anchor="_Toc159246223" w:history="1">
            <w:r w:rsidR="00CC58CD" w:rsidRPr="00887356">
              <w:rPr>
                <w:rStyle w:val="Hyperlink"/>
                <w:noProof/>
              </w:rPr>
              <w:t>Scope</w:t>
            </w:r>
            <w:r w:rsidR="00CC58CD">
              <w:rPr>
                <w:noProof/>
                <w:webHidden/>
              </w:rPr>
              <w:tab/>
            </w:r>
            <w:r w:rsidR="00CC58CD">
              <w:rPr>
                <w:noProof/>
                <w:webHidden/>
              </w:rPr>
              <w:fldChar w:fldCharType="begin"/>
            </w:r>
            <w:r w:rsidR="00CC58CD">
              <w:rPr>
                <w:noProof/>
                <w:webHidden/>
              </w:rPr>
              <w:instrText xml:space="preserve"> PAGEREF _Toc159246223 \h </w:instrText>
            </w:r>
            <w:r w:rsidR="00CC58CD">
              <w:rPr>
                <w:noProof/>
                <w:webHidden/>
              </w:rPr>
            </w:r>
            <w:r w:rsidR="00CC58CD">
              <w:rPr>
                <w:noProof/>
                <w:webHidden/>
              </w:rPr>
              <w:fldChar w:fldCharType="separate"/>
            </w:r>
            <w:r w:rsidR="00CC58CD">
              <w:rPr>
                <w:noProof/>
                <w:webHidden/>
              </w:rPr>
              <w:t>24</w:t>
            </w:r>
            <w:r w:rsidR="00CC58CD">
              <w:rPr>
                <w:noProof/>
                <w:webHidden/>
              </w:rPr>
              <w:fldChar w:fldCharType="end"/>
            </w:r>
          </w:hyperlink>
        </w:p>
        <w:p w14:paraId="1A25B43C" w14:textId="7BDBDA60" w:rsidR="00CC58CD" w:rsidRDefault="00476F06">
          <w:pPr>
            <w:pStyle w:val="TOC2"/>
            <w:rPr>
              <w:rFonts w:eastAsiaTheme="minorEastAsia"/>
              <w:noProof/>
              <w:kern w:val="2"/>
              <w:lang w:eastAsia="en-AU"/>
              <w14:ligatures w14:val="standardContextual"/>
            </w:rPr>
          </w:pPr>
          <w:hyperlink w:anchor="_Toc159246224" w:history="1">
            <w:r w:rsidR="00CC58CD" w:rsidRPr="00887356">
              <w:rPr>
                <w:rStyle w:val="Hyperlink"/>
                <w:noProof/>
              </w:rPr>
              <w:t>Key policy design elements</w:t>
            </w:r>
            <w:r w:rsidR="00CC58CD">
              <w:rPr>
                <w:noProof/>
                <w:webHidden/>
              </w:rPr>
              <w:tab/>
            </w:r>
            <w:r w:rsidR="00CC58CD">
              <w:rPr>
                <w:noProof/>
                <w:webHidden/>
              </w:rPr>
              <w:fldChar w:fldCharType="begin"/>
            </w:r>
            <w:r w:rsidR="00CC58CD">
              <w:rPr>
                <w:noProof/>
                <w:webHidden/>
              </w:rPr>
              <w:instrText xml:space="preserve"> PAGEREF _Toc159246224 \h </w:instrText>
            </w:r>
            <w:r w:rsidR="00CC58CD">
              <w:rPr>
                <w:noProof/>
                <w:webHidden/>
              </w:rPr>
            </w:r>
            <w:r w:rsidR="00CC58CD">
              <w:rPr>
                <w:noProof/>
                <w:webHidden/>
              </w:rPr>
              <w:fldChar w:fldCharType="separate"/>
            </w:r>
            <w:r w:rsidR="00CC58CD">
              <w:rPr>
                <w:noProof/>
                <w:webHidden/>
              </w:rPr>
              <w:t>25</w:t>
            </w:r>
            <w:r w:rsidR="00CC58CD">
              <w:rPr>
                <w:noProof/>
                <w:webHidden/>
              </w:rPr>
              <w:fldChar w:fldCharType="end"/>
            </w:r>
          </w:hyperlink>
        </w:p>
        <w:p w14:paraId="338013B3" w14:textId="6C4284DD" w:rsidR="00CC58CD" w:rsidRDefault="00476F06">
          <w:pPr>
            <w:pStyle w:val="TOC1"/>
            <w:rPr>
              <w:rFonts w:eastAsiaTheme="minorEastAsia"/>
              <w:b w:val="0"/>
              <w:noProof/>
              <w:kern w:val="2"/>
              <w:lang w:eastAsia="en-AU"/>
              <w14:ligatures w14:val="standardContextual"/>
            </w:rPr>
          </w:pPr>
          <w:hyperlink w:anchor="_Toc159246225" w:history="1">
            <w:r w:rsidR="00CC58CD" w:rsidRPr="00887356">
              <w:rPr>
                <w:rStyle w:val="Hyperlink"/>
                <w:noProof/>
              </w:rPr>
              <w:t>Question 4: What is the likely net benefit? </w:t>
            </w:r>
            <w:r w:rsidR="00CC58CD">
              <w:rPr>
                <w:noProof/>
                <w:webHidden/>
              </w:rPr>
              <w:tab/>
            </w:r>
            <w:r w:rsidR="00CC58CD">
              <w:rPr>
                <w:noProof/>
                <w:webHidden/>
              </w:rPr>
              <w:fldChar w:fldCharType="begin"/>
            </w:r>
            <w:r w:rsidR="00CC58CD">
              <w:rPr>
                <w:noProof/>
                <w:webHidden/>
              </w:rPr>
              <w:instrText xml:space="preserve"> PAGEREF _Toc159246225 \h </w:instrText>
            </w:r>
            <w:r w:rsidR="00CC58CD">
              <w:rPr>
                <w:noProof/>
                <w:webHidden/>
              </w:rPr>
            </w:r>
            <w:r w:rsidR="00CC58CD">
              <w:rPr>
                <w:noProof/>
                <w:webHidden/>
              </w:rPr>
              <w:fldChar w:fldCharType="separate"/>
            </w:r>
            <w:r w:rsidR="00CC58CD">
              <w:rPr>
                <w:noProof/>
                <w:webHidden/>
              </w:rPr>
              <w:t>28</w:t>
            </w:r>
            <w:r w:rsidR="00CC58CD">
              <w:rPr>
                <w:noProof/>
                <w:webHidden/>
              </w:rPr>
              <w:fldChar w:fldCharType="end"/>
            </w:r>
          </w:hyperlink>
        </w:p>
        <w:p w14:paraId="538092D1" w14:textId="367FA29C" w:rsidR="00CC58CD" w:rsidRDefault="00476F06">
          <w:pPr>
            <w:pStyle w:val="TOC2"/>
            <w:rPr>
              <w:rFonts w:eastAsiaTheme="minorEastAsia"/>
              <w:noProof/>
              <w:kern w:val="2"/>
              <w:lang w:eastAsia="en-AU"/>
              <w14:ligatures w14:val="standardContextual"/>
            </w:rPr>
          </w:pPr>
          <w:hyperlink w:anchor="_Toc159246226" w:history="1">
            <w:r w:rsidR="00CC58CD" w:rsidRPr="00887356">
              <w:rPr>
                <w:rStyle w:val="Hyperlink"/>
                <w:noProof/>
              </w:rPr>
              <w:t>Option 1: No action, status quo</w:t>
            </w:r>
            <w:r w:rsidR="00CC58CD">
              <w:rPr>
                <w:noProof/>
                <w:webHidden/>
              </w:rPr>
              <w:tab/>
            </w:r>
            <w:r w:rsidR="00CC58CD">
              <w:rPr>
                <w:noProof/>
                <w:webHidden/>
              </w:rPr>
              <w:fldChar w:fldCharType="begin"/>
            </w:r>
            <w:r w:rsidR="00CC58CD">
              <w:rPr>
                <w:noProof/>
                <w:webHidden/>
              </w:rPr>
              <w:instrText xml:space="preserve"> PAGEREF _Toc159246226 \h </w:instrText>
            </w:r>
            <w:r w:rsidR="00CC58CD">
              <w:rPr>
                <w:noProof/>
                <w:webHidden/>
              </w:rPr>
            </w:r>
            <w:r w:rsidR="00CC58CD">
              <w:rPr>
                <w:noProof/>
                <w:webHidden/>
              </w:rPr>
              <w:fldChar w:fldCharType="separate"/>
            </w:r>
            <w:r w:rsidR="00CC58CD">
              <w:rPr>
                <w:noProof/>
                <w:webHidden/>
              </w:rPr>
              <w:t>28</w:t>
            </w:r>
            <w:r w:rsidR="00CC58CD">
              <w:rPr>
                <w:noProof/>
                <w:webHidden/>
              </w:rPr>
              <w:fldChar w:fldCharType="end"/>
            </w:r>
          </w:hyperlink>
        </w:p>
        <w:p w14:paraId="068D3F22" w14:textId="0FC38D4B" w:rsidR="00CC58CD" w:rsidRDefault="00476F06">
          <w:pPr>
            <w:pStyle w:val="TOC2"/>
            <w:rPr>
              <w:rFonts w:eastAsiaTheme="minorEastAsia"/>
              <w:noProof/>
              <w:kern w:val="2"/>
              <w:lang w:eastAsia="en-AU"/>
              <w14:ligatures w14:val="standardContextual"/>
            </w:rPr>
          </w:pPr>
          <w:hyperlink w:anchor="_Toc159246227" w:history="1">
            <w:r w:rsidR="00CC58CD" w:rsidRPr="00887356">
              <w:rPr>
                <w:rStyle w:val="Hyperlink"/>
                <w:noProof/>
              </w:rPr>
              <w:t>Option 2: Australian Skills Guarantee PCP</w:t>
            </w:r>
            <w:r w:rsidR="00CC58CD">
              <w:rPr>
                <w:noProof/>
                <w:webHidden/>
              </w:rPr>
              <w:tab/>
            </w:r>
            <w:r w:rsidR="00CC58CD">
              <w:rPr>
                <w:noProof/>
                <w:webHidden/>
              </w:rPr>
              <w:fldChar w:fldCharType="begin"/>
            </w:r>
            <w:r w:rsidR="00CC58CD">
              <w:rPr>
                <w:noProof/>
                <w:webHidden/>
              </w:rPr>
              <w:instrText xml:space="preserve"> PAGEREF _Toc159246227 \h </w:instrText>
            </w:r>
            <w:r w:rsidR="00CC58CD">
              <w:rPr>
                <w:noProof/>
                <w:webHidden/>
              </w:rPr>
            </w:r>
            <w:r w:rsidR="00CC58CD">
              <w:rPr>
                <w:noProof/>
                <w:webHidden/>
              </w:rPr>
              <w:fldChar w:fldCharType="separate"/>
            </w:r>
            <w:r w:rsidR="00CC58CD">
              <w:rPr>
                <w:noProof/>
                <w:webHidden/>
              </w:rPr>
              <w:t>29</w:t>
            </w:r>
            <w:r w:rsidR="00CC58CD">
              <w:rPr>
                <w:noProof/>
                <w:webHidden/>
              </w:rPr>
              <w:fldChar w:fldCharType="end"/>
            </w:r>
          </w:hyperlink>
        </w:p>
        <w:p w14:paraId="73BBC1B5" w14:textId="590777E5" w:rsidR="00CC58CD" w:rsidRDefault="00476F06">
          <w:pPr>
            <w:pStyle w:val="TOC1"/>
            <w:rPr>
              <w:rFonts w:eastAsiaTheme="minorEastAsia"/>
              <w:b w:val="0"/>
              <w:noProof/>
              <w:kern w:val="2"/>
              <w:lang w:eastAsia="en-AU"/>
              <w14:ligatures w14:val="standardContextual"/>
            </w:rPr>
          </w:pPr>
          <w:hyperlink w:anchor="_Toc159246228" w:history="1">
            <w:r w:rsidR="00CC58CD" w:rsidRPr="00887356">
              <w:rPr>
                <w:rStyle w:val="Hyperlink"/>
                <w:noProof/>
              </w:rPr>
              <w:t>Question 5: Consultation and incorporating feedback</w:t>
            </w:r>
            <w:r w:rsidR="00CC58CD">
              <w:rPr>
                <w:noProof/>
                <w:webHidden/>
              </w:rPr>
              <w:tab/>
            </w:r>
            <w:r w:rsidR="00CC58CD">
              <w:rPr>
                <w:noProof/>
                <w:webHidden/>
              </w:rPr>
              <w:fldChar w:fldCharType="begin"/>
            </w:r>
            <w:r w:rsidR="00CC58CD">
              <w:rPr>
                <w:noProof/>
                <w:webHidden/>
              </w:rPr>
              <w:instrText xml:space="preserve"> PAGEREF _Toc159246228 \h </w:instrText>
            </w:r>
            <w:r w:rsidR="00CC58CD">
              <w:rPr>
                <w:noProof/>
                <w:webHidden/>
              </w:rPr>
            </w:r>
            <w:r w:rsidR="00CC58CD">
              <w:rPr>
                <w:noProof/>
                <w:webHidden/>
              </w:rPr>
              <w:fldChar w:fldCharType="separate"/>
            </w:r>
            <w:r w:rsidR="00CC58CD">
              <w:rPr>
                <w:noProof/>
                <w:webHidden/>
              </w:rPr>
              <w:t>41</w:t>
            </w:r>
            <w:r w:rsidR="00CC58CD">
              <w:rPr>
                <w:noProof/>
                <w:webHidden/>
              </w:rPr>
              <w:fldChar w:fldCharType="end"/>
            </w:r>
          </w:hyperlink>
        </w:p>
        <w:p w14:paraId="05032C1A" w14:textId="47062AB9" w:rsidR="00CC58CD" w:rsidRDefault="00476F06">
          <w:pPr>
            <w:pStyle w:val="TOC2"/>
            <w:rPr>
              <w:rFonts w:eastAsiaTheme="minorEastAsia"/>
              <w:noProof/>
              <w:kern w:val="2"/>
              <w:lang w:eastAsia="en-AU"/>
              <w14:ligatures w14:val="standardContextual"/>
            </w:rPr>
          </w:pPr>
          <w:hyperlink w:anchor="_Toc159246229" w:history="1">
            <w:r w:rsidR="00CC58CD" w:rsidRPr="00887356">
              <w:rPr>
                <w:rStyle w:val="Hyperlink"/>
                <w:noProof/>
              </w:rPr>
              <w:t>Overview</w:t>
            </w:r>
            <w:r w:rsidR="00CC58CD">
              <w:rPr>
                <w:noProof/>
                <w:webHidden/>
              </w:rPr>
              <w:tab/>
            </w:r>
            <w:r w:rsidR="00CC58CD">
              <w:rPr>
                <w:noProof/>
                <w:webHidden/>
              </w:rPr>
              <w:fldChar w:fldCharType="begin"/>
            </w:r>
            <w:r w:rsidR="00CC58CD">
              <w:rPr>
                <w:noProof/>
                <w:webHidden/>
              </w:rPr>
              <w:instrText xml:space="preserve"> PAGEREF _Toc159246229 \h </w:instrText>
            </w:r>
            <w:r w:rsidR="00CC58CD">
              <w:rPr>
                <w:noProof/>
                <w:webHidden/>
              </w:rPr>
            </w:r>
            <w:r w:rsidR="00CC58CD">
              <w:rPr>
                <w:noProof/>
                <w:webHidden/>
              </w:rPr>
              <w:fldChar w:fldCharType="separate"/>
            </w:r>
            <w:r w:rsidR="00CC58CD">
              <w:rPr>
                <w:noProof/>
                <w:webHidden/>
              </w:rPr>
              <w:t>41</w:t>
            </w:r>
            <w:r w:rsidR="00CC58CD">
              <w:rPr>
                <w:noProof/>
                <w:webHidden/>
              </w:rPr>
              <w:fldChar w:fldCharType="end"/>
            </w:r>
          </w:hyperlink>
        </w:p>
        <w:p w14:paraId="65BF91EC" w14:textId="5D35CA0F" w:rsidR="00CC58CD" w:rsidRDefault="00476F06">
          <w:pPr>
            <w:pStyle w:val="TOC2"/>
            <w:rPr>
              <w:rFonts w:eastAsiaTheme="minorEastAsia"/>
              <w:noProof/>
              <w:kern w:val="2"/>
              <w:lang w:eastAsia="en-AU"/>
              <w14:ligatures w14:val="standardContextual"/>
            </w:rPr>
          </w:pPr>
          <w:hyperlink w:anchor="_Toc159246230" w:history="1">
            <w:r w:rsidR="00CC58CD" w:rsidRPr="00887356">
              <w:rPr>
                <w:rStyle w:val="Hyperlink"/>
                <w:noProof/>
              </w:rPr>
              <w:t>Consultation</w:t>
            </w:r>
            <w:r w:rsidR="00CC58CD">
              <w:rPr>
                <w:noProof/>
                <w:webHidden/>
              </w:rPr>
              <w:tab/>
            </w:r>
            <w:r w:rsidR="00CC58CD">
              <w:rPr>
                <w:noProof/>
                <w:webHidden/>
              </w:rPr>
              <w:fldChar w:fldCharType="begin"/>
            </w:r>
            <w:r w:rsidR="00CC58CD">
              <w:rPr>
                <w:noProof/>
                <w:webHidden/>
              </w:rPr>
              <w:instrText xml:space="preserve"> PAGEREF _Toc159246230 \h </w:instrText>
            </w:r>
            <w:r w:rsidR="00CC58CD">
              <w:rPr>
                <w:noProof/>
                <w:webHidden/>
              </w:rPr>
            </w:r>
            <w:r w:rsidR="00CC58CD">
              <w:rPr>
                <w:noProof/>
                <w:webHidden/>
              </w:rPr>
              <w:fldChar w:fldCharType="separate"/>
            </w:r>
            <w:r w:rsidR="00CC58CD">
              <w:rPr>
                <w:noProof/>
                <w:webHidden/>
              </w:rPr>
              <w:t>42</w:t>
            </w:r>
            <w:r w:rsidR="00CC58CD">
              <w:rPr>
                <w:noProof/>
                <w:webHidden/>
              </w:rPr>
              <w:fldChar w:fldCharType="end"/>
            </w:r>
          </w:hyperlink>
        </w:p>
        <w:p w14:paraId="014DF895" w14:textId="14FF2CC6" w:rsidR="00CC58CD" w:rsidRDefault="00476F06">
          <w:pPr>
            <w:pStyle w:val="TOC1"/>
            <w:rPr>
              <w:rFonts w:eastAsiaTheme="minorEastAsia"/>
              <w:b w:val="0"/>
              <w:noProof/>
              <w:kern w:val="2"/>
              <w:lang w:eastAsia="en-AU"/>
              <w14:ligatures w14:val="standardContextual"/>
            </w:rPr>
          </w:pPr>
          <w:hyperlink w:anchor="_Toc159246231" w:history="1">
            <w:r w:rsidR="00CC58CD" w:rsidRPr="00887356">
              <w:rPr>
                <w:rStyle w:val="Hyperlink"/>
                <w:noProof/>
              </w:rPr>
              <w:t>Question 6: The best option and implementation</w:t>
            </w:r>
            <w:r w:rsidR="00CC58CD">
              <w:rPr>
                <w:noProof/>
                <w:webHidden/>
              </w:rPr>
              <w:tab/>
            </w:r>
            <w:r w:rsidR="00CC58CD">
              <w:rPr>
                <w:noProof/>
                <w:webHidden/>
              </w:rPr>
              <w:fldChar w:fldCharType="begin"/>
            </w:r>
            <w:r w:rsidR="00CC58CD">
              <w:rPr>
                <w:noProof/>
                <w:webHidden/>
              </w:rPr>
              <w:instrText xml:space="preserve"> PAGEREF _Toc159246231 \h </w:instrText>
            </w:r>
            <w:r w:rsidR="00CC58CD">
              <w:rPr>
                <w:noProof/>
                <w:webHidden/>
              </w:rPr>
            </w:r>
            <w:r w:rsidR="00CC58CD">
              <w:rPr>
                <w:noProof/>
                <w:webHidden/>
              </w:rPr>
              <w:fldChar w:fldCharType="separate"/>
            </w:r>
            <w:r w:rsidR="00CC58CD">
              <w:rPr>
                <w:noProof/>
                <w:webHidden/>
              </w:rPr>
              <w:t>47</w:t>
            </w:r>
            <w:r w:rsidR="00CC58CD">
              <w:rPr>
                <w:noProof/>
                <w:webHidden/>
              </w:rPr>
              <w:fldChar w:fldCharType="end"/>
            </w:r>
          </w:hyperlink>
        </w:p>
        <w:p w14:paraId="27462A8C" w14:textId="4C359863" w:rsidR="00CC58CD" w:rsidRDefault="00476F06">
          <w:pPr>
            <w:pStyle w:val="TOC2"/>
            <w:rPr>
              <w:rFonts w:eastAsiaTheme="minorEastAsia"/>
              <w:noProof/>
              <w:kern w:val="2"/>
              <w:lang w:eastAsia="en-AU"/>
              <w14:ligatures w14:val="standardContextual"/>
            </w:rPr>
          </w:pPr>
          <w:hyperlink w:anchor="_Toc159246232" w:history="1">
            <w:r w:rsidR="00CC58CD" w:rsidRPr="00887356">
              <w:rPr>
                <w:rStyle w:val="Hyperlink"/>
                <w:noProof/>
              </w:rPr>
              <w:t>Selecting the best option</w:t>
            </w:r>
            <w:r w:rsidR="00CC58CD">
              <w:rPr>
                <w:noProof/>
                <w:webHidden/>
              </w:rPr>
              <w:tab/>
            </w:r>
            <w:r w:rsidR="00CC58CD">
              <w:rPr>
                <w:noProof/>
                <w:webHidden/>
              </w:rPr>
              <w:fldChar w:fldCharType="begin"/>
            </w:r>
            <w:r w:rsidR="00CC58CD">
              <w:rPr>
                <w:noProof/>
                <w:webHidden/>
              </w:rPr>
              <w:instrText xml:space="preserve"> PAGEREF _Toc159246232 \h </w:instrText>
            </w:r>
            <w:r w:rsidR="00CC58CD">
              <w:rPr>
                <w:noProof/>
                <w:webHidden/>
              </w:rPr>
            </w:r>
            <w:r w:rsidR="00CC58CD">
              <w:rPr>
                <w:noProof/>
                <w:webHidden/>
              </w:rPr>
              <w:fldChar w:fldCharType="separate"/>
            </w:r>
            <w:r w:rsidR="00CC58CD">
              <w:rPr>
                <w:noProof/>
                <w:webHidden/>
              </w:rPr>
              <w:t>47</w:t>
            </w:r>
            <w:r w:rsidR="00CC58CD">
              <w:rPr>
                <w:noProof/>
                <w:webHidden/>
              </w:rPr>
              <w:fldChar w:fldCharType="end"/>
            </w:r>
          </w:hyperlink>
        </w:p>
        <w:p w14:paraId="49DAFC1A" w14:textId="36A6C8DD" w:rsidR="00CC58CD" w:rsidRDefault="00476F06">
          <w:pPr>
            <w:pStyle w:val="TOC2"/>
            <w:rPr>
              <w:rFonts w:eastAsiaTheme="minorEastAsia"/>
              <w:noProof/>
              <w:kern w:val="2"/>
              <w:lang w:eastAsia="en-AU"/>
              <w14:ligatures w14:val="standardContextual"/>
            </w:rPr>
          </w:pPr>
          <w:hyperlink w:anchor="_Toc159246233" w:history="1">
            <w:r w:rsidR="00CC58CD" w:rsidRPr="00887356">
              <w:rPr>
                <w:rStyle w:val="Hyperlink"/>
                <w:noProof/>
              </w:rPr>
              <w:t>Implementing the policy via a Skills Guarantee PCP</w:t>
            </w:r>
            <w:r w:rsidR="00CC58CD">
              <w:rPr>
                <w:noProof/>
                <w:webHidden/>
              </w:rPr>
              <w:tab/>
            </w:r>
            <w:r w:rsidR="00CC58CD">
              <w:rPr>
                <w:noProof/>
                <w:webHidden/>
              </w:rPr>
              <w:fldChar w:fldCharType="begin"/>
            </w:r>
            <w:r w:rsidR="00CC58CD">
              <w:rPr>
                <w:noProof/>
                <w:webHidden/>
              </w:rPr>
              <w:instrText xml:space="preserve"> PAGEREF _Toc159246233 \h </w:instrText>
            </w:r>
            <w:r w:rsidR="00CC58CD">
              <w:rPr>
                <w:noProof/>
                <w:webHidden/>
              </w:rPr>
            </w:r>
            <w:r w:rsidR="00CC58CD">
              <w:rPr>
                <w:noProof/>
                <w:webHidden/>
              </w:rPr>
              <w:fldChar w:fldCharType="separate"/>
            </w:r>
            <w:r w:rsidR="00CC58CD">
              <w:rPr>
                <w:noProof/>
                <w:webHidden/>
              </w:rPr>
              <w:t>48</w:t>
            </w:r>
            <w:r w:rsidR="00CC58CD">
              <w:rPr>
                <w:noProof/>
                <w:webHidden/>
              </w:rPr>
              <w:fldChar w:fldCharType="end"/>
            </w:r>
          </w:hyperlink>
        </w:p>
        <w:p w14:paraId="71063C1C" w14:textId="78AC4B34" w:rsidR="00CC58CD" w:rsidRDefault="00476F06">
          <w:pPr>
            <w:pStyle w:val="TOC2"/>
            <w:rPr>
              <w:rFonts w:eastAsiaTheme="minorEastAsia"/>
              <w:noProof/>
              <w:kern w:val="2"/>
              <w:lang w:eastAsia="en-AU"/>
              <w14:ligatures w14:val="standardContextual"/>
            </w:rPr>
          </w:pPr>
          <w:hyperlink w:anchor="_Toc159246234" w:history="1">
            <w:r w:rsidR="00CC58CD" w:rsidRPr="00887356">
              <w:rPr>
                <w:rStyle w:val="Hyperlink"/>
                <w:noProof/>
              </w:rPr>
              <w:t>Roles and responsibilities</w:t>
            </w:r>
            <w:r w:rsidR="00CC58CD">
              <w:rPr>
                <w:noProof/>
                <w:webHidden/>
              </w:rPr>
              <w:tab/>
            </w:r>
            <w:r w:rsidR="00CC58CD">
              <w:rPr>
                <w:noProof/>
                <w:webHidden/>
              </w:rPr>
              <w:fldChar w:fldCharType="begin"/>
            </w:r>
            <w:r w:rsidR="00CC58CD">
              <w:rPr>
                <w:noProof/>
                <w:webHidden/>
              </w:rPr>
              <w:instrText xml:space="preserve"> PAGEREF _Toc159246234 \h </w:instrText>
            </w:r>
            <w:r w:rsidR="00CC58CD">
              <w:rPr>
                <w:noProof/>
                <w:webHidden/>
              </w:rPr>
            </w:r>
            <w:r w:rsidR="00CC58CD">
              <w:rPr>
                <w:noProof/>
                <w:webHidden/>
              </w:rPr>
              <w:fldChar w:fldCharType="separate"/>
            </w:r>
            <w:r w:rsidR="00CC58CD">
              <w:rPr>
                <w:noProof/>
                <w:webHidden/>
              </w:rPr>
              <w:t>49</w:t>
            </w:r>
            <w:r w:rsidR="00CC58CD">
              <w:rPr>
                <w:noProof/>
                <w:webHidden/>
              </w:rPr>
              <w:fldChar w:fldCharType="end"/>
            </w:r>
          </w:hyperlink>
        </w:p>
        <w:p w14:paraId="173CEB6C" w14:textId="666B268D" w:rsidR="00CC58CD" w:rsidRDefault="00476F06">
          <w:pPr>
            <w:pStyle w:val="TOC2"/>
            <w:rPr>
              <w:rFonts w:eastAsiaTheme="minorEastAsia"/>
              <w:noProof/>
              <w:kern w:val="2"/>
              <w:lang w:eastAsia="en-AU"/>
              <w14:ligatures w14:val="standardContextual"/>
            </w:rPr>
          </w:pPr>
          <w:hyperlink w:anchor="_Toc159246235" w:history="1">
            <w:r w:rsidR="00CC58CD" w:rsidRPr="00887356">
              <w:rPr>
                <w:rStyle w:val="Hyperlink"/>
                <w:noProof/>
              </w:rPr>
              <w:t>Risks for implementation</w:t>
            </w:r>
            <w:r w:rsidR="00CC58CD">
              <w:rPr>
                <w:noProof/>
                <w:webHidden/>
              </w:rPr>
              <w:tab/>
            </w:r>
            <w:r w:rsidR="00CC58CD">
              <w:rPr>
                <w:noProof/>
                <w:webHidden/>
              </w:rPr>
              <w:fldChar w:fldCharType="begin"/>
            </w:r>
            <w:r w:rsidR="00CC58CD">
              <w:rPr>
                <w:noProof/>
                <w:webHidden/>
              </w:rPr>
              <w:instrText xml:space="preserve"> PAGEREF _Toc159246235 \h </w:instrText>
            </w:r>
            <w:r w:rsidR="00CC58CD">
              <w:rPr>
                <w:noProof/>
                <w:webHidden/>
              </w:rPr>
            </w:r>
            <w:r w:rsidR="00CC58CD">
              <w:rPr>
                <w:noProof/>
                <w:webHidden/>
              </w:rPr>
              <w:fldChar w:fldCharType="separate"/>
            </w:r>
            <w:r w:rsidR="00CC58CD">
              <w:rPr>
                <w:noProof/>
                <w:webHidden/>
              </w:rPr>
              <w:t>51</w:t>
            </w:r>
            <w:r w:rsidR="00CC58CD">
              <w:rPr>
                <w:noProof/>
                <w:webHidden/>
              </w:rPr>
              <w:fldChar w:fldCharType="end"/>
            </w:r>
          </w:hyperlink>
        </w:p>
        <w:p w14:paraId="17203B6B" w14:textId="69B45643" w:rsidR="00CC58CD" w:rsidRDefault="00476F06">
          <w:pPr>
            <w:pStyle w:val="TOC2"/>
            <w:rPr>
              <w:rFonts w:eastAsiaTheme="minorEastAsia"/>
              <w:noProof/>
              <w:kern w:val="2"/>
              <w:lang w:eastAsia="en-AU"/>
              <w14:ligatures w14:val="standardContextual"/>
            </w:rPr>
          </w:pPr>
          <w:hyperlink w:anchor="_Toc159246236" w:history="1">
            <w:r w:rsidR="00CC58CD" w:rsidRPr="00887356">
              <w:rPr>
                <w:rStyle w:val="Hyperlink"/>
                <w:noProof/>
              </w:rPr>
              <w:t>Constraints for implementation</w:t>
            </w:r>
            <w:r w:rsidR="00CC58CD">
              <w:rPr>
                <w:noProof/>
                <w:webHidden/>
              </w:rPr>
              <w:tab/>
            </w:r>
            <w:r w:rsidR="00CC58CD">
              <w:rPr>
                <w:noProof/>
                <w:webHidden/>
              </w:rPr>
              <w:fldChar w:fldCharType="begin"/>
            </w:r>
            <w:r w:rsidR="00CC58CD">
              <w:rPr>
                <w:noProof/>
                <w:webHidden/>
              </w:rPr>
              <w:instrText xml:space="preserve"> PAGEREF _Toc159246236 \h </w:instrText>
            </w:r>
            <w:r w:rsidR="00CC58CD">
              <w:rPr>
                <w:noProof/>
                <w:webHidden/>
              </w:rPr>
            </w:r>
            <w:r w:rsidR="00CC58CD">
              <w:rPr>
                <w:noProof/>
                <w:webHidden/>
              </w:rPr>
              <w:fldChar w:fldCharType="separate"/>
            </w:r>
            <w:r w:rsidR="00CC58CD">
              <w:rPr>
                <w:noProof/>
                <w:webHidden/>
              </w:rPr>
              <w:t>53</w:t>
            </w:r>
            <w:r w:rsidR="00CC58CD">
              <w:rPr>
                <w:noProof/>
                <w:webHidden/>
              </w:rPr>
              <w:fldChar w:fldCharType="end"/>
            </w:r>
          </w:hyperlink>
        </w:p>
        <w:p w14:paraId="4A943FA7" w14:textId="33C96F05" w:rsidR="00CC58CD" w:rsidRDefault="00476F06">
          <w:pPr>
            <w:pStyle w:val="TOC1"/>
            <w:rPr>
              <w:rFonts w:eastAsiaTheme="minorEastAsia"/>
              <w:b w:val="0"/>
              <w:noProof/>
              <w:kern w:val="2"/>
              <w:lang w:eastAsia="en-AU"/>
              <w14:ligatures w14:val="standardContextual"/>
            </w:rPr>
          </w:pPr>
          <w:hyperlink w:anchor="_Toc159246237" w:history="1">
            <w:r w:rsidR="00CC58CD" w:rsidRPr="00887356">
              <w:rPr>
                <w:rStyle w:val="Hyperlink"/>
                <w:noProof/>
              </w:rPr>
              <w:t>Question 7: Evaluation</w:t>
            </w:r>
            <w:r w:rsidR="00CC58CD">
              <w:rPr>
                <w:noProof/>
                <w:webHidden/>
              </w:rPr>
              <w:tab/>
            </w:r>
            <w:r w:rsidR="00CC58CD">
              <w:rPr>
                <w:noProof/>
                <w:webHidden/>
              </w:rPr>
              <w:fldChar w:fldCharType="begin"/>
            </w:r>
            <w:r w:rsidR="00CC58CD">
              <w:rPr>
                <w:noProof/>
                <w:webHidden/>
              </w:rPr>
              <w:instrText xml:space="preserve"> PAGEREF _Toc159246237 \h </w:instrText>
            </w:r>
            <w:r w:rsidR="00CC58CD">
              <w:rPr>
                <w:noProof/>
                <w:webHidden/>
              </w:rPr>
            </w:r>
            <w:r w:rsidR="00CC58CD">
              <w:rPr>
                <w:noProof/>
                <w:webHidden/>
              </w:rPr>
              <w:fldChar w:fldCharType="separate"/>
            </w:r>
            <w:r w:rsidR="00CC58CD">
              <w:rPr>
                <w:noProof/>
                <w:webHidden/>
              </w:rPr>
              <w:t>55</w:t>
            </w:r>
            <w:r w:rsidR="00CC58CD">
              <w:rPr>
                <w:noProof/>
                <w:webHidden/>
              </w:rPr>
              <w:fldChar w:fldCharType="end"/>
            </w:r>
          </w:hyperlink>
        </w:p>
        <w:p w14:paraId="345AC3F5" w14:textId="184B5DD0" w:rsidR="00CC58CD" w:rsidRDefault="00476F06">
          <w:pPr>
            <w:pStyle w:val="TOC2"/>
            <w:rPr>
              <w:rFonts w:eastAsiaTheme="minorEastAsia"/>
              <w:noProof/>
              <w:kern w:val="2"/>
              <w:lang w:eastAsia="en-AU"/>
              <w14:ligatures w14:val="standardContextual"/>
            </w:rPr>
          </w:pPr>
          <w:hyperlink w:anchor="_Toc159246238" w:history="1">
            <w:r w:rsidR="00CC58CD" w:rsidRPr="00887356">
              <w:rPr>
                <w:rStyle w:val="Hyperlink"/>
                <w:noProof/>
              </w:rPr>
              <w:t>Monitoring</w:t>
            </w:r>
            <w:r w:rsidR="00CC58CD">
              <w:rPr>
                <w:noProof/>
                <w:webHidden/>
              </w:rPr>
              <w:tab/>
            </w:r>
            <w:r w:rsidR="00CC58CD">
              <w:rPr>
                <w:noProof/>
                <w:webHidden/>
              </w:rPr>
              <w:fldChar w:fldCharType="begin"/>
            </w:r>
            <w:r w:rsidR="00CC58CD">
              <w:rPr>
                <w:noProof/>
                <w:webHidden/>
              </w:rPr>
              <w:instrText xml:space="preserve"> PAGEREF _Toc159246238 \h </w:instrText>
            </w:r>
            <w:r w:rsidR="00CC58CD">
              <w:rPr>
                <w:noProof/>
                <w:webHidden/>
              </w:rPr>
            </w:r>
            <w:r w:rsidR="00CC58CD">
              <w:rPr>
                <w:noProof/>
                <w:webHidden/>
              </w:rPr>
              <w:fldChar w:fldCharType="separate"/>
            </w:r>
            <w:r w:rsidR="00CC58CD">
              <w:rPr>
                <w:noProof/>
                <w:webHidden/>
              </w:rPr>
              <w:t>55</w:t>
            </w:r>
            <w:r w:rsidR="00CC58CD">
              <w:rPr>
                <w:noProof/>
                <w:webHidden/>
              </w:rPr>
              <w:fldChar w:fldCharType="end"/>
            </w:r>
          </w:hyperlink>
        </w:p>
        <w:p w14:paraId="191C6320" w14:textId="5F7666D7" w:rsidR="00CC58CD" w:rsidRDefault="00476F06">
          <w:pPr>
            <w:pStyle w:val="TOC2"/>
            <w:rPr>
              <w:rFonts w:eastAsiaTheme="minorEastAsia"/>
              <w:noProof/>
              <w:kern w:val="2"/>
              <w:lang w:eastAsia="en-AU"/>
              <w14:ligatures w14:val="standardContextual"/>
            </w:rPr>
          </w:pPr>
          <w:hyperlink w:anchor="_Toc159246239" w:history="1">
            <w:r w:rsidR="00CC58CD" w:rsidRPr="00887356">
              <w:rPr>
                <w:rStyle w:val="Hyperlink"/>
                <w:noProof/>
              </w:rPr>
              <w:t>Evaluation</w:t>
            </w:r>
            <w:r w:rsidR="00CC58CD">
              <w:rPr>
                <w:noProof/>
                <w:webHidden/>
              </w:rPr>
              <w:tab/>
            </w:r>
            <w:r w:rsidR="00CC58CD">
              <w:rPr>
                <w:noProof/>
                <w:webHidden/>
              </w:rPr>
              <w:fldChar w:fldCharType="begin"/>
            </w:r>
            <w:r w:rsidR="00CC58CD">
              <w:rPr>
                <w:noProof/>
                <w:webHidden/>
              </w:rPr>
              <w:instrText xml:space="preserve"> PAGEREF _Toc159246239 \h </w:instrText>
            </w:r>
            <w:r w:rsidR="00CC58CD">
              <w:rPr>
                <w:noProof/>
                <w:webHidden/>
              </w:rPr>
            </w:r>
            <w:r w:rsidR="00CC58CD">
              <w:rPr>
                <w:noProof/>
                <w:webHidden/>
              </w:rPr>
              <w:fldChar w:fldCharType="separate"/>
            </w:r>
            <w:r w:rsidR="00CC58CD">
              <w:rPr>
                <w:noProof/>
                <w:webHidden/>
              </w:rPr>
              <w:t>55</w:t>
            </w:r>
            <w:r w:rsidR="00CC58CD">
              <w:rPr>
                <w:noProof/>
                <w:webHidden/>
              </w:rPr>
              <w:fldChar w:fldCharType="end"/>
            </w:r>
          </w:hyperlink>
        </w:p>
        <w:p w14:paraId="71138349" w14:textId="36380F62" w:rsidR="00CC58CD" w:rsidRDefault="00476F06">
          <w:pPr>
            <w:pStyle w:val="TOC1"/>
            <w:rPr>
              <w:rFonts w:eastAsiaTheme="minorEastAsia"/>
              <w:b w:val="0"/>
              <w:noProof/>
              <w:kern w:val="2"/>
              <w:lang w:eastAsia="en-AU"/>
              <w14:ligatures w14:val="standardContextual"/>
            </w:rPr>
          </w:pPr>
          <w:hyperlink w:anchor="_Toc159246240" w:history="1">
            <w:r w:rsidR="00CC58CD" w:rsidRPr="00887356">
              <w:rPr>
                <w:rStyle w:val="Hyperlink"/>
                <w:noProof/>
              </w:rPr>
              <w:t>Conclusion</w:t>
            </w:r>
            <w:r w:rsidR="00CC58CD">
              <w:rPr>
                <w:noProof/>
                <w:webHidden/>
              </w:rPr>
              <w:tab/>
            </w:r>
            <w:r w:rsidR="00CC58CD">
              <w:rPr>
                <w:noProof/>
                <w:webHidden/>
              </w:rPr>
              <w:fldChar w:fldCharType="begin"/>
            </w:r>
            <w:r w:rsidR="00CC58CD">
              <w:rPr>
                <w:noProof/>
                <w:webHidden/>
              </w:rPr>
              <w:instrText xml:space="preserve"> PAGEREF _Toc159246240 \h </w:instrText>
            </w:r>
            <w:r w:rsidR="00CC58CD">
              <w:rPr>
                <w:noProof/>
                <w:webHidden/>
              </w:rPr>
            </w:r>
            <w:r w:rsidR="00CC58CD">
              <w:rPr>
                <w:noProof/>
                <w:webHidden/>
              </w:rPr>
              <w:fldChar w:fldCharType="separate"/>
            </w:r>
            <w:r w:rsidR="00CC58CD">
              <w:rPr>
                <w:noProof/>
                <w:webHidden/>
              </w:rPr>
              <w:t>57</w:t>
            </w:r>
            <w:r w:rsidR="00CC58CD">
              <w:rPr>
                <w:noProof/>
                <w:webHidden/>
              </w:rPr>
              <w:fldChar w:fldCharType="end"/>
            </w:r>
          </w:hyperlink>
        </w:p>
        <w:p w14:paraId="14A07E5C" w14:textId="3A66E30A" w:rsidR="00CC58CD" w:rsidRDefault="00476F06">
          <w:pPr>
            <w:pStyle w:val="TOC2"/>
            <w:rPr>
              <w:rFonts w:eastAsiaTheme="minorEastAsia"/>
              <w:noProof/>
              <w:kern w:val="2"/>
              <w:lang w:eastAsia="en-AU"/>
              <w14:ligatures w14:val="standardContextual"/>
            </w:rPr>
          </w:pPr>
          <w:hyperlink w:anchor="_Toc159246241" w:history="1">
            <w:r w:rsidR="00CC58CD" w:rsidRPr="00887356">
              <w:rPr>
                <w:rStyle w:val="Hyperlink"/>
                <w:noProof/>
              </w:rPr>
              <w:t>The Skills Guarantee PCP is important to address skills shortages in construction and ICT</w:t>
            </w:r>
            <w:r w:rsidR="00CC58CD">
              <w:rPr>
                <w:noProof/>
                <w:webHidden/>
              </w:rPr>
              <w:tab/>
            </w:r>
            <w:r w:rsidR="00CC58CD">
              <w:rPr>
                <w:noProof/>
                <w:webHidden/>
              </w:rPr>
              <w:fldChar w:fldCharType="begin"/>
            </w:r>
            <w:r w:rsidR="00CC58CD">
              <w:rPr>
                <w:noProof/>
                <w:webHidden/>
              </w:rPr>
              <w:instrText xml:space="preserve"> PAGEREF _Toc159246241 \h </w:instrText>
            </w:r>
            <w:r w:rsidR="00CC58CD">
              <w:rPr>
                <w:noProof/>
                <w:webHidden/>
              </w:rPr>
            </w:r>
            <w:r w:rsidR="00CC58CD">
              <w:rPr>
                <w:noProof/>
                <w:webHidden/>
              </w:rPr>
              <w:fldChar w:fldCharType="separate"/>
            </w:r>
            <w:r w:rsidR="00CC58CD">
              <w:rPr>
                <w:noProof/>
                <w:webHidden/>
              </w:rPr>
              <w:t>57</w:t>
            </w:r>
            <w:r w:rsidR="00CC58CD">
              <w:rPr>
                <w:noProof/>
                <w:webHidden/>
              </w:rPr>
              <w:fldChar w:fldCharType="end"/>
            </w:r>
          </w:hyperlink>
        </w:p>
        <w:p w14:paraId="6C1C4631" w14:textId="576C5217" w:rsidR="00CC58CD" w:rsidRDefault="00476F06">
          <w:pPr>
            <w:pStyle w:val="TOC2"/>
            <w:rPr>
              <w:rFonts w:eastAsiaTheme="minorEastAsia"/>
              <w:noProof/>
              <w:kern w:val="2"/>
              <w:lang w:eastAsia="en-AU"/>
              <w14:ligatures w14:val="standardContextual"/>
            </w:rPr>
          </w:pPr>
          <w:hyperlink w:anchor="_Toc159246242" w:history="1">
            <w:r w:rsidR="00CC58CD" w:rsidRPr="00887356">
              <w:rPr>
                <w:rStyle w:val="Hyperlink"/>
                <w:noProof/>
              </w:rPr>
              <w:t>The Skills Guarantee PCP is important for gender equity</w:t>
            </w:r>
            <w:r w:rsidR="00CC58CD">
              <w:rPr>
                <w:noProof/>
                <w:webHidden/>
              </w:rPr>
              <w:tab/>
            </w:r>
            <w:r w:rsidR="00CC58CD">
              <w:rPr>
                <w:noProof/>
                <w:webHidden/>
              </w:rPr>
              <w:fldChar w:fldCharType="begin"/>
            </w:r>
            <w:r w:rsidR="00CC58CD">
              <w:rPr>
                <w:noProof/>
                <w:webHidden/>
              </w:rPr>
              <w:instrText xml:space="preserve"> PAGEREF _Toc159246242 \h </w:instrText>
            </w:r>
            <w:r w:rsidR="00CC58CD">
              <w:rPr>
                <w:noProof/>
                <w:webHidden/>
              </w:rPr>
            </w:r>
            <w:r w:rsidR="00CC58CD">
              <w:rPr>
                <w:noProof/>
                <w:webHidden/>
              </w:rPr>
              <w:fldChar w:fldCharType="separate"/>
            </w:r>
            <w:r w:rsidR="00CC58CD">
              <w:rPr>
                <w:noProof/>
                <w:webHidden/>
              </w:rPr>
              <w:t>57</w:t>
            </w:r>
            <w:r w:rsidR="00CC58CD">
              <w:rPr>
                <w:noProof/>
                <w:webHidden/>
              </w:rPr>
              <w:fldChar w:fldCharType="end"/>
            </w:r>
          </w:hyperlink>
        </w:p>
        <w:p w14:paraId="13BDBD8A" w14:textId="5A951D40" w:rsidR="00CC58CD" w:rsidRDefault="00476F06">
          <w:pPr>
            <w:pStyle w:val="TOC2"/>
            <w:rPr>
              <w:rFonts w:eastAsiaTheme="minorEastAsia"/>
              <w:noProof/>
              <w:kern w:val="2"/>
              <w:lang w:eastAsia="en-AU"/>
              <w14:ligatures w14:val="standardContextual"/>
            </w:rPr>
          </w:pPr>
          <w:hyperlink w:anchor="_Toc159246243" w:history="1">
            <w:r w:rsidR="00CC58CD" w:rsidRPr="00887356">
              <w:rPr>
                <w:rStyle w:val="Hyperlink"/>
                <w:noProof/>
              </w:rPr>
              <w:t>The expected burden on businesses is small</w:t>
            </w:r>
            <w:r w:rsidR="00CC58CD">
              <w:rPr>
                <w:noProof/>
                <w:webHidden/>
              </w:rPr>
              <w:tab/>
            </w:r>
            <w:r w:rsidR="00CC58CD">
              <w:rPr>
                <w:noProof/>
                <w:webHidden/>
              </w:rPr>
              <w:fldChar w:fldCharType="begin"/>
            </w:r>
            <w:r w:rsidR="00CC58CD">
              <w:rPr>
                <w:noProof/>
                <w:webHidden/>
              </w:rPr>
              <w:instrText xml:space="preserve"> PAGEREF _Toc159246243 \h </w:instrText>
            </w:r>
            <w:r w:rsidR="00CC58CD">
              <w:rPr>
                <w:noProof/>
                <w:webHidden/>
              </w:rPr>
            </w:r>
            <w:r w:rsidR="00CC58CD">
              <w:rPr>
                <w:noProof/>
                <w:webHidden/>
              </w:rPr>
              <w:fldChar w:fldCharType="separate"/>
            </w:r>
            <w:r w:rsidR="00CC58CD">
              <w:rPr>
                <w:noProof/>
                <w:webHidden/>
              </w:rPr>
              <w:t>58</w:t>
            </w:r>
            <w:r w:rsidR="00CC58CD">
              <w:rPr>
                <w:noProof/>
                <w:webHidden/>
              </w:rPr>
              <w:fldChar w:fldCharType="end"/>
            </w:r>
          </w:hyperlink>
        </w:p>
        <w:p w14:paraId="711D14CC" w14:textId="788B23F1" w:rsidR="00CC58CD" w:rsidRDefault="00476F06">
          <w:pPr>
            <w:pStyle w:val="TOC2"/>
            <w:rPr>
              <w:rFonts w:eastAsiaTheme="minorEastAsia"/>
              <w:noProof/>
              <w:kern w:val="2"/>
              <w:lang w:eastAsia="en-AU"/>
              <w14:ligatures w14:val="standardContextual"/>
            </w:rPr>
          </w:pPr>
          <w:hyperlink w:anchor="_Toc159246244" w:history="1">
            <w:r w:rsidR="00CC58CD" w:rsidRPr="00887356">
              <w:rPr>
                <w:rStyle w:val="Hyperlink"/>
                <w:noProof/>
              </w:rPr>
              <w:t>Net benefit outweighs costs</w:t>
            </w:r>
            <w:r w:rsidR="00CC58CD">
              <w:rPr>
                <w:noProof/>
                <w:webHidden/>
              </w:rPr>
              <w:tab/>
            </w:r>
            <w:r w:rsidR="00CC58CD">
              <w:rPr>
                <w:noProof/>
                <w:webHidden/>
              </w:rPr>
              <w:fldChar w:fldCharType="begin"/>
            </w:r>
            <w:r w:rsidR="00CC58CD">
              <w:rPr>
                <w:noProof/>
                <w:webHidden/>
              </w:rPr>
              <w:instrText xml:space="preserve"> PAGEREF _Toc159246244 \h </w:instrText>
            </w:r>
            <w:r w:rsidR="00CC58CD">
              <w:rPr>
                <w:noProof/>
                <w:webHidden/>
              </w:rPr>
            </w:r>
            <w:r w:rsidR="00CC58CD">
              <w:rPr>
                <w:noProof/>
                <w:webHidden/>
              </w:rPr>
              <w:fldChar w:fldCharType="separate"/>
            </w:r>
            <w:r w:rsidR="00CC58CD">
              <w:rPr>
                <w:noProof/>
                <w:webHidden/>
              </w:rPr>
              <w:t>58</w:t>
            </w:r>
            <w:r w:rsidR="00CC58CD">
              <w:rPr>
                <w:noProof/>
                <w:webHidden/>
              </w:rPr>
              <w:fldChar w:fldCharType="end"/>
            </w:r>
          </w:hyperlink>
        </w:p>
        <w:p w14:paraId="03B3C2C2" w14:textId="23FBE051" w:rsidR="00CC58CD" w:rsidRDefault="00476F06">
          <w:pPr>
            <w:pStyle w:val="TOC1"/>
            <w:rPr>
              <w:rFonts w:eastAsiaTheme="minorEastAsia"/>
              <w:b w:val="0"/>
              <w:noProof/>
              <w:kern w:val="2"/>
              <w:lang w:eastAsia="en-AU"/>
              <w14:ligatures w14:val="standardContextual"/>
            </w:rPr>
          </w:pPr>
          <w:hyperlink w:anchor="_Toc159246245" w:history="1">
            <w:r w:rsidR="00CC58CD" w:rsidRPr="00887356">
              <w:rPr>
                <w:rStyle w:val="Hyperlink"/>
                <w:noProof/>
              </w:rPr>
              <w:t>Appendix A. State and territory government policies</w:t>
            </w:r>
            <w:r w:rsidR="00CC58CD">
              <w:rPr>
                <w:noProof/>
                <w:webHidden/>
              </w:rPr>
              <w:tab/>
            </w:r>
            <w:r w:rsidR="00CC58CD">
              <w:rPr>
                <w:noProof/>
                <w:webHidden/>
              </w:rPr>
              <w:fldChar w:fldCharType="begin"/>
            </w:r>
            <w:r w:rsidR="00CC58CD">
              <w:rPr>
                <w:noProof/>
                <w:webHidden/>
              </w:rPr>
              <w:instrText xml:space="preserve"> PAGEREF _Toc159246245 \h </w:instrText>
            </w:r>
            <w:r w:rsidR="00CC58CD">
              <w:rPr>
                <w:noProof/>
                <w:webHidden/>
              </w:rPr>
            </w:r>
            <w:r w:rsidR="00CC58CD">
              <w:rPr>
                <w:noProof/>
                <w:webHidden/>
              </w:rPr>
              <w:fldChar w:fldCharType="separate"/>
            </w:r>
            <w:r w:rsidR="00CC58CD">
              <w:rPr>
                <w:noProof/>
                <w:webHidden/>
              </w:rPr>
              <w:t>59</w:t>
            </w:r>
            <w:r w:rsidR="00CC58CD">
              <w:rPr>
                <w:noProof/>
                <w:webHidden/>
              </w:rPr>
              <w:fldChar w:fldCharType="end"/>
            </w:r>
          </w:hyperlink>
        </w:p>
        <w:p w14:paraId="22434EA4" w14:textId="0E44ED62" w:rsidR="00CC58CD" w:rsidRDefault="00476F06">
          <w:pPr>
            <w:pStyle w:val="TOC1"/>
            <w:rPr>
              <w:rFonts w:eastAsiaTheme="minorEastAsia"/>
              <w:b w:val="0"/>
              <w:noProof/>
              <w:kern w:val="2"/>
              <w:lang w:eastAsia="en-AU"/>
              <w14:ligatures w14:val="standardContextual"/>
            </w:rPr>
          </w:pPr>
          <w:hyperlink w:anchor="_Toc159246246" w:history="1">
            <w:r w:rsidR="00CC58CD" w:rsidRPr="00887356">
              <w:rPr>
                <w:rStyle w:val="Hyperlink"/>
                <w:rFonts w:cs="Times New Roman"/>
                <w:noProof/>
              </w:rPr>
              <w:t>Appendix B</w:t>
            </w:r>
            <w:r w:rsidR="00CC58CD" w:rsidRPr="00887356">
              <w:rPr>
                <w:rStyle w:val="Hyperlink"/>
                <w:noProof/>
              </w:rPr>
              <w:t>. Regulatory Burden Estimates (RBE)</w:t>
            </w:r>
            <w:r w:rsidR="00CC58CD">
              <w:rPr>
                <w:noProof/>
                <w:webHidden/>
              </w:rPr>
              <w:tab/>
            </w:r>
            <w:r w:rsidR="00CC58CD">
              <w:rPr>
                <w:noProof/>
                <w:webHidden/>
              </w:rPr>
              <w:fldChar w:fldCharType="begin"/>
            </w:r>
            <w:r w:rsidR="00CC58CD">
              <w:rPr>
                <w:noProof/>
                <w:webHidden/>
              </w:rPr>
              <w:instrText xml:space="preserve"> PAGEREF _Toc159246246 \h </w:instrText>
            </w:r>
            <w:r w:rsidR="00CC58CD">
              <w:rPr>
                <w:noProof/>
                <w:webHidden/>
              </w:rPr>
            </w:r>
            <w:r w:rsidR="00CC58CD">
              <w:rPr>
                <w:noProof/>
                <w:webHidden/>
              </w:rPr>
              <w:fldChar w:fldCharType="separate"/>
            </w:r>
            <w:r w:rsidR="00CC58CD">
              <w:rPr>
                <w:noProof/>
                <w:webHidden/>
              </w:rPr>
              <w:t>62</w:t>
            </w:r>
            <w:r w:rsidR="00CC58CD">
              <w:rPr>
                <w:noProof/>
                <w:webHidden/>
              </w:rPr>
              <w:fldChar w:fldCharType="end"/>
            </w:r>
          </w:hyperlink>
        </w:p>
        <w:p w14:paraId="0B2CABF8" w14:textId="70F21C09" w:rsidR="00CC58CD" w:rsidRDefault="00476F06">
          <w:pPr>
            <w:pStyle w:val="TOC2"/>
            <w:rPr>
              <w:rFonts w:eastAsiaTheme="minorEastAsia"/>
              <w:noProof/>
              <w:kern w:val="2"/>
              <w:lang w:eastAsia="en-AU"/>
              <w14:ligatures w14:val="standardContextual"/>
            </w:rPr>
          </w:pPr>
          <w:hyperlink w:anchor="_Toc159246247" w:history="1">
            <w:r w:rsidR="00CC58CD" w:rsidRPr="00887356">
              <w:rPr>
                <w:rStyle w:val="Hyperlink"/>
                <w:noProof/>
              </w:rPr>
              <w:t>Option 1 Regulatory burden estimate</w:t>
            </w:r>
            <w:r w:rsidR="00CC58CD">
              <w:rPr>
                <w:noProof/>
                <w:webHidden/>
              </w:rPr>
              <w:tab/>
            </w:r>
            <w:r w:rsidR="00CC58CD">
              <w:rPr>
                <w:noProof/>
                <w:webHidden/>
              </w:rPr>
              <w:fldChar w:fldCharType="begin"/>
            </w:r>
            <w:r w:rsidR="00CC58CD">
              <w:rPr>
                <w:noProof/>
                <w:webHidden/>
              </w:rPr>
              <w:instrText xml:space="preserve"> PAGEREF _Toc159246247 \h </w:instrText>
            </w:r>
            <w:r w:rsidR="00CC58CD">
              <w:rPr>
                <w:noProof/>
                <w:webHidden/>
              </w:rPr>
            </w:r>
            <w:r w:rsidR="00CC58CD">
              <w:rPr>
                <w:noProof/>
                <w:webHidden/>
              </w:rPr>
              <w:fldChar w:fldCharType="separate"/>
            </w:r>
            <w:r w:rsidR="00CC58CD">
              <w:rPr>
                <w:noProof/>
                <w:webHidden/>
              </w:rPr>
              <w:t>62</w:t>
            </w:r>
            <w:r w:rsidR="00CC58CD">
              <w:rPr>
                <w:noProof/>
                <w:webHidden/>
              </w:rPr>
              <w:fldChar w:fldCharType="end"/>
            </w:r>
          </w:hyperlink>
        </w:p>
        <w:p w14:paraId="4BCDFA06" w14:textId="1B8B47F0" w:rsidR="00CC58CD" w:rsidRDefault="00476F06">
          <w:pPr>
            <w:pStyle w:val="TOC2"/>
            <w:rPr>
              <w:rFonts w:eastAsiaTheme="minorEastAsia"/>
              <w:noProof/>
              <w:kern w:val="2"/>
              <w:lang w:eastAsia="en-AU"/>
              <w14:ligatures w14:val="standardContextual"/>
            </w:rPr>
          </w:pPr>
          <w:hyperlink w:anchor="_Toc159246248" w:history="1">
            <w:r w:rsidR="00CC58CD" w:rsidRPr="00887356">
              <w:rPr>
                <w:rStyle w:val="Hyperlink"/>
                <w:noProof/>
              </w:rPr>
              <w:t>Option 2 Regulatory burden estimate</w:t>
            </w:r>
            <w:r w:rsidR="00CC58CD">
              <w:rPr>
                <w:noProof/>
                <w:webHidden/>
              </w:rPr>
              <w:tab/>
            </w:r>
            <w:r w:rsidR="00CC58CD">
              <w:rPr>
                <w:noProof/>
                <w:webHidden/>
              </w:rPr>
              <w:fldChar w:fldCharType="begin"/>
            </w:r>
            <w:r w:rsidR="00CC58CD">
              <w:rPr>
                <w:noProof/>
                <w:webHidden/>
              </w:rPr>
              <w:instrText xml:space="preserve"> PAGEREF _Toc159246248 \h </w:instrText>
            </w:r>
            <w:r w:rsidR="00CC58CD">
              <w:rPr>
                <w:noProof/>
                <w:webHidden/>
              </w:rPr>
            </w:r>
            <w:r w:rsidR="00CC58CD">
              <w:rPr>
                <w:noProof/>
                <w:webHidden/>
              </w:rPr>
              <w:fldChar w:fldCharType="separate"/>
            </w:r>
            <w:r w:rsidR="00CC58CD">
              <w:rPr>
                <w:noProof/>
                <w:webHidden/>
              </w:rPr>
              <w:t>62</w:t>
            </w:r>
            <w:r w:rsidR="00CC58CD">
              <w:rPr>
                <w:noProof/>
                <w:webHidden/>
              </w:rPr>
              <w:fldChar w:fldCharType="end"/>
            </w:r>
          </w:hyperlink>
        </w:p>
        <w:p w14:paraId="2782FBFD" w14:textId="37FD831C" w:rsidR="00CE5C9A" w:rsidRDefault="009649C6" w:rsidP="008D7559">
          <w:pPr>
            <w:pStyle w:val="TOC2"/>
          </w:pPr>
          <w:r>
            <w:rPr>
              <w:b/>
            </w:rPr>
            <w:fldChar w:fldCharType="end"/>
          </w:r>
        </w:p>
      </w:sdtContent>
    </w:sdt>
    <w:p w14:paraId="2F87F87D" w14:textId="46BC3E12" w:rsidR="002C75FA" w:rsidRPr="002C75FA" w:rsidRDefault="002B51C0" w:rsidP="00CD1E37">
      <w:r>
        <w:br w:type="page"/>
      </w:r>
    </w:p>
    <w:p w14:paraId="0917FDA0" w14:textId="778A135D" w:rsidR="00632CC1" w:rsidRPr="009258AA" w:rsidRDefault="00632CC1" w:rsidP="00CD1E37">
      <w:pPr>
        <w:pStyle w:val="Heading1"/>
      </w:pPr>
      <w:bookmarkStart w:id="1" w:name="_Toc159246204"/>
      <w:r w:rsidRPr="009258AA">
        <w:lastRenderedPageBreak/>
        <w:t>Introduction</w:t>
      </w:r>
      <w:bookmarkEnd w:id="1"/>
      <w:r w:rsidRPr="009258AA">
        <w:t xml:space="preserve"> </w:t>
      </w:r>
    </w:p>
    <w:p w14:paraId="54D8E6B0" w14:textId="15E8DE6E" w:rsidR="00632CC1" w:rsidRDefault="1CD53388" w:rsidP="00204F1C">
      <w:pPr>
        <w:rPr>
          <w:rStyle w:val="normaltextrun"/>
          <w:rFonts w:eastAsiaTheme="minorEastAsia"/>
        </w:rPr>
      </w:pPr>
      <w:r w:rsidRPr="3E558E96">
        <w:rPr>
          <w:rStyle w:val="normaltextrun"/>
          <w:rFonts w:eastAsiaTheme="minorEastAsia"/>
        </w:rPr>
        <w:t xml:space="preserve">Each year the </w:t>
      </w:r>
      <w:r w:rsidR="000E3C6A">
        <w:rPr>
          <w:rStyle w:val="normaltextrun"/>
          <w:rFonts w:eastAsiaTheme="minorEastAsia"/>
        </w:rPr>
        <w:t xml:space="preserve">Australian </w:t>
      </w:r>
      <w:r w:rsidRPr="3E558E96">
        <w:rPr>
          <w:rStyle w:val="normaltextrun"/>
          <w:rFonts w:eastAsiaTheme="minorEastAsia"/>
        </w:rPr>
        <w:t>Government spends billions of dollars on major projects that employ tens of thousands of workers. The Australian Skills Guarantee (the Skills Guarantee) will use this investment to help train the next generation of skilled workers</w:t>
      </w:r>
      <w:r w:rsidRPr="3E558E96">
        <w:rPr>
          <w:rStyle w:val="normaltextrun"/>
        </w:rPr>
        <w:t>. </w:t>
      </w:r>
      <w:r w:rsidRPr="3E558E96">
        <w:rPr>
          <w:rStyle w:val="normaltextrun"/>
          <w:rFonts w:eastAsiaTheme="minorEastAsia"/>
        </w:rPr>
        <w:t xml:space="preserve"> </w:t>
      </w:r>
    </w:p>
    <w:p w14:paraId="55397231" w14:textId="51FE9493" w:rsidR="00632CC1" w:rsidRDefault="1CD53388" w:rsidP="00204F1C">
      <w:pPr>
        <w:rPr>
          <w:rStyle w:val="normaltextrun"/>
          <w:rFonts w:eastAsiaTheme="minorEastAsia"/>
        </w:rPr>
      </w:pPr>
      <w:r w:rsidRPr="5A4CF253">
        <w:rPr>
          <w:rStyle w:val="normaltextrun"/>
          <w:rFonts w:eastAsiaTheme="minorEastAsia"/>
        </w:rPr>
        <w:t xml:space="preserve">The Skills </w:t>
      </w:r>
      <w:r w:rsidRPr="72308721">
        <w:rPr>
          <w:rStyle w:val="normaltextrun"/>
          <w:rFonts w:eastAsiaTheme="minorEastAsia"/>
        </w:rPr>
        <w:t xml:space="preserve">Guarantee </w:t>
      </w:r>
      <w:r w:rsidR="00632CC1" w:rsidRPr="641CADFE">
        <w:rPr>
          <w:rStyle w:val="normaltextrun"/>
          <w:rFonts w:eastAsiaTheme="minorEastAsia"/>
        </w:rPr>
        <w:t>is an election commitment</w:t>
      </w:r>
      <w:bookmarkStart w:id="2" w:name="_Toc128669717"/>
      <w:r w:rsidR="00632CC1" w:rsidRPr="641CADFE">
        <w:rPr>
          <w:rStyle w:val="normaltextrun"/>
          <w:rFonts w:eastAsiaTheme="minorEastAsia"/>
        </w:rPr>
        <w:t xml:space="preserve"> </w:t>
      </w:r>
      <w:r w:rsidR="1D1207AA" w:rsidRPr="641CADFE">
        <w:rPr>
          <w:rFonts w:ascii="Calibri" w:eastAsia="Calibri" w:hAnsi="Calibri" w:cs="Calibri"/>
        </w:rPr>
        <w:t xml:space="preserve">under the Australian Government’s </w:t>
      </w:r>
      <w:r w:rsidR="1D1207AA" w:rsidRPr="641CADFE">
        <w:rPr>
          <w:rFonts w:ascii="Calibri" w:eastAsia="Calibri" w:hAnsi="Calibri" w:cs="Calibri"/>
          <w:i/>
          <w:iCs/>
        </w:rPr>
        <w:t>Secure Australian Jobs Plan</w:t>
      </w:r>
      <w:r w:rsidR="1D1207AA" w:rsidRPr="641CADFE">
        <w:rPr>
          <w:rFonts w:ascii="Calibri" w:eastAsia="Calibri" w:hAnsi="Calibri" w:cs="Calibri"/>
        </w:rPr>
        <w:t xml:space="preserve"> </w:t>
      </w:r>
      <w:r w:rsidR="00632CC1" w:rsidRPr="641CADFE">
        <w:rPr>
          <w:rStyle w:val="normaltextrun"/>
          <w:rFonts w:eastAsiaTheme="minorEastAsia"/>
        </w:rPr>
        <w:t xml:space="preserve">that will </w:t>
      </w:r>
      <w:r w:rsidR="001F3B64" w:rsidRPr="641CADFE">
        <w:rPr>
          <w:rStyle w:val="normaltextrun"/>
          <w:rFonts w:eastAsiaTheme="minorEastAsia"/>
        </w:rPr>
        <w:t xml:space="preserve">introduce </w:t>
      </w:r>
      <w:r w:rsidR="265B621C" w:rsidRPr="6C714091">
        <w:rPr>
          <w:rStyle w:val="normaltextrun"/>
          <w:rFonts w:eastAsiaTheme="minorEastAsia"/>
        </w:rPr>
        <w:t xml:space="preserve">national </w:t>
      </w:r>
      <w:r w:rsidR="001F3B64" w:rsidRPr="6C714091">
        <w:rPr>
          <w:rStyle w:val="normaltextrun"/>
          <w:rFonts w:eastAsiaTheme="minorEastAsia"/>
        </w:rPr>
        <w:t>targets</w:t>
      </w:r>
      <w:r w:rsidR="001F3B64" w:rsidRPr="641CADFE">
        <w:rPr>
          <w:rStyle w:val="normaltextrun"/>
          <w:rFonts w:eastAsiaTheme="minorEastAsia"/>
        </w:rPr>
        <w:t xml:space="preserve"> for apprentices,</w:t>
      </w:r>
      <w:r w:rsidR="001F3B64" w:rsidRPr="641CADFE">
        <w:rPr>
          <w:rStyle w:val="normaltextrun"/>
        </w:rPr>
        <w:t xml:space="preserve"> trainees</w:t>
      </w:r>
      <w:r w:rsidR="006F399F">
        <w:rPr>
          <w:rStyle w:val="normaltextrun"/>
        </w:rPr>
        <w:t>,</w:t>
      </w:r>
      <w:r w:rsidR="001F3B64" w:rsidRPr="641CADFE">
        <w:rPr>
          <w:rStyle w:val="normaltextrun"/>
        </w:rPr>
        <w:t xml:space="preserve"> and </w:t>
      </w:r>
      <w:r w:rsidR="000C513F" w:rsidRPr="641CADFE">
        <w:rPr>
          <w:rStyle w:val="normaltextrun"/>
        </w:rPr>
        <w:t>ICT</w:t>
      </w:r>
      <w:r w:rsidR="001F3B64" w:rsidRPr="641CADFE">
        <w:rPr>
          <w:rStyle w:val="normaltextrun"/>
        </w:rPr>
        <w:t xml:space="preserve"> cadets working</w:t>
      </w:r>
      <w:r w:rsidR="00632CC1" w:rsidRPr="641CADFE">
        <w:rPr>
          <w:rStyle w:val="normaltextrun"/>
        </w:rPr>
        <w:t xml:space="preserve"> on</w:t>
      </w:r>
      <w:r w:rsidR="00632CC1" w:rsidRPr="641CADFE">
        <w:rPr>
          <w:rStyle w:val="normaltextrun"/>
          <w:rFonts w:eastAsiaTheme="minorEastAsia"/>
        </w:rPr>
        <w:t xml:space="preserve"> </w:t>
      </w:r>
      <w:r w:rsidR="0B962C7C" w:rsidRPr="6CEB545E">
        <w:rPr>
          <w:rStyle w:val="normaltextrun"/>
          <w:rFonts w:eastAsiaTheme="minorEastAsia"/>
        </w:rPr>
        <w:t xml:space="preserve">eligible </w:t>
      </w:r>
      <w:r w:rsidR="00632CC1" w:rsidRPr="641CADFE">
        <w:rPr>
          <w:rStyle w:val="normaltextrun"/>
          <w:rFonts w:eastAsiaTheme="minorEastAsia"/>
        </w:rPr>
        <w:t xml:space="preserve">major Australian Government funded </w:t>
      </w:r>
      <w:r w:rsidR="25052022" w:rsidRPr="6CEB545E">
        <w:rPr>
          <w:rStyle w:val="normaltextrun"/>
          <w:rFonts w:eastAsiaTheme="minorEastAsia"/>
        </w:rPr>
        <w:t xml:space="preserve">building and </w:t>
      </w:r>
      <w:r w:rsidR="25052022" w:rsidRPr="501531C3">
        <w:rPr>
          <w:rStyle w:val="normaltextrun"/>
          <w:rFonts w:eastAsiaTheme="minorEastAsia"/>
        </w:rPr>
        <w:t xml:space="preserve">construction and facilities management (construction) and information and communication technology (ICT) </w:t>
      </w:r>
      <w:r w:rsidR="00632CC1" w:rsidRPr="501531C3">
        <w:rPr>
          <w:rStyle w:val="normaltextrun"/>
          <w:rFonts w:eastAsiaTheme="minorEastAsia"/>
        </w:rPr>
        <w:t>projects</w:t>
      </w:r>
      <w:r w:rsidR="5307DB96" w:rsidRPr="729B8B26">
        <w:rPr>
          <w:rStyle w:val="normaltextrun"/>
          <w:rFonts w:eastAsiaTheme="minorEastAsia"/>
        </w:rPr>
        <w:t xml:space="preserve"> valued at $10 million or more, from </w:t>
      </w:r>
      <w:r w:rsidR="5307DB96" w:rsidRPr="48C2075D">
        <w:rPr>
          <w:rStyle w:val="normaltextrun"/>
          <w:rFonts w:eastAsiaTheme="minorEastAsia"/>
        </w:rPr>
        <w:t>1 July 2024</w:t>
      </w:r>
      <w:r w:rsidR="00344C59" w:rsidRPr="641CADFE">
        <w:rPr>
          <w:rStyle w:val="normaltextrun"/>
          <w:rFonts w:eastAsiaTheme="minorEastAsia"/>
        </w:rPr>
        <w:t>.</w:t>
      </w:r>
    </w:p>
    <w:p w14:paraId="6D9AFFE0" w14:textId="281847BC" w:rsidR="00632CC1" w:rsidRDefault="50684A36" w:rsidP="00204F1C">
      <w:pPr>
        <w:rPr>
          <w:rStyle w:val="normaltextrun"/>
          <w:rFonts w:eastAsiaTheme="minorEastAsia"/>
        </w:rPr>
      </w:pPr>
      <w:r w:rsidRPr="48C2075D">
        <w:t xml:space="preserve">The Skills Guarantee will also introduce national targets for women to increase the proportion of women working on major </w:t>
      </w:r>
      <w:r w:rsidR="00741FF4">
        <w:t xml:space="preserve">construction </w:t>
      </w:r>
      <w:r w:rsidRPr="48C2075D">
        <w:t xml:space="preserve">projects </w:t>
      </w:r>
      <w:r w:rsidR="00E509AD">
        <w:t>to</w:t>
      </w:r>
      <w:r w:rsidRPr="48C2075D">
        <w:t xml:space="preserve"> drive long-term sustainable change to reduce gender segregation in the apprenticeship</w:t>
      </w:r>
      <w:r w:rsidR="00E43EA1">
        <w:t xml:space="preserve"> and traineeship</w:t>
      </w:r>
      <w:r w:rsidRPr="48C2075D">
        <w:t xml:space="preserve"> </w:t>
      </w:r>
      <w:r w:rsidR="004A4E64">
        <w:t>career pathways</w:t>
      </w:r>
      <w:r w:rsidRPr="48C2075D">
        <w:t>.</w:t>
      </w:r>
      <w:r w:rsidRPr="48C2075D">
        <w:rPr>
          <w:rStyle w:val="normaltextrun"/>
          <w:rFonts w:eastAsiaTheme="minorEastAsia"/>
        </w:rPr>
        <w:t xml:space="preserve"> </w:t>
      </w:r>
    </w:p>
    <w:p w14:paraId="51A9B863" w14:textId="2FAB65F9" w:rsidR="00632CC1" w:rsidRPr="00344C59" w:rsidRDefault="00632CC1" w:rsidP="00204F1C">
      <w:r w:rsidRPr="00344C59">
        <w:rPr>
          <w:rStyle w:val="normaltextrun"/>
          <w:rFonts w:eastAsiaTheme="minorEastAsia" w:cstheme="minorHAnsi"/>
        </w:rPr>
        <w:t>At the Jobs and Skill</w:t>
      </w:r>
      <w:r w:rsidRPr="00344C59">
        <w:rPr>
          <w:rStyle w:val="normaltextrun"/>
          <w:rFonts w:cstheme="minorHAnsi"/>
        </w:rPr>
        <w:t xml:space="preserve">s Summit, the Government announced that the </w:t>
      </w:r>
      <w:r w:rsidR="003B546C">
        <w:rPr>
          <w:rStyle w:val="normaltextrun"/>
          <w:rFonts w:cstheme="minorHAnsi"/>
        </w:rPr>
        <w:t xml:space="preserve">Skills </w:t>
      </w:r>
      <w:r w:rsidRPr="00344C59">
        <w:rPr>
          <w:rStyle w:val="normaltextrun"/>
          <w:rFonts w:cstheme="minorHAnsi"/>
        </w:rPr>
        <w:t>Guarantee would include:</w:t>
      </w:r>
      <w:r w:rsidRPr="00344C59">
        <w:rPr>
          <w:rStyle w:val="eop"/>
          <w:rFonts w:cstheme="minorHAnsi"/>
        </w:rPr>
        <w:t> </w:t>
      </w:r>
    </w:p>
    <w:p w14:paraId="77139823" w14:textId="77777777" w:rsidR="00632CC1" w:rsidRPr="007415EF" w:rsidRDefault="00632CC1" w:rsidP="007415EF">
      <w:pPr>
        <w:pStyle w:val="Dot-pointlist"/>
      </w:pPr>
      <w:r w:rsidRPr="007415EF">
        <w:rPr>
          <w:rStyle w:val="normaltextrun"/>
        </w:rPr>
        <w:t>targets to ensure more women benefit from the economic opportunities created by government investment, gaining skills and qualifications, and secure careers; and </w:t>
      </w:r>
      <w:r w:rsidRPr="007415EF">
        <w:rPr>
          <w:rStyle w:val="eop"/>
        </w:rPr>
        <w:t> </w:t>
      </w:r>
    </w:p>
    <w:p w14:paraId="45C05F51" w14:textId="77777777" w:rsidR="00632CC1" w:rsidRPr="007415EF" w:rsidRDefault="00632CC1" w:rsidP="007415EF">
      <w:pPr>
        <w:pStyle w:val="Dot-pointlist"/>
        <w:rPr>
          <w:rStyle w:val="eop"/>
        </w:rPr>
      </w:pPr>
      <w:r w:rsidRPr="007415EF">
        <w:rPr>
          <w:rStyle w:val="normaltextrun"/>
        </w:rPr>
        <w:t>a focus on digital skills, acknowledging the numerous pathways into the digital and information technology sectors beyond apprenticeships and traineeships. </w:t>
      </w:r>
      <w:r w:rsidRPr="007415EF">
        <w:rPr>
          <w:rStyle w:val="eop"/>
        </w:rPr>
        <w:t> </w:t>
      </w:r>
    </w:p>
    <w:p w14:paraId="00156FC9" w14:textId="4AEF3596" w:rsidR="00632CC1" w:rsidRPr="00344C59" w:rsidRDefault="00632CC1" w:rsidP="00314A04">
      <w:r w:rsidRPr="00344C59">
        <w:rPr>
          <w:rStyle w:val="normaltextrun"/>
          <w:rFonts w:eastAsiaTheme="minorEastAsia" w:cstheme="minorHAnsi"/>
        </w:rPr>
        <w:t>As part of the October 2022</w:t>
      </w:r>
      <w:r w:rsidR="000A620D">
        <w:rPr>
          <w:rStyle w:val="normaltextrun"/>
          <w:rFonts w:eastAsiaTheme="minorEastAsia" w:cstheme="minorHAnsi"/>
        </w:rPr>
        <w:t>–</w:t>
      </w:r>
      <w:r w:rsidRPr="00344C59">
        <w:rPr>
          <w:rStyle w:val="normaltextrun"/>
          <w:rFonts w:eastAsiaTheme="minorEastAsia" w:cstheme="minorHAnsi"/>
        </w:rPr>
        <w:t>23 Budget, the Government announced that the Skills Guarantee would apply to Australian Gove</w:t>
      </w:r>
      <w:r w:rsidRPr="00344C59">
        <w:rPr>
          <w:rStyle w:val="normaltextrun"/>
          <w:rFonts w:cstheme="minorHAnsi"/>
        </w:rPr>
        <w:t>rnment funded housing projects, as part of the National Housing Accord. </w:t>
      </w:r>
      <w:r w:rsidRPr="00344C59">
        <w:rPr>
          <w:rStyle w:val="eop"/>
          <w:rFonts w:cstheme="minorHAnsi"/>
        </w:rPr>
        <w:t> </w:t>
      </w:r>
    </w:p>
    <w:p w14:paraId="516E1ED3" w14:textId="161D1900" w:rsidR="00632CC1" w:rsidRPr="007723D8" w:rsidRDefault="00632CC1" w:rsidP="00314A04">
      <w:pPr>
        <w:rPr>
          <w:rStyle w:val="eop"/>
        </w:rPr>
      </w:pPr>
      <w:r w:rsidRPr="00344C59">
        <w:rPr>
          <w:rStyle w:val="normaltextrun"/>
          <w:rFonts w:eastAsiaTheme="minorEastAsia" w:cstheme="minorHAnsi"/>
        </w:rPr>
        <w:t>This Impact Analysis (IA)</w:t>
      </w:r>
      <w:r w:rsidRPr="00344C59">
        <w:rPr>
          <w:rStyle w:val="normaltextrun"/>
          <w:rFonts w:cstheme="minorHAnsi"/>
        </w:rPr>
        <w:t xml:space="preserve"> seeks to evaluate the impact of the Skills Guarantee on individuals, businesses, communities</w:t>
      </w:r>
      <w:r w:rsidR="00C91E97">
        <w:rPr>
          <w:rStyle w:val="normaltextrun"/>
          <w:rFonts w:cstheme="minorHAnsi"/>
        </w:rPr>
        <w:t xml:space="preserve"> and</w:t>
      </w:r>
      <w:r w:rsidRPr="00344C59">
        <w:rPr>
          <w:rStyle w:val="normaltextrun"/>
          <w:rFonts w:cstheme="minorHAnsi"/>
        </w:rPr>
        <w:t xml:space="preserve"> broader Australian society. </w:t>
      </w:r>
      <w:r w:rsidRPr="00344C59">
        <w:rPr>
          <w:rStyle w:val="eop"/>
          <w:rFonts w:cstheme="minorHAnsi"/>
        </w:rPr>
        <w:t> </w:t>
      </w:r>
    </w:p>
    <w:p w14:paraId="08A17653" w14:textId="764F50A7" w:rsidR="00632CC1" w:rsidRDefault="00632CC1" w:rsidP="00314A04">
      <w:pPr>
        <w:rPr>
          <w:rStyle w:val="normaltextrun"/>
          <w:rFonts w:cstheme="minorHAnsi"/>
        </w:rPr>
      </w:pPr>
      <w:r w:rsidRPr="009117C5">
        <w:rPr>
          <w:rStyle w:val="normaltextrun"/>
          <w:rFonts w:eastAsiaTheme="minorEastAsia" w:cstheme="minorHAnsi"/>
        </w:rPr>
        <w:t xml:space="preserve">The </w:t>
      </w:r>
      <w:r w:rsidR="009117C5" w:rsidRPr="009117C5">
        <w:rPr>
          <w:rStyle w:val="normaltextrun"/>
          <w:rFonts w:eastAsiaTheme="minorEastAsia" w:cstheme="minorHAnsi"/>
        </w:rPr>
        <w:t>IA</w:t>
      </w:r>
      <w:r w:rsidRPr="009117C5">
        <w:rPr>
          <w:rStyle w:val="normaltextrun"/>
          <w:rFonts w:eastAsiaTheme="minorEastAsia" w:cstheme="minorHAnsi"/>
        </w:rPr>
        <w:t xml:space="preserve"> has been prepared by the Department of Employment and Workplac</w:t>
      </w:r>
      <w:r w:rsidRPr="009117C5">
        <w:rPr>
          <w:rStyle w:val="normaltextrun"/>
          <w:rFonts w:cstheme="minorHAnsi"/>
        </w:rPr>
        <w:t xml:space="preserve">e Relations (the department) in accordance with the </w:t>
      </w:r>
      <w:r w:rsidRPr="009117C5">
        <w:rPr>
          <w:rStyle w:val="normaltextrun"/>
          <w:rFonts w:cstheme="minorHAnsi"/>
          <w:i/>
          <w:iCs/>
        </w:rPr>
        <w:t>User Guide to the Australian Government Guide to Regulatory Impact Analysis</w:t>
      </w:r>
      <w:r w:rsidRPr="009117C5">
        <w:rPr>
          <w:rStyle w:val="normaltextrun"/>
          <w:rFonts w:cstheme="minorHAnsi"/>
        </w:rPr>
        <w:t xml:space="preserve"> issued by the Office of Impact Analysis (OIA). </w:t>
      </w:r>
    </w:p>
    <w:p w14:paraId="1D3F8F84" w14:textId="4F4B711F" w:rsidR="00834053" w:rsidRDefault="00834053" w:rsidP="00314A04">
      <w:pPr>
        <w:rPr>
          <w:rStyle w:val="normaltextrun"/>
          <w:rFonts w:cstheme="minorHAnsi"/>
        </w:rPr>
      </w:pPr>
      <w:r>
        <w:rPr>
          <w:rStyle w:val="normaltextrun"/>
          <w:rFonts w:cstheme="minorHAnsi"/>
        </w:rPr>
        <w:t xml:space="preserve">The department </w:t>
      </w:r>
      <w:r w:rsidR="005153A3">
        <w:rPr>
          <w:rStyle w:val="normaltextrun"/>
          <w:rFonts w:cstheme="minorHAnsi"/>
        </w:rPr>
        <w:t xml:space="preserve">recommends the Government adopt Option 2. </w:t>
      </w:r>
    </w:p>
    <w:p w14:paraId="36BA4C44" w14:textId="1F525834" w:rsidR="00834053" w:rsidRDefault="00C60B01" w:rsidP="00CD1E37">
      <w:pPr>
        <w:rPr>
          <w:rStyle w:val="normaltextrun"/>
          <w:rFonts w:cstheme="minorHAnsi"/>
        </w:rPr>
      </w:pPr>
      <w:r>
        <w:rPr>
          <w:rStyle w:val="normaltextrun"/>
          <w:rFonts w:cstheme="minorHAnsi"/>
        </w:rPr>
        <w:br w:type="page"/>
      </w:r>
    </w:p>
    <w:p w14:paraId="4DA94B95" w14:textId="7BEA7997" w:rsidR="00EA41E4" w:rsidRPr="007F1699" w:rsidRDefault="00EA41E4" w:rsidP="007F1699">
      <w:pPr>
        <w:pStyle w:val="Heading2"/>
        <w:rPr>
          <w:rStyle w:val="normaltextrun"/>
        </w:rPr>
      </w:pPr>
      <w:bookmarkStart w:id="3" w:name="_Toc159246205"/>
      <w:r w:rsidRPr="007F1699">
        <w:rPr>
          <w:rStyle w:val="normaltextrun"/>
        </w:rPr>
        <w:lastRenderedPageBreak/>
        <w:t>Status of the IA at each major decision point</w:t>
      </w:r>
      <w:bookmarkEnd w:id="3"/>
    </w:p>
    <w:p w14:paraId="507D6B86" w14:textId="7E23E296" w:rsidR="00EA41E4" w:rsidRPr="00580317" w:rsidRDefault="00EA41E4" w:rsidP="00580317">
      <w:pPr>
        <w:pStyle w:val="Caption"/>
        <w:rPr>
          <w:rStyle w:val="Strong"/>
          <w:b/>
          <w:bCs w:val="0"/>
        </w:rPr>
      </w:pPr>
      <w:r w:rsidRPr="00580317">
        <w:rPr>
          <w:rStyle w:val="Strong"/>
          <w:b/>
          <w:bCs w:val="0"/>
        </w:rPr>
        <w:t>Table 1</w:t>
      </w:r>
      <w:r w:rsidR="005F3DAB" w:rsidRPr="00580317">
        <w:rPr>
          <w:rStyle w:val="Strong"/>
          <w:b/>
          <w:bCs w:val="0"/>
        </w:rPr>
        <w:t>: Impact Analysis at each major decision point</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3119"/>
        <w:gridCol w:w="1984"/>
        <w:gridCol w:w="4089"/>
      </w:tblGrid>
      <w:tr w:rsidR="00DA0D13" w:rsidRPr="00995541" w14:paraId="2FD2EED9" w14:textId="77777777" w:rsidTr="47EEB551">
        <w:trPr>
          <w:cnfStyle w:val="100000000000" w:firstRow="1" w:lastRow="0" w:firstColumn="0" w:lastColumn="0" w:oddVBand="0" w:evenVBand="0" w:oddHBand="0" w:evenHBand="0" w:firstRowFirstColumn="0" w:firstRowLastColumn="0" w:lastRowFirstColumn="0" w:lastRowLastColumn="0"/>
          <w:trHeight w:val="350"/>
          <w:tblHeader/>
        </w:trPr>
        <w:tc>
          <w:tcPr>
            <w:tcW w:w="3119" w:type="dxa"/>
            <w:shd w:val="clear" w:color="auto" w:fill="404246"/>
          </w:tcPr>
          <w:p w14:paraId="69BD73BC" w14:textId="619CE718" w:rsidR="00F67868" w:rsidRPr="004F5478" w:rsidRDefault="00F67868" w:rsidP="00F65C16">
            <w:pPr>
              <w:pStyle w:val="TBLHeading"/>
              <w:rPr>
                <w:b/>
              </w:rPr>
            </w:pPr>
            <w:r w:rsidRPr="004F5478">
              <w:t>Decision point</w:t>
            </w:r>
          </w:p>
        </w:tc>
        <w:tc>
          <w:tcPr>
            <w:tcW w:w="1984" w:type="dxa"/>
            <w:shd w:val="clear" w:color="auto" w:fill="404246"/>
          </w:tcPr>
          <w:p w14:paraId="240DD9BA" w14:textId="01C5AA24" w:rsidR="00F67868" w:rsidRPr="004F5478" w:rsidRDefault="00F67868" w:rsidP="00F65C16">
            <w:pPr>
              <w:pStyle w:val="TBLHeading"/>
            </w:pPr>
            <w:r w:rsidRPr="004F5478">
              <w:t>Timeframe</w:t>
            </w:r>
          </w:p>
        </w:tc>
        <w:tc>
          <w:tcPr>
            <w:tcW w:w="4089" w:type="dxa"/>
            <w:shd w:val="clear" w:color="auto" w:fill="404246"/>
          </w:tcPr>
          <w:p w14:paraId="3C7A0307" w14:textId="099F15EE" w:rsidR="004C3CE5" w:rsidRPr="004F5478" w:rsidRDefault="00F67868" w:rsidP="00F65C16">
            <w:pPr>
              <w:pStyle w:val="TBLHeading"/>
            </w:pPr>
            <w:r w:rsidRPr="004F5478">
              <w:t>Status of the IA</w:t>
            </w:r>
          </w:p>
        </w:tc>
      </w:tr>
      <w:tr w:rsidR="004C3CE5" w:rsidRPr="00995541" w14:paraId="3B7DC8DA" w14:textId="77777777" w:rsidTr="47EEB551">
        <w:trPr>
          <w:trHeight w:val="350"/>
        </w:trPr>
        <w:tc>
          <w:tcPr>
            <w:tcW w:w="3119" w:type="dxa"/>
          </w:tcPr>
          <w:p w14:paraId="0C509A09" w14:textId="377C4E29" w:rsidR="004C3CE5" w:rsidRPr="00314A04" w:rsidRDefault="00E650BD" w:rsidP="00CD1E37">
            <w:pPr>
              <w:pStyle w:val="TBLText"/>
              <w:rPr>
                <w:sz w:val="22"/>
                <w:szCs w:val="22"/>
              </w:rPr>
            </w:pPr>
            <w:r w:rsidRPr="00314A04">
              <w:rPr>
                <w:sz w:val="22"/>
                <w:szCs w:val="22"/>
              </w:rPr>
              <w:t>Initial announcement of Skills Guarantee election commitment</w:t>
            </w:r>
          </w:p>
        </w:tc>
        <w:tc>
          <w:tcPr>
            <w:tcW w:w="1984" w:type="dxa"/>
          </w:tcPr>
          <w:p w14:paraId="0B31F72E" w14:textId="14DD5C5E" w:rsidR="004C3CE5" w:rsidRPr="00314A04" w:rsidRDefault="00211721" w:rsidP="00CD1E37">
            <w:pPr>
              <w:pStyle w:val="TBLText"/>
              <w:rPr>
                <w:sz w:val="22"/>
                <w:szCs w:val="22"/>
              </w:rPr>
            </w:pPr>
            <w:r w:rsidRPr="00314A04">
              <w:rPr>
                <w:sz w:val="22"/>
                <w:szCs w:val="22"/>
              </w:rPr>
              <w:t>March 2021</w:t>
            </w:r>
            <w:r w:rsidR="00F67868" w:rsidRPr="00314A04">
              <w:rPr>
                <w:sz w:val="22"/>
                <w:szCs w:val="22"/>
              </w:rPr>
              <w:t xml:space="preserve"> </w:t>
            </w:r>
          </w:p>
        </w:tc>
        <w:tc>
          <w:tcPr>
            <w:tcW w:w="4089" w:type="dxa"/>
          </w:tcPr>
          <w:p w14:paraId="52E1CCE2" w14:textId="148D4F71" w:rsidR="004C3CE5" w:rsidRPr="00314A04" w:rsidRDefault="00786B17" w:rsidP="00CD1E37">
            <w:pPr>
              <w:pStyle w:val="TBLText"/>
              <w:rPr>
                <w:sz w:val="22"/>
                <w:szCs w:val="22"/>
              </w:rPr>
            </w:pPr>
            <w:r w:rsidRPr="00314A04">
              <w:rPr>
                <w:sz w:val="22"/>
                <w:szCs w:val="22"/>
              </w:rPr>
              <w:t>No IA developed</w:t>
            </w:r>
          </w:p>
        </w:tc>
      </w:tr>
      <w:tr w:rsidR="003201AD" w:rsidRPr="00995541" w14:paraId="173F26C8" w14:textId="77777777" w:rsidTr="47EEB551">
        <w:trPr>
          <w:trHeight w:val="350"/>
        </w:trPr>
        <w:tc>
          <w:tcPr>
            <w:tcW w:w="3119" w:type="dxa"/>
          </w:tcPr>
          <w:p w14:paraId="3108F678" w14:textId="1AFFC28D" w:rsidR="003201AD" w:rsidRPr="00314A04" w:rsidRDefault="003201AD" w:rsidP="00CD1E37">
            <w:pPr>
              <w:pStyle w:val="TBLText"/>
              <w:rPr>
                <w:sz w:val="22"/>
                <w:szCs w:val="22"/>
              </w:rPr>
            </w:pPr>
            <w:r w:rsidRPr="00314A04">
              <w:rPr>
                <w:sz w:val="22"/>
                <w:szCs w:val="22"/>
              </w:rPr>
              <w:t>Jobs &amp; Skills Summit announcement of targets for women and focus on digital skills</w:t>
            </w:r>
          </w:p>
        </w:tc>
        <w:tc>
          <w:tcPr>
            <w:tcW w:w="1984" w:type="dxa"/>
          </w:tcPr>
          <w:p w14:paraId="3FE41623" w14:textId="60D74D46" w:rsidR="003201AD" w:rsidRPr="00314A04" w:rsidRDefault="003201AD" w:rsidP="00CD1E37">
            <w:pPr>
              <w:pStyle w:val="TBLText"/>
              <w:rPr>
                <w:sz w:val="22"/>
                <w:szCs w:val="22"/>
              </w:rPr>
            </w:pPr>
            <w:r w:rsidRPr="00314A04">
              <w:rPr>
                <w:sz w:val="22"/>
                <w:szCs w:val="22"/>
              </w:rPr>
              <w:t>September 2022</w:t>
            </w:r>
          </w:p>
        </w:tc>
        <w:tc>
          <w:tcPr>
            <w:tcW w:w="4089" w:type="dxa"/>
          </w:tcPr>
          <w:p w14:paraId="2C320D90" w14:textId="3EBC5D28" w:rsidR="003201AD" w:rsidRPr="00314A04" w:rsidRDefault="003201AD" w:rsidP="00CD1E37">
            <w:pPr>
              <w:pStyle w:val="TBLText"/>
              <w:rPr>
                <w:sz w:val="22"/>
                <w:szCs w:val="22"/>
              </w:rPr>
            </w:pPr>
            <w:r w:rsidRPr="00314A04">
              <w:rPr>
                <w:sz w:val="22"/>
                <w:szCs w:val="22"/>
              </w:rPr>
              <w:t>No IA developed</w:t>
            </w:r>
          </w:p>
        </w:tc>
      </w:tr>
      <w:tr w:rsidR="00BC1E7B" w:rsidRPr="00995541" w14:paraId="0D28D969" w14:textId="77777777" w:rsidTr="47EEB551">
        <w:trPr>
          <w:trHeight w:val="350"/>
        </w:trPr>
        <w:tc>
          <w:tcPr>
            <w:tcW w:w="3119" w:type="dxa"/>
          </w:tcPr>
          <w:p w14:paraId="103A1E3B" w14:textId="5CBA3B0F" w:rsidR="00BC1E7B" w:rsidRPr="00314A04" w:rsidRDefault="00EA7D2D" w:rsidP="00CD1E37">
            <w:pPr>
              <w:pStyle w:val="TBLText"/>
              <w:rPr>
                <w:sz w:val="22"/>
                <w:szCs w:val="22"/>
              </w:rPr>
            </w:pPr>
            <w:r w:rsidRPr="00314A04">
              <w:rPr>
                <w:sz w:val="22"/>
                <w:szCs w:val="22"/>
              </w:rPr>
              <w:t>2022–23 Budget</w:t>
            </w:r>
            <w:r w:rsidR="000C09F6" w:rsidRPr="00314A04">
              <w:rPr>
                <w:sz w:val="22"/>
                <w:szCs w:val="22"/>
              </w:rPr>
              <w:t xml:space="preserve"> Submission: Australian Skills Guarantee</w:t>
            </w:r>
          </w:p>
        </w:tc>
        <w:tc>
          <w:tcPr>
            <w:tcW w:w="1984" w:type="dxa"/>
          </w:tcPr>
          <w:p w14:paraId="20A66DC4" w14:textId="32A6F05B" w:rsidR="00BC1E7B" w:rsidRPr="00314A04" w:rsidRDefault="00411369" w:rsidP="00CD1E37">
            <w:pPr>
              <w:pStyle w:val="TBLText"/>
              <w:rPr>
                <w:sz w:val="22"/>
                <w:szCs w:val="22"/>
              </w:rPr>
            </w:pPr>
            <w:r w:rsidRPr="00314A04">
              <w:rPr>
                <w:sz w:val="22"/>
                <w:szCs w:val="22"/>
              </w:rPr>
              <w:t>October 2022</w:t>
            </w:r>
          </w:p>
        </w:tc>
        <w:tc>
          <w:tcPr>
            <w:tcW w:w="4089" w:type="dxa"/>
          </w:tcPr>
          <w:p w14:paraId="2BCDB1C0" w14:textId="0D102AC8" w:rsidR="00BC1E7B" w:rsidRPr="00314A04" w:rsidRDefault="00BC1E7B" w:rsidP="00CD1E37">
            <w:pPr>
              <w:pStyle w:val="TBLText"/>
              <w:rPr>
                <w:sz w:val="22"/>
                <w:szCs w:val="22"/>
              </w:rPr>
            </w:pPr>
            <w:r w:rsidRPr="00314A04">
              <w:rPr>
                <w:sz w:val="22"/>
                <w:szCs w:val="22"/>
              </w:rPr>
              <w:t>The proposal was non-regulatory and therefore had zero regulatory cost (OBPR22 02777).</w:t>
            </w:r>
          </w:p>
        </w:tc>
      </w:tr>
      <w:tr w:rsidR="004C3CE5" w:rsidRPr="00995541" w14:paraId="378673EC" w14:textId="77777777" w:rsidTr="47EEB551">
        <w:trPr>
          <w:trHeight w:val="350"/>
        </w:trPr>
        <w:tc>
          <w:tcPr>
            <w:tcW w:w="3119" w:type="dxa"/>
          </w:tcPr>
          <w:p w14:paraId="0632AA48" w14:textId="2BE9A2BB" w:rsidR="004C3CE5" w:rsidRPr="00314A04" w:rsidRDefault="00FD6AFF" w:rsidP="00CD1E37">
            <w:pPr>
              <w:pStyle w:val="TBLText"/>
              <w:rPr>
                <w:sz w:val="22"/>
                <w:szCs w:val="22"/>
              </w:rPr>
            </w:pPr>
            <w:r w:rsidRPr="00314A04">
              <w:rPr>
                <w:sz w:val="22"/>
                <w:szCs w:val="22"/>
              </w:rPr>
              <w:t>Design consultation on Skills Guarantee</w:t>
            </w:r>
          </w:p>
        </w:tc>
        <w:tc>
          <w:tcPr>
            <w:tcW w:w="1984" w:type="dxa"/>
          </w:tcPr>
          <w:p w14:paraId="60BB494C" w14:textId="1EC60652" w:rsidR="004C3CE5" w:rsidRPr="00314A04" w:rsidRDefault="00890B20" w:rsidP="00CD1E37">
            <w:pPr>
              <w:pStyle w:val="TBLText"/>
              <w:rPr>
                <w:sz w:val="22"/>
                <w:szCs w:val="22"/>
              </w:rPr>
            </w:pPr>
            <w:r w:rsidRPr="00314A04">
              <w:rPr>
                <w:sz w:val="22"/>
                <w:szCs w:val="22"/>
              </w:rPr>
              <w:t>November</w:t>
            </w:r>
            <w:r w:rsidR="00CD2D67" w:rsidRPr="00314A04">
              <w:rPr>
                <w:sz w:val="22"/>
                <w:szCs w:val="22"/>
              </w:rPr>
              <w:t xml:space="preserve"> – </w:t>
            </w:r>
            <w:r w:rsidRPr="00314A04">
              <w:rPr>
                <w:sz w:val="22"/>
                <w:szCs w:val="22"/>
              </w:rPr>
              <w:t>December 2022</w:t>
            </w:r>
          </w:p>
        </w:tc>
        <w:tc>
          <w:tcPr>
            <w:tcW w:w="4089" w:type="dxa"/>
          </w:tcPr>
          <w:p w14:paraId="3C2D78F7" w14:textId="3D7B47F9" w:rsidR="004C3CE5" w:rsidRPr="00314A04" w:rsidRDefault="00B82FB9" w:rsidP="00CD1E37">
            <w:pPr>
              <w:pStyle w:val="TBLText"/>
              <w:rPr>
                <w:sz w:val="22"/>
                <w:szCs w:val="22"/>
              </w:rPr>
            </w:pPr>
            <w:r w:rsidRPr="00314A04">
              <w:rPr>
                <w:sz w:val="22"/>
                <w:szCs w:val="22"/>
              </w:rPr>
              <w:t>No IA developed</w:t>
            </w:r>
            <w:r w:rsidR="003176E2" w:rsidRPr="00314A04">
              <w:rPr>
                <w:sz w:val="22"/>
                <w:szCs w:val="22"/>
              </w:rPr>
              <w:t>. Stakeholder</w:t>
            </w:r>
            <w:r w:rsidR="006F7495" w:rsidRPr="00314A04">
              <w:rPr>
                <w:sz w:val="22"/>
                <w:szCs w:val="22"/>
              </w:rPr>
              <w:t>s</w:t>
            </w:r>
            <w:r w:rsidR="003176E2" w:rsidRPr="00314A04">
              <w:rPr>
                <w:sz w:val="22"/>
                <w:szCs w:val="22"/>
              </w:rPr>
              <w:t xml:space="preserve"> consulted on design of the Skills Guarantee, including potential impact. </w:t>
            </w:r>
          </w:p>
        </w:tc>
      </w:tr>
      <w:tr w:rsidR="00221995" w:rsidRPr="00995541" w14:paraId="6C0E37A2" w14:textId="77777777" w:rsidTr="47EEB551">
        <w:trPr>
          <w:trHeight w:val="350"/>
        </w:trPr>
        <w:tc>
          <w:tcPr>
            <w:tcW w:w="3119" w:type="dxa"/>
          </w:tcPr>
          <w:p w14:paraId="178256A6" w14:textId="02E14F4D" w:rsidR="00221995" w:rsidRPr="00314A04" w:rsidRDefault="008E4DCC" w:rsidP="00CD1E37">
            <w:pPr>
              <w:pStyle w:val="TBLText"/>
              <w:rPr>
                <w:sz w:val="22"/>
                <w:szCs w:val="22"/>
              </w:rPr>
            </w:pPr>
            <w:r w:rsidRPr="00314A04">
              <w:rPr>
                <w:sz w:val="22"/>
                <w:szCs w:val="22"/>
              </w:rPr>
              <w:t>2023–24 Budget: Announcement of full policy settings and funding</w:t>
            </w:r>
          </w:p>
        </w:tc>
        <w:tc>
          <w:tcPr>
            <w:tcW w:w="1984" w:type="dxa"/>
          </w:tcPr>
          <w:p w14:paraId="7E42E735" w14:textId="27C1E924" w:rsidR="00221995" w:rsidRPr="00314A04" w:rsidRDefault="002E661D" w:rsidP="00CD1E37">
            <w:pPr>
              <w:pStyle w:val="TBLText"/>
              <w:rPr>
                <w:sz w:val="22"/>
                <w:szCs w:val="22"/>
              </w:rPr>
            </w:pPr>
            <w:r w:rsidRPr="00314A04">
              <w:rPr>
                <w:sz w:val="22"/>
                <w:szCs w:val="22"/>
              </w:rPr>
              <w:t>May 2023</w:t>
            </w:r>
          </w:p>
        </w:tc>
        <w:tc>
          <w:tcPr>
            <w:tcW w:w="4089" w:type="dxa"/>
          </w:tcPr>
          <w:p w14:paraId="63D380E5" w14:textId="77777777" w:rsidR="00E4218C" w:rsidRPr="00314A04" w:rsidRDefault="00742F3F" w:rsidP="00CD1E37">
            <w:pPr>
              <w:pStyle w:val="TBLText"/>
              <w:rPr>
                <w:sz w:val="22"/>
                <w:szCs w:val="22"/>
              </w:rPr>
            </w:pPr>
            <w:r w:rsidRPr="00314A04">
              <w:rPr>
                <w:sz w:val="22"/>
                <w:szCs w:val="22"/>
              </w:rPr>
              <w:t>C</w:t>
            </w:r>
            <w:r w:rsidR="005277D1" w:rsidRPr="00314A04">
              <w:rPr>
                <w:sz w:val="22"/>
                <w:szCs w:val="22"/>
              </w:rPr>
              <w:t xml:space="preserve">onsulted with OIA and developed a </w:t>
            </w:r>
            <w:r w:rsidR="008C44F0" w:rsidRPr="00314A04">
              <w:rPr>
                <w:sz w:val="22"/>
                <w:szCs w:val="22"/>
              </w:rPr>
              <w:t xml:space="preserve">Draft </w:t>
            </w:r>
            <w:r w:rsidR="0046658A" w:rsidRPr="00314A04">
              <w:rPr>
                <w:sz w:val="22"/>
                <w:szCs w:val="22"/>
              </w:rPr>
              <w:t>IA</w:t>
            </w:r>
            <w:r w:rsidR="00373C2C" w:rsidRPr="00314A04">
              <w:rPr>
                <w:sz w:val="22"/>
                <w:szCs w:val="22"/>
              </w:rPr>
              <w:t xml:space="preserve"> </w:t>
            </w:r>
            <w:r w:rsidR="00E4218C" w:rsidRPr="00314A04">
              <w:rPr>
                <w:sz w:val="22"/>
                <w:szCs w:val="22"/>
              </w:rPr>
              <w:t>detailing</w:t>
            </w:r>
            <w:r w:rsidR="00373C2C" w:rsidRPr="00314A04">
              <w:rPr>
                <w:sz w:val="22"/>
                <w:szCs w:val="22"/>
              </w:rPr>
              <w:t xml:space="preserve"> that the proposal </w:t>
            </w:r>
            <w:r w:rsidR="004606A1" w:rsidRPr="00314A04">
              <w:rPr>
                <w:sz w:val="22"/>
                <w:szCs w:val="22"/>
              </w:rPr>
              <w:t>would</w:t>
            </w:r>
            <w:r w:rsidR="00373C2C" w:rsidRPr="00314A04">
              <w:rPr>
                <w:sz w:val="22"/>
                <w:szCs w:val="22"/>
              </w:rPr>
              <w:t xml:space="preserve"> have more than minor impacts </w:t>
            </w:r>
            <w:r w:rsidR="004606A1" w:rsidRPr="00314A04">
              <w:rPr>
                <w:sz w:val="22"/>
                <w:szCs w:val="22"/>
              </w:rPr>
              <w:t>(OBPR22-03681).</w:t>
            </w:r>
            <w:r w:rsidR="0046658A" w:rsidRPr="00314A04">
              <w:rPr>
                <w:sz w:val="22"/>
                <w:szCs w:val="22"/>
              </w:rPr>
              <w:t xml:space="preserve"> </w:t>
            </w:r>
            <w:r w:rsidR="00F87249" w:rsidRPr="00314A04">
              <w:rPr>
                <w:sz w:val="22"/>
                <w:szCs w:val="22"/>
              </w:rPr>
              <w:t xml:space="preserve">This Draft IA covered Questions 1 to 4 in the </w:t>
            </w:r>
            <w:r w:rsidR="00F87249" w:rsidRPr="00314A04">
              <w:rPr>
                <w:i/>
                <w:sz w:val="22"/>
                <w:szCs w:val="22"/>
              </w:rPr>
              <w:t>Australian Government Guide to Impact Analysis</w:t>
            </w:r>
            <w:r w:rsidR="00F87249" w:rsidRPr="00314A04">
              <w:rPr>
                <w:sz w:val="22"/>
                <w:szCs w:val="22"/>
              </w:rPr>
              <w:t xml:space="preserve">, along with a section on the consultation process. </w:t>
            </w:r>
          </w:p>
          <w:p w14:paraId="67ACD257" w14:textId="2A7D7439" w:rsidR="00221995" w:rsidRPr="00314A04" w:rsidRDefault="008C260B" w:rsidP="00CD1E37">
            <w:pPr>
              <w:pStyle w:val="TBLText"/>
              <w:rPr>
                <w:sz w:val="22"/>
                <w:szCs w:val="22"/>
              </w:rPr>
            </w:pPr>
            <w:r w:rsidRPr="00314A04">
              <w:rPr>
                <w:sz w:val="22"/>
                <w:szCs w:val="22"/>
              </w:rPr>
              <w:t xml:space="preserve">Agreed to </w:t>
            </w:r>
            <w:r w:rsidR="009528A1" w:rsidRPr="00314A04">
              <w:rPr>
                <w:sz w:val="22"/>
                <w:szCs w:val="22"/>
              </w:rPr>
              <w:t xml:space="preserve">prepare an in-depth IA </w:t>
            </w:r>
            <w:r w:rsidR="00506B12" w:rsidRPr="00314A04">
              <w:rPr>
                <w:sz w:val="22"/>
                <w:szCs w:val="22"/>
              </w:rPr>
              <w:t xml:space="preserve">as part of the package for </w:t>
            </w:r>
            <w:r w:rsidR="00AC2889" w:rsidRPr="00314A04">
              <w:rPr>
                <w:sz w:val="22"/>
                <w:szCs w:val="22"/>
              </w:rPr>
              <w:t xml:space="preserve">the Expenditure Review Committee </w:t>
            </w:r>
            <w:r w:rsidR="00506B12" w:rsidRPr="00314A04">
              <w:rPr>
                <w:sz w:val="22"/>
                <w:szCs w:val="22"/>
              </w:rPr>
              <w:t xml:space="preserve">to </w:t>
            </w:r>
            <w:r w:rsidR="00AC2889" w:rsidRPr="00314A04">
              <w:rPr>
                <w:sz w:val="22"/>
                <w:szCs w:val="22"/>
              </w:rPr>
              <w:t xml:space="preserve">consider the Skills Guarantee </w:t>
            </w:r>
            <w:r w:rsidR="00211DF8" w:rsidRPr="00314A04">
              <w:rPr>
                <w:sz w:val="22"/>
                <w:szCs w:val="22"/>
              </w:rPr>
              <w:t xml:space="preserve">PCP </w:t>
            </w:r>
            <w:r w:rsidR="007926A9" w:rsidRPr="00314A04">
              <w:rPr>
                <w:sz w:val="22"/>
                <w:szCs w:val="22"/>
              </w:rPr>
              <w:t>–</w:t>
            </w:r>
            <w:r w:rsidR="00211DF8" w:rsidRPr="00314A04">
              <w:rPr>
                <w:sz w:val="22"/>
                <w:szCs w:val="22"/>
              </w:rPr>
              <w:t xml:space="preserve"> originally </w:t>
            </w:r>
            <w:r w:rsidR="00D542AC" w:rsidRPr="00314A04">
              <w:rPr>
                <w:sz w:val="22"/>
                <w:szCs w:val="22"/>
              </w:rPr>
              <w:t xml:space="preserve">scheduled for </w:t>
            </w:r>
            <w:r w:rsidR="00C34274" w:rsidRPr="00314A04">
              <w:rPr>
                <w:sz w:val="22"/>
                <w:szCs w:val="22"/>
              </w:rPr>
              <w:t>2023</w:t>
            </w:r>
            <w:r w:rsidR="00F346B7" w:rsidRPr="00314A04">
              <w:rPr>
                <w:sz w:val="22"/>
                <w:szCs w:val="22"/>
              </w:rPr>
              <w:t>–</w:t>
            </w:r>
            <w:r w:rsidR="00C34274" w:rsidRPr="00314A04">
              <w:rPr>
                <w:sz w:val="22"/>
                <w:szCs w:val="22"/>
              </w:rPr>
              <w:t>24 Mid-Year Economic and Fiscal Outlook</w:t>
            </w:r>
            <w:r w:rsidR="00505028" w:rsidRPr="00314A04">
              <w:rPr>
                <w:sz w:val="22"/>
                <w:szCs w:val="22"/>
              </w:rPr>
              <w:t>; now included in</w:t>
            </w:r>
            <w:r w:rsidR="001214F3" w:rsidRPr="00314A04">
              <w:rPr>
                <w:sz w:val="22"/>
                <w:szCs w:val="22"/>
              </w:rPr>
              <w:t xml:space="preserve"> </w:t>
            </w:r>
            <w:r w:rsidR="002B5E2E" w:rsidRPr="00314A04">
              <w:rPr>
                <w:sz w:val="22"/>
                <w:szCs w:val="22"/>
              </w:rPr>
              <w:t xml:space="preserve">2024–25 Budget. </w:t>
            </w:r>
          </w:p>
        </w:tc>
      </w:tr>
      <w:tr w:rsidR="00221995" w:rsidRPr="00995541" w14:paraId="7E3A659B" w14:textId="77777777" w:rsidTr="47EEB551">
        <w:trPr>
          <w:trHeight w:val="350"/>
        </w:trPr>
        <w:tc>
          <w:tcPr>
            <w:tcW w:w="3119" w:type="dxa"/>
          </w:tcPr>
          <w:p w14:paraId="671C1E3E" w14:textId="2B5DBAC7" w:rsidR="00221995" w:rsidRPr="00314A04" w:rsidRDefault="002D5EDA" w:rsidP="00CD1E37">
            <w:pPr>
              <w:pStyle w:val="TBLText"/>
              <w:rPr>
                <w:sz w:val="22"/>
                <w:szCs w:val="22"/>
              </w:rPr>
            </w:pPr>
            <w:r w:rsidRPr="00314A04">
              <w:rPr>
                <w:sz w:val="22"/>
                <w:szCs w:val="22"/>
              </w:rPr>
              <w:t>Consultation on draft Skills Guarantee PCP guidelines</w:t>
            </w:r>
          </w:p>
        </w:tc>
        <w:tc>
          <w:tcPr>
            <w:tcW w:w="1984" w:type="dxa"/>
          </w:tcPr>
          <w:p w14:paraId="3CC123EA" w14:textId="1A22A0D1" w:rsidR="00221995" w:rsidRPr="00314A04" w:rsidRDefault="00CD2D67" w:rsidP="00CD1E37">
            <w:pPr>
              <w:pStyle w:val="TBLText"/>
              <w:rPr>
                <w:sz w:val="22"/>
                <w:szCs w:val="22"/>
              </w:rPr>
            </w:pPr>
            <w:r w:rsidRPr="00314A04">
              <w:rPr>
                <w:sz w:val="22"/>
                <w:szCs w:val="22"/>
              </w:rPr>
              <w:t>October 2023 – January 2024</w:t>
            </w:r>
          </w:p>
        </w:tc>
        <w:tc>
          <w:tcPr>
            <w:tcW w:w="4089" w:type="dxa"/>
          </w:tcPr>
          <w:p w14:paraId="588B975B" w14:textId="43ABB8AE" w:rsidR="00221995" w:rsidRPr="00314A04" w:rsidRDefault="00B367C5" w:rsidP="00CD1E37">
            <w:pPr>
              <w:pStyle w:val="TBLText"/>
              <w:rPr>
                <w:sz w:val="22"/>
                <w:szCs w:val="22"/>
              </w:rPr>
            </w:pPr>
            <w:r w:rsidRPr="00314A04">
              <w:rPr>
                <w:sz w:val="22"/>
                <w:szCs w:val="22"/>
              </w:rPr>
              <w:t xml:space="preserve">Stakeholders consulted </w:t>
            </w:r>
            <w:r w:rsidR="00E36F2F" w:rsidRPr="00314A04">
              <w:rPr>
                <w:sz w:val="22"/>
                <w:szCs w:val="22"/>
              </w:rPr>
              <w:t>about impact of Skills Guarantee PCP</w:t>
            </w:r>
            <w:r w:rsidR="004E7A2D" w:rsidRPr="00314A04">
              <w:rPr>
                <w:sz w:val="22"/>
                <w:szCs w:val="22"/>
              </w:rPr>
              <w:t xml:space="preserve">. </w:t>
            </w:r>
            <w:r w:rsidR="005D089B" w:rsidRPr="00314A04">
              <w:rPr>
                <w:sz w:val="22"/>
                <w:szCs w:val="22"/>
              </w:rPr>
              <w:t xml:space="preserve">Drafted </w:t>
            </w:r>
            <w:r w:rsidR="00551206" w:rsidRPr="00314A04">
              <w:rPr>
                <w:sz w:val="22"/>
                <w:szCs w:val="22"/>
              </w:rPr>
              <w:t>In–Dep</w:t>
            </w:r>
            <w:r w:rsidR="00DB1B39" w:rsidRPr="00314A04">
              <w:rPr>
                <w:sz w:val="22"/>
                <w:szCs w:val="22"/>
              </w:rPr>
              <w:t>th</w:t>
            </w:r>
            <w:r w:rsidR="00AA339E" w:rsidRPr="00314A04">
              <w:rPr>
                <w:sz w:val="22"/>
                <w:szCs w:val="22"/>
              </w:rPr>
              <w:t xml:space="preserve"> IA</w:t>
            </w:r>
            <w:r w:rsidR="00FD471E" w:rsidRPr="00314A04">
              <w:rPr>
                <w:sz w:val="22"/>
                <w:szCs w:val="22"/>
              </w:rPr>
              <w:t xml:space="preserve"> (Questions 1 – 7)</w:t>
            </w:r>
            <w:r w:rsidR="00AA339E" w:rsidRPr="00314A04">
              <w:rPr>
                <w:sz w:val="22"/>
                <w:szCs w:val="22"/>
              </w:rPr>
              <w:t xml:space="preserve"> </w:t>
            </w:r>
            <w:r w:rsidR="005D089B" w:rsidRPr="00314A04">
              <w:rPr>
                <w:sz w:val="22"/>
                <w:szCs w:val="22"/>
              </w:rPr>
              <w:t>and consulted with OIA</w:t>
            </w:r>
            <w:r w:rsidR="00AA339E" w:rsidRPr="00314A04">
              <w:rPr>
                <w:sz w:val="22"/>
                <w:szCs w:val="22"/>
              </w:rPr>
              <w:t xml:space="preserve"> on assessment process</w:t>
            </w:r>
            <w:r w:rsidR="005D089B" w:rsidRPr="00314A04">
              <w:rPr>
                <w:sz w:val="22"/>
                <w:szCs w:val="22"/>
              </w:rPr>
              <w:t>.</w:t>
            </w:r>
          </w:p>
        </w:tc>
      </w:tr>
      <w:tr w:rsidR="00221995" w:rsidRPr="00995541" w14:paraId="6943EE12" w14:textId="77777777" w:rsidTr="47EEB551">
        <w:trPr>
          <w:trHeight w:val="350"/>
        </w:trPr>
        <w:tc>
          <w:tcPr>
            <w:tcW w:w="3119" w:type="dxa"/>
          </w:tcPr>
          <w:p w14:paraId="07332EEA" w14:textId="6028F87A" w:rsidR="00186ED2" w:rsidRPr="00314A04" w:rsidRDefault="007F1FA6" w:rsidP="00CD1E37">
            <w:pPr>
              <w:pStyle w:val="TBLText"/>
              <w:rPr>
                <w:sz w:val="22"/>
                <w:szCs w:val="22"/>
              </w:rPr>
            </w:pPr>
            <w:r w:rsidRPr="00314A04">
              <w:rPr>
                <w:sz w:val="22"/>
                <w:szCs w:val="22"/>
              </w:rPr>
              <w:t xml:space="preserve">2024–25 Budget: </w:t>
            </w:r>
            <w:r w:rsidR="00186ED2" w:rsidRPr="00314A04">
              <w:rPr>
                <w:sz w:val="22"/>
                <w:szCs w:val="22"/>
              </w:rPr>
              <w:t xml:space="preserve">Cabinet </w:t>
            </w:r>
          </w:p>
          <w:p w14:paraId="2EC12030" w14:textId="35EFFA6F" w:rsidR="00221995" w:rsidRPr="00314A04" w:rsidRDefault="00186ED2" w:rsidP="00CD1E37">
            <w:pPr>
              <w:pStyle w:val="TBLText"/>
              <w:rPr>
                <w:sz w:val="22"/>
                <w:szCs w:val="22"/>
              </w:rPr>
            </w:pPr>
            <w:r w:rsidRPr="00314A04">
              <w:rPr>
                <w:sz w:val="22"/>
                <w:szCs w:val="22"/>
              </w:rPr>
              <w:t>Submission</w:t>
            </w:r>
          </w:p>
        </w:tc>
        <w:tc>
          <w:tcPr>
            <w:tcW w:w="1984" w:type="dxa"/>
          </w:tcPr>
          <w:p w14:paraId="41FC8AC2" w14:textId="44CA82DB" w:rsidR="00221995" w:rsidRPr="00314A04" w:rsidRDefault="00E114C0" w:rsidP="00CD1E37">
            <w:pPr>
              <w:pStyle w:val="TBLText"/>
              <w:rPr>
                <w:sz w:val="22"/>
                <w:szCs w:val="22"/>
              </w:rPr>
            </w:pPr>
            <w:r w:rsidRPr="00314A04">
              <w:rPr>
                <w:sz w:val="22"/>
                <w:szCs w:val="22"/>
              </w:rPr>
              <w:t>March 2024</w:t>
            </w:r>
          </w:p>
        </w:tc>
        <w:tc>
          <w:tcPr>
            <w:tcW w:w="4089" w:type="dxa"/>
          </w:tcPr>
          <w:p w14:paraId="752CE05C" w14:textId="77777777" w:rsidR="00C91E97" w:rsidRDefault="00D26C28" w:rsidP="00CD1E37">
            <w:pPr>
              <w:pStyle w:val="TBLText"/>
              <w:rPr>
                <w:sz w:val="22"/>
                <w:szCs w:val="22"/>
              </w:rPr>
            </w:pPr>
            <w:r w:rsidRPr="00314A04">
              <w:rPr>
                <w:sz w:val="22"/>
                <w:szCs w:val="22"/>
              </w:rPr>
              <w:t xml:space="preserve">1st pass assessment completed. </w:t>
            </w:r>
          </w:p>
          <w:p w14:paraId="588F8515" w14:textId="2A390C05" w:rsidR="00D26C28" w:rsidRPr="00314A04" w:rsidRDefault="00BC5E9D" w:rsidP="00CD1E37">
            <w:pPr>
              <w:pStyle w:val="TBLText"/>
              <w:rPr>
                <w:sz w:val="22"/>
                <w:szCs w:val="22"/>
              </w:rPr>
            </w:pPr>
            <w:r>
              <w:rPr>
                <w:sz w:val="22"/>
                <w:szCs w:val="22"/>
              </w:rPr>
              <w:t>2nd</w:t>
            </w:r>
            <w:r w:rsidR="00C91E97" w:rsidRPr="001346CC">
              <w:rPr>
                <w:sz w:val="22"/>
                <w:szCs w:val="22"/>
              </w:rPr>
              <w:t xml:space="preserve"> </w:t>
            </w:r>
            <w:r w:rsidR="4E35DDEF" w:rsidRPr="47EEB551">
              <w:rPr>
                <w:sz w:val="22"/>
                <w:szCs w:val="22"/>
              </w:rPr>
              <w:t>p</w:t>
            </w:r>
            <w:r w:rsidR="00C91E97" w:rsidRPr="001346CC">
              <w:rPr>
                <w:sz w:val="22"/>
                <w:szCs w:val="22"/>
              </w:rPr>
              <w:t xml:space="preserve">ass completed based on first pass assessment </w:t>
            </w:r>
            <w:r w:rsidR="00D26C28" w:rsidRPr="47EEB551">
              <w:rPr>
                <w:sz w:val="22"/>
                <w:szCs w:val="22"/>
              </w:rPr>
              <w:t xml:space="preserve">Comments. </w:t>
            </w:r>
          </w:p>
          <w:p w14:paraId="10640C98" w14:textId="6D30D9FF" w:rsidR="00221995" w:rsidRPr="00314A04" w:rsidRDefault="00D26C28" w:rsidP="00CD1E37">
            <w:pPr>
              <w:pStyle w:val="TBLText"/>
              <w:rPr>
                <w:sz w:val="22"/>
                <w:szCs w:val="22"/>
              </w:rPr>
            </w:pPr>
            <w:r w:rsidRPr="00314A04">
              <w:rPr>
                <w:sz w:val="22"/>
                <w:szCs w:val="22"/>
              </w:rPr>
              <w:t xml:space="preserve">2nd pass assessment </w:t>
            </w:r>
            <w:r w:rsidR="00945A25" w:rsidRPr="00314A04">
              <w:rPr>
                <w:sz w:val="22"/>
                <w:szCs w:val="22"/>
              </w:rPr>
              <w:t xml:space="preserve">to be finalised with </w:t>
            </w:r>
            <w:r w:rsidRPr="00314A04">
              <w:rPr>
                <w:sz w:val="22"/>
                <w:szCs w:val="22"/>
              </w:rPr>
              <w:t>OIA.</w:t>
            </w:r>
          </w:p>
        </w:tc>
      </w:tr>
    </w:tbl>
    <w:p w14:paraId="5DE34544" w14:textId="77777777" w:rsidR="008474EC" w:rsidRDefault="008474EC" w:rsidP="00CD1E37">
      <w:r>
        <w:br w:type="page"/>
      </w:r>
    </w:p>
    <w:p w14:paraId="4A08C3F0" w14:textId="77777777" w:rsidR="005D4B49" w:rsidRPr="0093086B" w:rsidRDefault="005D4B49" w:rsidP="0093086B">
      <w:pPr>
        <w:pStyle w:val="Heading1"/>
      </w:pPr>
      <w:bookmarkStart w:id="4" w:name="_Toc159246206"/>
      <w:r w:rsidRPr="0093086B">
        <w:lastRenderedPageBreak/>
        <w:t>Context</w:t>
      </w:r>
      <w:bookmarkEnd w:id="4"/>
    </w:p>
    <w:p w14:paraId="4D51A6D4" w14:textId="77777777" w:rsidR="005D4B49" w:rsidRDefault="005D4B49" w:rsidP="00216DDF">
      <w:r>
        <w:t xml:space="preserve">This IA considers the use of apprentices, trainees, and ICT cadets on major construction and ICT projects. For context, detail on what constitutes an ‘apprentice’, ‘trainee’ or ‘ICT cadet’, what classifies as a ‘major project’, and the types of construction companies undertaking major projects is provided below. </w:t>
      </w:r>
    </w:p>
    <w:p w14:paraId="5079E849" w14:textId="77777777" w:rsidR="005D4B49" w:rsidRPr="005D3396" w:rsidRDefault="005D4B49" w:rsidP="007F1699">
      <w:pPr>
        <w:pStyle w:val="Heading2"/>
        <w:rPr>
          <w:rStyle w:val="normaltextrun"/>
        </w:rPr>
      </w:pPr>
      <w:bookmarkStart w:id="5" w:name="_Toc159246207"/>
      <w:r w:rsidRPr="005D3396">
        <w:rPr>
          <w:rStyle w:val="normaltextrun"/>
        </w:rPr>
        <w:t>Apprentices, trainees, and ICT cadets</w:t>
      </w:r>
      <w:bookmarkEnd w:id="5"/>
    </w:p>
    <w:p w14:paraId="6FD1071E" w14:textId="77777777" w:rsidR="005D4B49" w:rsidRDefault="005D4B49" w:rsidP="00314A04">
      <w:r>
        <w:t>An apprentice is a person who is:</w:t>
      </w:r>
    </w:p>
    <w:p w14:paraId="410AF87E" w14:textId="77777777" w:rsidR="005D4B49" w:rsidRPr="00286AA6" w:rsidRDefault="005D4B49" w:rsidP="007415EF">
      <w:pPr>
        <w:pStyle w:val="Dot-pointlist"/>
      </w:pPr>
      <w:r w:rsidRPr="00286AA6">
        <w:t xml:space="preserve">employed under a training contract that has been registered with, and validated by, their State/Territory Training Authority; </w:t>
      </w:r>
    </w:p>
    <w:p w14:paraId="5CEBD782" w14:textId="77777777" w:rsidR="005D4B49" w:rsidRPr="00286AA6" w:rsidRDefault="005D4B49" w:rsidP="007415EF">
      <w:pPr>
        <w:pStyle w:val="Dot-pointlist"/>
      </w:pPr>
      <w:r w:rsidRPr="00286AA6">
        <w:t xml:space="preserve">undertaking paid work and structured training which commonly comprises both on and off the job training; </w:t>
      </w:r>
    </w:p>
    <w:p w14:paraId="5EB778FB" w14:textId="77777777" w:rsidR="005D4B49" w:rsidRPr="00286AA6" w:rsidRDefault="005D4B49" w:rsidP="007415EF">
      <w:pPr>
        <w:pStyle w:val="Dot-pointlist"/>
      </w:pPr>
      <w:r w:rsidRPr="00286AA6">
        <w:t>undertaking a negotiated training program that involves obtaining a nationally recognised qualification; and</w:t>
      </w:r>
    </w:p>
    <w:p w14:paraId="3FA91E75" w14:textId="77777777" w:rsidR="005D4B49" w:rsidRPr="00286AA6" w:rsidRDefault="005D4B49" w:rsidP="007415EF">
      <w:pPr>
        <w:pStyle w:val="Dot-pointlist"/>
      </w:pPr>
      <w:r w:rsidRPr="00286AA6">
        <w:t>either directly employed by the supplier or sub-contractors, or indirectly employed through a group training organisation to work on an eligible project.</w:t>
      </w:r>
    </w:p>
    <w:p w14:paraId="56025036" w14:textId="77777777" w:rsidR="005D4B49" w:rsidRDefault="005D4B49" w:rsidP="00314A04">
      <w:r>
        <w:t>When referring to ‘apprentices’, the department includes apprentices and trainees. Both apprenticeships and traineeships combine learning at a training organisation and learning on the job. The only difference is the level of financial support a learner might be eligible for, which varies based on the state or territory they live in and what qualification they’re completing.</w:t>
      </w:r>
    </w:p>
    <w:p w14:paraId="31CBFC10" w14:textId="77777777" w:rsidR="005D4B49" w:rsidRDefault="005D4B49" w:rsidP="00314A04">
      <w:r>
        <w:t>A ‘trade apprentice’ (also known as ‘trade trainee’) is a person who:</w:t>
      </w:r>
    </w:p>
    <w:p w14:paraId="7991C07C" w14:textId="77777777" w:rsidR="005D4B49" w:rsidRPr="00286AA6" w:rsidRDefault="005D4B49" w:rsidP="007415EF">
      <w:pPr>
        <w:pStyle w:val="Dot-pointlist"/>
      </w:pPr>
      <w:r w:rsidRPr="00286AA6">
        <w:t>is classified as an apprentice (see definition of apprentice above)</w:t>
      </w:r>
    </w:p>
    <w:p w14:paraId="67924A9B" w14:textId="77777777" w:rsidR="005D4B49" w:rsidRPr="00286AA6" w:rsidRDefault="005D4B49" w:rsidP="007415EF">
      <w:pPr>
        <w:pStyle w:val="Dot-pointlist"/>
      </w:pPr>
      <w:r w:rsidRPr="00286AA6">
        <w:t xml:space="preserve">works in a role that is classified as a ‘trade’. </w:t>
      </w:r>
    </w:p>
    <w:p w14:paraId="72451C5C" w14:textId="77777777" w:rsidR="005D4B49" w:rsidRDefault="005D4B49" w:rsidP="00CD1E37">
      <w:pPr>
        <w:rPr>
          <w:highlight w:val="yellow"/>
        </w:rPr>
      </w:pPr>
      <w:r>
        <w:t>‘</w:t>
      </w:r>
      <w:r w:rsidRPr="00E91784">
        <w:t>Trade</w:t>
      </w:r>
      <w:r>
        <w:t>’</w:t>
      </w:r>
      <w:r w:rsidRPr="00E91784">
        <w:t xml:space="preserve"> refers to sub-major occupations that are classified as </w:t>
      </w:r>
      <w:r>
        <w:t>‘</w:t>
      </w:r>
      <w:r w:rsidRPr="00E91784">
        <w:t>Technicians and Trades Workers</w:t>
      </w:r>
      <w:r>
        <w:t>’</w:t>
      </w:r>
      <w:r w:rsidRPr="00E91784">
        <w:t>. Occupations are classified using the Australian and New Zealand Standard Classification of Occupations (ANZSCO).</w:t>
      </w:r>
    </w:p>
    <w:p w14:paraId="605DDF85" w14:textId="77777777" w:rsidR="005D4B49" w:rsidRDefault="005D4B49" w:rsidP="00CD1E37">
      <w:r w:rsidRPr="00960DC7">
        <w:rPr>
          <w:bCs/>
        </w:rPr>
        <w:t>‘ICT cadet’</w:t>
      </w:r>
      <w:r w:rsidRPr="00D436BA">
        <w:t xml:space="preserve"> refers to a paid employee who is</w:t>
      </w:r>
      <w:r>
        <w:t xml:space="preserve"> working in the ICT sector and is</w:t>
      </w:r>
      <w:r w:rsidRPr="00D436BA">
        <w:t xml:space="preserve"> employed in an entry-level role and undertaking academic study through either the VET or higher education system towards a qualification under the Australian Qualification Framework, where the employer has formally committed to providing the employee with on-the-job training and support to complete the specific course of academic study.</w:t>
      </w:r>
      <w:r>
        <w:t xml:space="preserve"> The inclusion of ‘ICT cadet’ reflects that the ICT industry has alternative learning pathways to apprenticeships and traineeships. </w:t>
      </w:r>
    </w:p>
    <w:p w14:paraId="0C54D2F4" w14:textId="77777777" w:rsidR="005D4B49" w:rsidRPr="00216DDF" w:rsidRDefault="005D4B49" w:rsidP="007F1699">
      <w:pPr>
        <w:pStyle w:val="Heading2"/>
        <w:rPr>
          <w:rStyle w:val="normaltextrun"/>
        </w:rPr>
      </w:pPr>
      <w:bookmarkStart w:id="6" w:name="_Toc159246208"/>
      <w:r w:rsidRPr="00216DDF">
        <w:rPr>
          <w:rStyle w:val="normaltextrun"/>
        </w:rPr>
        <w:t>Major projects</w:t>
      </w:r>
      <w:bookmarkEnd w:id="6"/>
    </w:p>
    <w:p w14:paraId="2D2D81C1" w14:textId="77777777" w:rsidR="005D4B49" w:rsidRPr="00D436BA" w:rsidRDefault="005D4B49" w:rsidP="00314A04">
      <w:r>
        <w:t xml:space="preserve">This IA considers applying requirements to Commonwealth procurements of major construction and ICT projects. These are construction and ICT projects with a total estimated procurement value of $10 million or more. </w:t>
      </w:r>
    </w:p>
    <w:p w14:paraId="45D79BE9" w14:textId="520E1FD6" w:rsidR="005D4B49" w:rsidRPr="00216DDF" w:rsidRDefault="005D4B49" w:rsidP="007F1699">
      <w:pPr>
        <w:pStyle w:val="Heading2"/>
        <w:rPr>
          <w:rStyle w:val="normaltextrun"/>
        </w:rPr>
      </w:pPr>
      <w:bookmarkStart w:id="7" w:name="_Toc159246209"/>
      <w:r w:rsidRPr="00216DDF">
        <w:rPr>
          <w:rStyle w:val="normaltextrun"/>
        </w:rPr>
        <w:lastRenderedPageBreak/>
        <w:t>Flagship</w:t>
      </w:r>
      <w:r w:rsidR="00314A04" w:rsidRPr="00216DDF">
        <w:rPr>
          <w:rStyle w:val="normaltextrun"/>
        </w:rPr>
        <w:t xml:space="preserve"> </w:t>
      </w:r>
      <w:r w:rsidRPr="00216DDF">
        <w:rPr>
          <w:rStyle w:val="normaltextrun"/>
        </w:rPr>
        <w:t>construction projects</w:t>
      </w:r>
      <w:bookmarkEnd w:id="7"/>
    </w:p>
    <w:p w14:paraId="7B850877" w14:textId="77777777" w:rsidR="005D4B49" w:rsidRDefault="005D4B49" w:rsidP="00314A04">
      <w:r>
        <w:t xml:space="preserve">The IA also considers whether requirements should apply to flagship construction projects. These are construction projects with a total contract value of $100 million or more. </w:t>
      </w:r>
    </w:p>
    <w:p w14:paraId="39A2C0BB" w14:textId="77777777" w:rsidR="005D4B49" w:rsidRPr="00216DDF" w:rsidRDefault="005D4B49" w:rsidP="007F1699">
      <w:pPr>
        <w:pStyle w:val="Heading2"/>
        <w:rPr>
          <w:rStyle w:val="normaltextrun"/>
        </w:rPr>
      </w:pPr>
      <w:bookmarkStart w:id="8" w:name="_Toc159246210"/>
      <w:r w:rsidRPr="00216DDF">
        <w:rPr>
          <w:rStyle w:val="normaltextrun"/>
        </w:rPr>
        <w:t>Types of construction companies</w:t>
      </w:r>
      <w:bookmarkEnd w:id="8"/>
    </w:p>
    <w:p w14:paraId="33C89762" w14:textId="77777777" w:rsidR="005D4B49" w:rsidRDefault="005D4B49" w:rsidP="00314A04">
      <w:r>
        <w:rPr>
          <w:rStyle w:val="eop"/>
          <w:rFonts w:cstheme="minorHAnsi"/>
        </w:rPr>
        <w:t>Table 2 shows how c</w:t>
      </w:r>
      <w:r w:rsidRPr="00DA091B">
        <w:t>onstruction companies</w:t>
      </w:r>
      <w:r>
        <w:t xml:space="preserve"> are differentiated into tiers by the value of works they can undertake. </w:t>
      </w:r>
    </w:p>
    <w:p w14:paraId="31644F16" w14:textId="77777777" w:rsidR="005D4B49" w:rsidRPr="00580317" w:rsidRDefault="005D4B49" w:rsidP="00580317">
      <w:pPr>
        <w:pStyle w:val="Caption"/>
        <w:rPr>
          <w:rStyle w:val="Strong"/>
          <w:b/>
          <w:bCs w:val="0"/>
        </w:rPr>
      </w:pPr>
      <w:r w:rsidRPr="00580317">
        <w:rPr>
          <w:rStyle w:val="Strong"/>
          <w:b/>
          <w:bCs w:val="0"/>
        </w:rPr>
        <w:t>Table 2. Tiers or construction companies</w:t>
      </w:r>
    </w:p>
    <w:tbl>
      <w:tblPr>
        <w:tblStyle w:val="TableGrid"/>
        <w:tblW w:w="0" w:type="auto"/>
        <w:tblLook w:val="04A0" w:firstRow="1" w:lastRow="0" w:firstColumn="1" w:lastColumn="0" w:noHBand="0" w:noVBand="1"/>
      </w:tblPr>
      <w:tblGrid>
        <w:gridCol w:w="1129"/>
        <w:gridCol w:w="3402"/>
        <w:gridCol w:w="4529"/>
      </w:tblGrid>
      <w:tr w:rsidR="005D4B49" w:rsidRPr="00056497" w14:paraId="554401C9" w14:textId="77777777" w:rsidTr="00E75468">
        <w:tc>
          <w:tcPr>
            <w:tcW w:w="1129" w:type="dxa"/>
            <w:tcBorders>
              <w:top w:val="single" w:sz="4" w:space="0" w:color="auto"/>
              <w:left w:val="nil"/>
              <w:bottom w:val="single" w:sz="4" w:space="0" w:color="auto"/>
              <w:right w:val="nil"/>
            </w:tcBorders>
            <w:shd w:val="clear" w:color="auto" w:fill="404246"/>
          </w:tcPr>
          <w:p w14:paraId="703AD994" w14:textId="77777777" w:rsidR="005D4B49" w:rsidRPr="00314A04" w:rsidRDefault="005D4B49" w:rsidP="00C47D9B">
            <w:pPr>
              <w:spacing w:before="120" w:after="120" w:line="240" w:lineRule="auto"/>
              <w:rPr>
                <w:color w:val="FFFFFF" w:themeColor="background1"/>
              </w:rPr>
            </w:pPr>
            <w:r w:rsidRPr="00314A04">
              <w:rPr>
                <w:color w:val="FFFFFF" w:themeColor="background1"/>
              </w:rPr>
              <w:t>Tier</w:t>
            </w:r>
          </w:p>
        </w:tc>
        <w:tc>
          <w:tcPr>
            <w:tcW w:w="3402" w:type="dxa"/>
            <w:tcBorders>
              <w:top w:val="single" w:sz="4" w:space="0" w:color="auto"/>
              <w:left w:val="nil"/>
              <w:bottom w:val="single" w:sz="4" w:space="0" w:color="auto"/>
              <w:right w:val="nil"/>
            </w:tcBorders>
            <w:shd w:val="clear" w:color="auto" w:fill="404246"/>
          </w:tcPr>
          <w:p w14:paraId="1CB9F3C3" w14:textId="77777777" w:rsidR="005D4B49" w:rsidRPr="00314A04" w:rsidRDefault="005D4B49" w:rsidP="00C47D9B">
            <w:pPr>
              <w:spacing w:before="120" w:after="120" w:line="240" w:lineRule="auto"/>
              <w:rPr>
                <w:color w:val="FFFFFF" w:themeColor="background1"/>
              </w:rPr>
            </w:pPr>
            <w:r w:rsidRPr="00314A04">
              <w:rPr>
                <w:color w:val="FFFFFF" w:themeColor="background1"/>
              </w:rPr>
              <w:t>Typical contract value</w:t>
            </w:r>
          </w:p>
        </w:tc>
        <w:tc>
          <w:tcPr>
            <w:tcW w:w="4529" w:type="dxa"/>
            <w:tcBorders>
              <w:top w:val="single" w:sz="4" w:space="0" w:color="auto"/>
              <w:left w:val="nil"/>
              <w:bottom w:val="single" w:sz="4" w:space="0" w:color="auto"/>
              <w:right w:val="nil"/>
            </w:tcBorders>
            <w:shd w:val="clear" w:color="auto" w:fill="404246"/>
          </w:tcPr>
          <w:p w14:paraId="24C93005" w14:textId="77777777" w:rsidR="005D4B49" w:rsidRPr="00314A04" w:rsidRDefault="005D4B49" w:rsidP="00C47D9B">
            <w:pPr>
              <w:spacing w:before="120" w:after="120" w:line="240" w:lineRule="auto"/>
              <w:rPr>
                <w:color w:val="FFFFFF" w:themeColor="background1"/>
              </w:rPr>
            </w:pPr>
            <w:r w:rsidRPr="00314A04">
              <w:rPr>
                <w:color w:val="FFFFFF" w:themeColor="background1"/>
              </w:rPr>
              <w:t>General turnover</w:t>
            </w:r>
            <w:r w:rsidRPr="00314A04">
              <w:rPr>
                <w:rStyle w:val="FootnoteReference"/>
                <w:color w:val="FFFFFF" w:themeColor="background1"/>
              </w:rPr>
              <w:footnoteReference w:id="2"/>
            </w:r>
            <w:r w:rsidRPr="00314A04">
              <w:rPr>
                <w:color w:val="FFFFFF" w:themeColor="background1"/>
              </w:rPr>
              <w:t xml:space="preserve"> </w:t>
            </w:r>
          </w:p>
        </w:tc>
      </w:tr>
      <w:tr w:rsidR="005D4B49" w:rsidRPr="00056497" w14:paraId="2DCA731C" w14:textId="77777777" w:rsidTr="00E75468">
        <w:tc>
          <w:tcPr>
            <w:tcW w:w="1129" w:type="dxa"/>
            <w:tcBorders>
              <w:top w:val="single" w:sz="4" w:space="0" w:color="auto"/>
              <w:left w:val="nil"/>
              <w:right w:val="nil"/>
            </w:tcBorders>
          </w:tcPr>
          <w:p w14:paraId="2D057149" w14:textId="77777777" w:rsidR="005D4B49" w:rsidRPr="00056497" w:rsidRDefault="005D4B49" w:rsidP="00C47D9B">
            <w:pPr>
              <w:spacing w:before="120" w:after="120" w:line="240" w:lineRule="auto"/>
            </w:pPr>
            <w:r w:rsidRPr="00056497">
              <w:t>Tier 1</w:t>
            </w:r>
          </w:p>
        </w:tc>
        <w:tc>
          <w:tcPr>
            <w:tcW w:w="3402" w:type="dxa"/>
            <w:tcBorders>
              <w:top w:val="single" w:sz="4" w:space="0" w:color="auto"/>
              <w:left w:val="nil"/>
              <w:right w:val="nil"/>
            </w:tcBorders>
          </w:tcPr>
          <w:p w14:paraId="44D7BB43" w14:textId="77777777" w:rsidR="005D4B49" w:rsidRPr="00056497" w:rsidRDefault="005D4B49" w:rsidP="00C47D9B">
            <w:pPr>
              <w:spacing w:before="120" w:after="120" w:line="240" w:lineRule="auto"/>
            </w:pPr>
            <w:r w:rsidRPr="00056497">
              <w:t>Billions and hundreds of millions</w:t>
            </w:r>
          </w:p>
        </w:tc>
        <w:tc>
          <w:tcPr>
            <w:tcW w:w="4529" w:type="dxa"/>
            <w:tcBorders>
              <w:top w:val="single" w:sz="4" w:space="0" w:color="auto"/>
              <w:left w:val="nil"/>
              <w:right w:val="nil"/>
            </w:tcBorders>
          </w:tcPr>
          <w:p w14:paraId="2337C698" w14:textId="77777777" w:rsidR="005D4B49" w:rsidRPr="00056497" w:rsidRDefault="005D4B49" w:rsidP="00C47D9B">
            <w:pPr>
              <w:spacing w:before="120" w:after="120" w:line="240" w:lineRule="auto"/>
            </w:pPr>
            <w:r w:rsidRPr="00056497">
              <w:t>$500 million to the multi-billions</w:t>
            </w:r>
          </w:p>
        </w:tc>
      </w:tr>
      <w:tr w:rsidR="005D4B49" w:rsidRPr="00056497" w14:paraId="2B48564F" w14:textId="77777777" w:rsidTr="00C45886">
        <w:tc>
          <w:tcPr>
            <w:tcW w:w="1129" w:type="dxa"/>
            <w:tcBorders>
              <w:left w:val="nil"/>
              <w:right w:val="nil"/>
            </w:tcBorders>
          </w:tcPr>
          <w:p w14:paraId="4AAED45C" w14:textId="77777777" w:rsidR="005D4B49" w:rsidRPr="00056497" w:rsidRDefault="005D4B49" w:rsidP="00C47D9B">
            <w:pPr>
              <w:spacing w:before="120" w:after="120" w:line="240" w:lineRule="auto"/>
            </w:pPr>
            <w:r w:rsidRPr="00056497">
              <w:t>Tier 2</w:t>
            </w:r>
          </w:p>
        </w:tc>
        <w:tc>
          <w:tcPr>
            <w:tcW w:w="3402" w:type="dxa"/>
            <w:tcBorders>
              <w:left w:val="nil"/>
              <w:right w:val="nil"/>
            </w:tcBorders>
          </w:tcPr>
          <w:p w14:paraId="3015A96F" w14:textId="77777777" w:rsidR="005D4B49" w:rsidRPr="00056497" w:rsidRDefault="005D4B49" w:rsidP="00C47D9B">
            <w:pPr>
              <w:spacing w:before="120" w:after="120" w:line="240" w:lineRule="auto"/>
            </w:pPr>
            <w:r w:rsidRPr="00056497">
              <w:t>Tens of millions</w:t>
            </w:r>
          </w:p>
        </w:tc>
        <w:tc>
          <w:tcPr>
            <w:tcW w:w="4529" w:type="dxa"/>
            <w:tcBorders>
              <w:left w:val="nil"/>
              <w:right w:val="nil"/>
            </w:tcBorders>
          </w:tcPr>
          <w:p w14:paraId="4A11E343" w14:textId="77777777" w:rsidR="005D4B49" w:rsidRPr="00056497" w:rsidRDefault="005D4B49" w:rsidP="00C47D9B">
            <w:pPr>
              <w:spacing w:before="120" w:after="120" w:line="240" w:lineRule="auto"/>
            </w:pPr>
            <w:r w:rsidRPr="00056497">
              <w:t>$100 million or more, but under $500 million</w:t>
            </w:r>
          </w:p>
        </w:tc>
      </w:tr>
      <w:tr w:rsidR="005D4B49" w:rsidRPr="00056497" w14:paraId="30FF9245" w14:textId="77777777" w:rsidTr="00C45886">
        <w:tc>
          <w:tcPr>
            <w:tcW w:w="1129" w:type="dxa"/>
            <w:tcBorders>
              <w:left w:val="nil"/>
              <w:right w:val="nil"/>
            </w:tcBorders>
          </w:tcPr>
          <w:p w14:paraId="1123EDCB" w14:textId="77777777" w:rsidR="005D4B49" w:rsidRPr="00056497" w:rsidRDefault="005D4B49" w:rsidP="00C47D9B">
            <w:pPr>
              <w:spacing w:before="120" w:after="120" w:line="240" w:lineRule="auto"/>
            </w:pPr>
            <w:r w:rsidRPr="00056497">
              <w:t>Tier 3</w:t>
            </w:r>
          </w:p>
        </w:tc>
        <w:tc>
          <w:tcPr>
            <w:tcW w:w="3402" w:type="dxa"/>
            <w:tcBorders>
              <w:left w:val="nil"/>
              <w:right w:val="nil"/>
            </w:tcBorders>
          </w:tcPr>
          <w:p w14:paraId="2A663719" w14:textId="77777777" w:rsidR="005D4B49" w:rsidRPr="00056497" w:rsidRDefault="005D4B49" w:rsidP="00C47D9B">
            <w:pPr>
              <w:spacing w:before="120" w:after="120" w:line="240" w:lineRule="auto"/>
            </w:pPr>
            <w:r w:rsidRPr="00056497">
              <w:t>Around $1 million</w:t>
            </w:r>
          </w:p>
        </w:tc>
        <w:tc>
          <w:tcPr>
            <w:tcW w:w="4529" w:type="dxa"/>
            <w:tcBorders>
              <w:left w:val="nil"/>
              <w:right w:val="nil"/>
            </w:tcBorders>
          </w:tcPr>
          <w:p w14:paraId="2E5C9652" w14:textId="77777777" w:rsidR="005D4B49" w:rsidRPr="00056497" w:rsidRDefault="005D4B49" w:rsidP="00C47D9B">
            <w:pPr>
              <w:spacing w:before="120" w:after="120" w:line="240" w:lineRule="auto"/>
            </w:pPr>
            <w:r w:rsidRPr="00056497">
              <w:t>Less than $100 million</w:t>
            </w:r>
          </w:p>
        </w:tc>
      </w:tr>
    </w:tbl>
    <w:p w14:paraId="579B29AC" w14:textId="77777777" w:rsidR="005D4B49" w:rsidRPr="00056497" w:rsidRDefault="005D4B49" w:rsidP="00314A04">
      <w:pPr>
        <w:rPr>
          <w:rStyle w:val="eop"/>
          <w:rFonts w:cstheme="minorHAnsi"/>
        </w:rPr>
      </w:pPr>
      <w:r w:rsidRPr="00056497">
        <w:rPr>
          <w:rStyle w:val="eop"/>
          <w:rFonts w:cstheme="minorHAnsi"/>
        </w:rPr>
        <w:br/>
        <w:t xml:space="preserve">Tier 1 and Tier 2 companies are primarily undertaking major projects (i.e., projects valued at $10,000,000 or more) and will therefore be affected by the Skills Guarantee. </w:t>
      </w:r>
    </w:p>
    <w:p w14:paraId="769A85B2" w14:textId="3A188284" w:rsidR="005D4B49" w:rsidRPr="00056497" w:rsidRDefault="005D4B49" w:rsidP="00314A04">
      <w:pPr>
        <w:rPr>
          <w:rStyle w:val="eop"/>
          <w:rFonts w:cstheme="minorHAnsi"/>
        </w:rPr>
      </w:pPr>
      <w:r w:rsidRPr="00056497">
        <w:rPr>
          <w:rStyle w:val="eop"/>
          <w:rFonts w:cstheme="minorHAnsi"/>
        </w:rPr>
        <w:t xml:space="preserve">Tier 1 companies work on the largest and most significant infrastructure projects and are industry leaders. These </w:t>
      </w:r>
      <w:r w:rsidRPr="00471BC5">
        <w:rPr>
          <w:rStyle w:val="eop"/>
          <w:rFonts w:cstheme="minorHAnsi"/>
        </w:rPr>
        <w:t xml:space="preserve">companies </w:t>
      </w:r>
      <w:r w:rsidR="00256B3B" w:rsidRPr="00471BC5">
        <w:rPr>
          <w:rStyle w:val="eop"/>
          <w:rFonts w:cstheme="minorHAnsi"/>
        </w:rPr>
        <w:t xml:space="preserve">deliver </w:t>
      </w:r>
      <w:r w:rsidRPr="00056497">
        <w:rPr>
          <w:rStyle w:val="eop"/>
          <w:rFonts w:cstheme="minorHAnsi"/>
        </w:rPr>
        <w:t xml:space="preserve">major commercial projects such as large infrastructure and institutions like roads, highways, railways, universities, shopping centres and high rises. These companies handle the full process from conception to completion and then they may sell the projects or hold as an asset portfolio. The department estimates there are between 10 and 20 </w:t>
      </w:r>
      <w:r w:rsidR="00907CA8" w:rsidRPr="00056497">
        <w:rPr>
          <w:rStyle w:val="eop"/>
          <w:rFonts w:cstheme="minorHAnsi"/>
        </w:rPr>
        <w:t>T</w:t>
      </w:r>
      <w:r w:rsidRPr="00056497">
        <w:rPr>
          <w:rStyle w:val="eop"/>
          <w:rFonts w:cstheme="minorHAnsi"/>
        </w:rPr>
        <w:t xml:space="preserve">ier 1 construction companies. </w:t>
      </w:r>
    </w:p>
    <w:p w14:paraId="2107F22E" w14:textId="19F95065" w:rsidR="005D4B49" w:rsidRPr="00056497" w:rsidRDefault="005D4B49" w:rsidP="00314A04">
      <w:pPr>
        <w:rPr>
          <w:rStyle w:val="eop"/>
          <w:rFonts w:cstheme="minorHAnsi"/>
        </w:rPr>
      </w:pPr>
      <w:r w:rsidRPr="00056497">
        <w:rPr>
          <w:rStyle w:val="eop"/>
          <w:rFonts w:cstheme="minorHAnsi"/>
        </w:rPr>
        <w:t xml:space="preserve">Tier 2 companies play a major role in the construction industry, and typically focus on large-scale commercial projects and small to mid-sized infrastructure projects. These companies normally operate in education, retail, and industrial sectors. The department estimates there are between 20 and 30 </w:t>
      </w:r>
      <w:r w:rsidR="006D2314" w:rsidRPr="00056497">
        <w:rPr>
          <w:rStyle w:val="eop"/>
          <w:rFonts w:cstheme="minorHAnsi"/>
        </w:rPr>
        <w:t>T</w:t>
      </w:r>
      <w:r w:rsidRPr="00056497">
        <w:rPr>
          <w:rStyle w:val="eop"/>
          <w:rFonts w:cstheme="minorHAnsi"/>
        </w:rPr>
        <w:t>ier 2 construction companies.</w:t>
      </w:r>
    </w:p>
    <w:p w14:paraId="48E29392" w14:textId="69B6BFF5" w:rsidR="005D4B49" w:rsidRPr="00026395" w:rsidRDefault="005D4B49" w:rsidP="00314A04">
      <w:pPr>
        <w:rPr>
          <w:rStyle w:val="normaltextrun"/>
        </w:rPr>
      </w:pPr>
      <w:r w:rsidRPr="00056497">
        <w:rPr>
          <w:rStyle w:val="eop"/>
          <w:rFonts w:cstheme="minorHAnsi"/>
        </w:rPr>
        <w:t xml:space="preserve">Tier 3 companies typically work on smaller scale projects; these could be both residential and small-scale commercial jobs. Most of the building industry fall into this category. Tier 3 companies are often small family businesses, more exposed to economic fluctuations. The department estimates there are over 100 </w:t>
      </w:r>
      <w:r w:rsidR="006D2314" w:rsidRPr="00056497">
        <w:rPr>
          <w:rStyle w:val="eop"/>
          <w:rFonts w:cstheme="minorHAnsi"/>
        </w:rPr>
        <w:t>T</w:t>
      </w:r>
      <w:r w:rsidRPr="00056497">
        <w:rPr>
          <w:rStyle w:val="eop"/>
          <w:rFonts w:cstheme="minorHAnsi"/>
        </w:rPr>
        <w:t>ier 3 construction companies.</w:t>
      </w:r>
    </w:p>
    <w:p w14:paraId="54EAF803" w14:textId="5D98BED8" w:rsidR="00632CC1" w:rsidRPr="00344C59" w:rsidRDefault="00632CC1" w:rsidP="00CD1E37">
      <w:pPr>
        <w:rPr>
          <w:rStyle w:val="normaltextrun"/>
          <w:rFonts w:eastAsiaTheme="majorEastAsia" w:cstheme="minorHAnsi"/>
          <w:color w:val="2F5496" w:themeColor="accent1" w:themeShade="BF"/>
        </w:rPr>
      </w:pPr>
      <w:r w:rsidRPr="00344C59">
        <w:rPr>
          <w:rStyle w:val="normaltextrun"/>
          <w:rFonts w:cstheme="minorHAnsi"/>
        </w:rPr>
        <w:br w:type="page"/>
      </w:r>
    </w:p>
    <w:p w14:paraId="3FB98909" w14:textId="2AB4D028" w:rsidR="00716AAF" w:rsidRPr="009117C5" w:rsidRDefault="002F4F1D" w:rsidP="00CD1E37">
      <w:pPr>
        <w:pStyle w:val="Heading1"/>
      </w:pPr>
      <w:bookmarkStart w:id="9" w:name="_Toc159246211"/>
      <w:r w:rsidRPr="009117C5">
        <w:rPr>
          <w:rStyle w:val="normaltextrun"/>
        </w:rPr>
        <w:lastRenderedPageBreak/>
        <w:t xml:space="preserve">Question 1: The </w:t>
      </w:r>
      <w:bookmarkEnd w:id="2"/>
      <w:r w:rsidR="005040E4" w:rsidRPr="009117C5">
        <w:rPr>
          <w:rStyle w:val="normaltextrun"/>
        </w:rPr>
        <w:t>p</w:t>
      </w:r>
      <w:r w:rsidRPr="009117C5">
        <w:rPr>
          <w:rStyle w:val="normaltextrun"/>
        </w:rPr>
        <w:t>roblem</w:t>
      </w:r>
      <w:bookmarkEnd w:id="9"/>
      <w:r w:rsidRPr="009117C5">
        <w:rPr>
          <w:rStyle w:val="normaltextrun"/>
        </w:rPr>
        <w:t> </w:t>
      </w:r>
    </w:p>
    <w:p w14:paraId="2E7C8164" w14:textId="36853A8D" w:rsidR="00632CC1" w:rsidRPr="005D3396" w:rsidRDefault="00632CC1" w:rsidP="007F1699">
      <w:pPr>
        <w:pStyle w:val="Heading2"/>
        <w:rPr>
          <w:rStyle w:val="normaltextrun"/>
        </w:rPr>
      </w:pPr>
      <w:bookmarkStart w:id="10" w:name="_Toc159246212"/>
      <w:r w:rsidRPr="005D3396">
        <w:rPr>
          <w:rStyle w:val="normaltextrun"/>
        </w:rPr>
        <w:t xml:space="preserve">The Australian </w:t>
      </w:r>
      <w:r w:rsidR="00112AAF" w:rsidRPr="005D3396">
        <w:rPr>
          <w:rStyle w:val="normaltextrun"/>
        </w:rPr>
        <w:t xml:space="preserve">construction and ICT </w:t>
      </w:r>
      <w:r w:rsidR="00CD4FF9" w:rsidRPr="005D3396">
        <w:rPr>
          <w:rStyle w:val="normaltextrun"/>
        </w:rPr>
        <w:t xml:space="preserve">workforce </w:t>
      </w:r>
      <w:r w:rsidRPr="005D3396">
        <w:rPr>
          <w:rStyle w:val="normaltextrun"/>
        </w:rPr>
        <w:t>is facing skills shortages</w:t>
      </w:r>
      <w:bookmarkEnd w:id="10"/>
      <w:r w:rsidRPr="005D3396">
        <w:rPr>
          <w:rStyle w:val="normaltextrun"/>
        </w:rPr>
        <w:t xml:space="preserve"> </w:t>
      </w:r>
    </w:p>
    <w:p w14:paraId="10A799FA" w14:textId="05420578" w:rsidR="0070146E" w:rsidRPr="00471BC5" w:rsidRDefault="00632CC1" w:rsidP="00CD1E37">
      <w:pPr>
        <w:rPr>
          <w:rStyle w:val="normaltextrun"/>
          <w:rFonts w:cstheme="minorHAnsi"/>
        </w:rPr>
      </w:pPr>
      <w:r w:rsidRPr="00344C59">
        <w:rPr>
          <w:rStyle w:val="normaltextrun"/>
          <w:rFonts w:eastAsiaTheme="minorEastAsia" w:cstheme="minorHAnsi"/>
        </w:rPr>
        <w:t>Australia is currently experiencing persistent and critical skills shortages in many key sectors with 3</w:t>
      </w:r>
      <w:r w:rsidR="005A2527">
        <w:rPr>
          <w:rStyle w:val="normaltextrun"/>
          <w:rFonts w:eastAsiaTheme="minorEastAsia" w:cstheme="minorHAnsi"/>
        </w:rPr>
        <w:t>6</w:t>
      </w:r>
      <w:r w:rsidRPr="00344C59">
        <w:rPr>
          <w:rStyle w:val="normaltextrun"/>
          <w:rFonts w:eastAsiaTheme="minorEastAsia" w:cstheme="minorHAnsi"/>
        </w:rPr>
        <w:t xml:space="preserve">% of all </w:t>
      </w:r>
      <w:r w:rsidRPr="00344C59">
        <w:rPr>
          <w:rStyle w:val="normaltextrun"/>
          <w:rFonts w:cstheme="minorHAnsi"/>
        </w:rPr>
        <w:t>occupations experiencing shortages in 202</w:t>
      </w:r>
      <w:r w:rsidR="005A2527">
        <w:rPr>
          <w:rStyle w:val="normaltextrun"/>
          <w:rFonts w:cstheme="minorHAnsi"/>
        </w:rPr>
        <w:t>3</w:t>
      </w:r>
      <w:r w:rsidRPr="00344C59">
        <w:rPr>
          <w:rStyle w:val="normaltextrun"/>
          <w:rFonts w:cstheme="minorHAnsi"/>
        </w:rPr>
        <w:t>.</w:t>
      </w:r>
      <w:r w:rsidR="00166979" w:rsidRPr="1DC87824">
        <w:rPr>
          <w:rStyle w:val="FootnoteReference"/>
          <w:rFonts w:ascii="Calibri" w:eastAsia="Calibri" w:hAnsi="Calibri" w:cs="Calibri"/>
          <w:color w:val="000000" w:themeColor="text1"/>
        </w:rPr>
        <w:footnoteReference w:id="3"/>
      </w:r>
      <w:r w:rsidRPr="00344C59">
        <w:rPr>
          <w:rStyle w:val="normaltextrun"/>
          <w:rFonts w:cstheme="minorHAnsi"/>
        </w:rPr>
        <w:t xml:space="preserve"> The </w:t>
      </w:r>
      <w:r w:rsidR="0089376A">
        <w:rPr>
          <w:rStyle w:val="normaltextrun"/>
          <w:rFonts w:cstheme="minorHAnsi"/>
        </w:rPr>
        <w:t xml:space="preserve">current and future </w:t>
      </w:r>
      <w:r w:rsidR="005E1AF1">
        <w:rPr>
          <w:rStyle w:val="normaltextrun"/>
          <w:rFonts w:cstheme="minorHAnsi"/>
        </w:rPr>
        <w:t>skills</w:t>
      </w:r>
      <w:r w:rsidR="004D50BF">
        <w:rPr>
          <w:rStyle w:val="normaltextrun"/>
          <w:rFonts w:cstheme="minorHAnsi"/>
        </w:rPr>
        <w:t xml:space="preserve"> </w:t>
      </w:r>
      <w:r w:rsidR="007A7C4B">
        <w:rPr>
          <w:rStyle w:val="normaltextrun"/>
          <w:rFonts w:cstheme="minorHAnsi"/>
        </w:rPr>
        <w:t>need</w:t>
      </w:r>
      <w:r w:rsidR="0089376A">
        <w:rPr>
          <w:rStyle w:val="normaltextrun"/>
          <w:rFonts w:cstheme="minorHAnsi"/>
        </w:rPr>
        <w:t xml:space="preserve"> </w:t>
      </w:r>
      <w:r w:rsidR="00B46BE9">
        <w:rPr>
          <w:rStyle w:val="normaltextrun"/>
          <w:rFonts w:cstheme="minorHAnsi"/>
        </w:rPr>
        <w:t>in</w:t>
      </w:r>
      <w:r w:rsidR="0089376A">
        <w:rPr>
          <w:rStyle w:val="normaltextrun"/>
          <w:rFonts w:cstheme="minorHAnsi"/>
        </w:rPr>
        <w:t xml:space="preserve"> the construction and ICT industries </w:t>
      </w:r>
      <w:r w:rsidR="006B7364">
        <w:rPr>
          <w:rStyle w:val="normaltextrun"/>
          <w:rFonts w:cstheme="minorHAnsi"/>
        </w:rPr>
        <w:t xml:space="preserve">will not be met </w:t>
      </w:r>
      <w:r w:rsidR="005E0A4F">
        <w:rPr>
          <w:rStyle w:val="normaltextrun"/>
          <w:rFonts w:cstheme="minorHAnsi"/>
        </w:rPr>
        <w:t xml:space="preserve">based on </w:t>
      </w:r>
      <w:r w:rsidR="00D65F56">
        <w:rPr>
          <w:rStyle w:val="normaltextrun"/>
          <w:rFonts w:cstheme="minorHAnsi"/>
        </w:rPr>
        <w:t xml:space="preserve">national </w:t>
      </w:r>
      <w:r w:rsidR="009939B8">
        <w:rPr>
          <w:rStyle w:val="normaltextrun"/>
          <w:rFonts w:cstheme="minorHAnsi"/>
        </w:rPr>
        <w:t xml:space="preserve">employment growth </w:t>
      </w:r>
      <w:r w:rsidR="00D65F56">
        <w:rPr>
          <w:rStyle w:val="normaltextrun"/>
          <w:rFonts w:cstheme="minorHAnsi"/>
        </w:rPr>
        <w:t xml:space="preserve">projections </w:t>
      </w:r>
      <w:r w:rsidR="009939B8">
        <w:rPr>
          <w:rStyle w:val="normaltextrun"/>
          <w:rFonts w:cstheme="minorHAnsi"/>
        </w:rPr>
        <w:t>for th</w:t>
      </w:r>
      <w:r w:rsidR="004A26F3">
        <w:rPr>
          <w:rStyle w:val="normaltextrun"/>
          <w:rFonts w:cstheme="minorHAnsi"/>
        </w:rPr>
        <w:t>ese industries</w:t>
      </w:r>
      <w:r w:rsidR="00B90DCD">
        <w:rPr>
          <w:rStyle w:val="normaltextrun"/>
          <w:rFonts w:cstheme="minorHAnsi"/>
        </w:rPr>
        <w:t xml:space="preserve"> over </w:t>
      </w:r>
      <w:r w:rsidR="005874E7">
        <w:rPr>
          <w:rStyle w:val="normaltextrun"/>
          <w:rFonts w:cstheme="minorHAnsi"/>
        </w:rPr>
        <w:t>the next</w:t>
      </w:r>
      <w:r w:rsidR="00B90DCD">
        <w:rPr>
          <w:rStyle w:val="normaltextrun"/>
          <w:rFonts w:cstheme="minorHAnsi"/>
        </w:rPr>
        <w:t xml:space="preserve"> five years from May 2023 to May 2028</w:t>
      </w:r>
      <w:r w:rsidR="004A26F3">
        <w:rPr>
          <w:rStyle w:val="normaltextrun"/>
          <w:rFonts w:cstheme="minorHAnsi"/>
        </w:rPr>
        <w:t>.</w:t>
      </w:r>
      <w:r w:rsidR="0089376A">
        <w:rPr>
          <w:rStyle w:val="normaltextrun"/>
          <w:rFonts w:cstheme="minorHAnsi"/>
        </w:rPr>
        <w:t xml:space="preserve"> </w:t>
      </w:r>
      <w:r w:rsidR="0001508D">
        <w:rPr>
          <w:rStyle w:val="FootnoteReference"/>
          <w:rFonts w:cstheme="minorHAnsi"/>
        </w:rPr>
        <w:footnoteReference w:id="4"/>
      </w:r>
      <w:r w:rsidR="0063550D">
        <w:rPr>
          <w:rStyle w:val="normaltextrun"/>
          <w:rFonts w:cstheme="minorHAnsi"/>
        </w:rPr>
        <w:t xml:space="preserve"> </w:t>
      </w:r>
      <w:r w:rsidRPr="00344C59">
        <w:rPr>
          <w:rStyle w:val="normaltextrun"/>
          <w:rFonts w:cstheme="minorHAnsi"/>
        </w:rPr>
        <w:t xml:space="preserve">The construction industry has one </w:t>
      </w:r>
      <w:r w:rsidRPr="00471BC5">
        <w:rPr>
          <w:rStyle w:val="normaltextrun"/>
          <w:rFonts w:cstheme="minorHAnsi"/>
        </w:rPr>
        <w:t xml:space="preserve">of the most severe shortages with </w:t>
      </w:r>
      <w:r w:rsidR="002B7A15" w:rsidRPr="00471BC5">
        <w:rPr>
          <w:rStyle w:val="normaltextrun"/>
          <w:rFonts w:cstheme="minorHAnsi"/>
        </w:rPr>
        <w:t>50</w:t>
      </w:r>
      <w:r w:rsidRPr="00471BC5">
        <w:rPr>
          <w:rStyle w:val="normaltextrun"/>
          <w:rFonts w:cstheme="minorHAnsi"/>
        </w:rPr>
        <w:t>% of technician and trade occupations experiencing labour shortages</w:t>
      </w:r>
      <w:r w:rsidR="00D164CA" w:rsidRPr="00471BC5">
        <w:rPr>
          <w:rStyle w:val="normaltextrun"/>
          <w:rFonts w:cstheme="minorHAnsi"/>
        </w:rPr>
        <w:t>.</w:t>
      </w:r>
      <w:r w:rsidR="00CD4D18" w:rsidRPr="00471BC5">
        <w:rPr>
          <w:rStyle w:val="normaltextrun"/>
          <w:rFonts w:cstheme="minorHAnsi"/>
        </w:rPr>
        <w:t xml:space="preserve"> </w:t>
      </w:r>
      <w:r w:rsidR="00CF0EFC" w:rsidRPr="00471BC5">
        <w:rPr>
          <w:rStyle w:val="normaltextrun"/>
          <w:rFonts w:cstheme="minorHAnsi"/>
        </w:rPr>
        <w:t xml:space="preserve">All occupations in the Construction Trades Workers category </w:t>
      </w:r>
      <w:r w:rsidR="00F077A0" w:rsidRPr="00471BC5">
        <w:rPr>
          <w:rStyle w:val="normaltextrun"/>
          <w:rFonts w:cstheme="minorHAnsi"/>
        </w:rPr>
        <w:t xml:space="preserve">(within the technician and trade occupations group) </w:t>
      </w:r>
      <w:r w:rsidR="00CF0EFC" w:rsidRPr="00471BC5">
        <w:rPr>
          <w:rStyle w:val="normaltextrun"/>
          <w:rFonts w:cstheme="minorHAnsi"/>
        </w:rPr>
        <w:t>are in persistent shortage</w:t>
      </w:r>
      <w:r w:rsidR="00F077A0" w:rsidRPr="00471BC5">
        <w:rPr>
          <w:rStyle w:val="normaltextrun"/>
          <w:rFonts w:cstheme="minorHAnsi"/>
        </w:rPr>
        <w:t xml:space="preserve">, which implies </w:t>
      </w:r>
      <w:r w:rsidR="007972C8" w:rsidRPr="00471BC5">
        <w:rPr>
          <w:rStyle w:val="normaltextrun"/>
          <w:rFonts w:cstheme="minorHAnsi"/>
        </w:rPr>
        <w:t xml:space="preserve">that the current </w:t>
      </w:r>
      <w:r w:rsidR="00CF0EFC" w:rsidRPr="00471BC5">
        <w:rPr>
          <w:rStyle w:val="normaltextrun"/>
          <w:rFonts w:cstheme="minorHAnsi"/>
        </w:rPr>
        <w:t xml:space="preserve">tight labour market conditions </w:t>
      </w:r>
      <w:r w:rsidR="007972C8" w:rsidRPr="00471BC5">
        <w:rPr>
          <w:rStyle w:val="normaltextrun"/>
          <w:rFonts w:cstheme="minorHAnsi"/>
        </w:rPr>
        <w:t xml:space="preserve">are simply </w:t>
      </w:r>
      <w:r w:rsidR="00CF0EFC" w:rsidRPr="00471BC5">
        <w:rPr>
          <w:rStyle w:val="normaltextrun"/>
          <w:rFonts w:cstheme="minorHAnsi"/>
        </w:rPr>
        <w:t>exacerbat</w:t>
      </w:r>
      <w:r w:rsidR="007972C8" w:rsidRPr="00471BC5">
        <w:rPr>
          <w:rStyle w:val="normaltextrun"/>
          <w:rFonts w:cstheme="minorHAnsi"/>
        </w:rPr>
        <w:t>ing</w:t>
      </w:r>
      <w:r w:rsidR="00CF0EFC" w:rsidRPr="00471BC5">
        <w:rPr>
          <w:rStyle w:val="normaltextrun"/>
          <w:rFonts w:cstheme="minorHAnsi"/>
        </w:rPr>
        <w:t xml:space="preserve"> shortage issues that appear to be chronic in the sector.</w:t>
      </w:r>
      <w:r w:rsidR="00305D6E" w:rsidRPr="00471BC5">
        <w:rPr>
          <w:rStyle w:val="FootnoteReference"/>
          <w:rFonts w:ascii="Calibri" w:eastAsia="Calibri" w:hAnsi="Calibri" w:cs="Calibri"/>
        </w:rPr>
        <w:footnoteReference w:id="5"/>
      </w:r>
      <w:r w:rsidRPr="00471BC5">
        <w:rPr>
          <w:rStyle w:val="normaltextrun"/>
          <w:rFonts w:cstheme="minorHAnsi"/>
        </w:rPr>
        <w:t xml:space="preserve"> </w:t>
      </w:r>
    </w:p>
    <w:p w14:paraId="520F2610" w14:textId="0B8F39C3" w:rsidR="00D1382C" w:rsidRPr="00471BC5" w:rsidRDefault="00632CC1" w:rsidP="00CD1E37">
      <w:pPr>
        <w:rPr>
          <w:rStyle w:val="normaltextrun"/>
          <w:rFonts w:cstheme="minorHAnsi"/>
          <w:vertAlign w:val="superscript"/>
        </w:rPr>
      </w:pPr>
      <w:r w:rsidRPr="00471BC5">
        <w:rPr>
          <w:rStyle w:val="normaltextrun"/>
          <w:rFonts w:cstheme="minorHAnsi"/>
        </w:rPr>
        <w:t>Beyond construction, digital skills are one of the most rapidly growing and sought-after skills in the economy with demand expected to rise further in the future.</w:t>
      </w:r>
      <w:r w:rsidR="00B5638E" w:rsidRPr="00471BC5">
        <w:rPr>
          <w:rStyle w:val="FootnoteReference"/>
          <w:rFonts w:ascii="Calibri" w:eastAsia="Calibri" w:hAnsi="Calibri" w:cs="Calibri"/>
        </w:rPr>
        <w:footnoteReference w:id="6"/>
      </w:r>
      <w:r w:rsidRPr="00471BC5">
        <w:rPr>
          <w:rStyle w:val="normaltextrun"/>
          <w:rFonts w:cstheme="minorHAnsi"/>
        </w:rPr>
        <w:t xml:space="preserve"> Across all </w:t>
      </w:r>
      <w:r w:rsidR="005E4828" w:rsidRPr="00471BC5">
        <w:rPr>
          <w:rStyle w:val="normaltextrun"/>
          <w:rFonts w:eastAsiaTheme="minorEastAsia" w:cstheme="minorHAnsi"/>
        </w:rPr>
        <w:t>I</w:t>
      </w:r>
      <w:r w:rsidR="00DD05BC" w:rsidRPr="00471BC5">
        <w:rPr>
          <w:rStyle w:val="normaltextrun"/>
          <w:rFonts w:eastAsiaTheme="minorEastAsia" w:cstheme="minorHAnsi"/>
        </w:rPr>
        <w:t xml:space="preserve">nformation and </w:t>
      </w:r>
      <w:r w:rsidR="005E4828" w:rsidRPr="00471BC5">
        <w:rPr>
          <w:rStyle w:val="normaltextrun"/>
          <w:rFonts w:eastAsiaTheme="minorEastAsia" w:cstheme="minorHAnsi"/>
        </w:rPr>
        <w:t>C</w:t>
      </w:r>
      <w:r w:rsidR="00DD05BC" w:rsidRPr="00471BC5">
        <w:rPr>
          <w:rStyle w:val="normaltextrun"/>
          <w:rFonts w:eastAsiaTheme="minorEastAsia" w:cstheme="minorHAnsi"/>
        </w:rPr>
        <w:t xml:space="preserve">ommunication </w:t>
      </w:r>
      <w:r w:rsidR="00E00C41" w:rsidRPr="00471BC5">
        <w:rPr>
          <w:rStyle w:val="normaltextrun"/>
          <w:rFonts w:eastAsiaTheme="minorEastAsia" w:cstheme="minorHAnsi"/>
        </w:rPr>
        <w:t>T</w:t>
      </w:r>
      <w:r w:rsidR="00DD05BC" w:rsidRPr="00471BC5">
        <w:rPr>
          <w:rStyle w:val="normaltextrun"/>
          <w:rFonts w:eastAsiaTheme="minorEastAsia" w:cstheme="minorHAnsi"/>
        </w:rPr>
        <w:t xml:space="preserve">echnology </w:t>
      </w:r>
      <w:r w:rsidR="005C5C9C" w:rsidRPr="00471BC5">
        <w:rPr>
          <w:rStyle w:val="normaltextrun"/>
          <w:rFonts w:eastAsiaTheme="minorEastAsia" w:cstheme="minorHAnsi"/>
        </w:rPr>
        <w:t>(</w:t>
      </w:r>
      <w:r w:rsidRPr="00471BC5">
        <w:rPr>
          <w:rStyle w:val="normaltextrun"/>
          <w:rFonts w:cstheme="minorHAnsi"/>
        </w:rPr>
        <w:t>ICT</w:t>
      </w:r>
      <w:r w:rsidR="005C5C9C" w:rsidRPr="00471BC5">
        <w:rPr>
          <w:rStyle w:val="normaltextrun"/>
          <w:rFonts w:cstheme="minorHAnsi"/>
        </w:rPr>
        <w:t>)</w:t>
      </w:r>
      <w:r w:rsidRPr="00471BC5">
        <w:rPr>
          <w:rStyle w:val="normaltextrun"/>
          <w:rFonts w:cstheme="minorHAnsi"/>
        </w:rPr>
        <w:t xml:space="preserve"> </w:t>
      </w:r>
      <w:r w:rsidR="005C5C9C" w:rsidRPr="00471BC5">
        <w:rPr>
          <w:rStyle w:val="normaltextrun"/>
          <w:rFonts w:cstheme="minorHAnsi"/>
        </w:rPr>
        <w:t>p</w:t>
      </w:r>
      <w:r w:rsidRPr="00471BC5">
        <w:rPr>
          <w:rStyle w:val="normaltextrun"/>
          <w:rFonts w:cstheme="minorHAnsi"/>
        </w:rPr>
        <w:t>rofessional occupations assessed for the 202</w:t>
      </w:r>
      <w:r w:rsidR="001F0426" w:rsidRPr="00471BC5">
        <w:rPr>
          <w:rStyle w:val="normaltextrun"/>
          <w:rFonts w:cstheme="minorHAnsi"/>
        </w:rPr>
        <w:t>3</w:t>
      </w:r>
      <w:r w:rsidRPr="00471BC5">
        <w:rPr>
          <w:rStyle w:val="normaltextrun"/>
          <w:rFonts w:cstheme="minorHAnsi"/>
        </w:rPr>
        <w:t xml:space="preserve"> Skills Priority List (SPL), </w:t>
      </w:r>
      <w:r w:rsidR="001F0426" w:rsidRPr="00471BC5">
        <w:rPr>
          <w:rStyle w:val="normaltextrun"/>
          <w:rFonts w:cstheme="minorHAnsi"/>
        </w:rPr>
        <w:t>6</w:t>
      </w:r>
      <w:r w:rsidRPr="00471BC5">
        <w:rPr>
          <w:rStyle w:val="normaltextrun"/>
          <w:rFonts w:cstheme="minorHAnsi"/>
        </w:rPr>
        <w:t>9% were found to be in shortage compared with 3</w:t>
      </w:r>
      <w:r w:rsidR="00BB4978" w:rsidRPr="00471BC5">
        <w:rPr>
          <w:rStyle w:val="normaltextrun"/>
          <w:rFonts w:cstheme="minorHAnsi"/>
        </w:rPr>
        <w:t>6</w:t>
      </w:r>
      <w:r w:rsidRPr="00471BC5">
        <w:rPr>
          <w:rStyle w:val="normaltextrun"/>
          <w:rFonts w:cstheme="minorHAnsi"/>
        </w:rPr>
        <w:t>% across all occupations.</w:t>
      </w:r>
      <w:r w:rsidR="00FD0C1F" w:rsidRPr="00471BC5">
        <w:rPr>
          <w:rStyle w:val="FootnoteReference"/>
        </w:rPr>
        <w:footnoteReference w:id="7"/>
      </w:r>
      <w:r w:rsidRPr="00471BC5">
        <w:rPr>
          <w:rStyle w:val="normaltextrun"/>
          <w:rFonts w:cstheme="minorHAnsi"/>
          <w:vertAlign w:val="superscript"/>
        </w:rPr>
        <w:t xml:space="preserve"> </w:t>
      </w:r>
    </w:p>
    <w:p w14:paraId="1D533D72" w14:textId="439B5B4E" w:rsidR="00DB0393" w:rsidRPr="00344C59" w:rsidRDefault="00D1382C" w:rsidP="00CD1E37">
      <w:r w:rsidRPr="00471BC5">
        <w:t xml:space="preserve">Jobs and Skills Australia’s </w:t>
      </w:r>
      <w:r w:rsidR="00830C88" w:rsidRPr="00471BC5">
        <w:t>(JSA)</w:t>
      </w:r>
      <w:r w:rsidRPr="00471BC5">
        <w:t xml:space="preserve"> </w:t>
      </w:r>
      <w:r w:rsidR="001E2D99" w:rsidRPr="00471BC5">
        <w:t xml:space="preserve">2023 Skills Priority List, Key Findings Report, suggests that skills shortages are </w:t>
      </w:r>
      <w:r w:rsidR="007C2FE8" w:rsidRPr="00471BC5">
        <w:t>not simply caused by either high demand growth or weak flow of skilled workers into occupations</w:t>
      </w:r>
      <w:r w:rsidR="00DE0186" w:rsidRPr="00471BC5">
        <w:t>,</w:t>
      </w:r>
      <w:r w:rsidR="007C2FE8" w:rsidRPr="00471BC5">
        <w:t xml:space="preserve"> rather the interaction of both</w:t>
      </w:r>
      <w:r w:rsidR="0007748C" w:rsidRPr="00471BC5">
        <w:t xml:space="preserve">. The report </w:t>
      </w:r>
      <w:r w:rsidR="001D15A4" w:rsidRPr="00471BC5">
        <w:t>notes t</w:t>
      </w:r>
      <w:r w:rsidR="00B20313" w:rsidRPr="00471BC5">
        <w:t xml:space="preserve">hat </w:t>
      </w:r>
      <w:r w:rsidR="5CF82778" w:rsidRPr="00471BC5">
        <w:t>Vocational Education and Training (</w:t>
      </w:r>
      <w:r w:rsidR="00B20313" w:rsidRPr="00471BC5">
        <w:t>VET</w:t>
      </w:r>
      <w:r w:rsidR="05E50B8C" w:rsidRPr="00471BC5">
        <w:t>)</w:t>
      </w:r>
      <w:r w:rsidR="00B20313" w:rsidRPr="00471BC5">
        <w:t xml:space="preserve"> and higher education pathways have an integral part to play in alleviating shortage pressures</w:t>
      </w:r>
      <w:r w:rsidR="007C2FE8" w:rsidRPr="00471BC5">
        <w:t>.</w:t>
      </w:r>
      <w:r w:rsidR="005B64C6" w:rsidRPr="00471BC5">
        <w:t xml:space="preserve"> It </w:t>
      </w:r>
      <w:r w:rsidR="00CF0B9C" w:rsidRPr="00471BC5">
        <w:t xml:space="preserve">found that </w:t>
      </w:r>
      <w:r w:rsidR="002304F2" w:rsidRPr="00471BC5">
        <w:t>those</w:t>
      </w:r>
      <w:r w:rsidR="00EE64CB" w:rsidRPr="00471BC5">
        <w:t xml:space="preserve"> </w:t>
      </w:r>
      <w:r w:rsidR="005B64C6" w:rsidRPr="00471BC5">
        <w:t>o</w:t>
      </w:r>
      <w:r w:rsidR="008A203C" w:rsidRPr="00471BC5">
        <w:t>ccupations with VET as the primary pathway to the labour market had a large percentage of occupations in shortage</w:t>
      </w:r>
      <w:r w:rsidR="00827270" w:rsidRPr="00471BC5">
        <w:t>. For example,</w:t>
      </w:r>
      <w:r w:rsidR="008A203C" w:rsidRPr="00471BC5">
        <w:t xml:space="preserve"> almost half of Skill Level 3 occupations (47%)</w:t>
      </w:r>
      <w:r w:rsidR="004462C7" w:rsidRPr="00471BC5">
        <w:t xml:space="preserve">, </w:t>
      </w:r>
      <w:r w:rsidR="008A203C" w:rsidRPr="00471BC5">
        <w:t>which typically require a Certificate III</w:t>
      </w:r>
      <w:r w:rsidR="002D7CDF" w:rsidRPr="00471BC5">
        <w:t xml:space="preserve"> or </w:t>
      </w:r>
      <w:r w:rsidR="008A203C" w:rsidRPr="00471BC5">
        <w:t xml:space="preserve">IV </w:t>
      </w:r>
      <w:r w:rsidR="00827270" w:rsidRPr="00471BC5">
        <w:t>are</w:t>
      </w:r>
      <w:r w:rsidR="008A203C" w:rsidRPr="00471BC5">
        <w:t xml:space="preserve"> in shortage. </w:t>
      </w:r>
      <w:r w:rsidR="006E31D7" w:rsidRPr="00471BC5">
        <w:t xml:space="preserve">Skill </w:t>
      </w:r>
      <w:r w:rsidR="00321652" w:rsidRPr="00471BC5">
        <w:t xml:space="preserve">Level 3 occupations had the highest proportion of </w:t>
      </w:r>
      <w:r w:rsidR="00D85CFE" w:rsidRPr="00471BC5">
        <w:t>shortages</w:t>
      </w:r>
      <w:r w:rsidR="00DB35D2" w:rsidRPr="00471BC5">
        <w:t xml:space="preserve"> out of all skill levels</w:t>
      </w:r>
      <w:r w:rsidR="005F5083" w:rsidRPr="00471BC5">
        <w:t>.</w:t>
      </w:r>
      <w:r w:rsidR="00CF0C60" w:rsidRPr="00471BC5">
        <w:rPr>
          <w:rStyle w:val="FootnoteReference"/>
          <w:rFonts w:ascii="Calibri" w:eastAsia="Calibri" w:hAnsi="Calibri" w:cs="Calibri"/>
          <w:color w:val="000000" w:themeColor="text1"/>
        </w:rPr>
        <w:footnoteReference w:id="8"/>
      </w:r>
      <w:r w:rsidR="00CF0C60" w:rsidRPr="00471BC5">
        <w:rPr>
          <w:rStyle w:val="normaltextrun"/>
        </w:rPr>
        <w:t xml:space="preserve"> </w:t>
      </w:r>
      <w:r w:rsidR="00827270" w:rsidRPr="00471BC5">
        <w:rPr>
          <w:rStyle w:val="normaltextrun"/>
        </w:rPr>
        <w:t>T</w:t>
      </w:r>
      <w:r w:rsidR="00B05F48">
        <w:t xml:space="preserve">he </w:t>
      </w:r>
      <w:r w:rsidR="00B05F48" w:rsidRPr="00B71D90">
        <w:t>building and construction and maintenance services sector</w:t>
      </w:r>
      <w:r w:rsidR="00B05F48">
        <w:t xml:space="preserve"> </w:t>
      </w:r>
      <w:r w:rsidR="00B05F48" w:rsidRPr="00B71D90">
        <w:t xml:space="preserve">has </w:t>
      </w:r>
      <w:r w:rsidR="00B05F48">
        <w:t>a strong link</w:t>
      </w:r>
      <w:r w:rsidR="00B05F48" w:rsidRPr="00B71D90">
        <w:t xml:space="preserve"> to occupations with a clear apprenticeship pathway </w:t>
      </w:r>
      <w:r w:rsidR="00B05F48">
        <w:t xml:space="preserve">with </w:t>
      </w:r>
      <w:r w:rsidR="00B05F48" w:rsidRPr="49AD854B">
        <w:rPr>
          <w:rStyle w:val="normaltextrun"/>
          <w:rFonts w:eastAsiaTheme="minorEastAsia"/>
        </w:rPr>
        <w:t>around 124,440 apprentices and trainees in training in construction.</w:t>
      </w:r>
      <w:r w:rsidR="00B05F48" w:rsidRPr="49AD854B">
        <w:rPr>
          <w:rStyle w:val="FootnoteReference"/>
          <w:rFonts w:eastAsiaTheme="minorEastAsia"/>
        </w:rPr>
        <w:footnoteReference w:id="9"/>
      </w:r>
      <w:r w:rsidR="00B05F48">
        <w:rPr>
          <w:rStyle w:val="normaltextrun"/>
          <w:rFonts w:eastAsiaTheme="minorEastAsia"/>
        </w:rPr>
        <w:t xml:space="preserve"> </w:t>
      </w:r>
      <w:r w:rsidR="0039592A">
        <w:t xml:space="preserve">Apprentices, trainees and cadets are </w:t>
      </w:r>
      <w:r w:rsidR="00BC1730">
        <w:t xml:space="preserve">therefore </w:t>
      </w:r>
      <w:r w:rsidR="005E18A4">
        <w:t>a</w:t>
      </w:r>
      <w:r w:rsidR="00BC1730">
        <w:t xml:space="preserve"> </w:t>
      </w:r>
      <w:r w:rsidR="0039592A">
        <w:t xml:space="preserve">key aspect </w:t>
      </w:r>
      <w:r w:rsidR="00050A7E">
        <w:t>of</w:t>
      </w:r>
      <w:r w:rsidR="0039592A">
        <w:t xml:space="preserve"> </w:t>
      </w:r>
      <w:r w:rsidR="005D74F0">
        <w:t xml:space="preserve">these </w:t>
      </w:r>
      <w:r w:rsidR="0039592A">
        <w:t>skills shortages</w:t>
      </w:r>
      <w:r w:rsidR="00050A7E">
        <w:t xml:space="preserve">. </w:t>
      </w:r>
      <w:r w:rsidR="00D00F9D">
        <w:t xml:space="preserve">In key and rapid growing industries, </w:t>
      </w:r>
      <w:r w:rsidR="007534F1">
        <w:t>i</w:t>
      </w:r>
      <w:r w:rsidR="007534F1" w:rsidRPr="007534F1">
        <w:t xml:space="preserve">nvesting in </w:t>
      </w:r>
      <w:r w:rsidR="00AC556B">
        <w:t xml:space="preserve">these </w:t>
      </w:r>
      <w:r w:rsidR="007534F1" w:rsidRPr="007534F1">
        <w:t>skill development</w:t>
      </w:r>
      <w:r w:rsidR="007534F1">
        <w:t xml:space="preserve"> pathways</w:t>
      </w:r>
      <w:r w:rsidR="00B451B0">
        <w:t xml:space="preserve">, including creating an environment to encourage greater use of apprenticeship and traineeship pathways, </w:t>
      </w:r>
      <w:r w:rsidR="00474899">
        <w:t xml:space="preserve">is critical to </w:t>
      </w:r>
      <w:r w:rsidR="005039AF">
        <w:t>generating</w:t>
      </w:r>
      <w:r w:rsidR="005039AF" w:rsidRPr="007534F1">
        <w:t xml:space="preserve"> </w:t>
      </w:r>
      <w:r w:rsidR="007534F1" w:rsidRPr="007534F1">
        <w:t xml:space="preserve">a </w:t>
      </w:r>
      <w:r w:rsidR="0033223F">
        <w:t xml:space="preserve">pipeline of skilled workers to </w:t>
      </w:r>
      <w:r w:rsidR="007534F1" w:rsidRPr="007534F1">
        <w:t>reduc</w:t>
      </w:r>
      <w:r w:rsidR="004B3DE1">
        <w:t>e</w:t>
      </w:r>
      <w:r w:rsidR="007534F1" w:rsidRPr="007534F1">
        <w:t xml:space="preserve"> skills shortage</w:t>
      </w:r>
      <w:r w:rsidR="004B3DE1">
        <w:t>s</w:t>
      </w:r>
      <w:r w:rsidR="007534F1" w:rsidRPr="007534F1">
        <w:t xml:space="preserve"> in the future.</w:t>
      </w:r>
      <w:r w:rsidR="00A6202B">
        <w:t xml:space="preserve"> </w:t>
      </w:r>
    </w:p>
    <w:p w14:paraId="40A58ED9" w14:textId="40744CFF" w:rsidR="00A6202B" w:rsidRPr="00016C83" w:rsidRDefault="000479E4" w:rsidP="007F1699">
      <w:pPr>
        <w:pStyle w:val="Heading2"/>
        <w:rPr>
          <w:rStyle w:val="normaltextrun"/>
        </w:rPr>
      </w:pPr>
      <w:bookmarkStart w:id="11" w:name="_Toc159246213"/>
      <w:r w:rsidRPr="00016C83">
        <w:rPr>
          <w:rStyle w:val="normaltextrun"/>
        </w:rPr>
        <w:lastRenderedPageBreak/>
        <w:t xml:space="preserve">Sub-problem: </w:t>
      </w:r>
      <w:r w:rsidR="00E72A00" w:rsidRPr="00016C83">
        <w:rPr>
          <w:rStyle w:val="normaltextrun"/>
        </w:rPr>
        <w:t xml:space="preserve">Gender segregation </w:t>
      </w:r>
      <w:r w:rsidRPr="00016C83">
        <w:rPr>
          <w:rStyle w:val="normaltextrun"/>
        </w:rPr>
        <w:t>is contributing to shortages</w:t>
      </w:r>
      <w:bookmarkEnd w:id="11"/>
      <w:r w:rsidRPr="00016C83">
        <w:rPr>
          <w:rStyle w:val="normaltextrun"/>
        </w:rPr>
        <w:t xml:space="preserve"> </w:t>
      </w:r>
    </w:p>
    <w:p w14:paraId="2C84F8F3" w14:textId="208C2381" w:rsidR="009D0C39" w:rsidRDefault="5195FBBD" w:rsidP="00CD1E37">
      <w:pPr>
        <w:rPr>
          <w:rStyle w:val="normaltextrun"/>
        </w:rPr>
      </w:pPr>
      <w:r w:rsidRPr="2EDE4EBA">
        <w:rPr>
          <w:lang w:eastAsia="en-AU"/>
        </w:rPr>
        <w:t>Historical stereotyping</w:t>
      </w:r>
      <w:r w:rsidR="00632CC1" w:rsidRPr="2EDE4EBA">
        <w:rPr>
          <w:rStyle w:val="FootnoteReference"/>
          <w:rFonts w:eastAsiaTheme="minorEastAsia"/>
          <w:lang w:eastAsia="en-AU"/>
        </w:rPr>
        <w:footnoteReference w:id="10"/>
      </w:r>
      <w:r w:rsidRPr="2EDE4EBA">
        <w:rPr>
          <w:lang w:eastAsia="en-AU"/>
        </w:rPr>
        <w:t xml:space="preserve">, workplace culture, systemic harassment and bullying and unconscious biases across Australian workplaces </w:t>
      </w:r>
      <w:r w:rsidR="79010BB2" w:rsidRPr="2EDE4EBA">
        <w:rPr>
          <w:lang w:eastAsia="en-AU"/>
        </w:rPr>
        <w:t xml:space="preserve">can </w:t>
      </w:r>
      <w:r w:rsidR="01E3EB0F" w:rsidRPr="2EDE4EBA">
        <w:rPr>
          <w:lang w:eastAsia="en-AU"/>
        </w:rPr>
        <w:t>create</w:t>
      </w:r>
      <w:r w:rsidRPr="2EDE4EBA">
        <w:rPr>
          <w:lang w:eastAsia="en-AU"/>
        </w:rPr>
        <w:t xml:space="preserve"> disproportionate disadvantage for women</w:t>
      </w:r>
      <w:r w:rsidR="002D7CDF">
        <w:rPr>
          <w:lang w:eastAsia="en-AU"/>
        </w:rPr>
        <w:t xml:space="preserve"> and is reflected in the low numbers of women working in these sectors</w:t>
      </w:r>
      <w:r w:rsidRPr="2EDE4EBA">
        <w:rPr>
          <w:lang w:eastAsia="en-AU"/>
        </w:rPr>
        <w:t>.</w:t>
      </w:r>
      <w:r w:rsidR="0083271A">
        <w:rPr>
          <w:lang w:eastAsia="en-AU"/>
        </w:rPr>
        <w:t xml:space="preserve"> </w:t>
      </w:r>
      <w:r w:rsidR="007F2FD4">
        <w:rPr>
          <w:rStyle w:val="normaltextrun"/>
          <w:rFonts w:eastAsiaTheme="minorEastAsia" w:cstheme="minorHAnsi"/>
        </w:rPr>
        <w:t>A more agile labour market is</w:t>
      </w:r>
      <w:r w:rsidR="00E414A9">
        <w:rPr>
          <w:rStyle w:val="normaltextrun"/>
          <w:rFonts w:eastAsiaTheme="minorEastAsia" w:cstheme="minorHAnsi"/>
        </w:rPr>
        <w:t xml:space="preserve"> </w:t>
      </w:r>
      <w:r w:rsidR="007F2FD4">
        <w:rPr>
          <w:rStyle w:val="normaltextrun"/>
          <w:rFonts w:eastAsiaTheme="minorEastAsia" w:cstheme="minorHAnsi"/>
        </w:rPr>
        <w:t xml:space="preserve">required to meet the demands of digital transformation, energy transition </w:t>
      </w:r>
      <w:r w:rsidR="00681E15">
        <w:rPr>
          <w:rStyle w:val="normaltextrun"/>
          <w:rFonts w:eastAsiaTheme="minorEastAsia" w:cstheme="minorHAnsi"/>
        </w:rPr>
        <w:t>and</w:t>
      </w:r>
      <w:r w:rsidR="007F2FD4">
        <w:rPr>
          <w:rStyle w:val="normaltextrun"/>
          <w:rFonts w:eastAsiaTheme="minorEastAsia" w:cstheme="minorHAnsi"/>
        </w:rPr>
        <w:t xml:space="preserve"> an ageing population. </w:t>
      </w:r>
      <w:r w:rsidR="00FD3828">
        <w:rPr>
          <w:rStyle w:val="normaltextrun"/>
          <w:rFonts w:eastAsiaTheme="minorEastAsia" w:cstheme="minorHAnsi"/>
        </w:rPr>
        <w:t>There is evidence</w:t>
      </w:r>
      <w:r w:rsidR="007F2FD4">
        <w:rPr>
          <w:rStyle w:val="normaltextrun"/>
          <w:rFonts w:eastAsiaTheme="minorEastAsia" w:cstheme="minorHAnsi"/>
        </w:rPr>
        <w:t xml:space="preserve"> that a more segr</w:t>
      </w:r>
      <w:r w:rsidR="00E10571">
        <w:rPr>
          <w:rStyle w:val="normaltextrun"/>
          <w:rFonts w:eastAsiaTheme="minorEastAsia" w:cstheme="minorHAnsi"/>
        </w:rPr>
        <w:t>egated</w:t>
      </w:r>
      <w:r w:rsidR="00623C0E">
        <w:rPr>
          <w:rStyle w:val="normaltextrun"/>
          <w:rFonts w:eastAsiaTheme="minorEastAsia" w:cstheme="minorHAnsi"/>
        </w:rPr>
        <w:t xml:space="preserve"> workforce limits job mobility, stifles labour market flexibility and </w:t>
      </w:r>
      <w:r w:rsidR="00FD3828">
        <w:rPr>
          <w:rStyle w:val="normaltextrun"/>
          <w:rFonts w:eastAsiaTheme="minorEastAsia" w:cstheme="minorHAnsi"/>
        </w:rPr>
        <w:t>impacts productivity.</w:t>
      </w:r>
      <w:r w:rsidR="007F2FD4">
        <w:rPr>
          <w:rStyle w:val="normaltextrun"/>
          <w:rFonts w:eastAsiaTheme="minorEastAsia" w:cstheme="minorHAnsi"/>
        </w:rPr>
        <w:t xml:space="preserve"> </w:t>
      </w:r>
      <w:r w:rsidR="001C021B">
        <w:rPr>
          <w:rStyle w:val="normaltextrun"/>
          <w:rFonts w:eastAsiaTheme="minorEastAsia" w:cstheme="minorHAnsi"/>
        </w:rPr>
        <w:t xml:space="preserve">The </w:t>
      </w:r>
      <w:r w:rsidR="00294EAD">
        <w:rPr>
          <w:lang w:eastAsia="en-AU"/>
        </w:rPr>
        <w:t>JSA</w:t>
      </w:r>
      <w:r w:rsidR="0030049A">
        <w:rPr>
          <w:lang w:eastAsia="en-AU"/>
        </w:rPr>
        <w:t xml:space="preserve"> </w:t>
      </w:r>
      <w:r w:rsidR="00E76CA6">
        <w:rPr>
          <w:lang w:eastAsia="en-AU"/>
        </w:rPr>
        <w:t>Skills</w:t>
      </w:r>
      <w:r w:rsidR="0030049A">
        <w:rPr>
          <w:lang w:eastAsia="en-AU"/>
        </w:rPr>
        <w:t xml:space="preserve"> </w:t>
      </w:r>
      <w:r w:rsidR="00E41179">
        <w:rPr>
          <w:lang w:eastAsia="en-AU"/>
        </w:rPr>
        <w:t xml:space="preserve">Shortage Quarterly </w:t>
      </w:r>
      <w:r w:rsidR="00E240A7">
        <w:rPr>
          <w:lang w:eastAsia="en-AU"/>
        </w:rPr>
        <w:t xml:space="preserve">Report in September 2023 </w:t>
      </w:r>
      <w:r w:rsidR="002D009B">
        <w:rPr>
          <w:lang w:eastAsia="en-AU"/>
        </w:rPr>
        <w:t>s</w:t>
      </w:r>
      <w:r w:rsidR="00E240A7">
        <w:rPr>
          <w:lang w:eastAsia="en-AU"/>
        </w:rPr>
        <w:t>potlight piece</w:t>
      </w:r>
      <w:r w:rsidR="002D009B">
        <w:rPr>
          <w:lang w:eastAsia="en-AU"/>
        </w:rPr>
        <w:t>,</w:t>
      </w:r>
      <w:r w:rsidR="00E240A7">
        <w:rPr>
          <w:lang w:eastAsia="en-AU"/>
        </w:rPr>
        <w:t xml:space="preserve"> </w:t>
      </w:r>
      <w:r w:rsidR="00594D0D">
        <w:rPr>
          <w:lang w:eastAsia="en-AU"/>
        </w:rPr>
        <w:t>‘</w:t>
      </w:r>
      <w:r w:rsidR="00D26EAE" w:rsidRPr="00471BC5">
        <w:rPr>
          <w:i/>
          <w:iCs/>
          <w:lang w:eastAsia="en-AU"/>
        </w:rPr>
        <w:t>Is Gender inequality impacting fill rates?</w:t>
      </w:r>
      <w:r w:rsidR="00C26B99" w:rsidRPr="00471BC5">
        <w:rPr>
          <w:rStyle w:val="FootnoteReference"/>
          <w:rFonts w:eastAsiaTheme="minorEastAsia"/>
          <w:i/>
          <w:iCs/>
          <w:lang w:eastAsia="en-AU"/>
        </w:rPr>
        <w:footnoteReference w:id="11"/>
      </w:r>
      <w:r w:rsidR="00D26EAE">
        <w:rPr>
          <w:lang w:eastAsia="en-AU"/>
        </w:rPr>
        <w:t xml:space="preserve">’ </w:t>
      </w:r>
      <w:r w:rsidR="00001A70">
        <w:rPr>
          <w:lang w:eastAsia="en-AU"/>
        </w:rPr>
        <w:t>found from 2016 to 2023</w:t>
      </w:r>
      <w:r w:rsidR="004A45BA">
        <w:rPr>
          <w:lang w:eastAsia="en-AU"/>
        </w:rPr>
        <w:t xml:space="preserve"> there </w:t>
      </w:r>
      <w:r w:rsidR="0030049A">
        <w:rPr>
          <w:lang w:eastAsia="en-AU"/>
        </w:rPr>
        <w:t>wa</w:t>
      </w:r>
      <w:r w:rsidR="004A45BA">
        <w:rPr>
          <w:lang w:eastAsia="en-AU"/>
        </w:rPr>
        <w:t xml:space="preserve">s </w:t>
      </w:r>
      <w:r w:rsidR="00770B90">
        <w:rPr>
          <w:lang w:eastAsia="en-AU"/>
        </w:rPr>
        <w:t xml:space="preserve">a </w:t>
      </w:r>
      <w:r w:rsidR="004A45BA">
        <w:rPr>
          <w:lang w:eastAsia="en-AU"/>
        </w:rPr>
        <w:t xml:space="preserve">clear statistically </w:t>
      </w:r>
      <w:r w:rsidR="00BF37E4">
        <w:rPr>
          <w:lang w:eastAsia="en-AU"/>
        </w:rPr>
        <w:t>significant downward trend</w:t>
      </w:r>
      <w:r w:rsidR="008919C1">
        <w:rPr>
          <w:lang w:eastAsia="en-AU"/>
        </w:rPr>
        <w:t xml:space="preserve"> </w:t>
      </w:r>
      <w:r w:rsidR="00E17F79">
        <w:rPr>
          <w:lang w:eastAsia="en-AU"/>
        </w:rPr>
        <w:t>filling job vacancies</w:t>
      </w:r>
      <w:r w:rsidR="00B2481A">
        <w:rPr>
          <w:lang w:eastAsia="en-AU"/>
        </w:rPr>
        <w:t xml:space="preserve"> </w:t>
      </w:r>
      <w:r w:rsidR="00BF37E4">
        <w:rPr>
          <w:lang w:eastAsia="en-AU"/>
        </w:rPr>
        <w:t>for male dominated occupations</w:t>
      </w:r>
      <w:r w:rsidR="00A65BDD">
        <w:rPr>
          <w:lang w:eastAsia="en-AU"/>
        </w:rPr>
        <w:t>: the higher the gender in</w:t>
      </w:r>
      <w:r w:rsidR="000736D9">
        <w:rPr>
          <w:lang w:eastAsia="en-AU"/>
        </w:rPr>
        <w:t xml:space="preserve">equality </w:t>
      </w:r>
      <w:r w:rsidR="00955CDD">
        <w:rPr>
          <w:lang w:eastAsia="en-AU"/>
        </w:rPr>
        <w:t xml:space="preserve">in an occupation </w:t>
      </w:r>
      <w:r w:rsidR="00C77F83">
        <w:rPr>
          <w:lang w:eastAsia="en-AU"/>
        </w:rPr>
        <w:t xml:space="preserve">the lower the </w:t>
      </w:r>
      <w:r w:rsidR="00CB4744">
        <w:rPr>
          <w:lang w:eastAsia="en-AU"/>
        </w:rPr>
        <w:t>recruitment</w:t>
      </w:r>
      <w:r w:rsidR="00822FBA">
        <w:rPr>
          <w:lang w:eastAsia="en-AU"/>
        </w:rPr>
        <w:t xml:space="preserve"> </w:t>
      </w:r>
      <w:r w:rsidR="00C77F83">
        <w:rPr>
          <w:lang w:eastAsia="en-AU"/>
        </w:rPr>
        <w:t>fill rate</w:t>
      </w:r>
      <w:r w:rsidR="00CB4744">
        <w:rPr>
          <w:lang w:eastAsia="en-AU"/>
        </w:rPr>
        <w:t xml:space="preserve">. </w:t>
      </w:r>
      <w:r w:rsidR="0030049A">
        <w:rPr>
          <w:lang w:eastAsia="en-AU"/>
        </w:rPr>
        <w:t>The JSA analysis</w:t>
      </w:r>
      <w:r w:rsidR="00B136B4" w:rsidRPr="00B136B4">
        <w:rPr>
          <w:lang w:eastAsia="en-AU"/>
        </w:rPr>
        <w:t xml:space="preserve"> </w:t>
      </w:r>
      <w:r w:rsidR="00746CE0">
        <w:rPr>
          <w:lang w:eastAsia="en-AU"/>
        </w:rPr>
        <w:t>noted that</w:t>
      </w:r>
      <w:r w:rsidR="00B136B4" w:rsidRPr="00B136B4">
        <w:rPr>
          <w:lang w:eastAsia="en-AU"/>
        </w:rPr>
        <w:t xml:space="preserve"> Automotive and Engineering Trades Workers, Construction Trades Workers, and Electrotechnology and Telecommunications Trade Workers </w:t>
      </w:r>
      <w:r w:rsidR="00746CE0">
        <w:rPr>
          <w:lang w:eastAsia="en-AU"/>
        </w:rPr>
        <w:t xml:space="preserve">with </w:t>
      </w:r>
      <w:r w:rsidR="00746CE0" w:rsidRPr="00B136B4">
        <w:rPr>
          <w:lang w:eastAsia="en-AU"/>
        </w:rPr>
        <w:t>above 90% male workers</w:t>
      </w:r>
      <w:r w:rsidR="00746CE0">
        <w:rPr>
          <w:lang w:eastAsia="en-AU"/>
        </w:rPr>
        <w:t>,</w:t>
      </w:r>
      <w:r w:rsidR="00B136B4" w:rsidRPr="00B136B4">
        <w:rPr>
          <w:lang w:eastAsia="en-AU"/>
        </w:rPr>
        <w:t xml:space="preserve"> had the lowest fill rates.</w:t>
      </w:r>
      <w:r w:rsidR="00D26EAE">
        <w:rPr>
          <w:lang w:eastAsia="en-AU"/>
        </w:rPr>
        <w:t xml:space="preserve"> </w:t>
      </w:r>
      <w:r w:rsidR="00632CC1" w:rsidRPr="56315012">
        <w:rPr>
          <w:rStyle w:val="normaltextrun"/>
        </w:rPr>
        <w:t xml:space="preserve">The </w:t>
      </w:r>
      <w:r w:rsidR="002858B0">
        <w:rPr>
          <w:rStyle w:val="normaltextrun"/>
        </w:rPr>
        <w:t>Australian labour</w:t>
      </w:r>
      <w:r w:rsidR="00632CC1" w:rsidRPr="56315012">
        <w:rPr>
          <w:rStyle w:val="normaltextrun"/>
        </w:rPr>
        <w:t xml:space="preserve"> market has not been successful in bridging the gender gap on its own, with the proportion of women</w:t>
      </w:r>
      <w:r w:rsidR="00FE0857">
        <w:rPr>
          <w:rStyle w:val="normaltextrun"/>
        </w:rPr>
        <w:t xml:space="preserve"> working</w:t>
      </w:r>
      <w:r w:rsidR="00632CC1" w:rsidRPr="56315012">
        <w:rPr>
          <w:rStyle w:val="normaltextrun"/>
        </w:rPr>
        <w:t xml:space="preserve"> in industries like construction only increasing slowly over time from a very low level. </w:t>
      </w:r>
    </w:p>
    <w:p w14:paraId="6F77D66B" w14:textId="5BE63F49" w:rsidR="00FE607D" w:rsidRDefault="00DD2C2A" w:rsidP="00CD1E37">
      <w:pPr>
        <w:rPr>
          <w:rStyle w:val="eop"/>
        </w:rPr>
      </w:pPr>
      <w:r w:rsidRPr="7593138F">
        <w:rPr>
          <w:rStyle w:val="normaltextrun"/>
        </w:rPr>
        <w:t>Government</w:t>
      </w:r>
      <w:r w:rsidRPr="56315012">
        <w:rPr>
          <w:rStyle w:val="normaltextrun"/>
        </w:rPr>
        <w:t xml:space="preserve"> intervention will be required to increase gender diversity in industries</w:t>
      </w:r>
      <w:r w:rsidR="00FE0857">
        <w:rPr>
          <w:rStyle w:val="normaltextrun"/>
        </w:rPr>
        <w:t xml:space="preserve"> with a workforce</w:t>
      </w:r>
      <w:r w:rsidRPr="56315012">
        <w:rPr>
          <w:rStyle w:val="normaltextrun"/>
        </w:rPr>
        <w:t xml:space="preserve"> that have been historically dominated by men. </w:t>
      </w:r>
      <w:r w:rsidR="00211F81">
        <w:rPr>
          <w:rStyle w:val="normaltextrun"/>
        </w:rPr>
        <w:t>W</w:t>
      </w:r>
      <w:r w:rsidR="00632CC1" w:rsidRPr="56315012">
        <w:rPr>
          <w:rStyle w:val="normaltextrun"/>
        </w:rPr>
        <w:t>omen only ma</w:t>
      </w:r>
      <w:r w:rsidR="003E72F1">
        <w:rPr>
          <w:rStyle w:val="normaltextrun"/>
        </w:rPr>
        <w:t>de</w:t>
      </w:r>
      <w:r w:rsidR="00632CC1" w:rsidRPr="56315012">
        <w:rPr>
          <w:rStyle w:val="normaltextrun"/>
        </w:rPr>
        <w:t xml:space="preserve"> up 14.5% of the Australian construction workforce</w:t>
      </w:r>
      <w:r w:rsidR="006C1271">
        <w:rPr>
          <w:rStyle w:val="normaltextrun"/>
        </w:rPr>
        <w:t>.</w:t>
      </w:r>
      <w:r w:rsidR="00E13B63">
        <w:rPr>
          <w:rStyle w:val="normaltextrun"/>
        </w:rPr>
        <w:t xml:space="preserve"> </w:t>
      </w:r>
      <w:r w:rsidR="00AE625D">
        <w:rPr>
          <w:rStyle w:val="FootnoteReference"/>
          <w:rFonts w:ascii="Calibri" w:eastAsia="Calibri" w:hAnsi="Calibri" w:cs="Calibri"/>
          <w:color w:val="000000" w:themeColor="text1"/>
        </w:rPr>
        <w:footnoteReference w:id="12"/>
      </w:r>
      <w:r w:rsidR="00632CC1" w:rsidRPr="56315012">
        <w:rPr>
          <w:rStyle w:val="normaltextrun"/>
        </w:rPr>
        <w:t xml:space="preserve"> </w:t>
      </w:r>
      <w:r w:rsidR="0078374D">
        <w:rPr>
          <w:rStyle w:val="normaltextrun"/>
        </w:rPr>
        <w:t>T</w:t>
      </w:r>
      <w:r w:rsidR="00632CC1" w:rsidRPr="56315012">
        <w:rPr>
          <w:rStyle w:val="normaltextrun"/>
        </w:rPr>
        <w:t xml:space="preserve">he number of women in </w:t>
      </w:r>
      <w:r w:rsidR="00761F62">
        <w:rPr>
          <w:rStyle w:val="normaltextrun"/>
        </w:rPr>
        <w:t xml:space="preserve">construction </w:t>
      </w:r>
      <w:r w:rsidR="00632CC1" w:rsidRPr="56315012">
        <w:rPr>
          <w:rStyle w:val="normaltextrun"/>
        </w:rPr>
        <w:t xml:space="preserve">apprenticeships </w:t>
      </w:r>
      <w:r w:rsidR="0078374D">
        <w:rPr>
          <w:rStyle w:val="normaltextrun"/>
        </w:rPr>
        <w:t>w</w:t>
      </w:r>
      <w:r w:rsidR="0078374D" w:rsidRPr="56315012">
        <w:rPr>
          <w:rStyle w:val="normaltextrun"/>
        </w:rPr>
        <w:t xml:space="preserve">as </w:t>
      </w:r>
      <w:r w:rsidR="00632CC1" w:rsidRPr="56315012">
        <w:rPr>
          <w:rStyle w:val="normaltextrun"/>
        </w:rPr>
        <w:t>gradually increasing</w:t>
      </w:r>
      <w:r w:rsidR="0078374D">
        <w:rPr>
          <w:rStyle w:val="normaltextrun"/>
        </w:rPr>
        <w:t xml:space="preserve">, </w:t>
      </w:r>
      <w:r w:rsidR="006351E6">
        <w:rPr>
          <w:rStyle w:val="normaltextrun"/>
        </w:rPr>
        <w:t>until 2023 whe</w:t>
      </w:r>
      <w:r w:rsidR="00955AF3">
        <w:rPr>
          <w:rStyle w:val="normaltextrun"/>
        </w:rPr>
        <w:t>n</w:t>
      </w:r>
      <w:r w:rsidR="006351E6">
        <w:rPr>
          <w:rStyle w:val="normaltextrun"/>
        </w:rPr>
        <w:t xml:space="preserve"> the </w:t>
      </w:r>
      <w:r w:rsidR="006351E6" w:rsidRPr="006351E6">
        <w:rPr>
          <w:rStyle w:val="normaltextrun"/>
        </w:rPr>
        <w:t xml:space="preserve">number of women </w:t>
      </w:r>
      <w:r w:rsidR="006351E6">
        <w:rPr>
          <w:rStyle w:val="normaltextrun"/>
        </w:rPr>
        <w:t>declined</w:t>
      </w:r>
      <w:r w:rsidR="00955AF3">
        <w:rPr>
          <w:rStyle w:val="normaltextrun"/>
        </w:rPr>
        <w:t xml:space="preserve"> </w:t>
      </w:r>
      <w:r w:rsidR="006C1271">
        <w:rPr>
          <w:rStyle w:val="normaltextrun"/>
        </w:rPr>
        <w:t>(</w:t>
      </w:r>
      <w:r w:rsidR="00955AF3">
        <w:rPr>
          <w:rStyle w:val="normaltextrun"/>
        </w:rPr>
        <w:t>compared to 2022</w:t>
      </w:r>
      <w:r w:rsidR="006C1271">
        <w:rPr>
          <w:rStyle w:val="normaltextrun"/>
        </w:rPr>
        <w:t>)</w:t>
      </w:r>
      <w:r w:rsidR="00632CC1" w:rsidRPr="56315012">
        <w:rPr>
          <w:rStyle w:val="normaltextrun"/>
        </w:rPr>
        <w:t xml:space="preserve">, </w:t>
      </w:r>
      <w:r w:rsidR="006C1271">
        <w:rPr>
          <w:rStyle w:val="normaltextrun"/>
        </w:rPr>
        <w:t xml:space="preserve">with </w:t>
      </w:r>
      <w:r w:rsidR="00632CC1" w:rsidRPr="56315012">
        <w:rPr>
          <w:rStyle w:val="normaltextrun"/>
        </w:rPr>
        <w:t xml:space="preserve">only </w:t>
      </w:r>
      <w:r w:rsidR="00720FB0">
        <w:rPr>
          <w:rStyle w:val="normaltextrun"/>
        </w:rPr>
        <w:t>4.9</w:t>
      </w:r>
      <w:r w:rsidR="00632CC1" w:rsidRPr="56315012">
        <w:rPr>
          <w:rStyle w:val="normaltextrun"/>
        </w:rPr>
        <w:t xml:space="preserve">% of current apprentices and trainees training in the construction industry </w:t>
      </w:r>
      <w:r w:rsidR="00AE45B6">
        <w:rPr>
          <w:rStyle w:val="normaltextrun"/>
        </w:rPr>
        <w:t xml:space="preserve">being </w:t>
      </w:r>
      <w:r w:rsidR="00632CC1" w:rsidRPr="56315012">
        <w:rPr>
          <w:rStyle w:val="normaltextrun"/>
        </w:rPr>
        <w:t>women.</w:t>
      </w:r>
      <w:r w:rsidR="00720FB0" w:rsidRPr="00720FB0">
        <w:rPr>
          <w:rStyle w:val="FootnoteReference"/>
        </w:rPr>
        <w:t xml:space="preserve"> </w:t>
      </w:r>
      <w:r w:rsidR="00720FB0" w:rsidRPr="006D0490">
        <w:rPr>
          <w:rStyle w:val="FootnoteReference"/>
        </w:rPr>
        <w:footnoteReference w:id="13"/>
      </w:r>
      <w:r w:rsidR="00632CC1" w:rsidRPr="56315012">
        <w:rPr>
          <w:rStyle w:val="normaltextrun"/>
        </w:rPr>
        <w:t xml:space="preserve"> Within the Computer System Design and Related Services subsector, only 31.1% of apprentices or trainees are women.</w:t>
      </w:r>
      <w:r w:rsidR="00446C86">
        <w:rPr>
          <w:rStyle w:val="FootnoteReference"/>
          <w:rFonts w:ascii="Calibri" w:eastAsia="Calibri" w:hAnsi="Calibri" w:cs="Calibri"/>
          <w:color w:val="000000" w:themeColor="text1"/>
        </w:rPr>
        <w:footnoteReference w:id="14"/>
      </w:r>
      <w:r w:rsidR="00632CC1" w:rsidRPr="56315012">
        <w:rPr>
          <w:rStyle w:val="normaltextrun"/>
        </w:rPr>
        <w:t> </w:t>
      </w:r>
      <w:r w:rsidR="00632CC1" w:rsidRPr="56315012">
        <w:rPr>
          <w:rStyle w:val="eop"/>
        </w:rPr>
        <w:t> </w:t>
      </w:r>
    </w:p>
    <w:p w14:paraId="3C026C35" w14:textId="47982113" w:rsidR="00676056" w:rsidRDefault="00171E4D" w:rsidP="00314A04">
      <w:r>
        <w:rPr>
          <w:rStyle w:val="normaltextrun"/>
          <w:rFonts w:eastAsiaTheme="minorEastAsia"/>
        </w:rPr>
        <w:t>O</w:t>
      </w:r>
      <w:r w:rsidR="00676056">
        <w:t>ccupational segregation</w:t>
      </w:r>
      <w:r>
        <w:t xml:space="preserve"> is not a new </w:t>
      </w:r>
      <w:r w:rsidR="00AC1271">
        <w:t xml:space="preserve">occurrence </w:t>
      </w:r>
      <w:r w:rsidR="00AB2767">
        <w:t>in the Australian workforce</w:t>
      </w:r>
      <w:r w:rsidR="00676056">
        <w:t xml:space="preserve"> </w:t>
      </w:r>
      <w:r w:rsidR="00BF1610">
        <w:t xml:space="preserve">with </w:t>
      </w:r>
      <w:r w:rsidR="003520CF">
        <w:t>‘</w:t>
      </w:r>
      <w:r w:rsidR="00C1764F">
        <w:t>traditional</w:t>
      </w:r>
      <w:r w:rsidR="003520CF">
        <w:t>’</w:t>
      </w:r>
      <w:r w:rsidR="00C1764F">
        <w:t xml:space="preserve"> gender</w:t>
      </w:r>
      <w:r w:rsidR="004005BE">
        <w:t>-</w:t>
      </w:r>
      <w:r w:rsidR="00C1764F">
        <w:t>base</w:t>
      </w:r>
      <w:r w:rsidR="001157B8">
        <w:t>d</w:t>
      </w:r>
      <w:r w:rsidR="00C1764F">
        <w:t xml:space="preserve"> roles</w:t>
      </w:r>
      <w:r w:rsidR="00DF0CE0">
        <w:t xml:space="preserve">, such as women </w:t>
      </w:r>
      <w:r w:rsidR="00824FC5">
        <w:t>working</w:t>
      </w:r>
      <w:r w:rsidR="00DF0CE0">
        <w:t xml:space="preserve"> </w:t>
      </w:r>
      <w:r w:rsidR="00562386">
        <w:t>in childcare</w:t>
      </w:r>
      <w:r w:rsidR="00824FC5">
        <w:t xml:space="preserve"> </w:t>
      </w:r>
      <w:r w:rsidR="003F0A17">
        <w:t xml:space="preserve">due to </w:t>
      </w:r>
      <w:r w:rsidR="005E0661">
        <w:t xml:space="preserve">a </w:t>
      </w:r>
      <w:r w:rsidR="009F4861">
        <w:t xml:space="preserve">caregiving and nurturing </w:t>
      </w:r>
      <w:r w:rsidR="005E0661">
        <w:t>stereotype</w:t>
      </w:r>
      <w:r w:rsidR="00601A82">
        <w:t xml:space="preserve">, and </w:t>
      </w:r>
      <w:r w:rsidR="00E873A4">
        <w:t xml:space="preserve">gender attitudes </w:t>
      </w:r>
      <w:r w:rsidR="00D502EA">
        <w:t>impacting choices of education and work</w:t>
      </w:r>
      <w:r w:rsidR="003331EB">
        <w:t xml:space="preserve"> to fit in with </w:t>
      </w:r>
      <w:r w:rsidR="00CB38A5">
        <w:t xml:space="preserve">caring </w:t>
      </w:r>
      <w:r w:rsidR="004005BE">
        <w:t>commitments</w:t>
      </w:r>
      <w:r w:rsidR="005E0661">
        <w:t>.</w:t>
      </w:r>
      <w:r w:rsidR="00562386">
        <w:t xml:space="preserve"> </w:t>
      </w:r>
      <w:r w:rsidR="00992778">
        <w:t xml:space="preserve">For example, </w:t>
      </w:r>
      <w:r w:rsidR="003C5C70">
        <w:t>gender segregation</w:t>
      </w:r>
      <w:r w:rsidR="00C92B90">
        <w:t xml:space="preserve"> </w:t>
      </w:r>
      <w:r w:rsidR="00A74487">
        <w:t xml:space="preserve">can be </w:t>
      </w:r>
      <w:r w:rsidR="00676056">
        <w:t xml:space="preserve">observed in </w:t>
      </w:r>
      <w:r w:rsidR="004A7D94">
        <w:t xml:space="preserve">enrolments in </w:t>
      </w:r>
      <w:r w:rsidR="00676056">
        <w:t>apprenticeships programs, including Supporting Apprentices and Trainees and Boosting Apprenticeship Commencements</w:t>
      </w:r>
      <w:r w:rsidR="00FE0857">
        <w:t xml:space="preserve"> (a Commonwealth </w:t>
      </w:r>
      <w:r w:rsidR="00B20BE0">
        <w:t xml:space="preserve">COVID-19 emergency </w:t>
      </w:r>
      <w:r w:rsidR="00FE0857">
        <w:t xml:space="preserve">wage subsidy program to support existing apprentices operating </w:t>
      </w:r>
      <w:r w:rsidR="004E06FE">
        <w:t xml:space="preserve">between </w:t>
      </w:r>
      <w:r w:rsidR="00FE0857">
        <w:t>2020-202</w:t>
      </w:r>
      <w:r w:rsidR="00992778">
        <w:t>2</w:t>
      </w:r>
      <w:r w:rsidR="00FE0857">
        <w:t>)</w:t>
      </w:r>
      <w:r w:rsidR="00676056">
        <w:t>. Apart from hairdressers (</w:t>
      </w:r>
      <w:r w:rsidR="002C60B9">
        <w:t xml:space="preserve">which </w:t>
      </w:r>
      <w:r w:rsidR="00B12AFE">
        <w:t xml:space="preserve">is classified as a </w:t>
      </w:r>
      <w:r w:rsidR="00676056">
        <w:t xml:space="preserve">trade), women apprentices who were funded by the Supporting Apprentices and Trainees program more frequently came from non-trade occupations such as child carers, sales assistants and salespersons and general </w:t>
      </w:r>
      <w:r w:rsidR="00676056">
        <w:lastRenderedPageBreak/>
        <w:t>clerks.</w:t>
      </w:r>
      <w:r w:rsidR="00676056" w:rsidRPr="00F70DE7">
        <w:rPr>
          <w:vertAlign w:val="superscript"/>
        </w:rPr>
        <w:footnoteReference w:id="15"/>
      </w:r>
      <w:r w:rsidR="00676056">
        <w:t xml:space="preserve"> </w:t>
      </w:r>
      <w:r w:rsidR="003B40AE">
        <w:t>On the other hand, t</w:t>
      </w:r>
      <w:r w:rsidR="00676056">
        <w:t>op occupations for male apprentices who were funded by the Supporting Apprentices and Trainees program were all in trades including bricklayers, carpenters and joiners, electricians, plumbers and automotive electricians and mechanics.</w:t>
      </w:r>
      <w:r w:rsidR="00676056" w:rsidRPr="00F70DE7">
        <w:rPr>
          <w:vertAlign w:val="superscript"/>
        </w:rPr>
        <w:footnoteReference w:id="16"/>
      </w:r>
    </w:p>
    <w:p w14:paraId="48E37975" w14:textId="60F0F60A" w:rsidR="001D4106" w:rsidRDefault="00413981" w:rsidP="00314A04">
      <w:pPr>
        <w:rPr>
          <w:rStyle w:val="normaltextrun"/>
          <w:rFonts w:cstheme="minorHAnsi"/>
        </w:rPr>
      </w:pPr>
      <w:r w:rsidRPr="00344C59">
        <w:rPr>
          <w:rStyle w:val="normaltextrun"/>
          <w:rFonts w:eastAsiaTheme="minorEastAsia" w:cstheme="minorHAnsi"/>
        </w:rPr>
        <w:t xml:space="preserve">Increasing the number of women entering </w:t>
      </w:r>
      <w:r w:rsidR="006E2B6C">
        <w:rPr>
          <w:rStyle w:val="normaltextrun"/>
          <w:rFonts w:eastAsiaTheme="minorEastAsia" w:cstheme="minorHAnsi"/>
        </w:rPr>
        <w:t>the construction and ICT</w:t>
      </w:r>
      <w:r w:rsidRPr="00344C59">
        <w:rPr>
          <w:rStyle w:val="normaltextrun"/>
          <w:rFonts w:eastAsiaTheme="minorEastAsia" w:cstheme="minorHAnsi"/>
        </w:rPr>
        <w:t xml:space="preserve"> industries could play a significant role in</w:t>
      </w:r>
      <w:r w:rsidRPr="00344C59">
        <w:rPr>
          <w:rStyle w:val="normaltextrun"/>
          <w:rFonts w:cstheme="minorHAnsi"/>
        </w:rPr>
        <w:t xml:space="preserve"> combating skills shortages</w:t>
      </w:r>
      <w:r w:rsidR="00722817">
        <w:rPr>
          <w:rStyle w:val="normaltextrun"/>
          <w:rFonts w:cstheme="minorHAnsi"/>
        </w:rPr>
        <w:t xml:space="preserve">, building a future pipeline of </w:t>
      </w:r>
      <w:r w:rsidR="00957CB6">
        <w:rPr>
          <w:rStyle w:val="normaltextrun"/>
          <w:rFonts w:cstheme="minorHAnsi"/>
        </w:rPr>
        <w:t xml:space="preserve">women </w:t>
      </w:r>
      <w:r w:rsidR="00722817">
        <w:rPr>
          <w:rStyle w:val="normaltextrun"/>
          <w:rFonts w:cstheme="minorHAnsi"/>
        </w:rPr>
        <w:t>role models and mentors to encourage more women to work in male-dominated industries</w:t>
      </w:r>
      <w:r w:rsidR="006908CB">
        <w:rPr>
          <w:rStyle w:val="normaltextrun"/>
          <w:rFonts w:cstheme="minorHAnsi"/>
        </w:rPr>
        <w:t>.</w:t>
      </w:r>
      <w:r w:rsidR="005B113D">
        <w:rPr>
          <w:rStyle w:val="normaltextrun"/>
          <w:rFonts w:cstheme="minorHAnsi"/>
        </w:rPr>
        <w:t xml:space="preserve"> </w:t>
      </w:r>
      <w:r w:rsidR="004A3F92">
        <w:rPr>
          <w:rStyle w:val="normaltextrun"/>
          <w:rFonts w:cstheme="minorHAnsi"/>
        </w:rPr>
        <w:t>Choosing a career path they want to do, rather than what is perceived to be a</w:t>
      </w:r>
      <w:r w:rsidR="001F12C0">
        <w:rPr>
          <w:rStyle w:val="normaltextrun"/>
          <w:rFonts w:cstheme="minorHAnsi"/>
        </w:rPr>
        <w:t xml:space="preserve"> more</w:t>
      </w:r>
      <w:r w:rsidR="004A3F92">
        <w:rPr>
          <w:rStyle w:val="normaltextrun"/>
          <w:rFonts w:cstheme="minorHAnsi"/>
        </w:rPr>
        <w:t xml:space="preserve"> acceptable one in </w:t>
      </w:r>
      <w:r w:rsidR="001F12C0">
        <w:rPr>
          <w:rStyle w:val="normaltextrun"/>
          <w:rFonts w:cstheme="minorHAnsi"/>
        </w:rPr>
        <w:t xml:space="preserve">Australian </w:t>
      </w:r>
      <w:r w:rsidR="004A3F92">
        <w:rPr>
          <w:rStyle w:val="normaltextrun"/>
          <w:rFonts w:cstheme="minorHAnsi"/>
        </w:rPr>
        <w:t xml:space="preserve">society. </w:t>
      </w:r>
    </w:p>
    <w:p w14:paraId="7BA8DEFA" w14:textId="4E56C143" w:rsidR="00D537B5" w:rsidRDefault="00DF6E52" w:rsidP="00CD1E37">
      <w:pPr>
        <w:rPr>
          <w:rStyle w:val="normaltextrun"/>
          <w:rFonts w:cstheme="minorHAnsi"/>
        </w:rPr>
      </w:pPr>
      <w:r>
        <w:rPr>
          <w:rStyle w:val="normaltextrun"/>
          <w:rFonts w:cstheme="minorHAnsi"/>
        </w:rPr>
        <w:t xml:space="preserve">Increasing women’s participation in these sectors </w:t>
      </w:r>
      <w:r w:rsidR="005B113D">
        <w:rPr>
          <w:rStyle w:val="normaltextrun"/>
          <w:rFonts w:cstheme="minorHAnsi"/>
        </w:rPr>
        <w:t xml:space="preserve">is also an important aspect to </w:t>
      </w:r>
      <w:r w:rsidR="0069650C">
        <w:rPr>
          <w:rStyle w:val="normaltextrun"/>
          <w:rFonts w:cstheme="minorHAnsi"/>
        </w:rPr>
        <w:t xml:space="preserve">achieving the goals in </w:t>
      </w:r>
      <w:r w:rsidR="006C0B88">
        <w:rPr>
          <w:rStyle w:val="normaltextrun"/>
          <w:rFonts w:cstheme="minorHAnsi"/>
        </w:rPr>
        <w:t xml:space="preserve">the </w:t>
      </w:r>
      <w:r w:rsidR="00CD05E4">
        <w:rPr>
          <w:rStyle w:val="normaltextrun"/>
          <w:rFonts w:cstheme="minorHAnsi"/>
        </w:rPr>
        <w:t xml:space="preserve">2023 </w:t>
      </w:r>
      <w:r w:rsidR="00F851CC">
        <w:rPr>
          <w:rStyle w:val="normaltextrun"/>
          <w:rFonts w:cstheme="minorHAnsi"/>
        </w:rPr>
        <w:t xml:space="preserve">report </w:t>
      </w:r>
      <w:r w:rsidR="006D09CA">
        <w:rPr>
          <w:rStyle w:val="normaltextrun"/>
          <w:rFonts w:cstheme="minorHAnsi"/>
        </w:rPr>
        <w:t xml:space="preserve">by </w:t>
      </w:r>
      <w:r w:rsidR="00F851CC" w:rsidRPr="00F851CC">
        <w:rPr>
          <w:rStyle w:val="normaltextrun"/>
          <w:rFonts w:cstheme="minorHAnsi"/>
        </w:rPr>
        <w:t>The Women’s Economic Equality Taskforce</w:t>
      </w:r>
      <w:r w:rsidR="00CD05E4">
        <w:rPr>
          <w:rStyle w:val="normaltextrun"/>
          <w:rFonts w:cstheme="minorHAnsi"/>
        </w:rPr>
        <w:t>,</w:t>
      </w:r>
      <w:r w:rsidR="00F851CC" w:rsidRPr="00F851CC">
        <w:rPr>
          <w:rStyle w:val="normaltextrun"/>
          <w:rFonts w:cstheme="minorHAnsi"/>
        </w:rPr>
        <w:t xml:space="preserve"> within the Department of Prime</w:t>
      </w:r>
      <w:r w:rsidR="001D4106">
        <w:rPr>
          <w:rStyle w:val="normaltextrun"/>
          <w:rFonts w:cstheme="minorHAnsi"/>
        </w:rPr>
        <w:t xml:space="preserve"> </w:t>
      </w:r>
      <w:r w:rsidR="00F851CC" w:rsidRPr="00F851CC">
        <w:rPr>
          <w:rStyle w:val="normaltextrun"/>
          <w:rFonts w:cstheme="minorHAnsi"/>
        </w:rPr>
        <w:t xml:space="preserve">Minister and Cabinet, </w:t>
      </w:r>
      <w:r w:rsidR="00F851CC" w:rsidRPr="00310BD4">
        <w:rPr>
          <w:rStyle w:val="normaltextrun"/>
          <w:rFonts w:cstheme="minorHAnsi"/>
          <w:i/>
          <w:iCs/>
        </w:rPr>
        <w:t>A 10-year-plan to unleash the full capacity and contribution of women to the Australian economy 2023–2033</w:t>
      </w:r>
      <w:r w:rsidR="00F851CC" w:rsidRPr="00F851CC">
        <w:rPr>
          <w:rStyle w:val="normaltextrun"/>
          <w:rFonts w:cstheme="minorHAnsi"/>
        </w:rPr>
        <w:t>,</w:t>
      </w:r>
      <w:r w:rsidR="00D537B5">
        <w:rPr>
          <w:rStyle w:val="normaltextrun"/>
          <w:rFonts w:cstheme="minorHAnsi"/>
        </w:rPr>
        <w:t xml:space="preserve"> </w:t>
      </w:r>
      <w:r w:rsidR="00850168">
        <w:rPr>
          <w:rStyle w:val="normaltextrun"/>
          <w:rFonts w:cstheme="minorHAnsi"/>
        </w:rPr>
        <w:t xml:space="preserve">which </w:t>
      </w:r>
      <w:r w:rsidR="009422DF">
        <w:rPr>
          <w:rStyle w:val="normaltextrun"/>
          <w:rFonts w:cstheme="minorHAnsi"/>
        </w:rPr>
        <w:t>se</w:t>
      </w:r>
      <w:r w:rsidR="00D537B5">
        <w:rPr>
          <w:rStyle w:val="normaltextrun"/>
          <w:rFonts w:cstheme="minorHAnsi"/>
        </w:rPr>
        <w:t>ts goals</w:t>
      </w:r>
      <w:r w:rsidR="009422DF">
        <w:rPr>
          <w:rStyle w:val="normaltextrun"/>
          <w:rFonts w:cstheme="minorHAnsi"/>
        </w:rPr>
        <w:t xml:space="preserve"> to </w:t>
      </w:r>
      <w:r w:rsidR="005B113D">
        <w:rPr>
          <w:rStyle w:val="normaltextrun"/>
          <w:rFonts w:cstheme="minorHAnsi"/>
        </w:rPr>
        <w:t>ensur</w:t>
      </w:r>
      <w:r w:rsidR="009422DF">
        <w:rPr>
          <w:rStyle w:val="normaltextrun"/>
          <w:rFonts w:cstheme="minorHAnsi"/>
        </w:rPr>
        <w:t>e</w:t>
      </w:r>
      <w:r w:rsidR="00D537B5">
        <w:rPr>
          <w:rStyle w:val="normaltextrun"/>
          <w:rFonts w:cstheme="minorHAnsi"/>
        </w:rPr>
        <w:t>:</w:t>
      </w:r>
    </w:p>
    <w:p w14:paraId="6AFF798B" w14:textId="3CEB15BD" w:rsidR="00D537B5" w:rsidRPr="00286AA6" w:rsidRDefault="00DF6E52" w:rsidP="008712C6">
      <w:pPr>
        <w:pStyle w:val="ListBullet"/>
        <w:rPr>
          <w:rStyle w:val="normaltextrun"/>
        </w:rPr>
      </w:pPr>
      <w:r w:rsidRPr="00286AA6">
        <w:rPr>
          <w:rStyle w:val="normaltextrun"/>
        </w:rPr>
        <w:t xml:space="preserve">women </w:t>
      </w:r>
      <w:r w:rsidR="005B113D" w:rsidRPr="00286AA6">
        <w:rPr>
          <w:rStyle w:val="normaltextrun"/>
        </w:rPr>
        <w:t>can thrive in safe, respectful, secure, professionally paid work with access to high-quality flexibility in any sector or location</w:t>
      </w:r>
    </w:p>
    <w:p w14:paraId="172EF810" w14:textId="28ED71EA" w:rsidR="00503A23" w:rsidRPr="00286AA6" w:rsidRDefault="00DF6E52" w:rsidP="008712C6">
      <w:pPr>
        <w:pStyle w:val="ListBullet"/>
        <w:rPr>
          <w:rStyle w:val="normaltextrun"/>
        </w:rPr>
      </w:pPr>
      <w:r w:rsidRPr="00286AA6">
        <w:rPr>
          <w:rStyle w:val="normaltextrun"/>
        </w:rPr>
        <w:t xml:space="preserve">women </w:t>
      </w:r>
      <w:r w:rsidR="009422DF" w:rsidRPr="00286AA6">
        <w:rPr>
          <w:rStyle w:val="normaltextrun"/>
        </w:rPr>
        <w:t>have opportunities for education and to develop skills across a lifetime through accessible, flexible and affordable education and training programs.</w:t>
      </w:r>
      <w:r w:rsidR="00007703" w:rsidRPr="00286AA6">
        <w:rPr>
          <w:vertAlign w:val="superscript"/>
        </w:rPr>
        <w:footnoteReference w:id="17"/>
      </w:r>
    </w:p>
    <w:p w14:paraId="0A3EA28B" w14:textId="5AB6D8CB" w:rsidR="00632CC1" w:rsidRPr="00016C83" w:rsidRDefault="00632CC1" w:rsidP="007F1699">
      <w:pPr>
        <w:pStyle w:val="Heading2"/>
        <w:rPr>
          <w:rStyle w:val="normaltextrun"/>
        </w:rPr>
      </w:pPr>
      <w:bookmarkStart w:id="12" w:name="_Toc159246214"/>
      <w:r w:rsidRPr="00016C83">
        <w:t>Who is impacted</w:t>
      </w:r>
      <w:r w:rsidR="00DB6C7A" w:rsidRPr="00016C83">
        <w:t xml:space="preserve"> by the problem</w:t>
      </w:r>
      <w:r w:rsidR="009117C5" w:rsidRPr="00016C83">
        <w:rPr>
          <w:rStyle w:val="normaltextrun"/>
        </w:rPr>
        <w:t>?</w:t>
      </w:r>
      <w:bookmarkEnd w:id="12"/>
    </w:p>
    <w:p w14:paraId="1C3D7A03" w14:textId="5A893882" w:rsidR="00E470EB" w:rsidRPr="00797487" w:rsidRDefault="00E470EB" w:rsidP="00797487">
      <w:pPr>
        <w:pStyle w:val="Heading3"/>
      </w:pPr>
      <w:r w:rsidRPr="00797487">
        <w:t>Businesses</w:t>
      </w:r>
    </w:p>
    <w:p w14:paraId="1D415113" w14:textId="7EF3D72A" w:rsidR="000E133C" w:rsidRDefault="00632CC1" w:rsidP="00BE7BDA">
      <w:pPr>
        <w:rPr>
          <w:rStyle w:val="normaltextrun"/>
          <w:rFonts w:eastAsiaTheme="minorEastAsia" w:cstheme="minorHAnsi"/>
        </w:rPr>
      </w:pPr>
      <w:r w:rsidRPr="5195FBBD">
        <w:rPr>
          <w:rStyle w:val="normaltextrun"/>
          <w:rFonts w:eastAsiaTheme="minorEastAsia"/>
        </w:rPr>
        <w:t>The tight labour market means many Australian businesses are facing challenges recruiting skilled workers, with 56% of recruiting employers reporting difficulty hiring staff as of January 2023.</w:t>
      </w:r>
      <w:r w:rsidR="00804625" w:rsidRPr="00A806AB">
        <w:rPr>
          <w:vertAlign w:val="superscript"/>
        </w:rPr>
        <w:t xml:space="preserve"> </w:t>
      </w:r>
      <w:r w:rsidR="00804625" w:rsidRPr="00A806AB">
        <w:rPr>
          <w:vertAlign w:val="superscript"/>
        </w:rPr>
        <w:footnoteReference w:id="18"/>
      </w:r>
      <w:r w:rsidR="00804625">
        <w:rPr>
          <w:rFonts w:ascii="Times New Roman" w:hAnsi="Times New Roman" w:cs="Times New Roman"/>
          <w:sz w:val="24"/>
          <w:szCs w:val="24"/>
          <w:lang w:eastAsia="en-AU"/>
        </w:rPr>
        <w:t xml:space="preserve"> </w:t>
      </w:r>
      <w:r w:rsidRPr="5195FBBD">
        <w:rPr>
          <w:rStyle w:val="normaltextrun"/>
          <w:rFonts w:eastAsiaTheme="minorEastAsia"/>
        </w:rPr>
        <w:t>Compar</w:t>
      </w:r>
      <w:r w:rsidR="001710AB" w:rsidRPr="5195FBBD">
        <w:rPr>
          <w:rStyle w:val="normaltextrun"/>
          <w:rFonts w:eastAsiaTheme="minorEastAsia"/>
        </w:rPr>
        <w:t>ing the</w:t>
      </w:r>
      <w:r w:rsidR="00E175E9" w:rsidRPr="5195FBBD">
        <w:rPr>
          <w:rStyle w:val="normaltextrun"/>
          <w:rFonts w:eastAsiaTheme="minorEastAsia"/>
        </w:rPr>
        <w:t xml:space="preserve"> beginning of the Skills Guarantee design phase</w:t>
      </w:r>
      <w:r w:rsidRPr="5195FBBD">
        <w:rPr>
          <w:rStyle w:val="normaltextrun"/>
          <w:rFonts w:eastAsiaTheme="minorEastAsia"/>
        </w:rPr>
        <w:t xml:space="preserve"> with pre pandemic levels, job vacancies </w:t>
      </w:r>
      <w:r w:rsidR="00E175E9" w:rsidRPr="5195FBBD">
        <w:rPr>
          <w:rStyle w:val="normaltextrun"/>
          <w:rFonts w:eastAsiaTheme="minorEastAsia"/>
        </w:rPr>
        <w:t>rose</w:t>
      </w:r>
      <w:r w:rsidR="004E2D17" w:rsidRPr="5195FBBD">
        <w:rPr>
          <w:rStyle w:val="normaltextrun"/>
          <w:rFonts w:eastAsiaTheme="minorEastAsia"/>
        </w:rPr>
        <w:t xml:space="preserve"> steeply</w:t>
      </w:r>
      <w:r w:rsidRPr="5195FBBD">
        <w:rPr>
          <w:rStyle w:val="normaltextrun"/>
          <w:rFonts w:eastAsiaTheme="minorEastAsia"/>
        </w:rPr>
        <w:t>, with an increase from 228,000 in February 2020 to 444,000 vacancies in November 2022.</w:t>
      </w:r>
      <w:r w:rsidR="0014734D">
        <w:rPr>
          <w:rStyle w:val="FootnoteReference"/>
          <w:rFonts w:ascii="Calibri" w:eastAsia="Calibri" w:hAnsi="Calibri" w:cs="Calibri"/>
          <w:color w:val="000000" w:themeColor="text1"/>
        </w:rPr>
        <w:footnoteReference w:id="19"/>
      </w:r>
      <w:r w:rsidRPr="5195FBBD">
        <w:rPr>
          <w:rStyle w:val="normaltextrun"/>
          <w:rFonts w:eastAsiaTheme="minorEastAsia"/>
        </w:rPr>
        <w:t xml:space="preserve"> </w:t>
      </w:r>
      <w:r w:rsidR="00567607" w:rsidRPr="5195FBBD">
        <w:rPr>
          <w:rStyle w:val="normaltextrun"/>
          <w:rFonts w:eastAsiaTheme="minorEastAsia"/>
        </w:rPr>
        <w:t>In August 2023, total jo</w:t>
      </w:r>
      <w:r w:rsidR="00A651B8" w:rsidRPr="5195FBBD">
        <w:rPr>
          <w:rStyle w:val="normaltextrun"/>
          <w:rFonts w:eastAsiaTheme="minorEastAsia"/>
        </w:rPr>
        <w:t xml:space="preserve">b vacancies were </w:t>
      </w:r>
      <w:r w:rsidR="00842AF7" w:rsidRPr="5195FBBD">
        <w:rPr>
          <w:rStyle w:val="normaltextrun"/>
          <w:rFonts w:eastAsiaTheme="minorEastAsia"/>
        </w:rPr>
        <w:t>390,400</w:t>
      </w:r>
      <w:r w:rsidR="00C31798" w:rsidRPr="5195FBBD">
        <w:rPr>
          <w:rStyle w:val="normaltextrun"/>
          <w:rFonts w:eastAsiaTheme="minorEastAsia"/>
        </w:rPr>
        <w:t>.</w:t>
      </w:r>
      <w:r w:rsidR="00233232" w:rsidRPr="5195FBBD">
        <w:rPr>
          <w:rStyle w:val="FootnoteReference"/>
          <w:rFonts w:eastAsiaTheme="minorEastAsia"/>
        </w:rPr>
        <w:footnoteReference w:id="20"/>
      </w:r>
    </w:p>
    <w:p w14:paraId="6D82E26E" w14:textId="3F5546A3" w:rsidR="006050F0" w:rsidRPr="005D748A" w:rsidRDefault="000A224C" w:rsidP="00BE7BDA">
      <w:pPr>
        <w:rPr>
          <w:rStyle w:val="normaltextrun"/>
          <w:rFonts w:cstheme="minorHAnsi"/>
        </w:rPr>
      </w:pPr>
      <w:r w:rsidRPr="47EEB551">
        <w:rPr>
          <w:rStyle w:val="normaltextrun"/>
          <w:rFonts w:eastAsiaTheme="minorEastAsia"/>
        </w:rPr>
        <w:t>C</w:t>
      </w:r>
      <w:r w:rsidR="00CE4762" w:rsidRPr="47EEB551">
        <w:rPr>
          <w:rStyle w:val="normaltextrun"/>
          <w:rFonts w:eastAsiaTheme="minorEastAsia"/>
        </w:rPr>
        <w:t>hronic</w:t>
      </w:r>
      <w:r w:rsidR="00632CC1" w:rsidRPr="47EEB551">
        <w:rPr>
          <w:rStyle w:val="normaltextrun"/>
          <w:rFonts w:eastAsiaTheme="minorEastAsia"/>
        </w:rPr>
        <w:t xml:space="preserve"> skills shortages can have a negative impact on productivity</w:t>
      </w:r>
      <w:r w:rsidR="00455E8A" w:rsidRPr="47EEB551">
        <w:rPr>
          <w:rStyle w:val="normaltextrun"/>
          <w:rFonts w:eastAsiaTheme="minorEastAsia"/>
        </w:rPr>
        <w:t xml:space="preserve"> and supply chains</w:t>
      </w:r>
      <w:r w:rsidR="00770893" w:rsidRPr="47EEB551">
        <w:rPr>
          <w:rStyle w:val="normaltextrun"/>
          <w:rFonts w:eastAsiaTheme="minorEastAsia"/>
        </w:rPr>
        <w:t xml:space="preserve">, </w:t>
      </w:r>
      <w:r w:rsidR="00632CC1" w:rsidRPr="47EEB551">
        <w:rPr>
          <w:rStyle w:val="normaltextrun"/>
          <w:rFonts w:eastAsiaTheme="minorEastAsia"/>
        </w:rPr>
        <w:t>output</w:t>
      </w:r>
      <w:r w:rsidR="0024571A" w:rsidRPr="47EEB551">
        <w:rPr>
          <w:rStyle w:val="normaltextrun"/>
          <w:rFonts w:eastAsiaTheme="minorEastAsia"/>
        </w:rPr>
        <w:t xml:space="preserve">, </w:t>
      </w:r>
      <w:r w:rsidR="008D3405" w:rsidRPr="47EEB551">
        <w:rPr>
          <w:rStyle w:val="normaltextrun"/>
          <w:rFonts w:eastAsiaTheme="minorEastAsia"/>
        </w:rPr>
        <w:t xml:space="preserve">the well-being of </w:t>
      </w:r>
      <w:r w:rsidR="0024571A" w:rsidRPr="47EEB551">
        <w:rPr>
          <w:rStyle w:val="normaltextrun"/>
          <w:rFonts w:eastAsiaTheme="minorEastAsia"/>
        </w:rPr>
        <w:t>existing staff</w:t>
      </w:r>
      <w:r w:rsidR="00D4069C" w:rsidRPr="47EEB551">
        <w:rPr>
          <w:rStyle w:val="normaltextrun"/>
          <w:rFonts w:eastAsiaTheme="minorEastAsia"/>
        </w:rPr>
        <w:t>,</w:t>
      </w:r>
      <w:r w:rsidR="007C4E83" w:rsidRPr="47EEB551">
        <w:rPr>
          <w:rStyle w:val="normaltextrun"/>
          <w:rFonts w:eastAsiaTheme="minorEastAsia"/>
        </w:rPr>
        <w:t xml:space="preserve"> </w:t>
      </w:r>
      <w:r w:rsidR="001F1EA7" w:rsidRPr="47EEB551">
        <w:rPr>
          <w:rStyle w:val="normaltextrun"/>
          <w:rFonts w:eastAsiaTheme="minorEastAsia"/>
        </w:rPr>
        <w:t>retention</w:t>
      </w:r>
      <w:r w:rsidR="00DF18B5" w:rsidRPr="47EEB551">
        <w:rPr>
          <w:rStyle w:val="normaltextrun"/>
          <w:rFonts w:eastAsiaTheme="minorEastAsia"/>
        </w:rPr>
        <w:t>,</w:t>
      </w:r>
      <w:r w:rsidR="007C4E83" w:rsidRPr="47EEB551">
        <w:rPr>
          <w:rStyle w:val="normaltextrun"/>
          <w:rFonts w:eastAsiaTheme="minorEastAsia"/>
        </w:rPr>
        <w:t xml:space="preserve"> and limit</w:t>
      </w:r>
      <w:r w:rsidR="000A79E7" w:rsidRPr="47EEB551">
        <w:rPr>
          <w:rStyle w:val="normaltextrun"/>
          <w:rFonts w:eastAsiaTheme="minorEastAsia"/>
        </w:rPr>
        <w:t>s</w:t>
      </w:r>
      <w:r w:rsidR="007C4E83" w:rsidRPr="47EEB551">
        <w:rPr>
          <w:rStyle w:val="normaltextrun"/>
          <w:rFonts w:eastAsiaTheme="minorEastAsia"/>
        </w:rPr>
        <w:t xml:space="preserve"> </w:t>
      </w:r>
      <w:r w:rsidR="00DB240D" w:rsidRPr="47EEB551">
        <w:rPr>
          <w:rStyle w:val="normaltextrun"/>
          <w:rFonts w:eastAsiaTheme="minorEastAsia"/>
        </w:rPr>
        <w:t xml:space="preserve">future-proofing </w:t>
      </w:r>
      <w:r w:rsidR="00770893" w:rsidRPr="47EEB551">
        <w:rPr>
          <w:rStyle w:val="normaltextrun"/>
          <w:rFonts w:eastAsiaTheme="minorEastAsia"/>
        </w:rPr>
        <w:t>business.</w:t>
      </w:r>
      <w:r w:rsidR="00632CC1" w:rsidRPr="47EEB551">
        <w:rPr>
          <w:rStyle w:val="normaltextrun"/>
          <w:rFonts w:eastAsiaTheme="minorEastAsia"/>
        </w:rPr>
        <w:t> </w:t>
      </w:r>
      <w:r w:rsidR="00B00584" w:rsidRPr="47EEB551">
        <w:rPr>
          <w:rStyle w:val="normaltextrun"/>
          <w:rFonts w:eastAsiaTheme="minorEastAsia"/>
        </w:rPr>
        <w:t xml:space="preserve"> </w:t>
      </w:r>
      <w:r w:rsidR="001254B5" w:rsidRPr="47EEB551">
        <w:rPr>
          <w:rStyle w:val="normaltextrun"/>
          <w:rFonts w:eastAsiaTheme="minorEastAsia"/>
        </w:rPr>
        <w:t xml:space="preserve">Research on the impact of </w:t>
      </w:r>
      <w:r w:rsidR="007A407F" w:rsidRPr="47EEB551">
        <w:rPr>
          <w:rStyle w:val="normaltextrun"/>
          <w:rFonts w:eastAsiaTheme="minorEastAsia"/>
        </w:rPr>
        <w:t xml:space="preserve">construction skills shortages </w:t>
      </w:r>
      <w:r w:rsidR="005D4470" w:rsidRPr="47EEB551">
        <w:rPr>
          <w:rStyle w:val="normaltextrun"/>
          <w:rFonts w:eastAsiaTheme="minorEastAsia"/>
        </w:rPr>
        <w:t>on</w:t>
      </w:r>
      <w:r w:rsidR="007A407F" w:rsidRPr="47EEB551">
        <w:rPr>
          <w:rStyle w:val="normaltextrun"/>
          <w:rFonts w:eastAsiaTheme="minorEastAsia"/>
        </w:rPr>
        <w:t xml:space="preserve"> </w:t>
      </w:r>
      <w:r w:rsidR="00E754A7" w:rsidRPr="47EEB551">
        <w:rPr>
          <w:rStyle w:val="normaltextrun"/>
          <w:rFonts w:eastAsiaTheme="minorEastAsia"/>
        </w:rPr>
        <w:t>supply chain</w:t>
      </w:r>
      <w:r w:rsidR="005D4470" w:rsidRPr="47EEB551">
        <w:rPr>
          <w:rStyle w:val="normaltextrun"/>
          <w:rFonts w:eastAsiaTheme="minorEastAsia"/>
        </w:rPr>
        <w:t>s</w:t>
      </w:r>
      <w:r w:rsidR="00464BAD" w:rsidRPr="47EEB551">
        <w:rPr>
          <w:rStyle w:val="normaltextrun"/>
          <w:rFonts w:eastAsiaTheme="minorEastAsia"/>
        </w:rPr>
        <w:t xml:space="preserve"> noted that </w:t>
      </w:r>
      <w:r w:rsidR="00ED2CA3">
        <w:t>the skills of the workers responsible for working at a construction site play an integral part in the project's success</w:t>
      </w:r>
      <w:r w:rsidR="00AC4BDC">
        <w:t>.</w:t>
      </w:r>
      <w:r w:rsidDel="000452DA">
        <w:t xml:space="preserve"> </w:t>
      </w:r>
      <w:r w:rsidR="00AD1FBA">
        <w:rPr>
          <w:rStyle w:val="normaltextrun"/>
          <w:rFonts w:eastAsiaTheme="minorEastAsia" w:cstheme="minorHAnsi"/>
        </w:rPr>
        <w:t>When businesses cannot fill vacancies due to s</w:t>
      </w:r>
      <w:r w:rsidR="00AD1FBA" w:rsidRPr="00CD622A">
        <w:rPr>
          <w:rStyle w:val="normaltextrun"/>
          <w:rFonts w:eastAsiaTheme="minorEastAsia" w:cstheme="minorHAnsi"/>
        </w:rPr>
        <w:t>kills shortages,</w:t>
      </w:r>
      <w:r w:rsidR="00AD1FBA">
        <w:rPr>
          <w:rStyle w:val="normaltextrun"/>
          <w:rFonts w:eastAsiaTheme="minorEastAsia" w:cstheme="minorHAnsi"/>
        </w:rPr>
        <w:t xml:space="preserve"> their capacity to complete projects is greatly reduced</w:t>
      </w:r>
      <w:r w:rsidR="00341762">
        <w:rPr>
          <w:rStyle w:val="normaltextrun"/>
          <w:rFonts w:eastAsiaTheme="minorEastAsia" w:cstheme="minorHAnsi"/>
        </w:rPr>
        <w:t xml:space="preserve"> </w:t>
      </w:r>
      <w:r w:rsidR="007E5772">
        <w:rPr>
          <w:rStyle w:val="normaltextrun"/>
          <w:rFonts w:eastAsiaTheme="minorEastAsia" w:cstheme="minorHAnsi"/>
        </w:rPr>
        <w:t>–</w:t>
      </w:r>
      <w:r w:rsidR="00341762">
        <w:rPr>
          <w:rStyle w:val="normaltextrun"/>
          <w:rFonts w:eastAsiaTheme="minorEastAsia" w:cstheme="minorHAnsi"/>
        </w:rPr>
        <w:t xml:space="preserve"> </w:t>
      </w:r>
      <w:r w:rsidR="00AD1FBA">
        <w:rPr>
          <w:rStyle w:val="normaltextrun"/>
          <w:rFonts w:eastAsiaTheme="minorEastAsia" w:cstheme="minorHAnsi"/>
        </w:rPr>
        <w:t>result</w:t>
      </w:r>
      <w:r w:rsidR="001F4932">
        <w:rPr>
          <w:rStyle w:val="normaltextrun"/>
          <w:rFonts w:eastAsiaTheme="minorEastAsia" w:cstheme="minorHAnsi"/>
        </w:rPr>
        <w:t>ing</w:t>
      </w:r>
      <w:r w:rsidR="00AD1FBA">
        <w:rPr>
          <w:rStyle w:val="normaltextrun"/>
          <w:rFonts w:eastAsiaTheme="minorEastAsia" w:cstheme="minorHAnsi"/>
        </w:rPr>
        <w:t xml:space="preserve"> in </w:t>
      </w:r>
      <w:r w:rsidR="00AD1FBA">
        <w:rPr>
          <w:rStyle w:val="normaltextrun"/>
          <w:rFonts w:eastAsiaTheme="minorEastAsia" w:cstheme="minorHAnsi"/>
        </w:rPr>
        <w:lastRenderedPageBreak/>
        <w:t>delays</w:t>
      </w:r>
      <w:r w:rsidR="00D05BB0">
        <w:rPr>
          <w:rStyle w:val="normaltextrun"/>
          <w:rFonts w:eastAsiaTheme="minorEastAsia" w:cstheme="minorHAnsi"/>
        </w:rPr>
        <w:t>,</w:t>
      </w:r>
      <w:r w:rsidR="00AD1FBA">
        <w:rPr>
          <w:rStyle w:val="normaltextrun"/>
          <w:rFonts w:eastAsiaTheme="minorEastAsia" w:cstheme="minorHAnsi"/>
        </w:rPr>
        <w:t xml:space="preserve"> lost work</w:t>
      </w:r>
      <w:r w:rsidR="005D09B7">
        <w:rPr>
          <w:rStyle w:val="normaltextrun"/>
          <w:rFonts w:eastAsiaTheme="minorEastAsia" w:cstheme="minorHAnsi"/>
        </w:rPr>
        <w:t>,</w:t>
      </w:r>
      <w:r w:rsidR="00D05BB0">
        <w:rPr>
          <w:rStyle w:val="normaltextrun"/>
          <w:rFonts w:eastAsiaTheme="minorEastAsia" w:cstheme="minorHAnsi"/>
        </w:rPr>
        <w:t xml:space="preserve"> or reputational damage</w:t>
      </w:r>
      <w:r w:rsidR="00AD1FBA">
        <w:rPr>
          <w:rStyle w:val="normaltextrun"/>
          <w:rFonts w:eastAsiaTheme="minorEastAsia" w:cstheme="minorHAnsi"/>
        </w:rPr>
        <w:t xml:space="preserve">. </w:t>
      </w:r>
      <w:r w:rsidR="008933F0">
        <w:rPr>
          <w:rStyle w:val="normaltextrun"/>
          <w:rFonts w:eastAsiaTheme="minorEastAsia" w:cstheme="minorHAnsi"/>
        </w:rPr>
        <w:t xml:space="preserve">Difficulties recruiting staff will </w:t>
      </w:r>
      <w:r w:rsidR="00AD1FBA">
        <w:rPr>
          <w:rStyle w:val="normaltextrun"/>
          <w:rFonts w:eastAsiaTheme="minorEastAsia" w:cstheme="minorHAnsi"/>
        </w:rPr>
        <w:t xml:space="preserve">also limit </w:t>
      </w:r>
      <w:r w:rsidR="008933F0">
        <w:rPr>
          <w:rStyle w:val="normaltextrun"/>
          <w:rFonts w:eastAsiaTheme="minorEastAsia" w:cstheme="minorHAnsi"/>
        </w:rPr>
        <w:t xml:space="preserve">a </w:t>
      </w:r>
      <w:r w:rsidR="00AD1FBA">
        <w:rPr>
          <w:rStyle w:val="normaltextrun"/>
          <w:rFonts w:eastAsiaTheme="minorEastAsia" w:cstheme="minorHAnsi"/>
        </w:rPr>
        <w:t>business’s ability to build the workforce required to tender for and undertake new work.</w:t>
      </w:r>
      <w:r w:rsidR="00A26DDD">
        <w:rPr>
          <w:rStyle w:val="normaltextrun"/>
          <w:rFonts w:eastAsiaTheme="minorEastAsia" w:cstheme="minorHAnsi"/>
        </w:rPr>
        <w:t xml:space="preserve"> </w:t>
      </w:r>
      <w:r w:rsidR="004E6769">
        <w:rPr>
          <w:rStyle w:val="normaltextrun"/>
          <w:rFonts w:eastAsiaTheme="minorEastAsia" w:cstheme="minorHAnsi"/>
        </w:rPr>
        <w:t>It is important to note that w</w:t>
      </w:r>
      <w:r w:rsidR="00B37173" w:rsidRPr="00B37173">
        <w:rPr>
          <w:rStyle w:val="normaltextrun"/>
          <w:rFonts w:eastAsiaTheme="minorEastAsia" w:cstheme="minorHAnsi"/>
        </w:rPr>
        <w:t xml:space="preserve">hile larger construction </w:t>
      </w:r>
      <w:r w:rsidR="00C73A76">
        <w:rPr>
          <w:rStyle w:val="normaltextrun"/>
          <w:rFonts w:eastAsiaTheme="minorEastAsia" w:cstheme="minorHAnsi"/>
        </w:rPr>
        <w:t xml:space="preserve">and ICT </w:t>
      </w:r>
      <w:r w:rsidR="00B37173" w:rsidRPr="00B37173">
        <w:rPr>
          <w:rStyle w:val="normaltextrun"/>
          <w:rFonts w:eastAsiaTheme="minorEastAsia" w:cstheme="minorHAnsi"/>
        </w:rPr>
        <w:t>companies generally undertake major projects (with a contract value over $10 million), skills shortages can affect companies of all sizes.</w:t>
      </w:r>
      <w:r w:rsidR="006050F0">
        <w:rPr>
          <w:rStyle w:val="normaltextrun"/>
          <w:rFonts w:eastAsiaTheme="minorEastAsia" w:cstheme="minorHAnsi"/>
        </w:rPr>
        <w:t xml:space="preserve"> </w:t>
      </w:r>
    </w:p>
    <w:p w14:paraId="361ED508" w14:textId="5AF8BDBA" w:rsidR="00170074" w:rsidRDefault="006050F0" w:rsidP="00BE7BDA">
      <w:pPr>
        <w:rPr>
          <w:rStyle w:val="normaltextrun"/>
          <w:rFonts w:eastAsiaTheme="minorEastAsia" w:cstheme="minorHAnsi"/>
        </w:rPr>
      </w:pPr>
      <w:r>
        <w:rPr>
          <w:rStyle w:val="normaltextrun"/>
          <w:rFonts w:eastAsiaTheme="minorEastAsia" w:cstheme="minorHAnsi"/>
        </w:rPr>
        <w:t xml:space="preserve">If businesses </w:t>
      </w:r>
      <w:r w:rsidR="00396D3F">
        <w:rPr>
          <w:rStyle w:val="normaltextrun"/>
          <w:rFonts w:eastAsiaTheme="minorEastAsia" w:cstheme="minorHAnsi"/>
        </w:rPr>
        <w:t>have a gender-based focus on recruitment and their workforce</w:t>
      </w:r>
      <w:r w:rsidR="007D726B">
        <w:rPr>
          <w:rStyle w:val="normaltextrun"/>
          <w:rFonts w:eastAsiaTheme="minorEastAsia" w:cstheme="minorHAnsi"/>
        </w:rPr>
        <w:t>,</w:t>
      </w:r>
      <w:r w:rsidR="00396D3F">
        <w:rPr>
          <w:rStyle w:val="normaltextrun"/>
          <w:rFonts w:eastAsiaTheme="minorEastAsia" w:cstheme="minorHAnsi"/>
        </w:rPr>
        <w:t xml:space="preserve"> it </w:t>
      </w:r>
      <w:r w:rsidR="00A861BF">
        <w:rPr>
          <w:rStyle w:val="normaltextrun"/>
          <w:rFonts w:eastAsiaTheme="minorEastAsia" w:cstheme="minorHAnsi"/>
        </w:rPr>
        <w:t>also</w:t>
      </w:r>
      <w:r w:rsidR="00396D3F">
        <w:rPr>
          <w:rStyle w:val="normaltextrun"/>
          <w:rFonts w:eastAsiaTheme="minorEastAsia" w:cstheme="minorHAnsi"/>
        </w:rPr>
        <w:t xml:space="preserve"> </w:t>
      </w:r>
      <w:r w:rsidR="006942AE">
        <w:rPr>
          <w:rStyle w:val="normaltextrun"/>
          <w:rFonts w:eastAsiaTheme="minorEastAsia" w:cstheme="minorHAnsi"/>
        </w:rPr>
        <w:t>limit</w:t>
      </w:r>
      <w:r w:rsidR="00396D3F">
        <w:rPr>
          <w:rStyle w:val="normaltextrun"/>
          <w:rFonts w:eastAsiaTheme="minorEastAsia" w:cstheme="minorHAnsi"/>
        </w:rPr>
        <w:t xml:space="preserve">s their </w:t>
      </w:r>
      <w:r w:rsidR="00A861BF">
        <w:rPr>
          <w:rStyle w:val="normaltextrun"/>
          <w:rFonts w:eastAsiaTheme="minorEastAsia" w:cstheme="minorHAnsi"/>
        </w:rPr>
        <w:t>potential</w:t>
      </w:r>
      <w:r w:rsidR="00396D3F">
        <w:rPr>
          <w:rStyle w:val="normaltextrun"/>
          <w:rFonts w:eastAsiaTheme="minorEastAsia" w:cstheme="minorHAnsi"/>
        </w:rPr>
        <w:t xml:space="preserve"> pool o</w:t>
      </w:r>
      <w:r w:rsidR="00A5089D">
        <w:rPr>
          <w:rStyle w:val="normaltextrun"/>
          <w:rFonts w:eastAsiaTheme="minorEastAsia" w:cstheme="minorHAnsi"/>
        </w:rPr>
        <w:t>f staff</w:t>
      </w:r>
      <w:r w:rsidR="00B82A16">
        <w:rPr>
          <w:rStyle w:val="normaltextrun"/>
          <w:rFonts w:eastAsiaTheme="minorEastAsia" w:cstheme="minorHAnsi"/>
        </w:rPr>
        <w:t xml:space="preserve">. </w:t>
      </w:r>
    </w:p>
    <w:p w14:paraId="141AB36D" w14:textId="6709BF56" w:rsidR="00822298" w:rsidRPr="00823705" w:rsidRDefault="00F0345B" w:rsidP="00CD1E37">
      <w:pPr>
        <w:rPr>
          <w:rFonts w:eastAsiaTheme="minorEastAsia"/>
        </w:rPr>
      </w:pPr>
      <w:r w:rsidRPr="00815F25">
        <w:rPr>
          <w:rStyle w:val="eop"/>
          <w:rFonts w:cstheme="minorHAnsi"/>
        </w:rPr>
        <w:t xml:space="preserve">The COVID-19 pandemic accelerated digitisation in the Australian economy including, retailers embracing e-commerce, schools undertaking online learning and virtual medical appointments. Technology continues to develop at an increasing rate making it difficult for the workforce to keep up. The CyberCX Cyber Skills Report 2022 </w:t>
      </w:r>
      <w:r w:rsidRPr="00091A28">
        <w:rPr>
          <w:vertAlign w:val="superscript"/>
        </w:rPr>
        <w:footnoteReference w:id="21"/>
      </w:r>
      <w:r>
        <w:rPr>
          <w:rStyle w:val="eop"/>
          <w:rFonts w:cstheme="minorHAnsi"/>
        </w:rPr>
        <w:t xml:space="preserve"> </w:t>
      </w:r>
      <w:r w:rsidRPr="00815F25">
        <w:rPr>
          <w:rStyle w:val="eop"/>
          <w:rFonts w:cstheme="minorHAnsi"/>
        </w:rPr>
        <w:t xml:space="preserve">and the JSA 2023 SPL Key Findings Report </w:t>
      </w:r>
      <w:r>
        <w:rPr>
          <w:rStyle w:val="eop"/>
          <w:rFonts w:cstheme="minorHAnsi"/>
        </w:rPr>
        <w:t>outline</w:t>
      </w:r>
      <w:r w:rsidRPr="00815F25">
        <w:rPr>
          <w:rStyle w:val="eop"/>
          <w:rFonts w:cstheme="minorHAnsi"/>
        </w:rPr>
        <w:t xml:space="preserve"> the significant skills shortage across the ICT sector. </w:t>
      </w:r>
      <w:r w:rsidR="00822298" w:rsidRPr="00815F25">
        <w:rPr>
          <w:rStyle w:val="eop"/>
          <w:rFonts w:cstheme="minorHAnsi"/>
        </w:rPr>
        <w:t>A RMIT Online and Deloitte Access Economics</w:t>
      </w:r>
      <w:r w:rsidR="00822298" w:rsidRPr="008B2134">
        <w:rPr>
          <w:vertAlign w:val="superscript"/>
        </w:rPr>
        <w:footnoteReference w:id="22"/>
      </w:r>
      <w:r w:rsidR="00822298" w:rsidRPr="00815F25">
        <w:rPr>
          <w:rStyle w:val="eop"/>
          <w:rFonts w:cstheme="minorHAnsi"/>
        </w:rPr>
        <w:t xml:space="preserve"> study considers the digital skills gap is costing Australian businesses $3.1 billion annually and closing the current skills gap would take a $1.5 billion investment.</w:t>
      </w:r>
      <w:r w:rsidR="00BF795C">
        <w:rPr>
          <w:rStyle w:val="eop"/>
          <w:rFonts w:cstheme="minorHAnsi"/>
        </w:rPr>
        <w:t xml:space="preserve"> </w:t>
      </w:r>
      <w:r w:rsidR="00363C0D">
        <w:rPr>
          <w:rStyle w:val="eop"/>
          <w:rFonts w:cstheme="minorHAnsi"/>
        </w:rPr>
        <w:t>With i</w:t>
      </w:r>
      <w:r w:rsidR="00813D41">
        <w:rPr>
          <w:rStyle w:val="eop"/>
          <w:rFonts w:cstheme="minorHAnsi"/>
        </w:rPr>
        <w:t xml:space="preserve">nsufficient new </w:t>
      </w:r>
      <w:r w:rsidR="00363C0D">
        <w:rPr>
          <w:rStyle w:val="eop"/>
          <w:rFonts w:cstheme="minorHAnsi"/>
        </w:rPr>
        <w:t xml:space="preserve">ICT </w:t>
      </w:r>
      <w:r w:rsidR="00F413A4">
        <w:rPr>
          <w:rStyle w:val="eop"/>
          <w:rFonts w:cstheme="minorHAnsi"/>
        </w:rPr>
        <w:t>cadets</w:t>
      </w:r>
      <w:r w:rsidR="00363C0D">
        <w:rPr>
          <w:rStyle w:val="eop"/>
          <w:rFonts w:cstheme="minorHAnsi"/>
        </w:rPr>
        <w:t xml:space="preserve"> and ongoing workforce shortage</w:t>
      </w:r>
      <w:r w:rsidR="005B3BAD">
        <w:rPr>
          <w:rStyle w:val="eop"/>
          <w:rFonts w:cstheme="minorHAnsi"/>
        </w:rPr>
        <w:t>s, businesses must provide</w:t>
      </w:r>
      <w:r w:rsidR="00BF795C" w:rsidRPr="00815F25">
        <w:rPr>
          <w:rStyle w:val="eop"/>
          <w:rFonts w:cstheme="minorHAnsi"/>
        </w:rPr>
        <w:t xml:space="preserve"> competitive higher salaries to attract and retain ICT staff</w:t>
      </w:r>
      <w:r w:rsidR="005B3BAD">
        <w:rPr>
          <w:rStyle w:val="eop"/>
          <w:rFonts w:cstheme="minorHAnsi"/>
        </w:rPr>
        <w:t>.</w:t>
      </w:r>
    </w:p>
    <w:p w14:paraId="294ED776" w14:textId="3D4E40A2" w:rsidR="00E470EB" w:rsidRPr="00016C83" w:rsidRDefault="00E470EB" w:rsidP="00797487">
      <w:pPr>
        <w:pStyle w:val="Heading3"/>
        <w:rPr>
          <w:rStyle w:val="normaltextrun"/>
        </w:rPr>
      </w:pPr>
      <w:r w:rsidRPr="00016C83">
        <w:rPr>
          <w:rStyle w:val="normaltextrun"/>
        </w:rPr>
        <w:t>Women</w:t>
      </w:r>
    </w:p>
    <w:p w14:paraId="61663729" w14:textId="4DCADA7F" w:rsidR="00CC2359" w:rsidRDefault="00632CC1" w:rsidP="00CD1E37">
      <w:pPr>
        <w:rPr>
          <w:rStyle w:val="normaltextrun"/>
          <w:rFonts w:eastAsiaTheme="minorEastAsia"/>
        </w:rPr>
      </w:pPr>
      <w:r w:rsidRPr="5195FBBD">
        <w:rPr>
          <w:rStyle w:val="normaltextrun"/>
          <w:rFonts w:eastAsiaTheme="minorEastAsia"/>
        </w:rPr>
        <w:t xml:space="preserve">Women seeking to pursue </w:t>
      </w:r>
      <w:r w:rsidR="00DF221F">
        <w:rPr>
          <w:rStyle w:val="normaltextrun"/>
          <w:rFonts w:eastAsiaTheme="minorEastAsia"/>
        </w:rPr>
        <w:t xml:space="preserve">employment </w:t>
      </w:r>
      <w:r w:rsidR="00687A10">
        <w:rPr>
          <w:rStyle w:val="normaltextrun"/>
          <w:rFonts w:eastAsiaTheme="minorEastAsia"/>
        </w:rPr>
        <w:t xml:space="preserve">or commence </w:t>
      </w:r>
      <w:r w:rsidRPr="5195FBBD">
        <w:rPr>
          <w:rStyle w:val="normaltextrun"/>
          <w:rFonts w:eastAsiaTheme="minorEastAsia"/>
        </w:rPr>
        <w:t>an apprenticeship or trainee</w:t>
      </w:r>
      <w:r w:rsidR="009D587B">
        <w:rPr>
          <w:rStyle w:val="normaltextrun"/>
          <w:rFonts w:eastAsiaTheme="minorEastAsia"/>
        </w:rPr>
        <w:t>ship</w:t>
      </w:r>
      <w:r w:rsidRPr="5195FBBD">
        <w:rPr>
          <w:rStyle w:val="normaltextrun"/>
          <w:rFonts w:eastAsiaTheme="minorEastAsia"/>
        </w:rPr>
        <w:t xml:space="preserve"> </w:t>
      </w:r>
      <w:r w:rsidR="007513AC">
        <w:rPr>
          <w:rStyle w:val="normaltextrun"/>
          <w:rFonts w:eastAsiaTheme="minorEastAsia"/>
        </w:rPr>
        <w:t xml:space="preserve">can </w:t>
      </w:r>
      <w:r w:rsidRPr="5195FBBD">
        <w:rPr>
          <w:rStyle w:val="normaltextrun"/>
          <w:rFonts w:eastAsiaTheme="minorEastAsia"/>
        </w:rPr>
        <w:t>miss out on opportunities</w:t>
      </w:r>
      <w:r w:rsidR="00F21B77">
        <w:rPr>
          <w:rStyle w:val="normaltextrun"/>
          <w:rFonts w:eastAsiaTheme="minorEastAsia"/>
        </w:rPr>
        <w:t xml:space="preserve">. </w:t>
      </w:r>
      <w:r w:rsidR="00381F55">
        <w:rPr>
          <w:rStyle w:val="normaltextrun"/>
          <w:rFonts w:eastAsiaTheme="minorEastAsia"/>
        </w:rPr>
        <w:t>This is more prevalent in male-dominated industries, like construction or ICT</w:t>
      </w:r>
      <w:r w:rsidR="00DB389A">
        <w:rPr>
          <w:rStyle w:val="normaltextrun"/>
          <w:rFonts w:eastAsiaTheme="minorEastAsia"/>
        </w:rPr>
        <w:t>,</w:t>
      </w:r>
      <w:r w:rsidR="00381F55">
        <w:rPr>
          <w:rStyle w:val="normaltextrun"/>
          <w:rFonts w:eastAsiaTheme="minorEastAsia"/>
        </w:rPr>
        <w:t xml:space="preserve"> </w:t>
      </w:r>
      <w:r w:rsidRPr="5195FBBD">
        <w:rPr>
          <w:rStyle w:val="normaltextrun"/>
          <w:rFonts w:eastAsiaTheme="minorEastAsia"/>
        </w:rPr>
        <w:t xml:space="preserve">due to </w:t>
      </w:r>
      <w:r w:rsidR="003C30B9">
        <w:rPr>
          <w:rStyle w:val="normaltextrun"/>
          <w:rFonts w:eastAsiaTheme="minorEastAsia"/>
        </w:rPr>
        <w:t>limited</w:t>
      </w:r>
      <w:r w:rsidR="00DD384F">
        <w:rPr>
          <w:rStyle w:val="normaltextrun"/>
          <w:rFonts w:eastAsiaTheme="minorEastAsia"/>
        </w:rPr>
        <w:t xml:space="preserve"> exposure to </w:t>
      </w:r>
      <w:r w:rsidR="00AC5A16">
        <w:rPr>
          <w:rStyle w:val="normaltextrun"/>
          <w:rFonts w:eastAsiaTheme="minorEastAsia"/>
        </w:rPr>
        <w:t>potential</w:t>
      </w:r>
      <w:r w:rsidR="00FA0E54">
        <w:rPr>
          <w:rStyle w:val="normaltextrun"/>
          <w:rFonts w:eastAsiaTheme="minorEastAsia"/>
        </w:rPr>
        <w:t xml:space="preserve"> career pathways in school</w:t>
      </w:r>
      <w:r w:rsidR="006C719A">
        <w:rPr>
          <w:rStyle w:val="normaltextrun"/>
          <w:rFonts w:eastAsiaTheme="minorEastAsia"/>
        </w:rPr>
        <w:t xml:space="preserve">, </w:t>
      </w:r>
      <w:r w:rsidRPr="5195FBBD">
        <w:rPr>
          <w:rStyle w:val="normaltextrun"/>
          <w:rFonts w:eastAsiaTheme="minorEastAsia"/>
        </w:rPr>
        <w:t>narrow recruitment practices</w:t>
      </w:r>
      <w:r w:rsidR="00212160">
        <w:rPr>
          <w:rStyle w:val="normaltextrun"/>
          <w:rFonts w:eastAsiaTheme="minorEastAsia"/>
        </w:rPr>
        <w:t xml:space="preserve">, </w:t>
      </w:r>
      <w:r w:rsidRPr="5195FBBD">
        <w:rPr>
          <w:rStyle w:val="normaltextrun"/>
          <w:rFonts w:eastAsiaTheme="minorEastAsia"/>
        </w:rPr>
        <w:t>and fac</w:t>
      </w:r>
      <w:r w:rsidR="001843DC" w:rsidRPr="5195FBBD">
        <w:rPr>
          <w:rStyle w:val="normaltextrun"/>
          <w:rFonts w:eastAsiaTheme="minorEastAsia"/>
        </w:rPr>
        <w:t>ing</w:t>
      </w:r>
      <w:r w:rsidRPr="5195FBBD">
        <w:rPr>
          <w:rStyle w:val="normaltextrun"/>
          <w:rFonts w:eastAsiaTheme="minorEastAsia"/>
        </w:rPr>
        <w:t xml:space="preserve"> gendered discriminat</w:t>
      </w:r>
      <w:r w:rsidR="008E5390">
        <w:rPr>
          <w:rStyle w:val="normaltextrun"/>
          <w:rFonts w:eastAsiaTheme="minorEastAsia"/>
        </w:rPr>
        <w:t>ion</w:t>
      </w:r>
      <w:r w:rsidR="00DB389A">
        <w:rPr>
          <w:rStyle w:val="normaltextrun"/>
          <w:rFonts w:eastAsiaTheme="minorEastAsia"/>
        </w:rPr>
        <w:t xml:space="preserve"> by </w:t>
      </w:r>
      <w:r w:rsidR="007564B6">
        <w:rPr>
          <w:rStyle w:val="normaltextrun"/>
          <w:rFonts w:eastAsiaTheme="minorEastAsia"/>
        </w:rPr>
        <w:t>some employers and existing workers in the industries</w:t>
      </w:r>
      <w:r w:rsidRPr="5195FBBD">
        <w:rPr>
          <w:rStyle w:val="normaltextrun"/>
          <w:rFonts w:eastAsiaTheme="minorEastAsia"/>
        </w:rPr>
        <w:t xml:space="preserve">. </w:t>
      </w:r>
    </w:p>
    <w:p w14:paraId="42EA3CD4" w14:textId="666A06EA" w:rsidR="00C060DE" w:rsidRDefault="00AA06E5" w:rsidP="00CD1E37">
      <w:r>
        <w:t>A range of organisational practices and processes, including informal recruitment processes, gendered workplace policies and a lack of mentors, role models and female leadership, have also been identified as key barriers to women’s employment in the skilled trades.</w:t>
      </w:r>
      <w:r w:rsidRPr="00831B64">
        <w:rPr>
          <w:vertAlign w:val="superscript"/>
        </w:rPr>
        <w:footnoteReference w:id="23"/>
      </w:r>
      <w:r w:rsidR="49090F71" w:rsidRPr="117AF988">
        <w:rPr>
          <w:vertAlign w:val="superscript"/>
        </w:rPr>
        <w:t xml:space="preserve"> </w:t>
      </w:r>
      <w:r w:rsidR="414F8656" w:rsidRPr="117AF988">
        <w:rPr>
          <w:rStyle w:val="normaltextrun"/>
          <w:rFonts w:eastAsiaTheme="minorEastAsia"/>
        </w:rPr>
        <w:t>There are preconceptions about a woman</w:t>
      </w:r>
      <w:r w:rsidR="00A60ABB" w:rsidRPr="117AF988">
        <w:rPr>
          <w:rStyle w:val="normaltextrun"/>
          <w:rFonts w:eastAsiaTheme="minorEastAsia"/>
        </w:rPr>
        <w:t>’</w:t>
      </w:r>
      <w:r w:rsidR="414F8656" w:rsidRPr="117AF988">
        <w:rPr>
          <w:rStyle w:val="normaltextrun"/>
          <w:rFonts w:eastAsiaTheme="minorEastAsia"/>
        </w:rPr>
        <w:t xml:space="preserve">s physical </w:t>
      </w:r>
      <w:r w:rsidR="0B96DC84" w:rsidRPr="117AF988">
        <w:rPr>
          <w:rStyle w:val="normaltextrun"/>
          <w:rFonts w:eastAsiaTheme="minorEastAsia"/>
        </w:rPr>
        <w:t>capabilities</w:t>
      </w:r>
      <w:r w:rsidR="414F8656" w:rsidRPr="117AF988">
        <w:rPr>
          <w:rStyle w:val="normaltextrun"/>
          <w:rFonts w:eastAsiaTheme="minorEastAsia"/>
        </w:rPr>
        <w:t xml:space="preserve"> causing bias in recruitment practices and </w:t>
      </w:r>
      <w:r w:rsidR="73C8B6E5" w:rsidRPr="117AF988">
        <w:rPr>
          <w:rStyle w:val="normaltextrun"/>
          <w:rFonts w:eastAsiaTheme="minorEastAsia"/>
        </w:rPr>
        <w:t xml:space="preserve">inclusion in </w:t>
      </w:r>
      <w:r w:rsidR="15F65D34" w:rsidRPr="117AF988">
        <w:rPr>
          <w:rStyle w:val="normaltextrun"/>
          <w:rFonts w:eastAsiaTheme="minorEastAsia"/>
        </w:rPr>
        <w:t>the construction industry</w:t>
      </w:r>
      <w:r w:rsidR="73C8B6E5" w:rsidRPr="117AF988">
        <w:rPr>
          <w:rStyle w:val="normaltextrun"/>
          <w:rFonts w:eastAsiaTheme="minorEastAsia"/>
        </w:rPr>
        <w:t>.</w:t>
      </w:r>
      <w:r w:rsidR="414F8656" w:rsidRPr="117AF988">
        <w:rPr>
          <w:rStyle w:val="normaltextrun"/>
          <w:rFonts w:eastAsiaTheme="minorEastAsia"/>
        </w:rPr>
        <w:t xml:space="preserve"> </w:t>
      </w:r>
      <w:r w:rsidR="00A23BCE" w:rsidRPr="117AF988">
        <w:rPr>
          <w:rStyle w:val="normaltextrun"/>
          <w:rFonts w:eastAsiaTheme="minorEastAsia"/>
        </w:rPr>
        <w:t xml:space="preserve">One </w:t>
      </w:r>
      <w:r w:rsidR="00D3726E" w:rsidRPr="117AF988">
        <w:rPr>
          <w:rStyle w:val="normaltextrun"/>
          <w:rFonts w:eastAsiaTheme="minorEastAsia"/>
        </w:rPr>
        <w:t>sub</w:t>
      </w:r>
      <w:r w:rsidR="004240A0" w:rsidRPr="117AF988">
        <w:rPr>
          <w:rStyle w:val="normaltextrun"/>
          <w:rFonts w:eastAsiaTheme="minorEastAsia"/>
        </w:rPr>
        <w:t xml:space="preserve">mission </w:t>
      </w:r>
      <w:r w:rsidR="00384D14" w:rsidRPr="117AF988">
        <w:rPr>
          <w:rStyle w:val="normaltextrun"/>
          <w:rFonts w:eastAsiaTheme="minorEastAsia"/>
        </w:rPr>
        <w:t xml:space="preserve">to </w:t>
      </w:r>
      <w:r w:rsidR="009A7BA3" w:rsidRPr="117AF988">
        <w:rPr>
          <w:rStyle w:val="normaltextrun"/>
          <w:rFonts w:eastAsiaTheme="minorEastAsia"/>
        </w:rPr>
        <w:t>the department</w:t>
      </w:r>
      <w:r w:rsidR="004240A0" w:rsidRPr="117AF988">
        <w:rPr>
          <w:rStyle w:val="normaltextrun"/>
          <w:rFonts w:eastAsiaTheme="minorEastAsia"/>
        </w:rPr>
        <w:t xml:space="preserve"> </w:t>
      </w:r>
      <w:r w:rsidR="002248DC" w:rsidRPr="117AF988">
        <w:rPr>
          <w:rStyle w:val="normaltextrun"/>
          <w:rFonts w:eastAsiaTheme="minorEastAsia"/>
        </w:rPr>
        <w:t xml:space="preserve">cited concerns about </w:t>
      </w:r>
      <w:r w:rsidR="00140600" w:rsidRPr="117AF988">
        <w:rPr>
          <w:rStyle w:val="normaltextrun"/>
          <w:rFonts w:eastAsiaTheme="minorEastAsia"/>
        </w:rPr>
        <w:t xml:space="preserve">the physical capabilities of some </w:t>
      </w:r>
      <w:r w:rsidR="00044287" w:rsidRPr="117AF988">
        <w:rPr>
          <w:rStyle w:val="normaltextrun"/>
          <w:rFonts w:eastAsiaTheme="minorEastAsia"/>
        </w:rPr>
        <w:t xml:space="preserve">females in </w:t>
      </w:r>
      <w:r w:rsidR="002248DC" w:rsidRPr="117AF988">
        <w:rPr>
          <w:rStyle w:val="normaltextrun"/>
          <w:rFonts w:eastAsiaTheme="minorEastAsia"/>
        </w:rPr>
        <w:t xml:space="preserve">the </w:t>
      </w:r>
      <w:r w:rsidR="00FC6F4C" w:rsidRPr="117AF988">
        <w:rPr>
          <w:rStyle w:val="normaltextrun"/>
          <w:rFonts w:eastAsiaTheme="minorEastAsia"/>
        </w:rPr>
        <w:t>construction</w:t>
      </w:r>
      <w:r w:rsidR="00A60ABB" w:rsidRPr="117AF988">
        <w:rPr>
          <w:rStyle w:val="normaltextrun"/>
          <w:rFonts w:eastAsiaTheme="minorEastAsia"/>
        </w:rPr>
        <w:t xml:space="preserve"> </w:t>
      </w:r>
      <w:r w:rsidR="00412762" w:rsidRPr="117AF988">
        <w:rPr>
          <w:rStyle w:val="normaltextrun"/>
          <w:rFonts w:eastAsiaTheme="minorEastAsia"/>
        </w:rPr>
        <w:t>workforce</w:t>
      </w:r>
      <w:r w:rsidR="002248DC" w:rsidRPr="117AF988">
        <w:rPr>
          <w:rStyle w:val="normaltextrun"/>
          <w:rFonts w:eastAsiaTheme="minorEastAsia"/>
        </w:rPr>
        <w:t>, particularly in</w:t>
      </w:r>
      <w:r w:rsidR="00044287" w:rsidRPr="117AF988">
        <w:rPr>
          <w:rStyle w:val="normaltextrun"/>
          <w:rFonts w:eastAsiaTheme="minorEastAsia"/>
        </w:rPr>
        <w:t xml:space="preserve"> roles that involve heavy lifting and labour</w:t>
      </w:r>
      <w:r w:rsidR="002248DC" w:rsidRPr="117AF988">
        <w:rPr>
          <w:rStyle w:val="normaltextrun"/>
          <w:rFonts w:eastAsiaTheme="minorEastAsia"/>
        </w:rPr>
        <w:t>.</w:t>
      </w:r>
      <w:r w:rsidR="00CD2FE3" w:rsidRPr="117AF988">
        <w:rPr>
          <w:rStyle w:val="normaltextrun"/>
          <w:rFonts w:eastAsiaTheme="minorEastAsia"/>
        </w:rPr>
        <w:t xml:space="preserve"> </w:t>
      </w:r>
      <w:r w:rsidR="00831B64">
        <w:t>Women are more likely to observe bullying in the workplace during their training</w:t>
      </w:r>
      <w:r w:rsidR="0056104C">
        <w:t xml:space="preserve">, </w:t>
      </w:r>
      <w:r w:rsidR="002F5DD5" w:rsidRPr="002F5DD5">
        <w:t>around 30.9% per cent of women in apprenticeships reported observing bullying in the workplace.</w:t>
      </w:r>
      <w:r w:rsidR="00A23BCE" w:rsidRPr="78418C89">
        <w:rPr>
          <w:vertAlign w:val="superscript"/>
        </w:rPr>
        <w:footnoteReference w:id="24"/>
      </w:r>
      <w:r w:rsidR="002F5DD5">
        <w:t xml:space="preserve"> </w:t>
      </w:r>
      <w:r w:rsidR="002A1471" w:rsidRPr="002A1471">
        <w:t>According to the 2018 National Survey on Workplace Sexual Harassment, it is estimated that 51% of women (compared to an estimated 12% of men) working in construction had experienced sexual harassment.</w:t>
      </w:r>
      <w:r w:rsidR="00A23BCE" w:rsidRPr="78418C89">
        <w:rPr>
          <w:vertAlign w:val="superscript"/>
        </w:rPr>
        <w:footnoteReference w:id="25"/>
      </w:r>
    </w:p>
    <w:p w14:paraId="69D4C341" w14:textId="4FA8DA12" w:rsidR="00241005" w:rsidRPr="00831B64" w:rsidRDefault="00241005" w:rsidP="00CD1E37">
      <w:r>
        <w:t xml:space="preserve">Anecdotally, the department </w:t>
      </w:r>
      <w:r w:rsidR="00A71A0D">
        <w:t xml:space="preserve">has </w:t>
      </w:r>
      <w:r w:rsidR="00330FFA">
        <w:t xml:space="preserve">also </w:t>
      </w:r>
      <w:r w:rsidR="00A71A0D">
        <w:t xml:space="preserve">observed reports of women facing gender discrimination and harassment in the </w:t>
      </w:r>
      <w:r w:rsidR="00DD0A56">
        <w:t xml:space="preserve">construction industry. For example, </w:t>
      </w:r>
      <w:r w:rsidR="00D4069C">
        <w:t>a</w:t>
      </w:r>
      <w:r w:rsidR="00DD0A56">
        <w:t xml:space="preserve"> case study revealed</w:t>
      </w:r>
      <w:r w:rsidR="00971711">
        <w:t xml:space="preserve"> that </w:t>
      </w:r>
      <w:r w:rsidR="007A7AA2">
        <w:t xml:space="preserve">one woman, </w:t>
      </w:r>
      <w:r w:rsidR="00971711">
        <w:t>as the only female on sit</w:t>
      </w:r>
      <w:r w:rsidR="007A7AA2">
        <w:t xml:space="preserve">e, </w:t>
      </w:r>
      <w:r w:rsidR="00620A80">
        <w:t xml:space="preserve">regularly received </w:t>
      </w:r>
      <w:r w:rsidR="002C2E1B">
        <w:t>catcalls</w:t>
      </w:r>
      <w:r w:rsidR="00620A80">
        <w:t xml:space="preserve"> and inappropriate comments, </w:t>
      </w:r>
      <w:r w:rsidR="00B07EFC">
        <w:t xml:space="preserve">and </w:t>
      </w:r>
      <w:r w:rsidR="002C2E1B">
        <w:t xml:space="preserve">that </w:t>
      </w:r>
      <w:r w:rsidR="00620A80">
        <w:t xml:space="preserve">she felt </w:t>
      </w:r>
      <w:r w:rsidR="00620A80">
        <w:lastRenderedPageBreak/>
        <w:t>completely out of place</w:t>
      </w:r>
      <w:r w:rsidR="00D4069C">
        <w:t xml:space="preserve">. She noted that </w:t>
      </w:r>
      <w:r w:rsidR="0056729B">
        <w:t xml:space="preserve">‘the industry needs to create </w:t>
      </w:r>
      <w:r w:rsidR="007D70A7">
        <w:t>a better environment to respect and support women.’</w:t>
      </w:r>
      <w:r w:rsidR="00971711">
        <w:rPr>
          <w:rStyle w:val="FootnoteReference"/>
        </w:rPr>
        <w:footnoteReference w:id="26"/>
      </w:r>
    </w:p>
    <w:p w14:paraId="7691A96F" w14:textId="77777777" w:rsidR="00566E26" w:rsidRPr="00815F25" w:rsidRDefault="00566E26" w:rsidP="00CD1E37">
      <w:r w:rsidRPr="00815F25">
        <w:t>The gendered nature of the construction and ICT industries also means women apprentices, trainees and cadets are underrepresented in these sectors at a time when 23.5% of the female Australian resident population aged 15 to 64 years participated in nationally recognised VET (compared to 25.1% of the male population)</w:t>
      </w:r>
      <w:r w:rsidRPr="00815F25">
        <w:rPr>
          <w:vertAlign w:val="superscript"/>
        </w:rPr>
        <w:footnoteReference w:id="27"/>
      </w:r>
      <w:r>
        <w:t xml:space="preserve">and have </w:t>
      </w:r>
      <w:r w:rsidRPr="00815F25">
        <w:t>higher attrition rate</w:t>
      </w:r>
      <w:r>
        <w:t xml:space="preserve"> than many other industries</w:t>
      </w:r>
      <w:r w:rsidRPr="00815F25">
        <w:t>.</w:t>
      </w:r>
    </w:p>
    <w:p w14:paraId="351D06C7" w14:textId="69FEA5E2" w:rsidR="00CE28C2" w:rsidRPr="00512CD1" w:rsidRDefault="00F4431F" w:rsidP="00CD1E37">
      <w:pPr>
        <w:rPr>
          <w:rStyle w:val="normaltextrun"/>
          <w:rFonts w:eastAsiaTheme="minorEastAsia"/>
        </w:rPr>
      </w:pPr>
      <w:r>
        <w:rPr>
          <w:rStyle w:val="normaltextrun"/>
          <w:rFonts w:eastAsiaTheme="minorEastAsia"/>
        </w:rPr>
        <w:t>Women</w:t>
      </w:r>
      <w:r w:rsidR="00632CC1" w:rsidRPr="5195FBBD">
        <w:rPr>
          <w:rStyle w:val="normaltextrun"/>
          <w:rFonts w:eastAsiaTheme="minorEastAsia"/>
        </w:rPr>
        <w:t xml:space="preserve"> </w:t>
      </w:r>
      <w:r w:rsidR="00D4069C">
        <w:rPr>
          <w:rStyle w:val="normaltextrun"/>
          <w:rFonts w:eastAsiaTheme="minorEastAsia"/>
        </w:rPr>
        <w:t>are</w:t>
      </w:r>
      <w:r w:rsidR="00632CC1" w:rsidRPr="5195FBBD">
        <w:rPr>
          <w:rStyle w:val="normaltextrun"/>
          <w:rFonts w:eastAsiaTheme="minorEastAsia"/>
        </w:rPr>
        <w:t xml:space="preserve"> less likely to complete training</w:t>
      </w:r>
      <w:r w:rsidR="005A5884">
        <w:rPr>
          <w:rStyle w:val="normaltextrun"/>
          <w:rFonts w:eastAsiaTheme="minorEastAsia"/>
        </w:rPr>
        <w:t>,</w:t>
      </w:r>
      <w:r w:rsidR="00632CC1" w:rsidRPr="5195FBBD">
        <w:rPr>
          <w:rStyle w:val="normaltextrun"/>
          <w:rFonts w:eastAsiaTheme="minorEastAsia"/>
        </w:rPr>
        <w:t xml:space="preserve"> </w:t>
      </w:r>
      <w:r w:rsidR="00CC30B2">
        <w:rPr>
          <w:rStyle w:val="normaltextrun"/>
          <w:rFonts w:eastAsiaTheme="minorEastAsia"/>
        </w:rPr>
        <w:t xml:space="preserve">as part of their </w:t>
      </w:r>
      <w:r w:rsidR="003C3952">
        <w:rPr>
          <w:rStyle w:val="normaltextrun"/>
          <w:rFonts w:eastAsiaTheme="minorEastAsia"/>
        </w:rPr>
        <w:t xml:space="preserve">construction </w:t>
      </w:r>
      <w:r w:rsidR="00CC30B2">
        <w:rPr>
          <w:rStyle w:val="normaltextrun"/>
          <w:rFonts w:eastAsiaTheme="minorEastAsia"/>
        </w:rPr>
        <w:t xml:space="preserve">apprenticeship </w:t>
      </w:r>
      <w:r w:rsidR="003C3952">
        <w:rPr>
          <w:rStyle w:val="normaltextrun"/>
          <w:rFonts w:eastAsiaTheme="minorEastAsia"/>
        </w:rPr>
        <w:t>or traine</w:t>
      </w:r>
      <w:r w:rsidR="008F53C7">
        <w:rPr>
          <w:rStyle w:val="normaltextrun"/>
          <w:rFonts w:eastAsiaTheme="minorEastAsia"/>
        </w:rPr>
        <w:t>eship</w:t>
      </w:r>
      <w:r w:rsidR="005A5884">
        <w:rPr>
          <w:rStyle w:val="normaltextrun"/>
          <w:rFonts w:eastAsiaTheme="minorEastAsia"/>
        </w:rPr>
        <w:t>,</w:t>
      </w:r>
      <w:r w:rsidR="00632CC1" w:rsidRPr="5195FBBD">
        <w:rPr>
          <w:rStyle w:val="normaltextrun"/>
          <w:rFonts w:eastAsiaTheme="minorEastAsia"/>
        </w:rPr>
        <w:t xml:space="preserve"> than their male counterparts as suggested by the higher attrition rate</w:t>
      </w:r>
      <w:r w:rsidR="000D2B44" w:rsidRPr="5195FBBD">
        <w:rPr>
          <w:rStyle w:val="normaltextrun"/>
          <w:rFonts w:eastAsiaTheme="minorEastAsia"/>
        </w:rPr>
        <w:t>.</w:t>
      </w:r>
      <w:r w:rsidR="000D2B44">
        <w:rPr>
          <w:rStyle w:val="FootnoteReference"/>
          <w:rFonts w:ascii="Calibri" w:eastAsia="Calibri" w:hAnsi="Calibri" w:cs="Calibri"/>
          <w:color w:val="000000" w:themeColor="text1"/>
        </w:rPr>
        <w:footnoteReference w:id="28"/>
      </w:r>
      <w:r w:rsidR="00632CC1" w:rsidRPr="5195FBBD">
        <w:rPr>
          <w:rStyle w:val="normaltextrun"/>
          <w:rFonts w:eastAsiaTheme="minorEastAsia"/>
        </w:rPr>
        <w:t xml:space="preserve"> This </w:t>
      </w:r>
      <w:r w:rsidR="002B2C55" w:rsidRPr="5195FBBD">
        <w:rPr>
          <w:rStyle w:val="normaltextrun"/>
          <w:rFonts w:eastAsiaTheme="minorEastAsia"/>
        </w:rPr>
        <w:t xml:space="preserve">high attrition rate </w:t>
      </w:r>
      <w:r w:rsidR="00632CC1" w:rsidRPr="5195FBBD">
        <w:rPr>
          <w:rStyle w:val="normaltextrun"/>
          <w:rFonts w:eastAsiaTheme="minorEastAsia"/>
        </w:rPr>
        <w:t>is to the detriment of employers who are facing skills shortages, women already in the industry and women who are interested in entering the construction sector or commencing an apprenticeship.</w:t>
      </w:r>
      <w:r w:rsidR="00940393" w:rsidRPr="5195FBBD">
        <w:rPr>
          <w:rStyle w:val="eop"/>
        </w:rPr>
        <w:t xml:space="preserve"> </w:t>
      </w:r>
      <w:r w:rsidR="0033223F">
        <w:rPr>
          <w:rStyle w:val="eop"/>
        </w:rPr>
        <w:t xml:space="preserve">During the public consultations on the Skills Guarantee Procurement Connected Policy (PCP) guidelines, </w:t>
      </w:r>
      <w:r w:rsidR="0033223F">
        <w:rPr>
          <w:rStyle w:val="normaltextrun"/>
          <w:rFonts w:eastAsiaTheme="minorEastAsia"/>
        </w:rPr>
        <w:t xml:space="preserve">a number of stakeholders noted that </w:t>
      </w:r>
      <w:r w:rsidR="00992778">
        <w:rPr>
          <w:rStyle w:val="normaltextrun"/>
          <w:rFonts w:eastAsiaTheme="minorEastAsia"/>
        </w:rPr>
        <w:t>wo</w:t>
      </w:r>
      <w:r w:rsidR="001F62FD" w:rsidRPr="5195FBBD">
        <w:rPr>
          <w:rStyle w:val="normaltextrun"/>
          <w:rFonts w:eastAsiaTheme="minorEastAsia"/>
        </w:rPr>
        <w:t>men tend to leave apprenticeships or traineeships in construction due to poor working conditions</w:t>
      </w:r>
      <w:r w:rsidR="00C674FB">
        <w:rPr>
          <w:rStyle w:val="normaltextrun"/>
          <w:rFonts w:eastAsiaTheme="minorEastAsia"/>
        </w:rPr>
        <w:t>,</w:t>
      </w:r>
      <w:r w:rsidR="00FB4378">
        <w:rPr>
          <w:rStyle w:val="normaltextrun"/>
          <w:rFonts w:eastAsiaTheme="minorEastAsia"/>
        </w:rPr>
        <w:t xml:space="preserve"> </w:t>
      </w:r>
      <w:r w:rsidR="00512CD1">
        <w:rPr>
          <w:rStyle w:val="normaltextrun"/>
          <w:rFonts w:eastAsiaTheme="minorEastAsia"/>
        </w:rPr>
        <w:t xml:space="preserve">such as </w:t>
      </w:r>
      <w:r w:rsidR="00512CD1" w:rsidRPr="00512CD1">
        <w:rPr>
          <w:rStyle w:val="normaltextrun"/>
          <w:rFonts w:eastAsiaTheme="minorEastAsia"/>
        </w:rPr>
        <w:t>inflexible working arrangements</w:t>
      </w:r>
      <w:r w:rsidR="00242CF7">
        <w:rPr>
          <w:rStyle w:val="normaltextrun"/>
          <w:rFonts w:eastAsiaTheme="minorEastAsia"/>
        </w:rPr>
        <w:t xml:space="preserve"> and</w:t>
      </w:r>
      <w:r w:rsidR="00512CD1">
        <w:rPr>
          <w:rStyle w:val="normaltextrun"/>
          <w:rFonts w:eastAsiaTheme="minorEastAsia"/>
        </w:rPr>
        <w:t xml:space="preserve"> </w:t>
      </w:r>
      <w:r w:rsidR="00FB4378">
        <w:rPr>
          <w:rStyle w:val="normaltextrun"/>
          <w:rFonts w:eastAsiaTheme="minorEastAsia"/>
        </w:rPr>
        <w:t>lack of gendered amenities</w:t>
      </w:r>
      <w:r w:rsidR="00C93886">
        <w:rPr>
          <w:rStyle w:val="normaltextrun"/>
          <w:rFonts w:eastAsiaTheme="minorEastAsia"/>
        </w:rPr>
        <w:t xml:space="preserve">. </w:t>
      </w:r>
      <w:r w:rsidR="00A838EF">
        <w:rPr>
          <w:rStyle w:val="normaltextrun"/>
          <w:rFonts w:eastAsiaTheme="minorEastAsia"/>
        </w:rPr>
        <w:t>T</w:t>
      </w:r>
      <w:r w:rsidR="00D1534A">
        <w:rPr>
          <w:rStyle w:val="normaltextrun"/>
          <w:rFonts w:eastAsiaTheme="minorEastAsia"/>
        </w:rPr>
        <w:t>hese condition</w:t>
      </w:r>
      <w:r w:rsidR="00CA70FF">
        <w:rPr>
          <w:rStyle w:val="normaltextrun"/>
          <w:rFonts w:eastAsiaTheme="minorEastAsia"/>
        </w:rPr>
        <w:t>s</w:t>
      </w:r>
      <w:r w:rsidR="008867DC">
        <w:rPr>
          <w:rStyle w:val="normaltextrun"/>
          <w:rFonts w:eastAsiaTheme="minorEastAsia"/>
        </w:rPr>
        <w:t xml:space="preserve"> act as a barrier to women</w:t>
      </w:r>
      <w:r w:rsidR="000454B0">
        <w:rPr>
          <w:rStyle w:val="normaltextrun"/>
          <w:rFonts w:eastAsiaTheme="minorEastAsia"/>
        </w:rPr>
        <w:t xml:space="preserve"> </w:t>
      </w:r>
      <w:r w:rsidR="00AF629C">
        <w:rPr>
          <w:rStyle w:val="normaltextrun"/>
          <w:rFonts w:eastAsiaTheme="minorEastAsia"/>
        </w:rPr>
        <w:t>pursuing</w:t>
      </w:r>
      <w:r w:rsidR="00C674FB">
        <w:rPr>
          <w:rStyle w:val="normaltextrun"/>
          <w:rFonts w:eastAsiaTheme="minorEastAsia"/>
        </w:rPr>
        <w:t xml:space="preserve"> </w:t>
      </w:r>
      <w:r w:rsidR="00AF629C">
        <w:rPr>
          <w:rStyle w:val="normaltextrun"/>
          <w:rFonts w:eastAsiaTheme="minorEastAsia"/>
        </w:rPr>
        <w:t xml:space="preserve">a </w:t>
      </w:r>
      <w:r w:rsidR="00C674FB">
        <w:rPr>
          <w:rStyle w:val="normaltextrun"/>
          <w:rFonts w:eastAsiaTheme="minorEastAsia"/>
        </w:rPr>
        <w:t xml:space="preserve">career in the construction </w:t>
      </w:r>
      <w:r w:rsidR="00C154C8">
        <w:rPr>
          <w:rStyle w:val="normaltextrun"/>
          <w:rFonts w:eastAsiaTheme="minorEastAsia"/>
        </w:rPr>
        <w:t>sector</w:t>
      </w:r>
      <w:r w:rsidR="000454B0">
        <w:rPr>
          <w:rStyle w:val="normaltextrun"/>
          <w:rFonts w:eastAsiaTheme="minorEastAsia"/>
        </w:rPr>
        <w:t>.</w:t>
      </w:r>
      <w:r w:rsidR="005E6370" w:rsidRPr="5195FBBD" w:rsidDel="005E6370">
        <w:rPr>
          <w:rStyle w:val="normaltextrun"/>
          <w:rFonts w:eastAsiaTheme="minorEastAsia"/>
        </w:rPr>
        <w:t xml:space="preserve"> </w:t>
      </w:r>
    </w:p>
    <w:p w14:paraId="36473976" w14:textId="6F985417" w:rsidR="00337AD3" w:rsidRDefault="00954626" w:rsidP="00CD1E37">
      <w:r w:rsidRPr="00815F25">
        <w:rPr>
          <w:rStyle w:val="normaltextrun"/>
          <w:rFonts w:eastAsiaTheme="minorEastAsia"/>
        </w:rPr>
        <w:t>A</w:t>
      </w:r>
      <w:r w:rsidR="001F62FD" w:rsidRPr="00815F25">
        <w:rPr>
          <w:rStyle w:val="normaltextrun"/>
          <w:rFonts w:eastAsiaTheme="minorEastAsia"/>
        </w:rPr>
        <w:t xml:space="preserve"> Workplace Gender Equality Agency </w:t>
      </w:r>
      <w:r w:rsidR="177617D6" w:rsidRPr="00815F25">
        <w:rPr>
          <w:rStyle w:val="normaltextrun"/>
          <w:rFonts w:eastAsiaTheme="minorEastAsia"/>
        </w:rPr>
        <w:t>(WGEA)</w:t>
      </w:r>
      <w:r w:rsidR="001F62FD" w:rsidRPr="00815F25">
        <w:rPr>
          <w:rStyle w:val="normaltextrun"/>
          <w:rFonts w:eastAsiaTheme="minorEastAsia"/>
        </w:rPr>
        <w:t xml:space="preserve"> case study </w:t>
      </w:r>
      <w:r w:rsidR="0033223F">
        <w:rPr>
          <w:rStyle w:val="normaltextrun"/>
          <w:rFonts w:eastAsiaTheme="minorEastAsia"/>
        </w:rPr>
        <w:t>on</w:t>
      </w:r>
      <w:r w:rsidR="001F62FD" w:rsidRPr="00815F25">
        <w:rPr>
          <w:rStyle w:val="normaltextrun"/>
          <w:rFonts w:eastAsiaTheme="minorEastAsia"/>
        </w:rPr>
        <w:t xml:space="preserve"> attracting women to a male-dominated industry focussed on a mining company identified the main barriers for the company included the perception of mining as a ‘man’s domain’ with a ‘blokey culture’, a shrinking pipeline of qualified women </w:t>
      </w:r>
      <w:r w:rsidR="002248DC">
        <w:rPr>
          <w:rStyle w:val="normaltextrun"/>
          <w:rFonts w:eastAsiaTheme="minorEastAsia"/>
        </w:rPr>
        <w:t>in relevant</w:t>
      </w:r>
      <w:r w:rsidR="001F62FD" w:rsidRPr="00815F25">
        <w:rPr>
          <w:rStyle w:val="normaltextrun"/>
          <w:rFonts w:eastAsiaTheme="minorEastAsia"/>
        </w:rPr>
        <w:t xml:space="preserve"> professional and technical roles, and difficulty retaining women in fly-in fly-out site-based roles because of </w:t>
      </w:r>
      <w:r w:rsidR="00E30DB9">
        <w:rPr>
          <w:rStyle w:val="normaltextrun"/>
          <w:rFonts w:eastAsiaTheme="minorEastAsia"/>
        </w:rPr>
        <w:t xml:space="preserve">the </w:t>
      </w:r>
      <w:r w:rsidR="001F62FD" w:rsidRPr="00815F25">
        <w:rPr>
          <w:rStyle w:val="normaltextrun"/>
          <w:rFonts w:eastAsiaTheme="minorEastAsia"/>
        </w:rPr>
        <w:t>extended periods away from family. As a key part of delivering change, the company had used target setting since 2010 to focus attention on goals within the organisation and to demonstrate a commitment to drive change – for example,</w:t>
      </w:r>
      <w:r w:rsidR="001F62FD" w:rsidRPr="00815F25">
        <w:t xml:space="preserve"> </w:t>
      </w:r>
      <w:r w:rsidR="001F62FD" w:rsidRPr="00815F25">
        <w:rPr>
          <w:rStyle w:val="normaltextrun"/>
          <w:rFonts w:eastAsiaTheme="minorEastAsia"/>
        </w:rPr>
        <w:t xml:space="preserve">the company set a target of having a 30% representation of women in their workforce </w:t>
      </w:r>
      <w:r w:rsidR="0066055E">
        <w:rPr>
          <w:rStyle w:val="normaltextrun"/>
          <w:rFonts w:eastAsiaTheme="minorEastAsia"/>
        </w:rPr>
        <w:t>by</w:t>
      </w:r>
      <w:r w:rsidR="001F62FD" w:rsidRPr="00815F25">
        <w:rPr>
          <w:rStyle w:val="normaltextrun"/>
          <w:rFonts w:eastAsiaTheme="minorEastAsia"/>
        </w:rPr>
        <w:t xml:space="preserve"> 2018</w:t>
      </w:r>
      <w:r w:rsidR="00641668">
        <w:rPr>
          <w:rStyle w:val="normaltextrun"/>
          <w:rFonts w:eastAsiaTheme="minorEastAsia"/>
        </w:rPr>
        <w:t xml:space="preserve">. </w:t>
      </w:r>
      <w:r w:rsidR="00641668" w:rsidRPr="00B524A7">
        <w:rPr>
          <w:rStyle w:val="normaltextrun"/>
          <w:rFonts w:eastAsiaTheme="minorEastAsia"/>
        </w:rPr>
        <w:t>This target</w:t>
      </w:r>
      <w:r w:rsidR="001F62FD" w:rsidRPr="00B524A7">
        <w:rPr>
          <w:rStyle w:val="normaltextrun"/>
          <w:rFonts w:eastAsiaTheme="minorEastAsia"/>
        </w:rPr>
        <w:t xml:space="preserve"> </w:t>
      </w:r>
      <w:r w:rsidR="00707D79" w:rsidRPr="00B524A7">
        <w:rPr>
          <w:rStyle w:val="normaltextrun"/>
          <w:rFonts w:eastAsiaTheme="minorEastAsia"/>
        </w:rPr>
        <w:t xml:space="preserve">was </w:t>
      </w:r>
      <w:r w:rsidR="00D76182" w:rsidRPr="00B524A7">
        <w:rPr>
          <w:rStyle w:val="normaltextrun"/>
          <w:rFonts w:eastAsiaTheme="minorEastAsia"/>
        </w:rPr>
        <w:t>accompanied</w:t>
      </w:r>
      <w:r w:rsidR="00707D79" w:rsidRPr="00B524A7">
        <w:rPr>
          <w:rStyle w:val="normaltextrun"/>
          <w:rFonts w:eastAsiaTheme="minorEastAsia"/>
        </w:rPr>
        <w:t xml:space="preserve"> by</w:t>
      </w:r>
      <w:r w:rsidR="00D76182" w:rsidRPr="00B524A7">
        <w:rPr>
          <w:rStyle w:val="normaltextrun"/>
          <w:rFonts w:eastAsiaTheme="minorEastAsia"/>
        </w:rPr>
        <w:t xml:space="preserve"> strategies </w:t>
      </w:r>
      <w:r w:rsidR="00E43EDF" w:rsidRPr="00B524A7">
        <w:rPr>
          <w:rStyle w:val="normaltextrun"/>
          <w:rFonts w:eastAsiaTheme="minorEastAsia"/>
        </w:rPr>
        <w:t>to</w:t>
      </w:r>
      <w:r w:rsidR="00EC19A3" w:rsidRPr="00B524A7">
        <w:rPr>
          <w:rStyle w:val="normaltextrun"/>
          <w:rFonts w:eastAsiaTheme="minorEastAsia"/>
        </w:rPr>
        <w:t xml:space="preserve"> promote gender equality in the</w:t>
      </w:r>
      <w:r w:rsidR="00E43EDF" w:rsidRPr="00B524A7">
        <w:rPr>
          <w:rStyle w:val="normaltextrun"/>
          <w:rFonts w:eastAsiaTheme="minorEastAsia"/>
        </w:rPr>
        <w:t xml:space="preserve"> company’s</w:t>
      </w:r>
      <w:r w:rsidR="00EC19A3" w:rsidRPr="00B524A7">
        <w:rPr>
          <w:rStyle w:val="normaltextrun"/>
          <w:rFonts w:eastAsiaTheme="minorEastAsia"/>
        </w:rPr>
        <w:t xml:space="preserve"> recruitment practices</w:t>
      </w:r>
      <w:r w:rsidR="009902BB" w:rsidRPr="00B524A7">
        <w:rPr>
          <w:rStyle w:val="normaltextrun"/>
          <w:rFonts w:eastAsiaTheme="minorEastAsia"/>
        </w:rPr>
        <w:t xml:space="preserve">, </w:t>
      </w:r>
      <w:r w:rsidR="005F029F" w:rsidRPr="00B524A7">
        <w:rPr>
          <w:rStyle w:val="normaltextrun"/>
          <w:rFonts w:eastAsiaTheme="minorEastAsia"/>
        </w:rPr>
        <w:t>which included (but were not limited to)</w:t>
      </w:r>
      <w:r w:rsidR="009902BB" w:rsidRPr="00B524A7">
        <w:rPr>
          <w:rStyle w:val="normaltextrun"/>
          <w:rFonts w:eastAsiaTheme="minorEastAsia"/>
        </w:rPr>
        <w:t xml:space="preserve"> </w:t>
      </w:r>
      <w:r w:rsidR="00B063E2" w:rsidRPr="00B524A7">
        <w:rPr>
          <w:rStyle w:val="normaltextrun"/>
          <w:rFonts w:eastAsiaTheme="minorEastAsia"/>
        </w:rPr>
        <w:t>recruiting women into under</w:t>
      </w:r>
      <w:r w:rsidR="00073864" w:rsidRPr="00B524A7">
        <w:rPr>
          <w:rStyle w:val="normaltextrun"/>
          <w:rFonts w:eastAsiaTheme="minorEastAsia"/>
        </w:rPr>
        <w:t>-represented areas such as trades and technical roles</w:t>
      </w:r>
      <w:r w:rsidR="001D0228" w:rsidRPr="00B524A7">
        <w:rPr>
          <w:rStyle w:val="normaltextrun"/>
          <w:rFonts w:eastAsiaTheme="minorEastAsia"/>
        </w:rPr>
        <w:t xml:space="preserve">, removing </w:t>
      </w:r>
      <w:r w:rsidR="004F6640" w:rsidRPr="00B524A7">
        <w:rPr>
          <w:rStyle w:val="normaltextrun"/>
          <w:rFonts w:eastAsiaTheme="minorEastAsia"/>
        </w:rPr>
        <w:t xml:space="preserve">specific language from </w:t>
      </w:r>
      <w:r w:rsidR="00CC3E6B" w:rsidRPr="00B524A7">
        <w:rPr>
          <w:rStyle w:val="normaltextrun"/>
          <w:rFonts w:eastAsiaTheme="minorEastAsia"/>
        </w:rPr>
        <w:t>job advertisements and role descriptions</w:t>
      </w:r>
      <w:r w:rsidR="002248DC">
        <w:rPr>
          <w:rStyle w:val="normaltextrun"/>
          <w:rFonts w:eastAsiaTheme="minorEastAsia"/>
        </w:rPr>
        <w:t xml:space="preserve"> (which might deter women from applying)</w:t>
      </w:r>
      <w:r w:rsidR="00CC3E6B" w:rsidRPr="00B524A7">
        <w:rPr>
          <w:rStyle w:val="normaltextrun"/>
          <w:rFonts w:eastAsiaTheme="minorEastAsia"/>
        </w:rPr>
        <w:t xml:space="preserve">, and </w:t>
      </w:r>
      <w:r w:rsidR="0091211E" w:rsidRPr="00B524A7">
        <w:rPr>
          <w:rStyle w:val="normaltextrun"/>
          <w:rFonts w:eastAsiaTheme="minorEastAsia"/>
        </w:rPr>
        <w:t>aiming to eliminate bias on re</w:t>
      </w:r>
      <w:r w:rsidR="00681A29" w:rsidRPr="00B524A7">
        <w:rPr>
          <w:rStyle w:val="normaltextrun"/>
          <w:rFonts w:eastAsiaTheme="minorEastAsia"/>
        </w:rPr>
        <w:t>cruiting panels</w:t>
      </w:r>
      <w:r w:rsidR="003D0D71" w:rsidRPr="00B524A7">
        <w:rPr>
          <w:rStyle w:val="normaltextrun"/>
          <w:rFonts w:eastAsiaTheme="minorEastAsia"/>
        </w:rPr>
        <w:t xml:space="preserve">. </w:t>
      </w:r>
      <w:r w:rsidR="00C940D4" w:rsidRPr="00B524A7">
        <w:rPr>
          <w:rStyle w:val="normaltextrun"/>
          <w:rFonts w:eastAsiaTheme="minorEastAsia"/>
        </w:rPr>
        <w:t>As a result of th</w:t>
      </w:r>
      <w:r w:rsidR="00F51B19" w:rsidRPr="00B524A7">
        <w:rPr>
          <w:rStyle w:val="normaltextrun"/>
          <w:rFonts w:eastAsiaTheme="minorEastAsia"/>
        </w:rPr>
        <w:t>e</w:t>
      </w:r>
      <w:r w:rsidR="00374C4C" w:rsidRPr="00B524A7">
        <w:rPr>
          <w:rStyle w:val="normaltextrun"/>
          <w:rFonts w:eastAsiaTheme="minorEastAsia"/>
        </w:rPr>
        <w:t xml:space="preserve"> </w:t>
      </w:r>
      <w:r w:rsidR="002248DC">
        <w:rPr>
          <w:rStyle w:val="normaltextrun"/>
          <w:rFonts w:eastAsiaTheme="minorEastAsia"/>
        </w:rPr>
        <w:t xml:space="preserve">recruitment </w:t>
      </w:r>
      <w:r w:rsidR="00374C4C" w:rsidRPr="00B524A7">
        <w:rPr>
          <w:rStyle w:val="normaltextrun"/>
          <w:rFonts w:eastAsiaTheme="minorEastAsia"/>
        </w:rPr>
        <w:t>target</w:t>
      </w:r>
      <w:r w:rsidR="009E1BB4" w:rsidRPr="00B524A7">
        <w:rPr>
          <w:rStyle w:val="normaltextrun"/>
          <w:rFonts w:eastAsiaTheme="minorEastAsia"/>
        </w:rPr>
        <w:t xml:space="preserve"> </w:t>
      </w:r>
      <w:r w:rsidR="00374C4C" w:rsidRPr="00B524A7">
        <w:rPr>
          <w:rStyle w:val="normaltextrun"/>
          <w:rFonts w:eastAsiaTheme="minorEastAsia"/>
        </w:rPr>
        <w:t>and the</w:t>
      </w:r>
      <w:r w:rsidR="00F51B19" w:rsidRPr="00B524A7">
        <w:rPr>
          <w:rStyle w:val="normaltextrun"/>
          <w:rFonts w:eastAsiaTheme="minorEastAsia"/>
        </w:rPr>
        <w:t xml:space="preserve"> </w:t>
      </w:r>
      <w:r w:rsidR="002248DC">
        <w:rPr>
          <w:rStyle w:val="normaltextrun"/>
          <w:rFonts w:eastAsiaTheme="minorEastAsia"/>
        </w:rPr>
        <w:t xml:space="preserve">accompanying </w:t>
      </w:r>
      <w:r w:rsidR="00F51B19" w:rsidRPr="00B524A7">
        <w:rPr>
          <w:rStyle w:val="normaltextrun"/>
          <w:rFonts w:eastAsiaTheme="minorEastAsia"/>
        </w:rPr>
        <w:t xml:space="preserve">recruitment </w:t>
      </w:r>
      <w:r w:rsidR="00374C4C" w:rsidRPr="00B524A7">
        <w:rPr>
          <w:rStyle w:val="normaltextrun"/>
          <w:rFonts w:eastAsiaTheme="minorEastAsia"/>
        </w:rPr>
        <w:t>strategies</w:t>
      </w:r>
      <w:r w:rsidR="00F51B19" w:rsidRPr="00B524A7">
        <w:rPr>
          <w:rStyle w:val="normaltextrun"/>
          <w:rFonts w:eastAsiaTheme="minorEastAsia"/>
        </w:rPr>
        <w:t>,</w:t>
      </w:r>
      <w:r w:rsidR="00C940D4" w:rsidRPr="00B524A7">
        <w:rPr>
          <w:rStyle w:val="normaltextrun"/>
          <w:rFonts w:eastAsiaTheme="minorEastAsia"/>
        </w:rPr>
        <w:t xml:space="preserve"> in the 12 months to December 2016, 24% of all new starters were female compared to 20% in the 12 months to December 2015.</w:t>
      </w:r>
      <w:r w:rsidR="001F62FD" w:rsidRPr="00B524A7">
        <w:rPr>
          <w:rStyle w:val="FootnoteReference"/>
          <w:rFonts w:eastAsiaTheme="minorEastAsia" w:cstheme="minorHAnsi"/>
        </w:rPr>
        <w:footnoteReference w:id="29"/>
      </w:r>
      <w:r w:rsidR="262B7C6A" w:rsidRPr="00B524A7">
        <w:rPr>
          <w:rStyle w:val="FootnoteReference"/>
          <w:rFonts w:eastAsiaTheme="minorEastAsia"/>
        </w:rPr>
        <w:t xml:space="preserve"> </w:t>
      </w:r>
      <w:r w:rsidR="0015667E" w:rsidRPr="00B524A7">
        <w:t>.</w:t>
      </w:r>
      <w:r w:rsidR="00E30DB9">
        <w:t xml:space="preserve"> </w:t>
      </w:r>
    </w:p>
    <w:p w14:paraId="621A446E" w14:textId="678315A3" w:rsidR="00FF3ADC" w:rsidRPr="00FA3191" w:rsidRDefault="00FF3ADC" w:rsidP="00CD1E37">
      <w:r w:rsidRPr="00FA3191">
        <w:t xml:space="preserve">As at January 2023, women’s workforce participation </w:t>
      </w:r>
      <w:r w:rsidR="00EA3CDF">
        <w:t xml:space="preserve">in Australia </w:t>
      </w:r>
      <w:r w:rsidRPr="00FA3191">
        <w:t>was 62.1%, and the female unemployment rate was 3.5%.</w:t>
      </w:r>
      <w:r w:rsidRPr="00FA3191">
        <w:rPr>
          <w:vertAlign w:val="superscript"/>
        </w:rPr>
        <w:footnoteReference w:id="30"/>
      </w:r>
      <w:r w:rsidRPr="00FA3191">
        <w:t xml:space="preserve"> However </w:t>
      </w:r>
      <w:r w:rsidR="00EA3CDF">
        <w:t>despite these participation rates</w:t>
      </w:r>
      <w:r w:rsidR="00F24323">
        <w:t>,</w:t>
      </w:r>
      <w:r w:rsidR="00EA3CDF">
        <w:t xml:space="preserve"> </w:t>
      </w:r>
      <w:r w:rsidR="000D6D2C">
        <w:t xml:space="preserve">segments of </w:t>
      </w:r>
      <w:r w:rsidRPr="00FA3191">
        <w:t xml:space="preserve">Australia’s labour market remain highly gender segregated, with little change to this trend over the past 20 years. </w:t>
      </w:r>
      <w:r w:rsidRPr="00FA3191">
        <w:lastRenderedPageBreak/>
        <w:t>In particular, in the Australian construction industry, women make up only 14.5% of the</w:t>
      </w:r>
      <w:r w:rsidR="00EA3CDF">
        <w:t xml:space="preserve"> overall</w:t>
      </w:r>
      <w:r w:rsidRPr="00FA3191">
        <w:t xml:space="preserve"> workforce</w:t>
      </w:r>
      <w:r w:rsidR="00EE61B6">
        <w:rPr>
          <w:rStyle w:val="FootnoteReference"/>
          <w:rFonts w:ascii="Calibri" w:eastAsia="Calibri" w:hAnsi="Calibri" w:cs="Calibri"/>
          <w:color w:val="000000" w:themeColor="text1"/>
        </w:rPr>
        <w:footnoteReference w:id="31"/>
      </w:r>
      <w:r>
        <w:t xml:space="preserve"> </w:t>
      </w:r>
      <w:r w:rsidRPr="3A67EB22">
        <w:t>a</w:t>
      </w:r>
      <w:r w:rsidRPr="00FA3191">
        <w:t xml:space="preserve">nd the current rates of women undertaking apprenticeships and traineeships in </w:t>
      </w:r>
      <w:r w:rsidR="1B369805">
        <w:t xml:space="preserve"> </w:t>
      </w:r>
      <w:r w:rsidR="3AB9CA9D">
        <w:t>the</w:t>
      </w:r>
      <w:r w:rsidR="00085BBF">
        <w:t xml:space="preserve"> industry</w:t>
      </w:r>
      <w:r w:rsidR="002A4857">
        <w:t xml:space="preserve"> is</w:t>
      </w:r>
      <w:r w:rsidRPr="00FA3191">
        <w:t xml:space="preserve"> very low</w:t>
      </w:r>
      <w:r w:rsidR="00755F5F">
        <w:t xml:space="preserve">. </w:t>
      </w:r>
      <w:r w:rsidR="00755F5F" w:rsidRPr="00FB0F5A">
        <w:t xml:space="preserve">In </w:t>
      </w:r>
      <w:r w:rsidR="00755F5F" w:rsidRPr="00FB0F5A">
        <w:rPr>
          <w:rFonts w:ascii="Calibri" w:eastAsia="Calibri" w:hAnsi="Calibri" w:cs="Arial"/>
        </w:rPr>
        <w:t>June 2023</w:t>
      </w:r>
      <w:r w:rsidR="00755F5F">
        <w:rPr>
          <w:rFonts w:ascii="Calibri" w:eastAsia="Calibri" w:hAnsi="Calibri" w:cs="Arial"/>
        </w:rPr>
        <w:t>,</w:t>
      </w:r>
      <w:r w:rsidR="0008563E" w:rsidRPr="00FB0F5A">
        <w:rPr>
          <w:rFonts w:ascii="Calibri" w:eastAsia="Calibri" w:hAnsi="Calibri" w:cs="Arial"/>
        </w:rPr>
        <w:t xml:space="preserve"> 4.9% of apprentices and trainees in construction were women and 3.5% of apprentices and trainees were women in trade apprenticeships</w:t>
      </w:r>
      <w:r w:rsidR="0008563E" w:rsidRPr="00FB0F5A">
        <w:rPr>
          <w:rStyle w:val="FootnoteReference"/>
          <w:rFonts w:ascii="Calibri" w:eastAsia="Calibri" w:hAnsi="Calibri" w:cs="Arial"/>
        </w:rPr>
        <w:footnoteReference w:id="32"/>
      </w:r>
      <w:r w:rsidRPr="00FB0F5A">
        <w:t>.</w:t>
      </w:r>
      <w:r w:rsidR="0039410C" w:rsidRPr="00FB0F5A">
        <w:t xml:space="preserve"> </w:t>
      </w:r>
    </w:p>
    <w:p w14:paraId="759B8359" w14:textId="4623D3CF" w:rsidR="00E743C6" w:rsidRPr="00FA3191" w:rsidRDefault="00E366C2" w:rsidP="00CD1E37">
      <w:r>
        <w:t>T</w:t>
      </w:r>
      <w:r w:rsidR="00E743C6" w:rsidRPr="192C8392">
        <w:t>he Department of Prime Minister and Cabinet,</w:t>
      </w:r>
      <w:r>
        <w:t xml:space="preserve"> </w:t>
      </w:r>
      <w:r w:rsidR="00E743C6" w:rsidRPr="192C8392">
        <w:rPr>
          <w:i/>
          <w:iCs/>
        </w:rPr>
        <w:t>A 10-year-plan to unleash the full capacity and contribution of women to the Australian economy 2023–2033</w:t>
      </w:r>
      <w:r>
        <w:rPr>
          <w:i/>
          <w:iCs/>
        </w:rPr>
        <w:t xml:space="preserve"> </w:t>
      </w:r>
      <w:r>
        <w:t>report</w:t>
      </w:r>
      <w:r w:rsidR="00E743C6" w:rsidRPr="192C8392">
        <w:t>, found that ‘we could add $128 billion to the economy through boosting women’s workforce participation and productivity growth if we tackle the factors holding women back’. The report noted that gender segregation is one of these factors and that ‘despite women’s increasing labour force participation rates, gender segregation persists across the economy. For example, 76.2 per cent of employees in the ‘health care and social assistance’ industry are female, and 86.5 per cent of employees in the ‘construction industry’ are male’.</w:t>
      </w:r>
      <w:r w:rsidR="00E743C6" w:rsidRPr="192C8392">
        <w:rPr>
          <w:vertAlign w:val="superscript"/>
        </w:rPr>
        <w:footnoteReference w:id="33"/>
      </w:r>
      <w:r w:rsidR="007323DB">
        <w:t xml:space="preserve"> </w:t>
      </w:r>
    </w:p>
    <w:p w14:paraId="2D81A4B2" w14:textId="48249ADF" w:rsidR="00C32BF0" w:rsidRPr="005D3396" w:rsidRDefault="00C32BF0" w:rsidP="00797487">
      <w:pPr>
        <w:pStyle w:val="Heading3"/>
        <w:rPr>
          <w:rStyle w:val="normaltextrun"/>
        </w:rPr>
      </w:pPr>
      <w:r w:rsidRPr="005D3396">
        <w:rPr>
          <w:rStyle w:val="normaltextrun"/>
        </w:rPr>
        <w:t>Apprentices, trainees</w:t>
      </w:r>
      <w:r w:rsidR="00232A09" w:rsidRPr="005D3396">
        <w:rPr>
          <w:rStyle w:val="normaltextrun"/>
        </w:rPr>
        <w:t>,</w:t>
      </w:r>
      <w:r w:rsidRPr="005D3396">
        <w:rPr>
          <w:rStyle w:val="normaltextrun"/>
        </w:rPr>
        <w:t xml:space="preserve"> and </w:t>
      </w:r>
      <w:r w:rsidR="00B86283" w:rsidRPr="005D3396">
        <w:rPr>
          <w:rStyle w:val="normaltextrun"/>
        </w:rPr>
        <w:t xml:space="preserve">ICT </w:t>
      </w:r>
      <w:r w:rsidRPr="005D3396">
        <w:rPr>
          <w:rStyle w:val="normaltextrun"/>
        </w:rPr>
        <w:t>cadets</w:t>
      </w:r>
    </w:p>
    <w:p w14:paraId="739E055F" w14:textId="28D3AAD4" w:rsidR="00037BAB" w:rsidRPr="00815F25" w:rsidRDefault="00037BAB" w:rsidP="006761B1">
      <w:r>
        <w:t xml:space="preserve">Without an </w:t>
      </w:r>
      <w:r w:rsidR="00A71465">
        <w:t>opportunity to undertake</w:t>
      </w:r>
      <w:r>
        <w:t xml:space="preserve"> an apprenticeship, traineeship or ICT cadetship </w:t>
      </w:r>
      <w:r w:rsidR="002671B0">
        <w:t xml:space="preserve">career </w:t>
      </w:r>
      <w:r>
        <w:t>pathway</w:t>
      </w:r>
      <w:r w:rsidR="00185819">
        <w:t xml:space="preserve"> </w:t>
      </w:r>
      <w:r w:rsidR="000C5E11">
        <w:t xml:space="preserve">can </w:t>
      </w:r>
      <w:r>
        <w:t xml:space="preserve">limit the exposure of future workers to develop real-world skills, </w:t>
      </w:r>
      <w:r w:rsidR="00EA3CDF">
        <w:t xml:space="preserve">limit their ability to </w:t>
      </w:r>
      <w:r>
        <w:t xml:space="preserve">adapt to </w:t>
      </w:r>
      <w:r w:rsidR="00EA3CDF">
        <w:t xml:space="preserve">changing </w:t>
      </w:r>
      <w:r>
        <w:t>workplace conditions and develop critical thinking skills</w:t>
      </w:r>
      <w:r w:rsidR="00EA3CDF">
        <w:t>.</w:t>
      </w:r>
      <w:r>
        <w:t xml:space="preserve"> </w:t>
      </w:r>
      <w:r w:rsidR="00EA3CDF">
        <w:t>This includes continuing to build skills and understanding</w:t>
      </w:r>
      <w:r w:rsidR="00C336A3">
        <w:t>,</w:t>
      </w:r>
      <w:r w:rsidR="004633A4">
        <w:t xml:space="preserve"> </w:t>
      </w:r>
      <w:r>
        <w:t>better retain knowledge</w:t>
      </w:r>
      <w:r w:rsidR="004633A4">
        <w:t xml:space="preserve">, </w:t>
      </w:r>
      <w:r w:rsidR="00167FB7">
        <w:t xml:space="preserve">and </w:t>
      </w:r>
      <w:r>
        <w:t xml:space="preserve">build relationships outside of </w:t>
      </w:r>
      <w:r w:rsidR="004633A4">
        <w:t>conventional training</w:t>
      </w:r>
      <w:r>
        <w:t xml:space="preserve"> </w:t>
      </w:r>
      <w:r w:rsidR="00555BC5">
        <w:t>institutions</w:t>
      </w:r>
      <w:r w:rsidR="0042027D">
        <w:t>, with the additional benefit of</w:t>
      </w:r>
      <w:r w:rsidR="00A469C4">
        <w:t xml:space="preserve"> earning </w:t>
      </w:r>
      <w:r w:rsidR="00C336A3">
        <w:t>while</w:t>
      </w:r>
      <w:r w:rsidR="00A469C4">
        <w:t xml:space="preserve"> gaining</w:t>
      </w:r>
      <w:r w:rsidR="00EA3CDF">
        <w:t xml:space="preserve"> formal</w:t>
      </w:r>
      <w:r w:rsidR="00A469C4">
        <w:t xml:space="preserve"> qualifications</w:t>
      </w:r>
      <w:r w:rsidR="00555BC5">
        <w:t xml:space="preserve">. </w:t>
      </w:r>
    </w:p>
    <w:p w14:paraId="257B2DB5" w14:textId="77777777" w:rsidR="00056555" w:rsidRDefault="000D0709" w:rsidP="006761B1">
      <w:r w:rsidRPr="00815F25">
        <w:t>When</w:t>
      </w:r>
      <w:r w:rsidR="00F86A71" w:rsidRPr="00815F25">
        <w:t xml:space="preserve"> </w:t>
      </w:r>
      <w:r w:rsidR="00007370" w:rsidRPr="00815F25">
        <w:t>apprentices, trainees,</w:t>
      </w:r>
      <w:r w:rsidR="00F27FD4" w:rsidRPr="00815F25">
        <w:t xml:space="preserve"> and</w:t>
      </w:r>
      <w:r w:rsidR="00007370" w:rsidRPr="00815F25">
        <w:t xml:space="preserve"> ICT cadets</w:t>
      </w:r>
      <w:r w:rsidR="006B6F73" w:rsidRPr="00815F25">
        <w:t xml:space="preserve"> </w:t>
      </w:r>
      <w:r w:rsidR="004F4C7D" w:rsidRPr="00815F25">
        <w:t>are</w:t>
      </w:r>
      <w:r w:rsidR="00B451B0">
        <w:t xml:space="preserve"> not widely utilised </w:t>
      </w:r>
      <w:r w:rsidR="00432901" w:rsidRPr="00815F25">
        <w:t>in the</w:t>
      </w:r>
      <w:r w:rsidR="00B71D7F" w:rsidRPr="00815F25">
        <w:t xml:space="preserve"> construction </w:t>
      </w:r>
      <w:r w:rsidR="00AF4E7B" w:rsidRPr="00815F25">
        <w:t>and</w:t>
      </w:r>
      <w:r w:rsidR="00B71D7F" w:rsidRPr="00815F25">
        <w:t xml:space="preserve"> ICT industries</w:t>
      </w:r>
      <w:r w:rsidR="00244E7B" w:rsidRPr="00815F25">
        <w:t xml:space="preserve">, </w:t>
      </w:r>
      <w:r w:rsidR="0063338B" w:rsidRPr="00815F25">
        <w:t xml:space="preserve">potential </w:t>
      </w:r>
      <w:r w:rsidR="00244E7B" w:rsidRPr="00815F25">
        <w:t>learners</w:t>
      </w:r>
      <w:r w:rsidR="0063338B" w:rsidRPr="00815F25">
        <w:t xml:space="preserve"> and workers</w:t>
      </w:r>
      <w:r w:rsidR="00244E7B" w:rsidRPr="00815F25">
        <w:t xml:space="preserve"> </w:t>
      </w:r>
      <w:r w:rsidR="004F4C7D" w:rsidRPr="00815F25">
        <w:t xml:space="preserve">miss out </w:t>
      </w:r>
      <w:r w:rsidR="0083670A" w:rsidRPr="00815F25">
        <w:t xml:space="preserve">on a </w:t>
      </w:r>
      <w:r w:rsidR="002A6022" w:rsidRPr="00815F25">
        <w:t>key</w:t>
      </w:r>
      <w:r w:rsidR="00432901" w:rsidRPr="00815F25">
        <w:t xml:space="preserve"> entry-level learning </w:t>
      </w:r>
      <w:r w:rsidR="0083670A" w:rsidRPr="00815F25">
        <w:t>pathway</w:t>
      </w:r>
      <w:r w:rsidR="00432901" w:rsidRPr="00815F25">
        <w:t xml:space="preserve"> </w:t>
      </w:r>
      <w:r w:rsidR="00092E9C" w:rsidRPr="00815F25">
        <w:t>and</w:t>
      </w:r>
      <w:r w:rsidR="0083670A" w:rsidRPr="00815F25">
        <w:t xml:space="preserve"> the opportunity </w:t>
      </w:r>
      <w:r w:rsidR="00F42994" w:rsidRPr="00815F25">
        <w:t xml:space="preserve">to </w:t>
      </w:r>
      <w:r w:rsidR="00753A74" w:rsidRPr="00815F25">
        <w:t xml:space="preserve">develop </w:t>
      </w:r>
      <w:r w:rsidR="00647FED" w:rsidRPr="00815F25">
        <w:t xml:space="preserve">the </w:t>
      </w:r>
      <w:r w:rsidR="00244E7B" w:rsidRPr="00815F25">
        <w:t xml:space="preserve">necessary </w:t>
      </w:r>
      <w:r w:rsidR="00753A74" w:rsidRPr="00815F25">
        <w:t xml:space="preserve">skills </w:t>
      </w:r>
      <w:r w:rsidR="00647FED" w:rsidRPr="00815F25">
        <w:t xml:space="preserve">and techniques </w:t>
      </w:r>
      <w:r w:rsidR="00794809" w:rsidRPr="00815F25">
        <w:t>for</w:t>
      </w:r>
      <w:r w:rsidR="00173CCA" w:rsidRPr="00815F25">
        <w:t xml:space="preserve"> a</w:t>
      </w:r>
      <w:r w:rsidR="00753A74" w:rsidRPr="00815F25">
        <w:t xml:space="preserve"> career</w:t>
      </w:r>
      <w:r w:rsidR="00432901" w:rsidRPr="00815F25">
        <w:t xml:space="preserve"> in the sector</w:t>
      </w:r>
      <w:r w:rsidR="00007370" w:rsidRPr="00815F25">
        <w:t>.</w:t>
      </w:r>
      <w:r w:rsidR="006B6F73" w:rsidRPr="00815F25">
        <w:t xml:space="preserve"> </w:t>
      </w:r>
    </w:p>
    <w:p w14:paraId="56349B53" w14:textId="61592E4F" w:rsidR="005F45E8" w:rsidRPr="00815F25" w:rsidRDefault="00F27FD4" w:rsidP="006761B1">
      <w:r w:rsidRPr="00815F25">
        <w:t>T</w:t>
      </w:r>
      <w:r w:rsidR="006B6F73" w:rsidRPr="00815F25">
        <w:t>he gendered nature of the</w:t>
      </w:r>
      <w:r w:rsidR="006C01B2" w:rsidRPr="00815F25">
        <w:t xml:space="preserve"> construction and ICT</w:t>
      </w:r>
      <w:r w:rsidR="006B6F73" w:rsidRPr="00815F25">
        <w:t xml:space="preserve"> industries </w:t>
      </w:r>
      <w:r w:rsidRPr="00815F25">
        <w:t xml:space="preserve">also </w:t>
      </w:r>
      <w:r w:rsidR="006B6F73" w:rsidRPr="00815F25">
        <w:t>mean</w:t>
      </w:r>
      <w:r w:rsidR="004330F9" w:rsidRPr="00815F25">
        <w:t>s</w:t>
      </w:r>
      <w:r w:rsidR="006B6F73" w:rsidRPr="00815F25">
        <w:t xml:space="preserve"> women</w:t>
      </w:r>
      <w:r w:rsidR="004330F9" w:rsidRPr="00815F25">
        <w:t xml:space="preserve"> </w:t>
      </w:r>
      <w:r w:rsidR="004B118F" w:rsidRPr="00815F25">
        <w:t>apprentices</w:t>
      </w:r>
      <w:r w:rsidR="000B2BEA" w:rsidRPr="00815F25">
        <w:t>, trainees and cadets</w:t>
      </w:r>
      <w:r w:rsidR="004B118F" w:rsidRPr="00815F25">
        <w:t xml:space="preserve"> </w:t>
      </w:r>
      <w:r w:rsidR="004330F9" w:rsidRPr="00815F25">
        <w:t xml:space="preserve">are underrepresented </w:t>
      </w:r>
      <w:r w:rsidR="0086091E" w:rsidRPr="00815F25">
        <w:t>in these sectors</w:t>
      </w:r>
      <w:r w:rsidR="004C69B7" w:rsidRPr="00815F25">
        <w:t xml:space="preserve"> </w:t>
      </w:r>
      <w:r w:rsidR="004330F9" w:rsidRPr="00815F25">
        <w:t xml:space="preserve">at a </w:t>
      </w:r>
      <w:r w:rsidR="00337561" w:rsidRPr="00815F25">
        <w:t xml:space="preserve">time when 23.5% </w:t>
      </w:r>
      <w:r w:rsidR="00A87B6B" w:rsidRPr="00815F25">
        <w:t>o</w:t>
      </w:r>
      <w:r w:rsidR="00337561" w:rsidRPr="00815F25">
        <w:t>f the female Australian resident population aged 15 to 64 years participated in nationally recognised VET</w:t>
      </w:r>
      <w:r w:rsidR="00A87B6B" w:rsidRPr="00815F25">
        <w:t xml:space="preserve"> (compared to 25.1% of the male population)</w:t>
      </w:r>
      <w:r w:rsidR="00C53BF9" w:rsidRPr="00815F25">
        <w:rPr>
          <w:vertAlign w:val="superscript"/>
        </w:rPr>
        <w:footnoteReference w:id="34"/>
      </w:r>
      <w:r w:rsidR="10211063" w:rsidRPr="177BCC9F">
        <w:rPr>
          <w:vertAlign w:val="superscript"/>
        </w:rPr>
        <w:t xml:space="preserve"> </w:t>
      </w:r>
      <w:r w:rsidR="002909C4">
        <w:t xml:space="preserve">and </w:t>
      </w:r>
      <w:r w:rsidR="00682E0E">
        <w:t xml:space="preserve">have </w:t>
      </w:r>
      <w:r w:rsidR="005F45E8" w:rsidRPr="00815F25">
        <w:t>higher attrition rate</w:t>
      </w:r>
      <w:r w:rsidR="00682E0E">
        <w:t xml:space="preserve"> </w:t>
      </w:r>
      <w:r w:rsidR="00607A13">
        <w:t>than many other industries</w:t>
      </w:r>
      <w:r w:rsidR="005F45E8" w:rsidRPr="00815F25">
        <w:t>.</w:t>
      </w:r>
    </w:p>
    <w:p w14:paraId="22C0B037" w14:textId="05EFC86D" w:rsidR="00E470EB" w:rsidRPr="00016C83" w:rsidRDefault="00E470EB" w:rsidP="00797487">
      <w:pPr>
        <w:pStyle w:val="Heading3"/>
        <w:rPr>
          <w:rStyle w:val="normaltextrun"/>
        </w:rPr>
      </w:pPr>
      <w:r w:rsidRPr="00016C83">
        <w:rPr>
          <w:rStyle w:val="normaltextrun"/>
        </w:rPr>
        <w:t>Australian</w:t>
      </w:r>
      <w:r w:rsidR="0016342C" w:rsidRPr="00016C83">
        <w:rPr>
          <w:rStyle w:val="normaltextrun"/>
        </w:rPr>
        <w:t xml:space="preserve"> public</w:t>
      </w:r>
    </w:p>
    <w:p w14:paraId="0C41E269" w14:textId="4D1D9EA1" w:rsidR="00C402BB" w:rsidRDefault="00632CC1" w:rsidP="00CD1E37">
      <w:pPr>
        <w:rPr>
          <w:rStyle w:val="eop"/>
          <w:rFonts w:cstheme="minorHAnsi"/>
        </w:rPr>
      </w:pPr>
      <w:r w:rsidRPr="00344C59">
        <w:rPr>
          <w:rStyle w:val="normaltextrun"/>
          <w:rFonts w:eastAsiaTheme="minorEastAsia" w:cstheme="minorHAnsi"/>
        </w:rPr>
        <w:t>Skills shortages have broader implications for the economy and the lives of everyday Australians</w:t>
      </w:r>
      <w:r w:rsidR="001334AB">
        <w:rPr>
          <w:rStyle w:val="normaltextrun"/>
          <w:rFonts w:eastAsiaTheme="minorEastAsia" w:cstheme="minorHAnsi"/>
        </w:rPr>
        <w:t xml:space="preserve"> </w:t>
      </w:r>
      <w:r w:rsidRPr="00344C59">
        <w:rPr>
          <w:rStyle w:val="normaltextrun"/>
          <w:rFonts w:eastAsiaTheme="minorEastAsia" w:cstheme="minorHAnsi"/>
        </w:rPr>
        <w:t>by increasing the costs of goods and services and contributing to the delay in the delivery of major infrastructure projects.</w:t>
      </w:r>
      <w:r w:rsidRPr="00344C59">
        <w:rPr>
          <w:rStyle w:val="eop"/>
          <w:rFonts w:cstheme="minorHAnsi"/>
        </w:rPr>
        <w:t> </w:t>
      </w:r>
      <w:r w:rsidR="00FB5776">
        <w:rPr>
          <w:rStyle w:val="eop"/>
          <w:rFonts w:cstheme="minorHAnsi"/>
        </w:rPr>
        <w:t xml:space="preserve"> </w:t>
      </w:r>
    </w:p>
    <w:p w14:paraId="0AC9BFC8" w14:textId="78EB0545" w:rsidR="00D76FE4" w:rsidRDefault="0076009F" w:rsidP="00CD1E37">
      <w:pPr>
        <w:rPr>
          <w:rStyle w:val="eop"/>
          <w:rFonts w:cstheme="minorHAnsi"/>
        </w:rPr>
      </w:pPr>
      <w:r>
        <w:rPr>
          <w:rStyle w:val="eop"/>
        </w:rPr>
        <w:t>JSA’s</w:t>
      </w:r>
      <w:r w:rsidR="008F143C" w:rsidRPr="49AD854B">
        <w:rPr>
          <w:rStyle w:val="eop"/>
        </w:rPr>
        <w:t xml:space="preserve"> </w:t>
      </w:r>
      <w:r w:rsidR="00726FBA" w:rsidRPr="49AD854B">
        <w:rPr>
          <w:rStyle w:val="eop"/>
        </w:rPr>
        <w:t xml:space="preserve">2023 </w:t>
      </w:r>
      <w:r w:rsidR="00746F1C">
        <w:rPr>
          <w:rStyle w:val="eop"/>
        </w:rPr>
        <w:t>SPL</w:t>
      </w:r>
      <w:r w:rsidR="00726FBA" w:rsidRPr="49AD854B">
        <w:rPr>
          <w:rStyle w:val="eop"/>
        </w:rPr>
        <w:t xml:space="preserve"> </w:t>
      </w:r>
      <w:r w:rsidR="00BE3B11" w:rsidRPr="49AD854B">
        <w:rPr>
          <w:rStyle w:val="eop"/>
        </w:rPr>
        <w:t>Key Findings Report</w:t>
      </w:r>
      <w:r w:rsidR="00FE4408">
        <w:rPr>
          <w:rStyle w:val="eop"/>
        </w:rPr>
        <w:t xml:space="preserve"> which details </w:t>
      </w:r>
      <w:r w:rsidR="00FE4408" w:rsidRPr="00FE4408">
        <w:rPr>
          <w:rStyle w:val="eop"/>
        </w:rPr>
        <w:t>occupations in shortage</w:t>
      </w:r>
      <w:r w:rsidR="004C537E" w:rsidRPr="49AD854B">
        <w:rPr>
          <w:rStyle w:val="eop"/>
        </w:rPr>
        <w:t>,</w:t>
      </w:r>
      <w:r w:rsidR="00BE3B11" w:rsidRPr="49AD854B">
        <w:rPr>
          <w:rStyle w:val="eop"/>
        </w:rPr>
        <w:t xml:space="preserve"> </w:t>
      </w:r>
      <w:r w:rsidR="008F143C" w:rsidRPr="49AD854B">
        <w:rPr>
          <w:rStyle w:val="eop"/>
        </w:rPr>
        <w:t xml:space="preserve">notes </w:t>
      </w:r>
      <w:r w:rsidR="00001788" w:rsidRPr="49AD854B">
        <w:rPr>
          <w:rStyle w:val="eop"/>
        </w:rPr>
        <w:t>a key finding as</w:t>
      </w:r>
      <w:r w:rsidR="008F143C" w:rsidRPr="49AD854B">
        <w:rPr>
          <w:rStyle w:val="eop"/>
        </w:rPr>
        <w:t xml:space="preserve"> '</w:t>
      </w:r>
      <w:r w:rsidR="00C726B2" w:rsidRPr="49AD854B">
        <w:rPr>
          <w:rStyle w:val="eop"/>
        </w:rPr>
        <w:t>t</w:t>
      </w:r>
      <w:r w:rsidR="008F143C" w:rsidRPr="49AD854B">
        <w:rPr>
          <w:rStyle w:val="eop"/>
        </w:rPr>
        <w:t xml:space="preserve">he cumulative effect of supply side constraints over the past 12 to 24 months that can lead to backlogs in </w:t>
      </w:r>
      <w:r w:rsidR="008F143C" w:rsidRPr="49AD854B">
        <w:rPr>
          <w:rStyle w:val="eop"/>
        </w:rPr>
        <w:lastRenderedPageBreak/>
        <w:t>consumer demand, waitlist for services and the like. Unsurprisingly this cumulative effect on the ability of businesses to deliver the goods and services that consumers are demanding has been more readily observed, particularly in stakeholder feedback, throughout the 2023 SPL assessments than it was the case in 2022.</w:t>
      </w:r>
      <w:r w:rsidR="00DF1D2D" w:rsidRPr="49AD854B">
        <w:rPr>
          <w:rStyle w:val="eop"/>
        </w:rPr>
        <w:t>’</w:t>
      </w:r>
      <w:r w:rsidR="00F044F1" w:rsidRPr="00F044F1">
        <w:rPr>
          <w:rStyle w:val="FootnoteReference"/>
          <w:rFonts w:ascii="Calibri" w:eastAsia="Calibri" w:hAnsi="Calibri" w:cs="Calibri"/>
          <w:color w:val="000000" w:themeColor="text1"/>
        </w:rPr>
        <w:t xml:space="preserve"> </w:t>
      </w:r>
      <w:r w:rsidR="00F044F1" w:rsidRPr="1DC87824">
        <w:rPr>
          <w:rStyle w:val="FootnoteReference"/>
          <w:rFonts w:ascii="Calibri" w:eastAsia="Calibri" w:hAnsi="Calibri" w:cs="Calibri"/>
          <w:color w:val="000000" w:themeColor="text1"/>
        </w:rPr>
        <w:footnoteReference w:id="35"/>
      </w:r>
    </w:p>
    <w:p w14:paraId="56094ADD" w14:textId="3120EF4A" w:rsidR="00632CC1" w:rsidRDefault="00EC21DC" w:rsidP="006761B1">
      <w:pPr>
        <w:rPr>
          <w:rStyle w:val="eop"/>
          <w:rFonts w:cstheme="minorHAnsi"/>
        </w:rPr>
      </w:pPr>
      <w:r w:rsidRPr="398AB777">
        <w:rPr>
          <w:rStyle w:val="eop"/>
        </w:rPr>
        <w:t>Where there aren’t enough</w:t>
      </w:r>
      <w:r w:rsidR="00271D5D" w:rsidRPr="398AB777">
        <w:rPr>
          <w:rStyle w:val="eop"/>
        </w:rPr>
        <w:t xml:space="preserve"> skilled</w:t>
      </w:r>
      <w:r w:rsidRPr="398AB777">
        <w:rPr>
          <w:rStyle w:val="eop"/>
        </w:rPr>
        <w:t xml:space="preserve"> workers</w:t>
      </w:r>
      <w:r w:rsidR="00287BC8" w:rsidRPr="398AB777">
        <w:rPr>
          <w:rStyle w:val="eop"/>
        </w:rPr>
        <w:t xml:space="preserve">, a </w:t>
      </w:r>
      <w:r w:rsidR="00525B6F" w:rsidRPr="398AB777">
        <w:rPr>
          <w:rStyle w:val="eop"/>
        </w:rPr>
        <w:t xml:space="preserve">business’s </w:t>
      </w:r>
      <w:r w:rsidR="00287BC8" w:rsidRPr="398AB777">
        <w:rPr>
          <w:rStyle w:val="eop"/>
        </w:rPr>
        <w:t xml:space="preserve">output is lower </w:t>
      </w:r>
      <w:r w:rsidR="00F537C2" w:rsidRPr="398AB777">
        <w:rPr>
          <w:rStyle w:val="eop"/>
        </w:rPr>
        <w:t xml:space="preserve">and may not meet </w:t>
      </w:r>
      <w:r w:rsidR="008118F5" w:rsidRPr="398AB777">
        <w:rPr>
          <w:rStyle w:val="eop"/>
        </w:rPr>
        <w:t xml:space="preserve">demand </w:t>
      </w:r>
      <w:r w:rsidR="009C3B00" w:rsidRPr="398AB777">
        <w:rPr>
          <w:rStyle w:val="eop"/>
        </w:rPr>
        <w:t>or quality expectations</w:t>
      </w:r>
      <w:r w:rsidR="008118F5" w:rsidRPr="398AB777">
        <w:rPr>
          <w:rStyle w:val="eop"/>
        </w:rPr>
        <w:t xml:space="preserve"> – </w:t>
      </w:r>
      <w:r w:rsidR="00F537C2" w:rsidRPr="398AB777">
        <w:rPr>
          <w:rStyle w:val="eop"/>
        </w:rPr>
        <w:t>leading to backlogs for services</w:t>
      </w:r>
      <w:r w:rsidR="00BA1C8D" w:rsidRPr="398AB777">
        <w:rPr>
          <w:rStyle w:val="eop"/>
        </w:rPr>
        <w:t xml:space="preserve">, </w:t>
      </w:r>
      <w:r w:rsidR="00D71698" w:rsidRPr="398AB777">
        <w:rPr>
          <w:rStyle w:val="eop"/>
        </w:rPr>
        <w:t xml:space="preserve">consumer </w:t>
      </w:r>
      <w:r w:rsidR="00BA1C8D" w:rsidRPr="398AB777">
        <w:rPr>
          <w:rStyle w:val="eop"/>
        </w:rPr>
        <w:t>complaints</w:t>
      </w:r>
      <w:r w:rsidR="00B47F1B" w:rsidRPr="398AB777">
        <w:rPr>
          <w:rStyle w:val="eop"/>
        </w:rPr>
        <w:t xml:space="preserve"> or an</w:t>
      </w:r>
      <w:r w:rsidR="00F537C2" w:rsidRPr="398AB777">
        <w:rPr>
          <w:rStyle w:val="eop"/>
        </w:rPr>
        <w:t xml:space="preserve"> </w:t>
      </w:r>
      <w:r w:rsidR="00AA01BB" w:rsidRPr="398AB777">
        <w:rPr>
          <w:rStyle w:val="eop"/>
        </w:rPr>
        <w:t>in</w:t>
      </w:r>
      <w:r w:rsidR="00365738" w:rsidRPr="398AB777">
        <w:rPr>
          <w:rStyle w:val="eop"/>
        </w:rPr>
        <w:t>ability to deliver products or services</w:t>
      </w:r>
      <w:r w:rsidR="009A46ED" w:rsidRPr="398AB777">
        <w:rPr>
          <w:rStyle w:val="eop"/>
        </w:rPr>
        <w:t xml:space="preserve">. This </w:t>
      </w:r>
      <w:r w:rsidR="00287BC8" w:rsidRPr="398AB777">
        <w:rPr>
          <w:rStyle w:val="eop"/>
        </w:rPr>
        <w:t xml:space="preserve">can have </w:t>
      </w:r>
      <w:r w:rsidR="00280FA9" w:rsidRPr="398AB777">
        <w:rPr>
          <w:rStyle w:val="eop"/>
        </w:rPr>
        <w:t>detrimental effects on the broader Australian public</w:t>
      </w:r>
      <w:r w:rsidR="00497365" w:rsidRPr="398AB777">
        <w:rPr>
          <w:rStyle w:val="eop"/>
        </w:rPr>
        <w:t xml:space="preserve"> and economy</w:t>
      </w:r>
      <w:r w:rsidR="00280FA9" w:rsidRPr="398AB777" w:rsidDel="009A46ED">
        <w:rPr>
          <w:rStyle w:val="eop"/>
        </w:rPr>
        <w:t xml:space="preserve">. </w:t>
      </w:r>
      <w:r w:rsidR="00EF2FF1" w:rsidRPr="00EF2FF1">
        <w:t xml:space="preserve"> </w:t>
      </w:r>
      <w:r w:rsidR="00EF2FF1" w:rsidRPr="398AB777">
        <w:rPr>
          <w:rStyle w:val="eop"/>
        </w:rPr>
        <w:t>The Housing Industry Association (HIA) not</w:t>
      </w:r>
      <w:r w:rsidR="006D4FF3" w:rsidRPr="398AB777">
        <w:rPr>
          <w:rStyle w:val="eop"/>
        </w:rPr>
        <w:t>ed</w:t>
      </w:r>
      <w:r w:rsidR="00EF2FF1" w:rsidRPr="398AB777">
        <w:rPr>
          <w:rStyle w:val="eop"/>
        </w:rPr>
        <w:t xml:space="preserve"> on 18 January 2023, that the shortage of skilled trades </w:t>
      </w:r>
      <w:r w:rsidR="00C530B2" w:rsidRPr="398AB777">
        <w:rPr>
          <w:rStyle w:val="eop"/>
        </w:rPr>
        <w:t>was</w:t>
      </w:r>
      <w:r w:rsidR="00EF2FF1" w:rsidRPr="398AB777">
        <w:rPr>
          <w:rStyle w:val="eop"/>
        </w:rPr>
        <w:t xml:space="preserve"> the number one constraint on Australian builders</w:t>
      </w:r>
      <w:r w:rsidR="00661CF8" w:rsidRPr="398AB777">
        <w:rPr>
          <w:rStyle w:val="eop"/>
        </w:rPr>
        <w:t>.</w:t>
      </w:r>
      <w:r w:rsidR="00EF2FF1" w:rsidRPr="398AB777">
        <w:rPr>
          <w:rStyle w:val="eop"/>
        </w:rPr>
        <w:t xml:space="preserve"> </w:t>
      </w:r>
      <w:r w:rsidR="001E7417" w:rsidRPr="398AB777">
        <w:rPr>
          <w:rStyle w:val="eop"/>
        </w:rPr>
        <w:t>If</w:t>
      </w:r>
      <w:r w:rsidR="00834CF5" w:rsidRPr="398AB777">
        <w:rPr>
          <w:rStyle w:val="eop"/>
        </w:rPr>
        <w:t xml:space="preserve"> the </w:t>
      </w:r>
      <w:r w:rsidR="000A0032" w:rsidRPr="398AB777">
        <w:rPr>
          <w:rStyle w:val="eop"/>
        </w:rPr>
        <w:t>housing market</w:t>
      </w:r>
      <w:r w:rsidR="007C5ECD" w:rsidRPr="398AB777">
        <w:rPr>
          <w:rStyle w:val="eop"/>
        </w:rPr>
        <w:t xml:space="preserve"> </w:t>
      </w:r>
      <w:r w:rsidR="00B96BFA" w:rsidRPr="398AB777">
        <w:rPr>
          <w:rStyle w:val="eop"/>
        </w:rPr>
        <w:t>lack</w:t>
      </w:r>
      <w:r w:rsidR="00834CF5" w:rsidRPr="398AB777">
        <w:rPr>
          <w:rStyle w:val="eop"/>
        </w:rPr>
        <w:t>s</w:t>
      </w:r>
      <w:r w:rsidR="00B96BFA" w:rsidRPr="398AB777">
        <w:rPr>
          <w:rStyle w:val="eop"/>
        </w:rPr>
        <w:t xml:space="preserve"> skilled workers</w:t>
      </w:r>
      <w:r w:rsidR="00834CF5" w:rsidRPr="398AB777">
        <w:rPr>
          <w:rStyle w:val="eop"/>
        </w:rPr>
        <w:t xml:space="preserve"> </w:t>
      </w:r>
      <w:r w:rsidR="00090C90" w:rsidRPr="398AB777">
        <w:rPr>
          <w:rStyle w:val="eop"/>
        </w:rPr>
        <w:t>and apprentices</w:t>
      </w:r>
      <w:r w:rsidR="0080201C" w:rsidRPr="398AB777">
        <w:rPr>
          <w:rStyle w:val="eop"/>
        </w:rPr>
        <w:t xml:space="preserve"> </w:t>
      </w:r>
      <w:r w:rsidR="006E0602" w:rsidRPr="398AB777">
        <w:rPr>
          <w:rStyle w:val="eop"/>
        </w:rPr>
        <w:t>learning the necessary skills</w:t>
      </w:r>
      <w:r w:rsidR="00F969BE" w:rsidRPr="398AB777">
        <w:rPr>
          <w:rStyle w:val="eop"/>
        </w:rPr>
        <w:t xml:space="preserve">, </w:t>
      </w:r>
      <w:r w:rsidR="00834CF5" w:rsidRPr="398AB777">
        <w:rPr>
          <w:rStyle w:val="eop"/>
        </w:rPr>
        <w:t>this</w:t>
      </w:r>
      <w:r w:rsidR="00B96BFA" w:rsidRPr="398AB777">
        <w:rPr>
          <w:rStyle w:val="eop"/>
        </w:rPr>
        <w:t xml:space="preserve"> can exacerbate</w:t>
      </w:r>
      <w:r w:rsidR="003E16B8" w:rsidRPr="398AB777">
        <w:rPr>
          <w:rStyle w:val="eop"/>
        </w:rPr>
        <w:t xml:space="preserve"> </w:t>
      </w:r>
      <w:r w:rsidR="00B96BFA" w:rsidRPr="398AB777">
        <w:rPr>
          <w:rStyle w:val="eop"/>
        </w:rPr>
        <w:t>a housing cris</w:t>
      </w:r>
      <w:r w:rsidR="003E16B8" w:rsidRPr="398AB777">
        <w:rPr>
          <w:rStyle w:val="eop"/>
        </w:rPr>
        <w:t>i</w:t>
      </w:r>
      <w:r w:rsidR="00B96BFA" w:rsidRPr="398AB777">
        <w:rPr>
          <w:rStyle w:val="eop"/>
        </w:rPr>
        <w:t>s</w:t>
      </w:r>
      <w:r w:rsidR="006106D4" w:rsidRPr="398AB777">
        <w:rPr>
          <w:rStyle w:val="eop"/>
        </w:rPr>
        <w:t xml:space="preserve"> </w:t>
      </w:r>
      <w:r w:rsidR="00E1143C" w:rsidRPr="398AB777">
        <w:rPr>
          <w:rStyle w:val="eop"/>
        </w:rPr>
        <w:t xml:space="preserve">due to </w:t>
      </w:r>
      <w:r w:rsidR="00EE0A97" w:rsidRPr="398AB777">
        <w:rPr>
          <w:rStyle w:val="eop"/>
        </w:rPr>
        <w:t>the business</w:t>
      </w:r>
      <w:r w:rsidR="005D1DAB" w:rsidRPr="398AB777">
        <w:rPr>
          <w:rStyle w:val="eop"/>
        </w:rPr>
        <w:t>’ reduced</w:t>
      </w:r>
      <w:r w:rsidR="0046253B" w:rsidRPr="398AB777">
        <w:rPr>
          <w:rStyle w:val="eop"/>
        </w:rPr>
        <w:t>’</w:t>
      </w:r>
      <w:r w:rsidR="00E1143C" w:rsidRPr="398AB777">
        <w:rPr>
          <w:rStyle w:val="eop"/>
        </w:rPr>
        <w:t xml:space="preserve"> capacity to build </w:t>
      </w:r>
      <w:r w:rsidR="00565D4A" w:rsidRPr="398AB777">
        <w:rPr>
          <w:rStyle w:val="eop"/>
        </w:rPr>
        <w:t xml:space="preserve">houses </w:t>
      </w:r>
      <w:r w:rsidR="009616B8" w:rsidRPr="398AB777">
        <w:rPr>
          <w:rStyle w:val="eop"/>
        </w:rPr>
        <w:t>on time and within budget.</w:t>
      </w:r>
      <w:r w:rsidR="00565D4A" w:rsidRPr="398AB777">
        <w:rPr>
          <w:rStyle w:val="eop"/>
        </w:rPr>
        <w:t xml:space="preserve"> </w:t>
      </w:r>
      <w:r w:rsidR="00225AE1" w:rsidRPr="398AB777">
        <w:rPr>
          <w:rStyle w:val="eop"/>
        </w:rPr>
        <w:t xml:space="preserve">This may cause more financial </w:t>
      </w:r>
      <w:r w:rsidR="008370A0" w:rsidRPr="398AB777">
        <w:rPr>
          <w:rStyle w:val="eop"/>
        </w:rPr>
        <w:t xml:space="preserve">strain </w:t>
      </w:r>
      <w:r w:rsidR="00CF7DAD" w:rsidRPr="398AB777">
        <w:rPr>
          <w:rStyle w:val="eop"/>
        </w:rPr>
        <w:t>to</w:t>
      </w:r>
      <w:r w:rsidR="008370A0" w:rsidRPr="398AB777">
        <w:rPr>
          <w:rStyle w:val="eop"/>
        </w:rPr>
        <w:t xml:space="preserve"> </w:t>
      </w:r>
      <w:r w:rsidR="00FB4AE2" w:rsidRPr="398AB777">
        <w:rPr>
          <w:rStyle w:val="eop"/>
        </w:rPr>
        <w:t>not only</w:t>
      </w:r>
      <w:r w:rsidR="008370A0" w:rsidRPr="398AB777">
        <w:rPr>
          <w:rStyle w:val="eop"/>
        </w:rPr>
        <w:t xml:space="preserve"> </w:t>
      </w:r>
      <w:r w:rsidR="00134884" w:rsidRPr="398AB777">
        <w:rPr>
          <w:rStyle w:val="eop"/>
        </w:rPr>
        <w:t xml:space="preserve">the </w:t>
      </w:r>
      <w:r w:rsidR="00D65F71" w:rsidRPr="398AB777">
        <w:rPr>
          <w:rStyle w:val="eop"/>
        </w:rPr>
        <w:t>builders</w:t>
      </w:r>
      <w:r w:rsidR="005545DC" w:rsidRPr="398AB777">
        <w:rPr>
          <w:rStyle w:val="eop"/>
        </w:rPr>
        <w:t xml:space="preserve"> </w:t>
      </w:r>
      <w:r w:rsidR="00930330" w:rsidRPr="398AB777">
        <w:rPr>
          <w:rStyle w:val="eop"/>
        </w:rPr>
        <w:t>and</w:t>
      </w:r>
      <w:r w:rsidR="00B06EC1" w:rsidRPr="398AB777">
        <w:rPr>
          <w:rStyle w:val="eop"/>
        </w:rPr>
        <w:t xml:space="preserve"> the </w:t>
      </w:r>
      <w:r w:rsidR="00134884" w:rsidRPr="398AB777">
        <w:rPr>
          <w:rStyle w:val="eop"/>
        </w:rPr>
        <w:t>res</w:t>
      </w:r>
      <w:r w:rsidR="00B06EC1" w:rsidRPr="398AB777">
        <w:rPr>
          <w:rStyle w:val="eop"/>
        </w:rPr>
        <w:t>idential construction industry</w:t>
      </w:r>
      <w:r w:rsidR="00CF7DAD" w:rsidRPr="398AB777">
        <w:rPr>
          <w:rStyle w:val="eop"/>
        </w:rPr>
        <w:t>, but</w:t>
      </w:r>
      <w:r w:rsidR="005545DC" w:rsidRPr="398AB777">
        <w:rPr>
          <w:rStyle w:val="eop"/>
        </w:rPr>
        <w:t xml:space="preserve"> more </w:t>
      </w:r>
      <w:r w:rsidR="00B06EC1" w:rsidRPr="398AB777">
        <w:rPr>
          <w:rStyle w:val="eop"/>
        </w:rPr>
        <w:t>broadly</w:t>
      </w:r>
      <w:r w:rsidR="00FB440F" w:rsidRPr="398AB777">
        <w:rPr>
          <w:rStyle w:val="eop"/>
        </w:rPr>
        <w:t xml:space="preserve"> with insolvencies </w:t>
      </w:r>
      <w:r w:rsidR="00FF4F54" w:rsidRPr="398AB777">
        <w:rPr>
          <w:rStyle w:val="eop"/>
        </w:rPr>
        <w:t>increasing</w:t>
      </w:r>
      <w:r w:rsidR="00B7682A" w:rsidRPr="398AB777">
        <w:rPr>
          <w:rStyle w:val="eop"/>
        </w:rPr>
        <w:t xml:space="preserve"> as noted by the Reserve Bank of Australia</w:t>
      </w:r>
      <w:r w:rsidR="00380642" w:rsidRPr="398AB777">
        <w:rPr>
          <w:rStyle w:val="eop"/>
        </w:rPr>
        <w:t xml:space="preserve"> (RBA)</w:t>
      </w:r>
      <w:r w:rsidR="00B7682A" w:rsidRPr="398AB777">
        <w:rPr>
          <w:rStyle w:val="eop"/>
        </w:rPr>
        <w:t>, Financial Stability Review October 2022</w:t>
      </w:r>
      <w:r w:rsidR="00F20191">
        <w:rPr>
          <w:rStyle w:val="FootnoteReference"/>
          <w:rFonts w:cstheme="minorHAnsi"/>
        </w:rPr>
        <w:footnoteReference w:id="36"/>
      </w:r>
      <w:r w:rsidR="00BE5C66" w:rsidRPr="398AB777">
        <w:rPr>
          <w:rStyle w:val="eop"/>
        </w:rPr>
        <w:t xml:space="preserve">, </w:t>
      </w:r>
      <w:r w:rsidR="00FB4AE2" w:rsidRPr="398AB777">
        <w:rPr>
          <w:rStyle w:val="eop"/>
        </w:rPr>
        <w:t xml:space="preserve">but the </w:t>
      </w:r>
      <w:r w:rsidR="00EE246F" w:rsidRPr="398AB777">
        <w:rPr>
          <w:rStyle w:val="eop"/>
        </w:rPr>
        <w:t>Australian public</w:t>
      </w:r>
      <w:r w:rsidR="00045B22" w:rsidRPr="398AB777">
        <w:rPr>
          <w:rStyle w:val="eop"/>
        </w:rPr>
        <w:t>.</w:t>
      </w:r>
      <w:r w:rsidR="00366804" w:rsidRPr="398AB777">
        <w:rPr>
          <w:rStyle w:val="eop"/>
        </w:rPr>
        <w:t xml:space="preserve"> </w:t>
      </w:r>
      <w:r w:rsidR="00B636C9" w:rsidRPr="398AB777">
        <w:rPr>
          <w:rStyle w:val="eop"/>
        </w:rPr>
        <w:t xml:space="preserve">The RBA notes that builders have responded to </w:t>
      </w:r>
      <w:r w:rsidR="00D214F7" w:rsidRPr="398AB777">
        <w:rPr>
          <w:rStyle w:val="eop"/>
        </w:rPr>
        <w:t>challenges by raising the prices on new contracts, shortening the period before quote must be accepted and renegotiating some of their existing contracts.</w:t>
      </w:r>
      <w:r w:rsidR="003F10F7" w:rsidRPr="398AB777">
        <w:rPr>
          <w:rStyle w:val="eop"/>
        </w:rPr>
        <w:t xml:space="preserve"> </w:t>
      </w:r>
      <w:r w:rsidR="00565D4A" w:rsidRPr="398AB777">
        <w:rPr>
          <w:rStyle w:val="eop"/>
        </w:rPr>
        <w:t>W</w:t>
      </w:r>
      <w:r w:rsidR="006106D4" w:rsidRPr="398AB777">
        <w:rPr>
          <w:rStyle w:val="eop"/>
        </w:rPr>
        <w:t>ith fewer houses built</w:t>
      </w:r>
      <w:r w:rsidR="00D214F7" w:rsidRPr="398AB777">
        <w:rPr>
          <w:rStyle w:val="eop"/>
        </w:rPr>
        <w:t xml:space="preserve"> and potentially less builders in the market</w:t>
      </w:r>
      <w:r w:rsidR="006106D4" w:rsidRPr="398AB777">
        <w:rPr>
          <w:rStyle w:val="eop"/>
        </w:rPr>
        <w:t xml:space="preserve">, Australians </w:t>
      </w:r>
      <w:r w:rsidR="00565D4A" w:rsidRPr="398AB777">
        <w:rPr>
          <w:rStyle w:val="eop"/>
        </w:rPr>
        <w:t>may be</w:t>
      </w:r>
      <w:r w:rsidR="006B2A99" w:rsidRPr="398AB777">
        <w:rPr>
          <w:rStyle w:val="eop"/>
        </w:rPr>
        <w:t xml:space="preserve"> forced </w:t>
      </w:r>
      <w:r w:rsidR="00ED450D" w:rsidRPr="398AB777">
        <w:rPr>
          <w:rStyle w:val="eop"/>
        </w:rPr>
        <w:t>to pay more</w:t>
      </w:r>
      <w:r w:rsidR="00271D5D" w:rsidRPr="398AB777">
        <w:rPr>
          <w:rStyle w:val="eop"/>
        </w:rPr>
        <w:t xml:space="preserve"> for housing</w:t>
      </w:r>
      <w:r w:rsidR="003160F3" w:rsidRPr="398AB777">
        <w:rPr>
          <w:rStyle w:val="eop"/>
        </w:rPr>
        <w:t xml:space="preserve"> (whether buying or renting)</w:t>
      </w:r>
      <w:r w:rsidR="00ED450D" w:rsidRPr="398AB777">
        <w:rPr>
          <w:rStyle w:val="eop"/>
        </w:rPr>
        <w:t xml:space="preserve"> or</w:t>
      </w:r>
      <w:r w:rsidR="003160F3" w:rsidRPr="398AB777">
        <w:rPr>
          <w:rStyle w:val="eop"/>
        </w:rPr>
        <w:t xml:space="preserve"> be</w:t>
      </w:r>
      <w:r w:rsidR="00ED450D" w:rsidRPr="398AB777">
        <w:rPr>
          <w:rStyle w:val="eop"/>
        </w:rPr>
        <w:t xml:space="preserve"> pushed out of a </w:t>
      </w:r>
      <w:r w:rsidR="006B2A99" w:rsidRPr="398AB777">
        <w:rPr>
          <w:rStyle w:val="eop"/>
        </w:rPr>
        <w:t xml:space="preserve">particular </w:t>
      </w:r>
      <w:r w:rsidR="00ED450D" w:rsidRPr="398AB777">
        <w:rPr>
          <w:rStyle w:val="eop"/>
        </w:rPr>
        <w:t>region</w:t>
      </w:r>
      <w:r w:rsidR="006B2A99" w:rsidRPr="398AB777">
        <w:rPr>
          <w:rStyle w:val="eop"/>
        </w:rPr>
        <w:t xml:space="preserve"> or the housing market altogether</w:t>
      </w:r>
      <w:r w:rsidR="00ED450D" w:rsidRPr="398AB777">
        <w:rPr>
          <w:rStyle w:val="eop"/>
        </w:rPr>
        <w:t xml:space="preserve">. </w:t>
      </w:r>
      <w:r w:rsidR="00882EFB" w:rsidRPr="398AB777">
        <w:rPr>
          <w:rStyle w:val="eop"/>
        </w:rPr>
        <w:t xml:space="preserve">This same issue could be </w:t>
      </w:r>
      <w:r w:rsidR="00397C2A" w:rsidRPr="398AB777">
        <w:rPr>
          <w:rStyle w:val="eop"/>
        </w:rPr>
        <w:t>evident</w:t>
      </w:r>
      <w:r w:rsidR="00882EFB" w:rsidRPr="398AB777">
        <w:rPr>
          <w:rStyle w:val="eop"/>
        </w:rPr>
        <w:t xml:space="preserve"> </w:t>
      </w:r>
      <w:r w:rsidR="003160F3" w:rsidRPr="398AB777">
        <w:rPr>
          <w:rStyle w:val="eop"/>
        </w:rPr>
        <w:t>in</w:t>
      </w:r>
      <w:r w:rsidR="00882EFB" w:rsidRPr="398AB777">
        <w:rPr>
          <w:rStyle w:val="eop"/>
        </w:rPr>
        <w:t xml:space="preserve"> a </w:t>
      </w:r>
      <w:r w:rsidR="003160F3" w:rsidRPr="398AB777">
        <w:rPr>
          <w:rStyle w:val="eop"/>
        </w:rPr>
        <w:t>g</w:t>
      </w:r>
      <w:r w:rsidR="00882EFB" w:rsidRPr="398AB777">
        <w:rPr>
          <w:rStyle w:val="eop"/>
        </w:rPr>
        <w:t xml:space="preserve">overnment context as well, where </w:t>
      </w:r>
      <w:r w:rsidR="003160F3" w:rsidRPr="398AB777">
        <w:rPr>
          <w:rStyle w:val="eop"/>
        </w:rPr>
        <w:t xml:space="preserve">a government </w:t>
      </w:r>
      <w:r w:rsidR="00567AA5" w:rsidRPr="398AB777">
        <w:rPr>
          <w:rStyle w:val="eop"/>
        </w:rPr>
        <w:t>implements a policy to</w:t>
      </w:r>
      <w:r w:rsidR="003160F3" w:rsidRPr="398AB777">
        <w:rPr>
          <w:rStyle w:val="eop"/>
        </w:rPr>
        <w:t xml:space="preserve"> build </w:t>
      </w:r>
      <w:r w:rsidR="00882EFB" w:rsidRPr="398AB777">
        <w:rPr>
          <w:rStyle w:val="eop"/>
        </w:rPr>
        <w:t xml:space="preserve">social housing for </w:t>
      </w:r>
      <w:r w:rsidR="00FB4BA6" w:rsidRPr="398AB777">
        <w:rPr>
          <w:rStyle w:val="eop"/>
        </w:rPr>
        <w:t xml:space="preserve">at-risk families and individuals. </w:t>
      </w:r>
      <w:r w:rsidR="00567AA5" w:rsidRPr="398AB777">
        <w:rPr>
          <w:rStyle w:val="eop"/>
        </w:rPr>
        <w:t xml:space="preserve">A reduced capacity to build houses would limit </w:t>
      </w:r>
      <w:r w:rsidR="00070761" w:rsidRPr="398AB777">
        <w:rPr>
          <w:rStyle w:val="eop"/>
        </w:rPr>
        <w:t>the policy’s success</w:t>
      </w:r>
      <w:r w:rsidR="00686482" w:rsidRPr="398AB777">
        <w:rPr>
          <w:rStyle w:val="eop"/>
        </w:rPr>
        <w:t xml:space="preserve"> – </w:t>
      </w:r>
      <w:r w:rsidR="00F361B5" w:rsidRPr="398AB777">
        <w:rPr>
          <w:rStyle w:val="eop"/>
        </w:rPr>
        <w:t>not meeting the policy intent for government to help</w:t>
      </w:r>
      <w:r w:rsidR="00686482" w:rsidRPr="398AB777">
        <w:rPr>
          <w:rStyle w:val="eop"/>
        </w:rPr>
        <w:t xml:space="preserve"> </w:t>
      </w:r>
      <w:r w:rsidR="00DE39B0" w:rsidRPr="398AB777">
        <w:rPr>
          <w:rStyle w:val="eop"/>
        </w:rPr>
        <w:t>the at-risk families and individuals</w:t>
      </w:r>
      <w:r w:rsidR="00070761" w:rsidRPr="398AB777">
        <w:rPr>
          <w:rStyle w:val="eop"/>
        </w:rPr>
        <w:t xml:space="preserve">. </w:t>
      </w:r>
      <w:r w:rsidR="00DE39B0" w:rsidRPr="398AB777">
        <w:rPr>
          <w:rStyle w:val="eop"/>
        </w:rPr>
        <w:t xml:space="preserve">The impact of skills shortages on the Australian public is not limited to housing; however, this </w:t>
      </w:r>
      <w:r w:rsidR="00DD57D0" w:rsidRPr="398AB777">
        <w:rPr>
          <w:rStyle w:val="eop"/>
        </w:rPr>
        <w:t>example</w:t>
      </w:r>
      <w:r w:rsidR="00DE39B0" w:rsidRPr="398AB777">
        <w:rPr>
          <w:rStyle w:val="eop"/>
        </w:rPr>
        <w:t xml:space="preserve"> demonstrates </w:t>
      </w:r>
      <w:r w:rsidR="00FA0B77" w:rsidRPr="398AB777">
        <w:rPr>
          <w:rStyle w:val="eop"/>
        </w:rPr>
        <w:t xml:space="preserve">how the delay in </w:t>
      </w:r>
      <w:r w:rsidR="00644031" w:rsidRPr="398AB777">
        <w:rPr>
          <w:rStyle w:val="eop"/>
        </w:rPr>
        <w:t>goods and services</w:t>
      </w:r>
      <w:r w:rsidR="00FA0B77" w:rsidRPr="398AB777">
        <w:rPr>
          <w:rStyle w:val="eop"/>
        </w:rPr>
        <w:t xml:space="preserve"> can </w:t>
      </w:r>
      <w:r w:rsidR="00DD57D0" w:rsidRPr="398AB777">
        <w:rPr>
          <w:rStyle w:val="eop"/>
        </w:rPr>
        <w:t>have broader implication</w:t>
      </w:r>
      <w:r w:rsidR="00644031" w:rsidRPr="398AB777">
        <w:rPr>
          <w:rStyle w:val="eop"/>
        </w:rPr>
        <w:t>s for</w:t>
      </w:r>
      <w:r w:rsidR="00DD57D0" w:rsidRPr="398AB777">
        <w:rPr>
          <w:rStyle w:val="eop"/>
        </w:rPr>
        <w:t xml:space="preserve"> the Australian public</w:t>
      </w:r>
      <w:r w:rsidR="00FA0B77" w:rsidRPr="398AB777">
        <w:rPr>
          <w:rStyle w:val="eop"/>
        </w:rPr>
        <w:t xml:space="preserve">. </w:t>
      </w:r>
    </w:p>
    <w:p w14:paraId="399E9D54" w14:textId="0AC25A9F" w:rsidR="00361028" w:rsidRPr="00815F25" w:rsidRDefault="00E47CC4" w:rsidP="006761B1">
      <w:r w:rsidRPr="00815F25">
        <w:rPr>
          <w:rStyle w:val="eop"/>
          <w:rFonts w:cstheme="minorHAnsi"/>
        </w:rPr>
        <w:t xml:space="preserve">With the </w:t>
      </w:r>
      <w:r w:rsidR="008953BC" w:rsidRPr="00815F25">
        <w:rPr>
          <w:rStyle w:val="eop"/>
          <w:rFonts w:cstheme="minorHAnsi"/>
        </w:rPr>
        <w:t>proliferation of cyber threats and attacks</w:t>
      </w:r>
      <w:r w:rsidR="00044EDA" w:rsidRPr="00815F25">
        <w:rPr>
          <w:rStyle w:val="eop"/>
          <w:rFonts w:cstheme="minorHAnsi"/>
        </w:rPr>
        <w:t>, fraud and data theft</w:t>
      </w:r>
      <w:r w:rsidR="008953BC" w:rsidRPr="00815F25">
        <w:rPr>
          <w:rStyle w:val="eop"/>
          <w:rFonts w:cstheme="minorHAnsi"/>
        </w:rPr>
        <w:t xml:space="preserve"> becoming more so</w:t>
      </w:r>
      <w:r w:rsidR="00044EDA" w:rsidRPr="00815F25">
        <w:rPr>
          <w:rStyle w:val="eop"/>
          <w:rFonts w:cstheme="minorHAnsi"/>
        </w:rPr>
        <w:t>phisticated</w:t>
      </w:r>
      <w:r w:rsidR="00F1444F" w:rsidRPr="00815F25">
        <w:rPr>
          <w:rStyle w:val="eop"/>
          <w:rFonts w:cstheme="minorHAnsi"/>
        </w:rPr>
        <w:t>,</w:t>
      </w:r>
      <w:r w:rsidR="00CC2AC6" w:rsidRPr="00815F25">
        <w:rPr>
          <w:rStyle w:val="eop"/>
          <w:rFonts w:cstheme="minorHAnsi"/>
        </w:rPr>
        <w:t xml:space="preserve"> the ICT workforce skills shortage can impact everyday Australians</w:t>
      </w:r>
      <w:r w:rsidR="00AF2F3B" w:rsidRPr="00815F25">
        <w:rPr>
          <w:rStyle w:val="eop"/>
          <w:rFonts w:cstheme="minorHAnsi"/>
        </w:rPr>
        <w:t xml:space="preserve"> without </w:t>
      </w:r>
      <w:r w:rsidR="00AD45A7" w:rsidRPr="00815F25">
        <w:rPr>
          <w:rStyle w:val="eop"/>
          <w:rFonts w:cstheme="minorHAnsi"/>
        </w:rPr>
        <w:t xml:space="preserve">a </w:t>
      </w:r>
      <w:r w:rsidR="00AF2F3B" w:rsidRPr="00815F25">
        <w:rPr>
          <w:rStyle w:val="eop"/>
          <w:rFonts w:cstheme="minorHAnsi"/>
        </w:rPr>
        <w:t xml:space="preserve">sufficient </w:t>
      </w:r>
      <w:r w:rsidR="009824BD" w:rsidRPr="00815F25">
        <w:rPr>
          <w:rStyle w:val="eop"/>
          <w:rFonts w:cstheme="minorHAnsi"/>
        </w:rPr>
        <w:t>cyber security</w:t>
      </w:r>
      <w:r w:rsidR="00F1444F" w:rsidRPr="00815F25">
        <w:rPr>
          <w:rStyle w:val="eop"/>
          <w:rFonts w:cstheme="minorHAnsi"/>
        </w:rPr>
        <w:t xml:space="preserve"> </w:t>
      </w:r>
      <w:r w:rsidR="00AD45A7" w:rsidRPr="00815F25">
        <w:rPr>
          <w:rStyle w:val="eop"/>
          <w:rFonts w:cstheme="minorHAnsi"/>
        </w:rPr>
        <w:t>workforce</w:t>
      </w:r>
      <w:r w:rsidR="00A56429" w:rsidRPr="00815F25">
        <w:rPr>
          <w:rStyle w:val="eop"/>
          <w:rFonts w:cstheme="minorHAnsi"/>
        </w:rPr>
        <w:t>,</w:t>
      </w:r>
      <w:r w:rsidR="00CC2AC6" w:rsidRPr="00815F25">
        <w:rPr>
          <w:rStyle w:val="eop"/>
          <w:rFonts w:cstheme="minorHAnsi"/>
        </w:rPr>
        <w:t xml:space="preserve"> for example</w:t>
      </w:r>
      <w:r w:rsidR="00A56429" w:rsidRPr="00815F25">
        <w:rPr>
          <w:rStyle w:val="eop"/>
          <w:rFonts w:cstheme="minorHAnsi"/>
        </w:rPr>
        <w:t xml:space="preserve">. </w:t>
      </w:r>
      <w:r w:rsidR="00BD353D" w:rsidRPr="00815F25">
        <w:rPr>
          <w:rStyle w:val="eop"/>
          <w:rFonts w:cstheme="minorHAnsi"/>
        </w:rPr>
        <w:t xml:space="preserve">The </w:t>
      </w:r>
      <w:r w:rsidR="009306A6" w:rsidRPr="00815F25">
        <w:rPr>
          <w:rStyle w:val="eop"/>
          <w:rFonts w:cstheme="minorHAnsi"/>
        </w:rPr>
        <w:t xml:space="preserve">workforce </w:t>
      </w:r>
      <w:r w:rsidR="00BD353D" w:rsidRPr="00815F25">
        <w:rPr>
          <w:rStyle w:val="eop"/>
          <w:rFonts w:cstheme="minorHAnsi"/>
        </w:rPr>
        <w:t>shortage</w:t>
      </w:r>
      <w:r w:rsidR="009306A6" w:rsidRPr="00815F25">
        <w:rPr>
          <w:rStyle w:val="eop"/>
          <w:rFonts w:cstheme="minorHAnsi"/>
        </w:rPr>
        <w:t>s</w:t>
      </w:r>
      <w:r w:rsidR="00BD353D" w:rsidRPr="00815F25">
        <w:rPr>
          <w:rStyle w:val="eop"/>
          <w:rFonts w:cstheme="minorHAnsi"/>
        </w:rPr>
        <w:t xml:space="preserve"> can have flow-on affects</w:t>
      </w:r>
      <w:r w:rsidR="00D97E8A" w:rsidRPr="00815F25">
        <w:rPr>
          <w:rStyle w:val="eop"/>
          <w:rFonts w:cstheme="minorHAnsi"/>
        </w:rPr>
        <w:t xml:space="preserve"> with</w:t>
      </w:r>
      <w:r w:rsidR="00BD353D" w:rsidRPr="00815F25">
        <w:rPr>
          <w:rStyle w:val="eop"/>
          <w:rFonts w:cstheme="minorHAnsi"/>
        </w:rPr>
        <w:t xml:space="preserve"> </w:t>
      </w:r>
      <w:r w:rsidR="00A97D55" w:rsidRPr="00815F25">
        <w:rPr>
          <w:rStyle w:val="eop"/>
          <w:rFonts w:cstheme="minorHAnsi"/>
        </w:rPr>
        <w:t xml:space="preserve">not only an erosion of customer trust in </w:t>
      </w:r>
      <w:r w:rsidR="00BE33AC">
        <w:rPr>
          <w:rStyle w:val="eop"/>
          <w:rFonts w:cstheme="minorHAnsi"/>
        </w:rPr>
        <w:t xml:space="preserve">online government services and </w:t>
      </w:r>
      <w:r w:rsidR="00A97D55" w:rsidRPr="00815F25">
        <w:rPr>
          <w:rStyle w:val="eop"/>
          <w:rFonts w:cstheme="minorHAnsi"/>
        </w:rPr>
        <w:t>businesses</w:t>
      </w:r>
      <w:r w:rsidR="00D97E8A" w:rsidRPr="00815F25">
        <w:rPr>
          <w:rStyle w:val="eop"/>
          <w:rFonts w:cstheme="minorHAnsi"/>
        </w:rPr>
        <w:t xml:space="preserve"> </w:t>
      </w:r>
      <w:r w:rsidR="00BC3C77">
        <w:rPr>
          <w:rStyle w:val="eop"/>
          <w:rFonts w:cstheme="minorHAnsi"/>
        </w:rPr>
        <w:t>and</w:t>
      </w:r>
      <w:r w:rsidR="00BE33AC">
        <w:rPr>
          <w:rStyle w:val="eop"/>
          <w:rFonts w:cstheme="minorHAnsi"/>
        </w:rPr>
        <w:t xml:space="preserve"> </w:t>
      </w:r>
      <w:r w:rsidR="00D97E8A" w:rsidRPr="00815F25">
        <w:rPr>
          <w:rStyle w:val="eop"/>
          <w:rFonts w:cstheme="minorHAnsi"/>
        </w:rPr>
        <w:t>financial losses</w:t>
      </w:r>
      <w:r w:rsidR="00DB2F61" w:rsidRPr="00815F25">
        <w:rPr>
          <w:rStyle w:val="eop"/>
          <w:rFonts w:cstheme="minorHAnsi"/>
        </w:rPr>
        <w:t xml:space="preserve"> </w:t>
      </w:r>
      <w:r w:rsidR="00DC075F" w:rsidRPr="00815F25">
        <w:rPr>
          <w:rStyle w:val="eop"/>
          <w:rFonts w:cstheme="minorHAnsi"/>
        </w:rPr>
        <w:t>because of</w:t>
      </w:r>
      <w:r w:rsidR="00DB2F61" w:rsidRPr="00815F25">
        <w:rPr>
          <w:rStyle w:val="eop"/>
          <w:rFonts w:cstheme="minorHAnsi"/>
        </w:rPr>
        <w:t xml:space="preserve"> insufficient cyber security</w:t>
      </w:r>
      <w:r w:rsidR="00D97E8A" w:rsidRPr="00815F25">
        <w:rPr>
          <w:rStyle w:val="eop"/>
          <w:rFonts w:cstheme="minorHAnsi"/>
        </w:rPr>
        <w:t xml:space="preserve">, but increased </w:t>
      </w:r>
      <w:r w:rsidR="004715FD" w:rsidRPr="00815F25">
        <w:rPr>
          <w:rStyle w:val="eop"/>
          <w:rFonts w:cstheme="minorHAnsi"/>
        </w:rPr>
        <w:t xml:space="preserve">ICT product, </w:t>
      </w:r>
      <w:r w:rsidR="004715FD" w:rsidRPr="00361028">
        <w:rPr>
          <w:rStyle w:val="eop"/>
          <w:rFonts w:cstheme="minorHAnsi"/>
        </w:rPr>
        <w:t>service</w:t>
      </w:r>
      <w:r w:rsidR="00361028" w:rsidRPr="00361028">
        <w:rPr>
          <w:rStyle w:val="eop"/>
          <w:rFonts w:cstheme="minorHAnsi"/>
        </w:rPr>
        <w:t>,</w:t>
      </w:r>
      <w:r w:rsidR="004715FD" w:rsidRPr="00815F25">
        <w:rPr>
          <w:rStyle w:val="eop"/>
          <w:rFonts w:cstheme="minorHAnsi"/>
        </w:rPr>
        <w:t xml:space="preserve"> and support </w:t>
      </w:r>
      <w:r w:rsidR="00D97E8A" w:rsidRPr="00815F25">
        <w:rPr>
          <w:rStyle w:val="eop"/>
          <w:rFonts w:cstheme="minorHAnsi"/>
        </w:rPr>
        <w:t xml:space="preserve">costs </w:t>
      </w:r>
      <w:r w:rsidR="003F53C2" w:rsidRPr="00815F25">
        <w:rPr>
          <w:rStyle w:val="eop"/>
          <w:rFonts w:cstheme="minorHAnsi"/>
        </w:rPr>
        <w:t xml:space="preserve">that </w:t>
      </w:r>
      <w:r w:rsidR="00DC075F" w:rsidRPr="00815F25">
        <w:rPr>
          <w:rStyle w:val="eop"/>
          <w:rFonts w:cstheme="minorHAnsi"/>
        </w:rPr>
        <w:t xml:space="preserve">can </w:t>
      </w:r>
      <w:r w:rsidR="00444429" w:rsidRPr="00815F25">
        <w:rPr>
          <w:rStyle w:val="eop"/>
          <w:rFonts w:cstheme="minorHAnsi"/>
        </w:rPr>
        <w:t xml:space="preserve">flow through to the consumer. </w:t>
      </w:r>
    </w:p>
    <w:p w14:paraId="011632A0" w14:textId="2FFA6773" w:rsidR="0078650C" w:rsidRPr="00016C83" w:rsidRDefault="0078650C" w:rsidP="00797487">
      <w:pPr>
        <w:pStyle w:val="Heading3"/>
        <w:rPr>
          <w:rStyle w:val="normaltextrun"/>
        </w:rPr>
      </w:pPr>
      <w:r w:rsidRPr="00016C83">
        <w:rPr>
          <w:rStyle w:val="normaltextrun"/>
        </w:rPr>
        <w:t>Data limitations</w:t>
      </w:r>
      <w:r w:rsidR="00466AC8" w:rsidRPr="00016C83">
        <w:rPr>
          <w:rStyle w:val="normaltextrun"/>
        </w:rPr>
        <w:t xml:space="preserve"> in the ICT sector</w:t>
      </w:r>
    </w:p>
    <w:p w14:paraId="62CEF5F0" w14:textId="5D1B4F31" w:rsidR="000E63B4" w:rsidRDefault="000E63B4" w:rsidP="006761B1">
      <w:r>
        <w:t>There are varied pathways into the ICT sector</w:t>
      </w:r>
      <w:r w:rsidR="00497206">
        <w:t>.</w:t>
      </w:r>
      <w:r>
        <w:t xml:space="preserve"> </w:t>
      </w:r>
      <w:r w:rsidR="00497206">
        <w:t>M</w:t>
      </w:r>
      <w:r>
        <w:t xml:space="preserve">ore data on these pathways is required before the department sets targets for the ICT sector. </w:t>
      </w:r>
    </w:p>
    <w:p w14:paraId="644723BB" w14:textId="2BA625D9" w:rsidR="000B08F0" w:rsidRPr="00FA3191" w:rsidRDefault="000B08F0" w:rsidP="006761B1">
      <w:r w:rsidRPr="00FA3191">
        <w:t>One of the significant outcomes of the 2022 Jobs and Skills Summit highlighted a particular need for digital skills, with almost 70 per cent of ICT jobs experiencing a skills shortage according to Jobs and Skills Australia (JSA) data</w:t>
      </w:r>
      <w:r w:rsidRPr="00FA3191">
        <w:rPr>
          <w:vertAlign w:val="superscript"/>
        </w:rPr>
        <w:footnoteReference w:id="37"/>
      </w:r>
      <w:r w:rsidRPr="00FA3191">
        <w:t xml:space="preserve">. ICT related categories accounted for 7.2 per cent of all Commonwealth </w:t>
      </w:r>
      <w:r w:rsidRPr="00FA3191">
        <w:lastRenderedPageBreak/>
        <w:t>procurement contracts from 2020</w:t>
      </w:r>
      <w:r w:rsidR="00F036DA">
        <w:t>–</w:t>
      </w:r>
      <w:r w:rsidRPr="00FA3191">
        <w:t>2021 with investment totalling $6.75 billion</w:t>
      </w:r>
      <w:r w:rsidRPr="00FA3191">
        <w:rPr>
          <w:vertAlign w:val="superscript"/>
        </w:rPr>
        <w:footnoteReference w:id="38"/>
      </w:r>
      <w:r w:rsidRPr="00FA3191">
        <w:t>. ICT related categories also account for 47 per cent of all Small and Medium Enterprise procurement contracts</w:t>
      </w:r>
      <w:r w:rsidRPr="00FA3191">
        <w:rPr>
          <w:vertAlign w:val="superscript"/>
        </w:rPr>
        <w:footnoteReference w:id="39"/>
      </w:r>
      <w:r w:rsidRPr="00FA3191">
        <w:t xml:space="preserve">. </w:t>
      </w:r>
    </w:p>
    <w:p w14:paraId="3E88E578" w14:textId="381F5AA3" w:rsidR="00C05873" w:rsidRPr="00016C83" w:rsidRDefault="00C05873" w:rsidP="00676085">
      <w:pPr>
        <w:pStyle w:val="Heading2"/>
        <w:rPr>
          <w:rStyle w:val="normaltextrun"/>
        </w:rPr>
      </w:pPr>
      <w:bookmarkStart w:id="13" w:name="_Toc159246215"/>
      <w:r w:rsidRPr="00016C83">
        <w:rPr>
          <w:rStyle w:val="normaltextrun"/>
        </w:rPr>
        <w:t>What is currently being done</w:t>
      </w:r>
      <w:bookmarkEnd w:id="13"/>
    </w:p>
    <w:p w14:paraId="1E48A510" w14:textId="03CD7BF5" w:rsidR="00C05873" w:rsidRPr="00016C83" w:rsidRDefault="00C05873" w:rsidP="00676085">
      <w:pPr>
        <w:pStyle w:val="Heading3"/>
        <w:rPr>
          <w:rStyle w:val="normaltextrun"/>
        </w:rPr>
      </w:pPr>
      <w:r w:rsidRPr="00016C83">
        <w:rPr>
          <w:rStyle w:val="normaltextrun"/>
        </w:rPr>
        <w:t>State and territory governments have implemented apprentice, trainee</w:t>
      </w:r>
      <w:r w:rsidR="005C1309" w:rsidRPr="00016C83">
        <w:rPr>
          <w:rStyle w:val="normaltextrun"/>
        </w:rPr>
        <w:t>,</w:t>
      </w:r>
      <w:r w:rsidRPr="00016C83">
        <w:rPr>
          <w:rStyle w:val="normaltextrun"/>
        </w:rPr>
        <w:t xml:space="preserve"> and cadet targets  </w:t>
      </w:r>
    </w:p>
    <w:p w14:paraId="7E533767" w14:textId="070F5943" w:rsidR="002E7E07" w:rsidRDefault="005B1005" w:rsidP="006761B1">
      <w:pPr>
        <w:rPr>
          <w:rStyle w:val="normaltextrun"/>
          <w:rFonts w:eastAsiaTheme="minorEastAsia"/>
        </w:rPr>
      </w:pPr>
      <w:r w:rsidRPr="49AD854B">
        <w:rPr>
          <w:rStyle w:val="normaltextrun"/>
          <w:rFonts w:eastAsiaTheme="minorEastAsia"/>
        </w:rPr>
        <w:t>A</w:t>
      </w:r>
      <w:r w:rsidR="002855D4" w:rsidRPr="49AD854B">
        <w:rPr>
          <w:rStyle w:val="normaltextrun"/>
          <w:rFonts w:eastAsiaTheme="minorEastAsia"/>
        </w:rPr>
        <w:t xml:space="preserve">ll states and territories (except the Northen Territory) have </w:t>
      </w:r>
      <w:r w:rsidR="00C05873" w:rsidRPr="49AD854B">
        <w:rPr>
          <w:rStyle w:val="normaltextrun"/>
          <w:rFonts w:eastAsiaTheme="minorEastAsia"/>
        </w:rPr>
        <w:t xml:space="preserve">policies that set </w:t>
      </w:r>
      <w:r w:rsidR="009526AE">
        <w:rPr>
          <w:rStyle w:val="normaltextrun"/>
          <w:rFonts w:eastAsiaTheme="minorEastAsia"/>
        </w:rPr>
        <w:t xml:space="preserve">varying </w:t>
      </w:r>
      <w:r w:rsidR="00C05873" w:rsidRPr="49AD854B">
        <w:rPr>
          <w:rStyle w:val="normaltextrun"/>
          <w:rFonts w:eastAsiaTheme="minorEastAsia"/>
        </w:rPr>
        <w:t>targets for apprentices, trainees and cadets on major</w:t>
      </w:r>
      <w:r w:rsidR="00A81E08">
        <w:rPr>
          <w:rStyle w:val="normaltextrun"/>
          <w:rFonts w:eastAsiaTheme="minorEastAsia"/>
        </w:rPr>
        <w:t xml:space="preserve"> state funded</w:t>
      </w:r>
      <w:r w:rsidR="00C05873" w:rsidRPr="49AD854B">
        <w:rPr>
          <w:rStyle w:val="normaltextrun"/>
          <w:rFonts w:eastAsiaTheme="minorEastAsia"/>
        </w:rPr>
        <w:t xml:space="preserve"> construction projects</w:t>
      </w:r>
      <w:r w:rsidR="002855D4" w:rsidRPr="49AD854B">
        <w:rPr>
          <w:rStyle w:val="normaltextrun"/>
          <w:rFonts w:eastAsiaTheme="minorEastAsia"/>
        </w:rPr>
        <w:t xml:space="preserve"> and some states and territories have targets for women</w:t>
      </w:r>
      <w:r w:rsidR="00DC606F">
        <w:rPr>
          <w:rStyle w:val="normaltextrun"/>
          <w:rFonts w:eastAsiaTheme="minorEastAsia"/>
        </w:rPr>
        <w:t xml:space="preserve"> to help </w:t>
      </w:r>
      <w:r w:rsidR="007A4747">
        <w:rPr>
          <w:rStyle w:val="normaltextrun"/>
          <w:rFonts w:eastAsiaTheme="minorEastAsia"/>
        </w:rPr>
        <w:t>train the next generation</w:t>
      </w:r>
      <w:r w:rsidR="00295339">
        <w:rPr>
          <w:rStyle w:val="normaltextrun"/>
          <w:rFonts w:eastAsiaTheme="minorEastAsia"/>
        </w:rPr>
        <w:t xml:space="preserve"> of </w:t>
      </w:r>
      <w:r w:rsidR="00CD032C">
        <w:rPr>
          <w:rStyle w:val="normaltextrun"/>
          <w:rFonts w:eastAsiaTheme="minorEastAsia"/>
        </w:rPr>
        <w:t xml:space="preserve">skilled </w:t>
      </w:r>
      <w:r w:rsidR="00295339">
        <w:rPr>
          <w:rStyle w:val="normaltextrun"/>
          <w:rFonts w:eastAsiaTheme="minorEastAsia"/>
        </w:rPr>
        <w:t>workers</w:t>
      </w:r>
      <w:r w:rsidR="00CD032C">
        <w:rPr>
          <w:rStyle w:val="normaltextrun"/>
          <w:rFonts w:eastAsiaTheme="minorEastAsia"/>
        </w:rPr>
        <w:t xml:space="preserve"> to </w:t>
      </w:r>
      <w:r w:rsidR="00DC606F">
        <w:rPr>
          <w:rStyle w:val="normaltextrun"/>
          <w:rFonts w:eastAsiaTheme="minorEastAsia"/>
        </w:rPr>
        <w:t>address skills shortages</w:t>
      </w:r>
      <w:r w:rsidR="002855D4" w:rsidRPr="49AD854B">
        <w:rPr>
          <w:rStyle w:val="normaltextrun"/>
          <w:rFonts w:eastAsiaTheme="minorEastAsia"/>
        </w:rPr>
        <w:t xml:space="preserve">. </w:t>
      </w:r>
    </w:p>
    <w:p w14:paraId="2D77470F" w14:textId="210289A1" w:rsidR="000C55AA" w:rsidRPr="002E7E07" w:rsidRDefault="00DC3E1F" w:rsidP="006761B1">
      <w:pPr>
        <w:rPr>
          <w:rFonts w:cs="Arial"/>
        </w:rPr>
      </w:pPr>
      <w:r w:rsidRPr="49AD854B">
        <w:t xml:space="preserve">The Victorian Government, for example, has an established </w:t>
      </w:r>
      <w:r w:rsidR="00EC48AA" w:rsidRPr="00EC48AA">
        <w:t xml:space="preserve">Major Projects Skills Guarantee </w:t>
      </w:r>
      <w:r w:rsidR="00EC48AA">
        <w:t>(</w:t>
      </w:r>
      <w:r w:rsidRPr="49AD854B">
        <w:t>MPSG</w:t>
      </w:r>
      <w:r w:rsidR="00EC48AA">
        <w:t>) which</w:t>
      </w:r>
      <w:r w:rsidRPr="49AD854B">
        <w:t xml:space="preserve"> took effect on 1 January 2016. The MPSG is part of the </w:t>
      </w:r>
      <w:r w:rsidRPr="00623160">
        <w:rPr>
          <w:i/>
          <w:iCs/>
        </w:rPr>
        <w:t>Local Jobs Act</w:t>
      </w:r>
      <w:r w:rsidRPr="49AD854B">
        <w:t xml:space="preserve"> and requires contractors to deliver at least 10 per cent of labour hours using apprentices, trainees and cadets to all Victorian Government construction, infrastructure, civil engineering, and capital projects valued at $20 million or above. The Act was further strengthened in 2018 to establish a Local Jobs First Commissioner and include the MPSG in law. All Victorian Government departments and agencies are also required to report Local </w:t>
      </w:r>
      <w:r w:rsidRPr="002E7E07">
        <w:t xml:space="preserve">Jobs First (inclusive of the MPSG) compliance in their annual reports. </w:t>
      </w:r>
      <w:r w:rsidR="000D4BED" w:rsidRPr="398AB777">
        <w:rPr>
          <w:rFonts w:cs="Arial"/>
        </w:rPr>
        <w:t xml:space="preserve">The Victorian </w:t>
      </w:r>
      <w:r w:rsidR="00573A6C" w:rsidRPr="398AB777">
        <w:rPr>
          <w:rFonts w:cs="Arial"/>
        </w:rPr>
        <w:t xml:space="preserve">Government </w:t>
      </w:r>
      <w:r w:rsidR="00EF0C46" w:rsidRPr="398AB777">
        <w:rPr>
          <w:rFonts w:cs="Arial"/>
        </w:rPr>
        <w:t xml:space="preserve">has reported that the MPSG has been successful in </w:t>
      </w:r>
      <w:r w:rsidR="000D4BED" w:rsidRPr="398AB777">
        <w:rPr>
          <w:rFonts w:cs="Arial"/>
        </w:rPr>
        <w:t xml:space="preserve">supporting people by providing them with opportunities to work on high-value construction projects and gain the necessary skills to kickstart their new careers. </w:t>
      </w:r>
      <w:r w:rsidR="00F610DF" w:rsidRPr="398AB777">
        <w:rPr>
          <w:rFonts w:cs="Arial"/>
        </w:rPr>
        <w:t xml:space="preserve">They note that </w:t>
      </w:r>
      <w:r w:rsidR="00FF30E8" w:rsidRPr="398AB777">
        <w:rPr>
          <w:rFonts w:cs="Arial"/>
        </w:rPr>
        <w:t>it</w:t>
      </w:r>
      <w:r w:rsidR="003B1A55" w:rsidRPr="398AB777">
        <w:rPr>
          <w:rFonts w:cs="Arial"/>
        </w:rPr>
        <w:t xml:space="preserve"> has </w:t>
      </w:r>
      <w:r w:rsidR="00071926" w:rsidRPr="398AB777">
        <w:rPr>
          <w:rFonts w:cs="Arial"/>
        </w:rPr>
        <w:t>been applied to 265 projects</w:t>
      </w:r>
      <w:r w:rsidR="00F176F2" w:rsidRPr="398AB777">
        <w:rPr>
          <w:rFonts w:cs="Arial"/>
        </w:rPr>
        <w:t xml:space="preserve"> which</w:t>
      </w:r>
      <w:r w:rsidR="009475F3" w:rsidRPr="398AB777">
        <w:rPr>
          <w:rFonts w:cs="Arial"/>
        </w:rPr>
        <w:t xml:space="preserve"> </w:t>
      </w:r>
      <w:r w:rsidR="003B1A55" w:rsidRPr="398AB777">
        <w:rPr>
          <w:rFonts w:cs="Arial"/>
        </w:rPr>
        <w:t>have committed to more than 12.6 million contracted hours for 5,355 apprentices, trainees, and cadets</w:t>
      </w:r>
      <w:r w:rsidR="00FF30E8" w:rsidRPr="398AB777">
        <w:rPr>
          <w:rFonts w:cs="Arial"/>
        </w:rPr>
        <w:t xml:space="preserve">, and </w:t>
      </w:r>
      <w:r w:rsidR="00032A00" w:rsidRPr="398AB777">
        <w:rPr>
          <w:rFonts w:cs="Arial"/>
        </w:rPr>
        <w:t xml:space="preserve">that the MPSG </w:t>
      </w:r>
      <w:r w:rsidR="00FF30E8" w:rsidRPr="398AB777">
        <w:rPr>
          <w:rFonts w:cs="Arial"/>
        </w:rPr>
        <w:t>has provided people starting out their career with the opportunity to learn from experienced tradespeople on the job</w:t>
      </w:r>
      <w:r w:rsidR="00490F66" w:rsidRPr="398AB777">
        <w:rPr>
          <w:rFonts w:cs="Arial"/>
        </w:rPr>
        <w:t>.</w:t>
      </w:r>
      <w:r w:rsidR="003C27C0" w:rsidRPr="398AB777">
        <w:rPr>
          <w:vertAlign w:val="superscript"/>
        </w:rPr>
        <w:t xml:space="preserve"> </w:t>
      </w:r>
      <w:r w:rsidR="003C27C0" w:rsidRPr="002E7E07">
        <w:rPr>
          <w:vertAlign w:val="superscript"/>
        </w:rPr>
        <w:footnoteReference w:id="40"/>
      </w:r>
      <w:r w:rsidR="003A3A17" w:rsidRPr="398AB777">
        <w:rPr>
          <w:rFonts w:cs="Arial"/>
        </w:rPr>
        <w:t xml:space="preserve"> </w:t>
      </w:r>
    </w:p>
    <w:p w14:paraId="2A339A3B" w14:textId="2C5D8AE4" w:rsidR="00AE0A0A" w:rsidRPr="002E7E07" w:rsidRDefault="00E852F3" w:rsidP="006761B1">
      <w:r w:rsidRPr="002E7E07">
        <w:t xml:space="preserve">The </w:t>
      </w:r>
      <w:r w:rsidR="00210DC9" w:rsidRPr="002E7E07">
        <w:t xml:space="preserve">NSW </w:t>
      </w:r>
      <w:r w:rsidRPr="002E7E07">
        <w:t xml:space="preserve">Infrastructure Skills Legacy Program (ISLP) aims to address skills shortages and increase diversity in the construction sector. </w:t>
      </w:r>
      <w:r w:rsidR="00F727D8" w:rsidRPr="002E7E07">
        <w:t xml:space="preserve">The ISLP includes </w:t>
      </w:r>
      <w:r w:rsidR="00085ED0" w:rsidRPr="002E7E07">
        <w:t>skills, training and diversity targets relevant to the Skills Guarantee, including</w:t>
      </w:r>
      <w:r w:rsidR="00AE0A0A" w:rsidRPr="002E7E07">
        <w:t>:</w:t>
      </w:r>
    </w:p>
    <w:p w14:paraId="7121D452" w14:textId="0D7DB273" w:rsidR="00F727D8" w:rsidRPr="006F2352" w:rsidRDefault="00F727D8" w:rsidP="007415EF">
      <w:pPr>
        <w:pStyle w:val="Dot-pointlist"/>
      </w:pPr>
      <w:r w:rsidRPr="006F2352">
        <w:t>20% of the Trades Workforce to be apprentices: Applies to contract value $10m to over $100m</w:t>
      </w:r>
    </w:p>
    <w:p w14:paraId="39DB4DD8" w14:textId="77777777" w:rsidR="00F727D8" w:rsidRPr="00286AA6" w:rsidRDefault="00F727D8" w:rsidP="007415EF">
      <w:pPr>
        <w:pStyle w:val="Dot-pointlist"/>
      </w:pPr>
      <w:r w:rsidRPr="00286AA6">
        <w:t>2% of the Trades Workforce to be women: Applies to contract value over $100m</w:t>
      </w:r>
    </w:p>
    <w:p w14:paraId="2D461B48" w14:textId="524F7FC4" w:rsidR="00F727D8" w:rsidRPr="00286AA6" w:rsidRDefault="00F727D8" w:rsidP="007415EF">
      <w:pPr>
        <w:pStyle w:val="Dot-pointlist"/>
      </w:pPr>
      <w:r w:rsidRPr="00286AA6">
        <w:t>Report % of Women in Non-Traditional roles</w:t>
      </w:r>
      <w:r w:rsidR="0019015D" w:rsidRPr="00286AA6">
        <w:t>: Applies to contract value over $10m</w:t>
      </w:r>
    </w:p>
    <w:p w14:paraId="3E0396D0" w14:textId="75915B64" w:rsidR="00F727D8" w:rsidRPr="00286AA6" w:rsidRDefault="00F727D8" w:rsidP="007415EF">
      <w:pPr>
        <w:pStyle w:val="Dot-pointlist"/>
      </w:pPr>
      <w:r w:rsidRPr="00286AA6">
        <w:t>20% of the Project Workforce to be learning workers: Applies to contract value over $100m</w:t>
      </w:r>
    </w:p>
    <w:p w14:paraId="7144A5E3" w14:textId="36F3B215" w:rsidR="000C55AA" w:rsidRPr="002E7E07" w:rsidRDefault="00E852F3" w:rsidP="00CD1E37">
      <w:r w:rsidRPr="398AB777">
        <w:lastRenderedPageBreak/>
        <w:t>NSW have reported that t</w:t>
      </w:r>
      <w:r w:rsidR="000C55AA" w:rsidRPr="398AB777">
        <w:t>he ISLP projects are demonstrating strong performance against the Infrastructure Skills Legacy Program targets.</w:t>
      </w:r>
      <w:r w:rsidR="00F62E86" w:rsidRPr="002E7E07">
        <w:rPr>
          <w:rStyle w:val="FootnoteReference"/>
          <w:rFonts w:ascii="Calibri" w:eastAsia="Calibri" w:hAnsi="Calibri" w:cs="Arial"/>
        </w:rPr>
        <w:footnoteReference w:id="41"/>
      </w:r>
      <w:r w:rsidR="00210DC9" w:rsidRPr="398AB777">
        <w:t xml:space="preserve"> </w:t>
      </w:r>
    </w:p>
    <w:p w14:paraId="566C2DDD" w14:textId="3FF8CC14" w:rsidR="00E20682" w:rsidRPr="002E7E07" w:rsidRDefault="005777E7" w:rsidP="00CD1E37">
      <w:r w:rsidRPr="398AB777">
        <w:t xml:space="preserve">The Queensland Government </w:t>
      </w:r>
      <w:r w:rsidR="005A3893" w:rsidRPr="398AB777">
        <w:t>has</w:t>
      </w:r>
      <w:r w:rsidRPr="398AB777">
        <w:t xml:space="preserve"> committed to the 11 per cent target of the National Association for Women in Construction and is actively pursuing initiatives to exceed this target on projects.</w:t>
      </w:r>
      <w:r w:rsidR="003F173E" w:rsidRPr="002E7E07">
        <w:rPr>
          <w:rStyle w:val="FootnoteReference"/>
          <w:rFonts w:ascii="Calibri" w:eastAsia="Calibri" w:hAnsi="Calibri" w:cs="Arial"/>
        </w:rPr>
        <w:footnoteReference w:id="42"/>
      </w:r>
      <w:r w:rsidR="0024705A" w:rsidRPr="398AB777">
        <w:t xml:space="preserve"> </w:t>
      </w:r>
      <w:r w:rsidR="005A3893" w:rsidRPr="398AB777">
        <w:t xml:space="preserve">The </w:t>
      </w:r>
      <w:r w:rsidR="007F6DB6" w:rsidRPr="398AB777">
        <w:t xml:space="preserve">‘11% Strategy’ is a </w:t>
      </w:r>
      <w:r w:rsidR="00E20682" w:rsidRPr="398AB777">
        <w:t xml:space="preserve">holistic strategy focusing on </w:t>
      </w:r>
      <w:r w:rsidR="00B43FD0" w:rsidRPr="398AB777">
        <w:t>6</w:t>
      </w:r>
      <w:r w:rsidR="00E20682" w:rsidRPr="398AB777">
        <w:t xml:space="preserve"> key priorities:</w:t>
      </w:r>
    </w:p>
    <w:p w14:paraId="184CEF58" w14:textId="77777777" w:rsidR="00E20682" w:rsidRPr="003A6BF7" w:rsidRDefault="00E20682" w:rsidP="003A6BF7">
      <w:pPr>
        <w:pStyle w:val="ListNumber"/>
      </w:pPr>
      <w:r w:rsidRPr="003A6BF7">
        <w:t>Attracting and retaining women in apprenticeships and traineeships</w:t>
      </w:r>
    </w:p>
    <w:p w14:paraId="5A86BD43" w14:textId="77777777" w:rsidR="00E20682" w:rsidRPr="00286AA6" w:rsidRDefault="00E20682" w:rsidP="008F555C">
      <w:pPr>
        <w:pStyle w:val="ListNumber"/>
      </w:pPr>
      <w:r w:rsidRPr="00286AA6">
        <w:t>Developing industry pathways for women in para-professional and professional careers</w:t>
      </w:r>
    </w:p>
    <w:p w14:paraId="7E179950" w14:textId="77777777" w:rsidR="00E20682" w:rsidRPr="00286AA6" w:rsidRDefault="00E20682" w:rsidP="008F555C">
      <w:pPr>
        <w:pStyle w:val="ListNumber"/>
      </w:pPr>
      <w:r w:rsidRPr="00286AA6">
        <w:t>Repositioning women as employees of choice in non-traditional careers</w:t>
      </w:r>
    </w:p>
    <w:p w14:paraId="6A619A6E" w14:textId="77777777" w:rsidR="00E20682" w:rsidRPr="00286AA6" w:rsidRDefault="00E20682" w:rsidP="008F555C">
      <w:pPr>
        <w:pStyle w:val="ListNumber"/>
      </w:pPr>
      <w:r w:rsidRPr="00286AA6">
        <w:t>Passport to Diversity – changing the industry culture</w:t>
      </w:r>
    </w:p>
    <w:p w14:paraId="3D6E5E47" w14:textId="77777777" w:rsidR="00E20682" w:rsidRPr="00286AA6" w:rsidRDefault="00E20682" w:rsidP="008F555C">
      <w:pPr>
        <w:pStyle w:val="ListNumber"/>
      </w:pPr>
      <w:r w:rsidRPr="00286AA6">
        <w:t>Industry commitment to gender equality and accessibility to the trades</w:t>
      </w:r>
    </w:p>
    <w:p w14:paraId="4E23AE59" w14:textId="77777777" w:rsidR="00E20682" w:rsidRPr="00286AA6" w:rsidRDefault="00E20682" w:rsidP="008F555C">
      <w:pPr>
        <w:pStyle w:val="ListNumber"/>
      </w:pPr>
      <w:r w:rsidRPr="00286AA6">
        <w:t>Recognising the skills of women already working in the industry</w:t>
      </w:r>
    </w:p>
    <w:p w14:paraId="61A62074" w14:textId="67C53546" w:rsidR="00F62E86" w:rsidRPr="002E7E07" w:rsidRDefault="0024705A" w:rsidP="004A40DF">
      <w:r w:rsidRPr="398AB777">
        <w:t>A recent Construction Skills Queensland, Women in Construction Report</w:t>
      </w:r>
      <w:r w:rsidR="00E20682" w:rsidRPr="398AB777">
        <w:t>,</w:t>
      </w:r>
      <w:r w:rsidRPr="398AB777">
        <w:t xml:space="preserve"> has seen a 50% increase in apprenticeship uptake since actions from the 11% Strategy w</w:t>
      </w:r>
      <w:r w:rsidR="00DB3BBE" w:rsidRPr="398AB777">
        <w:t>ere</w:t>
      </w:r>
      <w:r w:rsidRPr="398AB777">
        <w:t xml:space="preserve"> implemented.</w:t>
      </w:r>
      <w:r w:rsidR="008B71F6" w:rsidRPr="002E7E07">
        <w:rPr>
          <w:rStyle w:val="FootnoteReference"/>
          <w:rFonts w:ascii="Calibri" w:eastAsia="Calibri" w:hAnsi="Calibri" w:cs="Arial"/>
        </w:rPr>
        <w:footnoteReference w:id="43"/>
      </w:r>
    </w:p>
    <w:p w14:paraId="17A34824" w14:textId="282D78BD" w:rsidR="00490F66" w:rsidRPr="002E7E07" w:rsidRDefault="00B26819" w:rsidP="004A40DF">
      <w:r w:rsidRPr="002E7E07">
        <w:rPr>
          <w:rFonts w:cs="Calibri"/>
        </w:rPr>
        <w:t xml:space="preserve">For </w:t>
      </w:r>
      <w:r w:rsidRPr="002E7E07">
        <w:t xml:space="preserve">more information about state and territory government policies, please see </w:t>
      </w:r>
      <w:r w:rsidR="006A6797">
        <w:rPr>
          <w:b/>
        </w:rPr>
        <w:t>Appendix</w:t>
      </w:r>
      <w:r w:rsidRPr="002E7E07">
        <w:rPr>
          <w:b/>
        </w:rPr>
        <w:t xml:space="preserve"> A.</w:t>
      </w:r>
    </w:p>
    <w:p w14:paraId="2AE9E12B" w14:textId="77777777" w:rsidR="009B24A8" w:rsidRPr="002E7E07" w:rsidRDefault="009B24A8" w:rsidP="004A40DF">
      <w:r w:rsidRPr="002E7E07">
        <w:t>Some state and territory governments have indicated that targets have been found to be successful in encouraging and supporting women, but definitions of the targets and how broadly they apply is important. It was also noted that increasing women on a job site will raise the profile of women's participation in construction and will over time encourage people to enter the industry and bring cultural changes to construction. One state suggested that the Commonwealth consider proactive education for businesses about the anticipated benefits of the Skills Guarantee to increase industry buy-in.</w:t>
      </w:r>
    </w:p>
    <w:p w14:paraId="26D2287C" w14:textId="067ABD99" w:rsidR="00DC3E1F" w:rsidRPr="00DC3E1F" w:rsidRDefault="00C301C1" w:rsidP="006761B1">
      <w:r>
        <w:t xml:space="preserve">During consultations on the </w:t>
      </w:r>
      <w:r w:rsidR="00BA4378">
        <w:t xml:space="preserve">Skills Guarantee </w:t>
      </w:r>
      <w:r>
        <w:t xml:space="preserve">policy design, the department heard that </w:t>
      </w:r>
      <w:r w:rsidR="0084395C">
        <w:t>stakeholders were generally supportive of state and territory targets</w:t>
      </w:r>
      <w:r w:rsidR="00E44971">
        <w:t>; however, noted that targets need to be achievable</w:t>
      </w:r>
      <w:r w:rsidR="00260EC0">
        <w:t xml:space="preserve"> and supported by </w:t>
      </w:r>
      <w:r w:rsidR="00260EC0" w:rsidRPr="00260EC0">
        <w:t>other measures</w:t>
      </w:r>
      <w:r w:rsidR="00901C93">
        <w:t xml:space="preserve"> to </w:t>
      </w:r>
      <w:r w:rsidR="00D47C25">
        <w:t xml:space="preserve">improve </w:t>
      </w:r>
      <w:r w:rsidR="00951E35">
        <w:t>working conditions</w:t>
      </w:r>
      <w:r w:rsidR="00AE4913">
        <w:t xml:space="preserve"> for women</w:t>
      </w:r>
      <w:r w:rsidR="00E44971">
        <w:t>.</w:t>
      </w:r>
      <w:r w:rsidR="007F5680">
        <w:t xml:space="preserve"> It was also noted there were </w:t>
      </w:r>
      <w:r w:rsidR="00BE7EBD">
        <w:t>reporting capabili</w:t>
      </w:r>
      <w:r w:rsidR="00D820BB">
        <w:t xml:space="preserve">ty limitations that impacted </w:t>
      </w:r>
      <w:r w:rsidR="00081C1F">
        <w:t>further analysis of</w:t>
      </w:r>
      <w:r w:rsidR="00EA7BD6">
        <w:t xml:space="preserve"> the existing state and territory </w:t>
      </w:r>
      <w:r w:rsidR="00A52D2D">
        <w:t xml:space="preserve">approaches. </w:t>
      </w:r>
    </w:p>
    <w:p w14:paraId="63F11B12" w14:textId="65B1532D" w:rsidR="00C05873" w:rsidRDefault="00C05873" w:rsidP="006761B1">
      <w:pPr>
        <w:rPr>
          <w:rStyle w:val="eop"/>
          <w:rFonts w:cstheme="minorHAnsi"/>
        </w:rPr>
      </w:pPr>
      <w:r w:rsidRPr="00344C59">
        <w:rPr>
          <w:rStyle w:val="normaltextrun"/>
          <w:rFonts w:eastAsiaTheme="minorEastAsia" w:cstheme="minorHAnsi"/>
        </w:rPr>
        <w:t>There are no state and territory governments that have apprentice, trainee</w:t>
      </w:r>
      <w:r w:rsidR="0015667E">
        <w:rPr>
          <w:rStyle w:val="normaltextrun"/>
          <w:rFonts w:eastAsiaTheme="minorEastAsia" w:cstheme="minorHAnsi"/>
        </w:rPr>
        <w:t>,</w:t>
      </w:r>
      <w:r w:rsidRPr="00344C59">
        <w:rPr>
          <w:rStyle w:val="normaltextrun"/>
          <w:rFonts w:eastAsiaTheme="minorEastAsia" w:cstheme="minorHAnsi"/>
        </w:rPr>
        <w:t xml:space="preserve"> or cadet targets for major ICT</w:t>
      </w:r>
      <w:r w:rsidR="00DD05BC">
        <w:rPr>
          <w:rStyle w:val="normaltextrun"/>
          <w:rFonts w:eastAsiaTheme="minorEastAsia" w:cstheme="minorHAnsi"/>
        </w:rPr>
        <w:t xml:space="preserve"> </w:t>
      </w:r>
      <w:r w:rsidRPr="00344C59">
        <w:rPr>
          <w:rStyle w:val="normaltextrun"/>
          <w:rFonts w:eastAsiaTheme="minorEastAsia" w:cstheme="minorHAnsi"/>
        </w:rPr>
        <w:t>projects. </w:t>
      </w:r>
      <w:r w:rsidRPr="00344C59">
        <w:rPr>
          <w:rStyle w:val="eop"/>
          <w:rFonts w:cstheme="minorHAnsi"/>
        </w:rPr>
        <w:t> </w:t>
      </w:r>
    </w:p>
    <w:p w14:paraId="61D14BE6" w14:textId="4538B61B" w:rsidR="001C5034" w:rsidRPr="00016C83" w:rsidRDefault="00DC498B" w:rsidP="00797487">
      <w:pPr>
        <w:pStyle w:val="Heading3"/>
        <w:rPr>
          <w:rStyle w:val="normaltextrun"/>
        </w:rPr>
      </w:pPr>
      <w:r w:rsidRPr="00016C83">
        <w:rPr>
          <w:rStyle w:val="normaltextrun"/>
        </w:rPr>
        <w:t>International</w:t>
      </w:r>
      <w:r w:rsidR="001C5034" w:rsidRPr="00016C83">
        <w:rPr>
          <w:rStyle w:val="normaltextrun"/>
        </w:rPr>
        <w:t xml:space="preserve"> </w:t>
      </w:r>
      <w:r w:rsidR="00EC073D" w:rsidRPr="00016C83">
        <w:rPr>
          <w:rStyle w:val="normaltextrun"/>
        </w:rPr>
        <w:t>policy</w:t>
      </w:r>
    </w:p>
    <w:p w14:paraId="629E06F1" w14:textId="47A0B761" w:rsidR="002D1FE7" w:rsidRDefault="002D1FE7" w:rsidP="00CD1E37">
      <w:pPr>
        <w:rPr>
          <w:rStyle w:val="normaltextrun"/>
          <w:rFonts w:eastAsiaTheme="minorEastAsia" w:cstheme="minorHAnsi"/>
        </w:rPr>
      </w:pPr>
      <w:r w:rsidRPr="49AD854B">
        <w:rPr>
          <w:rStyle w:val="normaltextrun"/>
          <w:rFonts w:eastAsiaTheme="minorEastAsia"/>
        </w:rPr>
        <w:t xml:space="preserve">According to the OECD, analysis of apprenticeship systems around the world shows that central to effective provision is the simple realisation that apprenticeships will only work well if they are </w:t>
      </w:r>
      <w:r w:rsidRPr="49AD854B">
        <w:rPr>
          <w:rStyle w:val="normaltextrun"/>
          <w:rFonts w:eastAsiaTheme="minorEastAsia"/>
        </w:rPr>
        <w:lastRenderedPageBreak/>
        <w:t>attractive to both apprentices and employers.</w:t>
      </w:r>
      <w:r w:rsidRPr="49AD854B">
        <w:rPr>
          <w:rStyle w:val="FootnoteReference"/>
          <w:rFonts w:eastAsiaTheme="minorEastAsia"/>
        </w:rPr>
        <w:footnoteReference w:id="44"/>
      </w:r>
      <w:r w:rsidRPr="49AD854B">
        <w:rPr>
          <w:rStyle w:val="normaltextrun"/>
          <w:rFonts w:eastAsiaTheme="minorEastAsia"/>
        </w:rPr>
        <w:t xml:space="preserve"> Getting the cost–benefit balance right for the apprentice, trainee or ICT cadet, supplier and the Australian Government is essential for effective policy.</w:t>
      </w:r>
    </w:p>
    <w:p w14:paraId="3D980A77" w14:textId="4D649EBB" w:rsidR="002D1FE7" w:rsidRDefault="00643F70" w:rsidP="00CD1E37">
      <w:pPr>
        <w:rPr>
          <w:rStyle w:val="normaltextrun"/>
          <w:rFonts w:eastAsiaTheme="minorEastAsia" w:cstheme="minorHAnsi"/>
        </w:rPr>
      </w:pPr>
      <w:r>
        <w:rPr>
          <w:rStyle w:val="normaltextrun"/>
          <w:rFonts w:eastAsiaTheme="minorEastAsia"/>
        </w:rPr>
        <w:t>In England</w:t>
      </w:r>
      <w:r w:rsidR="002D1FE7" w:rsidRPr="49AD854B">
        <w:rPr>
          <w:rStyle w:val="normaltextrun"/>
          <w:rFonts w:eastAsiaTheme="minorEastAsia"/>
        </w:rPr>
        <w:t>, the Olympic Delivery Authority set a target of 11% for women on projects for the London Olympic and Paralympic Games in 2012, but women comprised only 5% of the workforce.</w:t>
      </w:r>
      <w:r w:rsidR="002D1FE7">
        <w:rPr>
          <w:rStyle w:val="FootnoteReference"/>
        </w:rPr>
        <w:footnoteReference w:id="45"/>
      </w:r>
      <w:r w:rsidR="002D1FE7" w:rsidRPr="49AD854B">
        <w:rPr>
          <w:rStyle w:val="normaltextrun"/>
          <w:rFonts w:eastAsiaTheme="minorEastAsia"/>
        </w:rPr>
        <w:t xml:space="preserve"> While the target was not met, the participation rate of women in the manual trades workforce peaked at 3%, which was higher than the national average of between 1 and 2%.</w:t>
      </w:r>
      <w:r w:rsidR="002D1FE7">
        <w:rPr>
          <w:rStyle w:val="FootnoteReference"/>
          <w:rFonts w:eastAsia="Times New Roman"/>
        </w:rPr>
        <w:footnoteReference w:id="46"/>
      </w:r>
      <w:r w:rsidR="00CA7747">
        <w:rPr>
          <w:rStyle w:val="normaltextrun"/>
          <w:rFonts w:eastAsiaTheme="minorEastAsia"/>
        </w:rPr>
        <w:t xml:space="preserve"> </w:t>
      </w:r>
    </w:p>
    <w:p w14:paraId="2033AAC4" w14:textId="55030792" w:rsidR="002D1FE7" w:rsidRDefault="00122BFC" w:rsidP="00CD1E37">
      <w:pPr>
        <w:rPr>
          <w:rStyle w:val="eop"/>
          <w:rFonts w:cstheme="minorHAnsi"/>
        </w:rPr>
      </w:pPr>
      <w:r>
        <w:rPr>
          <w:rStyle w:val="eop"/>
        </w:rPr>
        <w:t>M</w:t>
      </w:r>
      <w:r w:rsidR="002D1FE7">
        <w:rPr>
          <w:rStyle w:val="eop"/>
        </w:rPr>
        <w:t>ore broadly</w:t>
      </w:r>
      <w:r w:rsidR="002D1FE7" w:rsidRPr="5195FBBD">
        <w:rPr>
          <w:rStyle w:val="eop"/>
        </w:rPr>
        <w:t xml:space="preserve">, the UK Government’s Procurement Policy Note 06/20, ‘Taking Account of Social Value in the Award of Central Government Contracts’, states that ‘social value should be explicitly evaluated in all central government procurement, where the requirements are related and proportionate to the subject-matter of the contract, rather than just ‘considered’ as currently required under the </w:t>
      </w:r>
      <w:r w:rsidR="002D1FE7" w:rsidRPr="00623160">
        <w:rPr>
          <w:rStyle w:val="eop"/>
          <w:i/>
          <w:iCs/>
        </w:rPr>
        <w:t>Public Services (Social Value) Act 2012</w:t>
      </w:r>
      <w:r w:rsidR="002D1FE7" w:rsidRPr="5195FBBD">
        <w:rPr>
          <w:rStyle w:val="eop"/>
        </w:rPr>
        <w:t xml:space="preserve">’. The </w:t>
      </w:r>
      <w:r w:rsidR="00850ABE">
        <w:rPr>
          <w:rStyle w:val="eop"/>
        </w:rPr>
        <w:t>N</w:t>
      </w:r>
      <w:r w:rsidR="002D1FE7" w:rsidRPr="5195FBBD">
        <w:rPr>
          <w:rStyle w:val="eop"/>
        </w:rPr>
        <w:t>ote states that procurements related to construction, capital investment and infrastructure projects above £10m should use the priority themes and outcomes provided – which include the objective to 'create employment and training opportunities, particularly for people in industries with known skills shortages or in high growth sectors’ – in applying the Balanced Scorecard for Growth (PPN 09/16).</w:t>
      </w:r>
      <w:r w:rsidR="002D1FE7">
        <w:rPr>
          <w:rStyle w:val="FootnoteReference"/>
          <w:rFonts w:cstheme="minorHAnsi"/>
        </w:rPr>
        <w:footnoteReference w:id="47"/>
      </w:r>
      <w:r w:rsidR="002D1FE7" w:rsidRPr="5195FBBD">
        <w:rPr>
          <w:rStyle w:val="eop"/>
        </w:rPr>
        <w:t xml:space="preserve"> The Balanced Scorecard for Growth policy note (PPN 09/16) requires government buyers to adopt a balanced scorecard approach which serves as a tool to guide public procurers in balancing straightforward matters</w:t>
      </w:r>
      <w:r w:rsidR="00850ABE">
        <w:rPr>
          <w:rStyle w:val="eop"/>
        </w:rPr>
        <w:t>,</w:t>
      </w:r>
      <w:r w:rsidR="002D1FE7" w:rsidRPr="5195FBBD">
        <w:rPr>
          <w:rStyle w:val="eop"/>
        </w:rPr>
        <w:t xml:space="preserve"> such as cost against more complex issues such as social and wider economic considerations when designing their procurement approaches.</w:t>
      </w:r>
      <w:r w:rsidR="002D1FE7">
        <w:rPr>
          <w:rStyle w:val="FootnoteReference"/>
          <w:rFonts w:cstheme="minorHAnsi"/>
        </w:rPr>
        <w:footnoteReference w:id="48"/>
      </w:r>
    </w:p>
    <w:p w14:paraId="382E032D" w14:textId="566C7CE8" w:rsidR="001C5034" w:rsidRDefault="00E66B90" w:rsidP="006761B1">
      <w:pPr>
        <w:rPr>
          <w:rStyle w:val="eop"/>
          <w:rFonts w:cstheme="minorHAnsi"/>
        </w:rPr>
      </w:pPr>
      <w:r w:rsidRPr="5195FBBD">
        <w:rPr>
          <w:rStyle w:val="eop"/>
        </w:rPr>
        <w:t xml:space="preserve">In Canada, employers bidding on government construction and maintenance contracts for Public Works and Government Services Canada, as well as Defence Construction Canada, are asked to sign a voluntary certification expressing their commitment to hire and train apprentices. However, this </w:t>
      </w:r>
      <w:r w:rsidR="00616A07" w:rsidRPr="5195FBBD">
        <w:rPr>
          <w:rStyle w:val="eop"/>
        </w:rPr>
        <w:t>does</w:t>
      </w:r>
      <w:r w:rsidRPr="5195FBBD">
        <w:rPr>
          <w:rStyle w:val="eop"/>
        </w:rPr>
        <w:t xml:space="preserve"> impact the solicitation evaluation process.</w:t>
      </w:r>
      <w:r w:rsidR="001E1E0D">
        <w:rPr>
          <w:rStyle w:val="FootnoteReference"/>
          <w:rFonts w:cstheme="minorHAnsi"/>
        </w:rPr>
        <w:footnoteReference w:id="49"/>
      </w:r>
      <w:r w:rsidR="005C00D1" w:rsidRPr="5195FBBD">
        <w:rPr>
          <w:rStyle w:val="eop"/>
        </w:rPr>
        <w:t xml:space="preserve"> This </w:t>
      </w:r>
      <w:r w:rsidR="0072036A" w:rsidRPr="5195FBBD">
        <w:rPr>
          <w:rStyle w:val="eop"/>
        </w:rPr>
        <w:t xml:space="preserve">requirement </w:t>
      </w:r>
      <w:r w:rsidR="005664C0" w:rsidRPr="5195FBBD">
        <w:rPr>
          <w:rStyle w:val="eop"/>
        </w:rPr>
        <w:t xml:space="preserve">does not include targets for use of apprentices on projects. </w:t>
      </w:r>
    </w:p>
    <w:p w14:paraId="6713263B" w14:textId="77777777" w:rsidR="004F7A12" w:rsidRPr="004F7A12" w:rsidRDefault="00616A07" w:rsidP="006761B1">
      <w:pPr>
        <w:rPr>
          <w:rStyle w:val="eop"/>
          <w:rFonts w:cstheme="minorHAnsi"/>
        </w:rPr>
      </w:pPr>
      <w:r>
        <w:rPr>
          <w:rStyle w:val="eop"/>
          <w:rFonts w:cstheme="minorHAnsi"/>
        </w:rPr>
        <w:t xml:space="preserve">In </w:t>
      </w:r>
      <w:r w:rsidR="004F7A12">
        <w:rPr>
          <w:rStyle w:val="eop"/>
          <w:rFonts w:cstheme="minorHAnsi"/>
        </w:rPr>
        <w:t>New Zealand</w:t>
      </w:r>
      <w:r>
        <w:rPr>
          <w:rStyle w:val="eop"/>
          <w:rFonts w:cstheme="minorHAnsi"/>
        </w:rPr>
        <w:t xml:space="preserve">, </w:t>
      </w:r>
      <w:r w:rsidR="004F7A12" w:rsidRPr="004F7A12">
        <w:rPr>
          <w:rStyle w:val="eop"/>
          <w:rFonts w:cstheme="minorHAnsi"/>
        </w:rPr>
        <w:t>Rule 18 of the Government Procurement Rules requires agencies who are procuring construction works valued at $9 million or more (excluding GST) to:</w:t>
      </w:r>
    </w:p>
    <w:p w14:paraId="19BC3F69" w14:textId="77777777" w:rsidR="004F7A12" w:rsidRPr="00383ED8" w:rsidRDefault="004F7A12" w:rsidP="007415EF">
      <w:pPr>
        <w:pStyle w:val="Dot-pointlist"/>
        <w:rPr>
          <w:rStyle w:val="eop"/>
        </w:rPr>
      </w:pPr>
      <w:r w:rsidRPr="00383ED8">
        <w:rPr>
          <w:rStyle w:val="eop"/>
        </w:rPr>
        <w:lastRenderedPageBreak/>
        <w:t>ask suppliers and their sub-contractors what they can do over the life of the contract to train new construction workers and develop the skills of existing ones</w:t>
      </w:r>
    </w:p>
    <w:p w14:paraId="65D94DF9" w14:textId="77777777" w:rsidR="004F7A12" w:rsidRPr="00383ED8" w:rsidRDefault="004F7A12" w:rsidP="007415EF">
      <w:pPr>
        <w:pStyle w:val="Dot-pointlist"/>
        <w:rPr>
          <w:rStyle w:val="eop"/>
        </w:rPr>
      </w:pPr>
      <w:r w:rsidRPr="00383ED8">
        <w:rPr>
          <w:rStyle w:val="eop"/>
        </w:rPr>
        <w:t>consider the information suppliers provide about construction skills and training in their tenders, including applying weighting if using a weighted attribute evaluation model</w:t>
      </w:r>
    </w:p>
    <w:p w14:paraId="5C913773" w14:textId="77777777" w:rsidR="004F7A12" w:rsidRPr="00383ED8" w:rsidRDefault="004F7A12" w:rsidP="007415EF">
      <w:pPr>
        <w:pStyle w:val="Dot-pointlist"/>
        <w:rPr>
          <w:rStyle w:val="eop"/>
        </w:rPr>
      </w:pPr>
      <w:r w:rsidRPr="00383ED8">
        <w:rPr>
          <w:rStyle w:val="eop"/>
        </w:rPr>
        <w:t>monitor contracts to make sure suppliers and their sub-contractors deliver the training and skills development they agree to, and</w:t>
      </w:r>
    </w:p>
    <w:p w14:paraId="01181377" w14:textId="70E405B0" w:rsidR="00616A07" w:rsidRPr="00383ED8" w:rsidRDefault="004F7A12" w:rsidP="007415EF">
      <w:pPr>
        <w:pStyle w:val="Dot-pointlist"/>
        <w:rPr>
          <w:rStyle w:val="eop"/>
        </w:rPr>
      </w:pPr>
      <w:r w:rsidRPr="00383ED8">
        <w:rPr>
          <w:rStyle w:val="eop"/>
        </w:rPr>
        <w:t>consider the health and safety practices of suppliers and the training they provide to workers to ensure their health and safety.</w:t>
      </w:r>
      <w:r w:rsidR="004E2A6A" w:rsidRPr="00383ED8">
        <w:rPr>
          <w:rStyle w:val="FootnoteReference"/>
        </w:rPr>
        <w:footnoteReference w:id="50"/>
      </w:r>
    </w:p>
    <w:p w14:paraId="5A8FB2A3" w14:textId="2EA69F40" w:rsidR="00C05873" w:rsidRPr="00016C83" w:rsidRDefault="00C05873" w:rsidP="00797487">
      <w:pPr>
        <w:pStyle w:val="Heading3"/>
        <w:rPr>
          <w:rStyle w:val="normaltextrun"/>
        </w:rPr>
      </w:pPr>
      <w:r w:rsidRPr="00016C83">
        <w:rPr>
          <w:rStyle w:val="normaltextrun"/>
        </w:rPr>
        <w:t xml:space="preserve">No targets for </w:t>
      </w:r>
      <w:r w:rsidR="007D1CD5" w:rsidRPr="00016C83">
        <w:rPr>
          <w:rStyle w:val="normaltextrun"/>
        </w:rPr>
        <w:t>major projects delivered through Commonwealth procurement</w:t>
      </w:r>
    </w:p>
    <w:p w14:paraId="33A86D96" w14:textId="115B647B" w:rsidR="00C05873" w:rsidRDefault="00C05873" w:rsidP="006761B1">
      <w:pPr>
        <w:rPr>
          <w:rStyle w:val="eop"/>
          <w:rFonts w:cstheme="minorHAnsi"/>
        </w:rPr>
      </w:pPr>
      <w:r w:rsidRPr="00344C59">
        <w:rPr>
          <w:rStyle w:val="normaltextrun"/>
          <w:rFonts w:eastAsiaTheme="minorEastAsia" w:cstheme="minorHAnsi"/>
        </w:rPr>
        <w:t>There are</w:t>
      </w:r>
      <w:r w:rsidR="003C004F">
        <w:rPr>
          <w:rStyle w:val="normaltextrun"/>
          <w:rFonts w:eastAsiaTheme="minorEastAsia" w:cstheme="minorHAnsi"/>
        </w:rPr>
        <w:t xml:space="preserve"> currently</w:t>
      </w:r>
      <w:r w:rsidRPr="00344C59">
        <w:rPr>
          <w:rStyle w:val="normaltextrun"/>
          <w:rFonts w:eastAsiaTheme="minorEastAsia" w:cstheme="minorHAnsi"/>
        </w:rPr>
        <w:t xml:space="preserve"> no targets for apprentices, trainees and cadets on major projects delivered through Commonwealth procurement. A national policy is needed to capture the Australian Government investment in major construction and ICT projects, support demand for apprentices, trainees and paid cadets and increase opportunities for women on major projects.</w:t>
      </w:r>
      <w:r w:rsidRPr="00344C59">
        <w:rPr>
          <w:rStyle w:val="eop"/>
          <w:rFonts w:cstheme="minorHAnsi"/>
        </w:rPr>
        <w:t> </w:t>
      </w:r>
    </w:p>
    <w:p w14:paraId="019A7412" w14:textId="6A5F6118" w:rsidR="008A64E1" w:rsidRPr="00016C83" w:rsidRDefault="00621159" w:rsidP="00797487">
      <w:pPr>
        <w:pStyle w:val="Heading3"/>
        <w:rPr>
          <w:rStyle w:val="normaltextrun"/>
        </w:rPr>
      </w:pPr>
      <w:r w:rsidRPr="00016C83">
        <w:rPr>
          <w:rStyle w:val="normaltextrun"/>
        </w:rPr>
        <w:t xml:space="preserve">Australian </w:t>
      </w:r>
      <w:r w:rsidR="008A64E1" w:rsidRPr="00016C83">
        <w:rPr>
          <w:rStyle w:val="normaltextrun"/>
        </w:rPr>
        <w:t xml:space="preserve">Apprenticeships Incentive System (AAIS) </w:t>
      </w:r>
    </w:p>
    <w:p w14:paraId="62EB0155" w14:textId="3C1C19A6" w:rsidR="00E4683D" w:rsidRDefault="00CC6924" w:rsidP="006761B1">
      <w:pPr>
        <w:rPr>
          <w:rStyle w:val="normaltextrun"/>
          <w:rFonts w:asciiTheme="majorHAnsi" w:eastAsiaTheme="majorEastAsia" w:hAnsiTheme="majorHAnsi" w:cstheme="majorBidi"/>
          <w:color w:val="2F5496" w:themeColor="accent1" w:themeShade="BF"/>
          <w:sz w:val="32"/>
          <w:szCs w:val="32"/>
        </w:rPr>
      </w:pPr>
      <w:r>
        <w:rPr>
          <w:rStyle w:val="normaltextrun"/>
        </w:rPr>
        <w:t xml:space="preserve">The reformed </w:t>
      </w:r>
      <w:r w:rsidR="001A5EC0" w:rsidRPr="00820D8B">
        <w:t>Australian Apprenticeships Incentive System</w:t>
      </w:r>
      <w:r w:rsidR="001A5EC0" w:rsidRPr="00CB427D">
        <w:rPr>
          <w:rFonts w:eastAsia="Times New Roman" w:cs="Times New Roman"/>
          <w:vertAlign w:val="superscript"/>
        </w:rPr>
        <w:footnoteReference w:id="51"/>
      </w:r>
      <w:r w:rsidR="001A5EC0" w:rsidRPr="00CB427D">
        <w:rPr>
          <w:rFonts w:eastAsia="Times New Roman" w:cs="Times New Roman"/>
          <w:vertAlign w:val="superscript"/>
        </w:rPr>
        <w:t xml:space="preserve"> </w:t>
      </w:r>
      <w:r w:rsidR="001A5EC0">
        <w:t>(</w:t>
      </w:r>
      <w:r w:rsidR="003C004F">
        <w:t>Incentives System</w:t>
      </w:r>
      <w:r w:rsidR="001A5EC0">
        <w:t xml:space="preserve">) </w:t>
      </w:r>
      <w:r>
        <w:rPr>
          <w:rStyle w:val="normaltextrun"/>
        </w:rPr>
        <w:t>provide</w:t>
      </w:r>
      <w:r w:rsidR="00C26C1D">
        <w:rPr>
          <w:rStyle w:val="normaltextrun"/>
        </w:rPr>
        <w:t>s t</w:t>
      </w:r>
      <w:r w:rsidR="00780558">
        <w:rPr>
          <w:rStyle w:val="normaltextrun"/>
        </w:rPr>
        <w:t xml:space="preserve">argeted government investment to </w:t>
      </w:r>
      <w:r w:rsidR="000A6762">
        <w:rPr>
          <w:rStyle w:val="normaltextrun"/>
        </w:rPr>
        <w:t xml:space="preserve">areas of </w:t>
      </w:r>
      <w:r w:rsidR="00780558">
        <w:rPr>
          <w:rStyle w:val="normaltextrun"/>
        </w:rPr>
        <w:t xml:space="preserve">skills in demand </w:t>
      </w:r>
      <w:r w:rsidR="00602103">
        <w:rPr>
          <w:rStyle w:val="normaltextrun"/>
        </w:rPr>
        <w:t xml:space="preserve">based on the Australian Apprenticeships Priority List </w:t>
      </w:r>
      <w:r w:rsidR="00EB5E1B">
        <w:rPr>
          <w:rStyle w:val="normaltextrun"/>
        </w:rPr>
        <w:t xml:space="preserve">to </w:t>
      </w:r>
      <w:r w:rsidR="005E5F32">
        <w:rPr>
          <w:rStyle w:val="normaltextrun"/>
        </w:rPr>
        <w:t xml:space="preserve">build a more inclusive and sustainable </w:t>
      </w:r>
      <w:r w:rsidR="00CD405D">
        <w:rPr>
          <w:rStyle w:val="normaltextrun"/>
        </w:rPr>
        <w:t>economy</w:t>
      </w:r>
      <w:r w:rsidR="00A26F0D">
        <w:rPr>
          <w:rStyle w:val="normaltextrun"/>
        </w:rPr>
        <w:t xml:space="preserve"> and </w:t>
      </w:r>
      <w:r w:rsidR="00C92861">
        <w:rPr>
          <w:rStyle w:val="normaltextrun"/>
        </w:rPr>
        <w:t>increase commencement and completion rates of Australian apprentices</w:t>
      </w:r>
      <w:r w:rsidR="00407D0A">
        <w:rPr>
          <w:rStyle w:val="normaltextrun"/>
        </w:rPr>
        <w:t xml:space="preserve">. </w:t>
      </w:r>
      <w:r w:rsidR="004F4EF5">
        <w:rPr>
          <w:rStyle w:val="normaltextrun"/>
        </w:rPr>
        <w:t>Th</w:t>
      </w:r>
      <w:r w:rsidR="00234518">
        <w:rPr>
          <w:rStyle w:val="normaltextrun"/>
        </w:rPr>
        <w:t xml:space="preserve">e </w:t>
      </w:r>
      <w:r w:rsidR="003C004F">
        <w:rPr>
          <w:rStyle w:val="normaltextrun"/>
        </w:rPr>
        <w:t>Incentives System</w:t>
      </w:r>
      <w:r w:rsidR="00234518">
        <w:rPr>
          <w:rStyle w:val="normaltextrun"/>
        </w:rPr>
        <w:t xml:space="preserve"> </w:t>
      </w:r>
      <w:r w:rsidR="003C004F">
        <w:rPr>
          <w:rStyle w:val="normaltextrun"/>
        </w:rPr>
        <w:t>provides financial assistance to support employers and apprentices to assist with the</w:t>
      </w:r>
      <w:r w:rsidR="004F4EF5">
        <w:rPr>
          <w:rStyle w:val="normaltextrun"/>
        </w:rPr>
        <w:t xml:space="preserve"> cost of training</w:t>
      </w:r>
      <w:r w:rsidR="003C004F">
        <w:rPr>
          <w:rStyle w:val="normaltextrun"/>
        </w:rPr>
        <w:t>, and to help apprentices with the cost of living while undertaking their apprenticeship.</w:t>
      </w:r>
      <w:r w:rsidR="004F4EF5">
        <w:rPr>
          <w:rStyle w:val="normaltextrun"/>
        </w:rPr>
        <w:t xml:space="preserve"> </w:t>
      </w:r>
      <w:r w:rsidR="00E4683D">
        <w:rPr>
          <w:rStyle w:val="normaltextrun"/>
        </w:rPr>
        <w:br w:type="page"/>
      </w:r>
    </w:p>
    <w:p w14:paraId="4054EBDE" w14:textId="75AFFF54" w:rsidR="00632CC1" w:rsidRPr="00016C83" w:rsidRDefault="00632CC1" w:rsidP="00016C83">
      <w:pPr>
        <w:pStyle w:val="Heading1"/>
        <w:rPr>
          <w:rStyle w:val="normaltextrun"/>
        </w:rPr>
      </w:pPr>
      <w:bookmarkStart w:id="14" w:name="_Toc159246216"/>
      <w:r w:rsidRPr="00016C83">
        <w:rPr>
          <w:rStyle w:val="normaltextrun"/>
        </w:rPr>
        <w:lastRenderedPageBreak/>
        <w:t xml:space="preserve">Question 2: Objectives of Government </w:t>
      </w:r>
      <w:r w:rsidR="00CF76AF" w:rsidRPr="00016C83">
        <w:rPr>
          <w:rStyle w:val="normaltextrun"/>
        </w:rPr>
        <w:t>a</w:t>
      </w:r>
      <w:r w:rsidRPr="00016C83">
        <w:rPr>
          <w:rStyle w:val="normaltextrun"/>
        </w:rPr>
        <w:t>ction </w:t>
      </w:r>
      <w:bookmarkEnd w:id="14"/>
      <w:r w:rsidRPr="00016C83">
        <w:rPr>
          <w:rStyle w:val="normaltextrun"/>
        </w:rPr>
        <w:t> </w:t>
      </w:r>
    </w:p>
    <w:p w14:paraId="3C3B6FD3" w14:textId="7DE327A1" w:rsidR="000A6480" w:rsidRDefault="00632CC1" w:rsidP="0058510D">
      <w:pPr>
        <w:rPr>
          <w:rStyle w:val="normaltextrun"/>
          <w:rFonts w:eastAsiaTheme="minorEastAsia" w:cstheme="minorHAnsi"/>
        </w:rPr>
      </w:pPr>
      <w:r w:rsidRPr="00344C59">
        <w:rPr>
          <w:rStyle w:val="normaltextrun"/>
          <w:rFonts w:eastAsiaTheme="minorEastAsia" w:cstheme="minorHAnsi"/>
        </w:rPr>
        <w:t>The Australian Government needs to take leadership in using government investment in major projects to help build a pipeline of skilled workers</w:t>
      </w:r>
      <w:r w:rsidR="00FB1A8A">
        <w:rPr>
          <w:rStyle w:val="normaltextrun"/>
          <w:rFonts w:eastAsiaTheme="minorEastAsia" w:cstheme="minorHAnsi"/>
        </w:rPr>
        <w:t xml:space="preserve"> </w:t>
      </w:r>
      <w:r w:rsidR="0036013B">
        <w:rPr>
          <w:rStyle w:val="normaltextrun"/>
          <w:rFonts w:eastAsiaTheme="minorEastAsia" w:cstheme="minorHAnsi"/>
        </w:rPr>
        <w:t>and driv</w:t>
      </w:r>
      <w:r w:rsidR="00FB360A">
        <w:rPr>
          <w:rStyle w:val="normaltextrun"/>
          <w:rFonts w:eastAsiaTheme="minorEastAsia" w:cstheme="minorHAnsi"/>
        </w:rPr>
        <w:t>e</w:t>
      </w:r>
      <w:r w:rsidR="0036013B">
        <w:rPr>
          <w:rStyle w:val="normaltextrun"/>
          <w:rFonts w:eastAsiaTheme="minorEastAsia" w:cstheme="minorHAnsi"/>
        </w:rPr>
        <w:t xml:space="preserve"> future economic growth</w:t>
      </w:r>
      <w:r w:rsidR="002E2B17">
        <w:rPr>
          <w:rStyle w:val="normaltextrun"/>
          <w:rFonts w:eastAsiaTheme="minorEastAsia" w:cstheme="minorHAnsi"/>
        </w:rPr>
        <w:t>.</w:t>
      </w:r>
      <w:r w:rsidRPr="00344C59">
        <w:rPr>
          <w:rStyle w:val="normaltextrun"/>
          <w:rFonts w:eastAsiaTheme="minorEastAsia" w:cstheme="minorHAnsi"/>
        </w:rPr>
        <w:t xml:space="preserve"> </w:t>
      </w:r>
    </w:p>
    <w:p w14:paraId="14E98CDA" w14:textId="21114A09" w:rsidR="00632CC1" w:rsidRDefault="000A6480" w:rsidP="47EEB551">
      <w:pPr>
        <w:rPr>
          <w:rStyle w:val="normaltextrun"/>
          <w:rFonts w:eastAsiaTheme="minorEastAsia"/>
        </w:rPr>
      </w:pPr>
      <w:r w:rsidRPr="47EEB551">
        <w:rPr>
          <w:rStyle w:val="eop"/>
        </w:rPr>
        <w:t xml:space="preserve">As </w:t>
      </w:r>
      <w:r w:rsidR="00BE2A7A" w:rsidRPr="47EEB551">
        <w:rPr>
          <w:rStyle w:val="eop"/>
        </w:rPr>
        <w:t>discussed</w:t>
      </w:r>
      <w:r w:rsidR="00A56FD2" w:rsidRPr="47EEB551">
        <w:rPr>
          <w:rStyle w:val="eop"/>
        </w:rPr>
        <w:t xml:space="preserve"> in </w:t>
      </w:r>
      <w:r w:rsidR="00A56FD2" w:rsidRPr="47EEB551">
        <w:rPr>
          <w:rStyle w:val="eop"/>
          <w:b/>
          <w:bCs/>
        </w:rPr>
        <w:t>Question 1</w:t>
      </w:r>
      <w:r w:rsidR="00A56FD2" w:rsidRPr="47EEB551">
        <w:rPr>
          <w:rStyle w:val="eop"/>
        </w:rPr>
        <w:t>,</w:t>
      </w:r>
      <w:r w:rsidRPr="47EEB551">
        <w:rPr>
          <w:rStyle w:val="eop"/>
        </w:rPr>
        <w:t xml:space="preserve"> states</w:t>
      </w:r>
      <w:r w:rsidR="00A56FD2" w:rsidRPr="47EEB551">
        <w:rPr>
          <w:rStyle w:val="eop"/>
        </w:rPr>
        <w:t xml:space="preserve"> and territories</w:t>
      </w:r>
      <w:r w:rsidRPr="47EEB551">
        <w:rPr>
          <w:rStyle w:val="eop"/>
        </w:rPr>
        <w:t xml:space="preserve"> have implemented policies</w:t>
      </w:r>
      <w:r w:rsidR="00E721D2" w:rsidRPr="47EEB551">
        <w:rPr>
          <w:rStyle w:val="eop"/>
        </w:rPr>
        <w:t xml:space="preserve"> </w:t>
      </w:r>
      <w:r w:rsidR="003A32B7" w:rsidRPr="47EEB551">
        <w:rPr>
          <w:rStyle w:val="eop"/>
        </w:rPr>
        <w:t xml:space="preserve">to </w:t>
      </w:r>
      <w:r w:rsidR="007F3A6D" w:rsidRPr="47EEB551">
        <w:rPr>
          <w:rStyle w:val="eop"/>
        </w:rPr>
        <w:t>address the problem and</w:t>
      </w:r>
      <w:r w:rsidR="003A32B7" w:rsidRPr="47EEB551">
        <w:rPr>
          <w:rStyle w:val="eop"/>
        </w:rPr>
        <w:t xml:space="preserve"> sub-problem and</w:t>
      </w:r>
      <w:r w:rsidR="007F3A6D" w:rsidRPr="47EEB551">
        <w:rPr>
          <w:rStyle w:val="eop"/>
        </w:rPr>
        <w:t xml:space="preserve"> have had s</w:t>
      </w:r>
      <w:r w:rsidR="00E721D2" w:rsidRPr="47EEB551">
        <w:rPr>
          <w:rStyle w:val="eop"/>
        </w:rPr>
        <w:t>uccess; however, the</w:t>
      </w:r>
      <w:r w:rsidR="00E808A8" w:rsidRPr="47EEB551">
        <w:rPr>
          <w:rStyle w:val="eop"/>
        </w:rPr>
        <w:t>se policies</w:t>
      </w:r>
      <w:r w:rsidR="00E721D2" w:rsidRPr="47EEB551">
        <w:rPr>
          <w:rStyle w:val="eop"/>
        </w:rPr>
        <w:t xml:space="preserve"> </w:t>
      </w:r>
      <w:r w:rsidR="00280EC3" w:rsidRPr="47EEB551">
        <w:rPr>
          <w:rStyle w:val="eop"/>
        </w:rPr>
        <w:t xml:space="preserve">do not </w:t>
      </w:r>
      <w:r w:rsidR="00DE37AA" w:rsidRPr="47EEB551">
        <w:rPr>
          <w:rStyle w:val="eop"/>
        </w:rPr>
        <w:t>assist</w:t>
      </w:r>
      <w:r w:rsidR="00280EC3" w:rsidRPr="47EEB551">
        <w:rPr>
          <w:rStyle w:val="eop"/>
        </w:rPr>
        <w:t xml:space="preserve"> </w:t>
      </w:r>
      <w:r w:rsidR="00DE37AA" w:rsidRPr="47EEB551">
        <w:rPr>
          <w:rStyle w:val="eop"/>
        </w:rPr>
        <w:t xml:space="preserve">a broader range of </w:t>
      </w:r>
      <w:r w:rsidR="0069719E" w:rsidRPr="47EEB551">
        <w:rPr>
          <w:rStyle w:val="eop"/>
        </w:rPr>
        <w:t xml:space="preserve">all </w:t>
      </w:r>
      <w:r w:rsidR="00705421" w:rsidRPr="47EEB551">
        <w:rPr>
          <w:rStyle w:val="eop"/>
        </w:rPr>
        <w:t>major</w:t>
      </w:r>
      <w:r w:rsidR="0069719E" w:rsidRPr="47EEB551">
        <w:rPr>
          <w:rStyle w:val="eop"/>
        </w:rPr>
        <w:t xml:space="preserve"> </w:t>
      </w:r>
      <w:r w:rsidR="007E6DAF" w:rsidRPr="47EEB551">
        <w:rPr>
          <w:rStyle w:val="eop"/>
        </w:rPr>
        <w:t xml:space="preserve">construction and </w:t>
      </w:r>
      <w:r w:rsidR="00752241" w:rsidRPr="47EEB551">
        <w:rPr>
          <w:rStyle w:val="eop"/>
        </w:rPr>
        <w:t xml:space="preserve">ICT </w:t>
      </w:r>
      <w:r w:rsidR="00633A7B" w:rsidRPr="47EEB551">
        <w:rPr>
          <w:rStyle w:val="eop"/>
        </w:rPr>
        <w:t xml:space="preserve">projects undertaken by </w:t>
      </w:r>
      <w:r w:rsidR="00705421" w:rsidRPr="47EEB551">
        <w:rPr>
          <w:rStyle w:val="eop"/>
        </w:rPr>
        <w:t>the Australian G</w:t>
      </w:r>
      <w:r w:rsidR="00633A7B" w:rsidRPr="47EEB551">
        <w:rPr>
          <w:rStyle w:val="eop"/>
        </w:rPr>
        <w:t>overnment</w:t>
      </w:r>
      <w:r w:rsidR="00752241" w:rsidRPr="47EEB551">
        <w:rPr>
          <w:rStyle w:val="eop"/>
        </w:rPr>
        <w:t xml:space="preserve">. </w:t>
      </w:r>
      <w:r w:rsidR="0084607B" w:rsidRPr="47EEB551">
        <w:rPr>
          <w:rStyle w:val="eop"/>
        </w:rPr>
        <w:t xml:space="preserve">As </w:t>
      </w:r>
      <w:r w:rsidR="00001CA9" w:rsidRPr="47EEB551">
        <w:rPr>
          <w:rStyle w:val="eop"/>
        </w:rPr>
        <w:t xml:space="preserve">noted, skills shortages and gender segregation in the construction and ICT industries are </w:t>
      </w:r>
      <w:r w:rsidR="00942560" w:rsidRPr="47EEB551">
        <w:rPr>
          <w:rStyle w:val="eop"/>
        </w:rPr>
        <w:t>long-term</w:t>
      </w:r>
      <w:r w:rsidR="00001CA9" w:rsidRPr="47EEB551">
        <w:rPr>
          <w:rStyle w:val="eop"/>
        </w:rPr>
        <w:t xml:space="preserve"> problems</w:t>
      </w:r>
      <w:r w:rsidR="00883E6C" w:rsidRPr="47EEB551">
        <w:rPr>
          <w:rStyle w:val="eop"/>
        </w:rPr>
        <w:t xml:space="preserve">, </w:t>
      </w:r>
      <w:r w:rsidR="00001CA9" w:rsidRPr="47EEB551">
        <w:rPr>
          <w:rStyle w:val="eop"/>
        </w:rPr>
        <w:t xml:space="preserve">which </w:t>
      </w:r>
      <w:r w:rsidR="001C1CAD" w:rsidRPr="47EEB551">
        <w:rPr>
          <w:rStyle w:val="eop"/>
        </w:rPr>
        <w:t xml:space="preserve">will </w:t>
      </w:r>
      <w:r w:rsidR="00001CA9" w:rsidRPr="47EEB551">
        <w:rPr>
          <w:rStyle w:val="eop"/>
        </w:rPr>
        <w:t>require a multifaceted approach to</w:t>
      </w:r>
      <w:r w:rsidR="002A56B5" w:rsidRPr="47EEB551">
        <w:rPr>
          <w:rStyle w:val="eop"/>
        </w:rPr>
        <w:t xml:space="preserve"> address</w:t>
      </w:r>
      <w:r w:rsidR="00942560" w:rsidRPr="47EEB551">
        <w:rPr>
          <w:rStyle w:val="eop"/>
        </w:rPr>
        <w:t xml:space="preserve"> – </w:t>
      </w:r>
      <w:r w:rsidR="00D661FA" w:rsidRPr="47EEB551">
        <w:rPr>
          <w:rStyle w:val="eop"/>
        </w:rPr>
        <w:t>including</w:t>
      </w:r>
      <w:r w:rsidR="002A56B5" w:rsidRPr="47EEB551">
        <w:rPr>
          <w:rStyle w:val="eop"/>
        </w:rPr>
        <w:t xml:space="preserve"> </w:t>
      </w:r>
      <w:r w:rsidR="00773A90" w:rsidRPr="47EEB551">
        <w:rPr>
          <w:rStyle w:val="eop"/>
        </w:rPr>
        <w:t>through intervention by t</w:t>
      </w:r>
      <w:r w:rsidR="002A56B5" w:rsidRPr="47EEB551">
        <w:rPr>
          <w:rStyle w:val="eop"/>
        </w:rPr>
        <w:t>he Australian Government</w:t>
      </w:r>
      <w:r w:rsidR="003E07AE" w:rsidRPr="47EEB551">
        <w:rPr>
          <w:rStyle w:val="eop"/>
        </w:rPr>
        <w:t xml:space="preserve">. </w:t>
      </w:r>
      <w:r w:rsidR="007E6C5A" w:rsidRPr="47EEB551">
        <w:rPr>
          <w:rStyle w:val="eop"/>
        </w:rPr>
        <w:t>Without Australian Government action, the department</w:t>
      </w:r>
      <w:r w:rsidR="005428F1" w:rsidRPr="47EEB551">
        <w:rPr>
          <w:rStyle w:val="eop"/>
        </w:rPr>
        <w:t xml:space="preserve"> expects skills shortages </w:t>
      </w:r>
      <w:r w:rsidR="001011F8" w:rsidRPr="47EEB551">
        <w:rPr>
          <w:rStyle w:val="eop"/>
        </w:rPr>
        <w:t>to remain an issue</w:t>
      </w:r>
      <w:r w:rsidR="0056185F" w:rsidRPr="47EEB551">
        <w:rPr>
          <w:rStyle w:val="eop"/>
        </w:rPr>
        <w:t xml:space="preserve">. </w:t>
      </w:r>
      <w:r w:rsidR="0044226C" w:rsidRPr="47EEB551">
        <w:rPr>
          <w:rStyle w:val="normaltextrun"/>
          <w:rFonts w:eastAsiaTheme="minorEastAsia"/>
        </w:rPr>
        <w:t>Despite state and territory targets, g</w:t>
      </w:r>
      <w:r w:rsidR="00632CC1" w:rsidRPr="47EEB551">
        <w:rPr>
          <w:rStyle w:val="normaltextrun"/>
          <w:rFonts w:eastAsiaTheme="minorEastAsia"/>
        </w:rPr>
        <w:t xml:space="preserve">ender segregation </w:t>
      </w:r>
      <w:r w:rsidR="00CA61B9" w:rsidRPr="47EEB551">
        <w:rPr>
          <w:rStyle w:val="normaltextrun"/>
          <w:rFonts w:eastAsiaTheme="minorEastAsia"/>
        </w:rPr>
        <w:t xml:space="preserve">also </w:t>
      </w:r>
      <w:r w:rsidR="00632CC1" w:rsidRPr="47EEB551">
        <w:rPr>
          <w:rStyle w:val="normaltextrun"/>
          <w:rFonts w:eastAsiaTheme="minorEastAsia"/>
        </w:rPr>
        <w:t xml:space="preserve">continues to remain high, particularly in the construction industry. </w:t>
      </w:r>
      <w:r w:rsidR="00955BA1" w:rsidRPr="47EEB551">
        <w:rPr>
          <w:rStyle w:val="normaltextrun"/>
          <w:rFonts w:eastAsiaTheme="minorEastAsia"/>
        </w:rPr>
        <w:t xml:space="preserve">This is why </w:t>
      </w:r>
      <w:r w:rsidR="009E0264" w:rsidRPr="47EEB551">
        <w:rPr>
          <w:rStyle w:val="normaltextrun"/>
          <w:rFonts w:eastAsiaTheme="minorEastAsia"/>
        </w:rPr>
        <w:t>action</w:t>
      </w:r>
      <w:r w:rsidR="002162BB" w:rsidRPr="47EEB551">
        <w:rPr>
          <w:rStyle w:val="normaltextrun"/>
          <w:rFonts w:eastAsiaTheme="minorEastAsia"/>
        </w:rPr>
        <w:t xml:space="preserve"> from the Australian Government</w:t>
      </w:r>
      <w:r w:rsidR="009E0264" w:rsidRPr="47EEB551">
        <w:rPr>
          <w:rStyle w:val="normaltextrun"/>
          <w:rFonts w:eastAsiaTheme="minorEastAsia"/>
        </w:rPr>
        <w:t xml:space="preserve"> is crucial. </w:t>
      </w:r>
      <w:r w:rsidR="00247BD8" w:rsidRPr="47EEB551">
        <w:rPr>
          <w:rStyle w:val="normaltextrun"/>
          <w:rFonts w:eastAsiaTheme="minorEastAsia"/>
        </w:rPr>
        <w:t>Building on</w:t>
      </w:r>
      <w:r w:rsidR="00421EE9" w:rsidRPr="47EEB551">
        <w:rPr>
          <w:rStyle w:val="normaltextrun"/>
          <w:rFonts w:eastAsiaTheme="minorEastAsia"/>
        </w:rPr>
        <w:t xml:space="preserve"> state and territory targets, the </w:t>
      </w:r>
      <w:r w:rsidR="003A5460" w:rsidRPr="47EEB551">
        <w:rPr>
          <w:rStyle w:val="normaltextrun"/>
          <w:rFonts w:eastAsiaTheme="minorEastAsia"/>
        </w:rPr>
        <w:t>Australian Government</w:t>
      </w:r>
      <w:r w:rsidR="00421EE9" w:rsidRPr="47EEB551">
        <w:rPr>
          <w:rStyle w:val="normaltextrun"/>
          <w:rFonts w:eastAsiaTheme="minorEastAsia"/>
        </w:rPr>
        <w:t xml:space="preserve"> can leverage its</w:t>
      </w:r>
      <w:r w:rsidR="009A4126" w:rsidRPr="47EEB551">
        <w:rPr>
          <w:rStyle w:val="normaltextrun"/>
          <w:rFonts w:eastAsiaTheme="minorEastAsia"/>
        </w:rPr>
        <w:t xml:space="preserve"> </w:t>
      </w:r>
      <w:r w:rsidR="001936D4" w:rsidRPr="47EEB551">
        <w:rPr>
          <w:rStyle w:val="normaltextrun"/>
          <w:rFonts w:eastAsiaTheme="minorEastAsia"/>
        </w:rPr>
        <w:t>significant purchasing power</w:t>
      </w:r>
      <w:r w:rsidR="003E0407" w:rsidRPr="47EEB551">
        <w:rPr>
          <w:rStyle w:val="normaltextrun"/>
          <w:rFonts w:eastAsiaTheme="minorEastAsia"/>
        </w:rPr>
        <w:t xml:space="preserve"> </w:t>
      </w:r>
      <w:r w:rsidR="00A1070E" w:rsidRPr="47EEB551">
        <w:rPr>
          <w:rStyle w:val="normaltextrun"/>
          <w:rFonts w:eastAsiaTheme="minorEastAsia"/>
        </w:rPr>
        <w:t xml:space="preserve">on its own major construction and ICT projects </w:t>
      </w:r>
      <w:r w:rsidR="003D3C1E" w:rsidRPr="47EEB551">
        <w:rPr>
          <w:rStyle w:val="normaltextrun"/>
          <w:rFonts w:eastAsiaTheme="minorEastAsia"/>
        </w:rPr>
        <w:t xml:space="preserve">to </w:t>
      </w:r>
      <w:r w:rsidR="00DA5B31" w:rsidRPr="47EEB551">
        <w:rPr>
          <w:rStyle w:val="normaltextrun"/>
          <w:rFonts w:eastAsiaTheme="minorEastAsia"/>
        </w:rPr>
        <w:t xml:space="preserve">increase the </w:t>
      </w:r>
      <w:r w:rsidR="00D81525" w:rsidRPr="47EEB551">
        <w:rPr>
          <w:rStyle w:val="normaltextrun"/>
          <w:rFonts w:eastAsiaTheme="minorEastAsia"/>
        </w:rPr>
        <w:t>number</w:t>
      </w:r>
      <w:r w:rsidR="00DA5B31" w:rsidRPr="47EEB551">
        <w:rPr>
          <w:rStyle w:val="normaltextrun"/>
          <w:rFonts w:eastAsiaTheme="minorEastAsia"/>
        </w:rPr>
        <w:t xml:space="preserve"> of </w:t>
      </w:r>
      <w:r w:rsidR="00632CC1" w:rsidRPr="47EEB551">
        <w:rPr>
          <w:rStyle w:val="normaltextrun"/>
          <w:rFonts w:eastAsiaTheme="minorEastAsia"/>
        </w:rPr>
        <w:t xml:space="preserve">apprentices, trainees and </w:t>
      </w:r>
      <w:r w:rsidR="00CB1297" w:rsidRPr="47EEB551">
        <w:rPr>
          <w:rStyle w:val="normaltextrun"/>
          <w:rFonts w:eastAsiaTheme="minorEastAsia"/>
        </w:rPr>
        <w:t xml:space="preserve">ICT </w:t>
      </w:r>
      <w:r w:rsidR="00632CC1" w:rsidRPr="47EEB551">
        <w:rPr>
          <w:rStyle w:val="normaltextrun"/>
          <w:rFonts w:eastAsiaTheme="minorEastAsia"/>
        </w:rPr>
        <w:t>cadets</w:t>
      </w:r>
      <w:r w:rsidR="00D81525" w:rsidRPr="47EEB551">
        <w:rPr>
          <w:rStyle w:val="normaltextrun"/>
          <w:rFonts w:eastAsiaTheme="minorEastAsia"/>
        </w:rPr>
        <w:t>, and women</w:t>
      </w:r>
      <w:r w:rsidR="000536B2" w:rsidRPr="47EEB551">
        <w:rPr>
          <w:rStyle w:val="normaltextrun"/>
          <w:rFonts w:eastAsiaTheme="minorEastAsia"/>
        </w:rPr>
        <w:t xml:space="preserve"> </w:t>
      </w:r>
      <w:r w:rsidR="00D0025E" w:rsidRPr="47EEB551">
        <w:rPr>
          <w:rStyle w:val="normaltextrun"/>
          <w:rFonts w:eastAsiaTheme="minorEastAsia"/>
        </w:rPr>
        <w:t xml:space="preserve">working </w:t>
      </w:r>
      <w:r w:rsidR="007F50A3" w:rsidRPr="47EEB551">
        <w:rPr>
          <w:rStyle w:val="normaltextrun"/>
          <w:rFonts w:eastAsiaTheme="minorEastAsia"/>
        </w:rPr>
        <w:t>in these industries</w:t>
      </w:r>
      <w:r w:rsidR="00632CC1" w:rsidRPr="47EEB551">
        <w:rPr>
          <w:rStyle w:val="normaltextrun"/>
          <w:rFonts w:eastAsiaTheme="minorEastAsia"/>
        </w:rPr>
        <w:t>.</w:t>
      </w:r>
    </w:p>
    <w:p w14:paraId="195D8366" w14:textId="77777777" w:rsidR="00632CC1" w:rsidRPr="00016C83" w:rsidRDefault="00632CC1" w:rsidP="007F1699">
      <w:pPr>
        <w:pStyle w:val="Heading2"/>
      </w:pPr>
      <w:bookmarkStart w:id="15" w:name="_Toc159246217"/>
      <w:r w:rsidRPr="00016C83">
        <w:rPr>
          <w:rStyle w:val="normaltextrun"/>
        </w:rPr>
        <w:t>The private sector cannot address skills shortage and reduce gender segregation alone</w:t>
      </w:r>
      <w:bookmarkEnd w:id="15"/>
      <w:r w:rsidRPr="00016C83">
        <w:rPr>
          <w:rStyle w:val="eop"/>
        </w:rPr>
        <w:t> </w:t>
      </w:r>
    </w:p>
    <w:p w14:paraId="296ECB6D" w14:textId="1EB6DFC9" w:rsidR="00867A47" w:rsidRDefault="00B84CE9" w:rsidP="0058510D">
      <w:pPr>
        <w:rPr>
          <w:rStyle w:val="normaltextrun"/>
        </w:rPr>
      </w:pPr>
      <w:r w:rsidRPr="00281F5E">
        <w:rPr>
          <w:rStyle w:val="normaltextrun"/>
        </w:rPr>
        <w:t xml:space="preserve">With critical labour and skills shortages constraining the </w:t>
      </w:r>
      <w:r w:rsidR="009151F8" w:rsidRPr="00281F5E">
        <w:rPr>
          <w:rStyle w:val="normaltextrun"/>
        </w:rPr>
        <w:t>Australia</w:t>
      </w:r>
      <w:r w:rsidRPr="00281F5E">
        <w:rPr>
          <w:rStyle w:val="normaltextrun"/>
        </w:rPr>
        <w:t>n economy</w:t>
      </w:r>
      <w:r w:rsidR="00D06C3D" w:rsidRPr="00281F5E">
        <w:rPr>
          <w:rStyle w:val="normaltextrun"/>
        </w:rPr>
        <w:t xml:space="preserve">, </w:t>
      </w:r>
      <w:r w:rsidR="00DC199C" w:rsidRPr="00281F5E">
        <w:rPr>
          <w:rStyle w:val="normaltextrun"/>
        </w:rPr>
        <w:t xml:space="preserve">businesses </w:t>
      </w:r>
      <w:r w:rsidR="00F07FA5" w:rsidRPr="00281F5E">
        <w:rPr>
          <w:rStyle w:val="normaltextrun"/>
        </w:rPr>
        <w:t xml:space="preserve">and industry are investing and implementing </w:t>
      </w:r>
      <w:r w:rsidR="005651AB" w:rsidRPr="00281F5E">
        <w:rPr>
          <w:rStyle w:val="normaltextrun"/>
        </w:rPr>
        <w:t xml:space="preserve">workforce </w:t>
      </w:r>
      <w:r w:rsidR="00F07FA5" w:rsidRPr="00281F5E">
        <w:rPr>
          <w:rStyle w:val="normaltextrun"/>
        </w:rPr>
        <w:t xml:space="preserve">strategies </w:t>
      </w:r>
      <w:r w:rsidR="00F95B98" w:rsidRPr="00281F5E">
        <w:rPr>
          <w:rStyle w:val="normaltextrun"/>
        </w:rPr>
        <w:t>to address skills shortages</w:t>
      </w:r>
      <w:r w:rsidR="00812581" w:rsidRPr="00281F5E">
        <w:rPr>
          <w:rStyle w:val="normaltextrun"/>
        </w:rPr>
        <w:t xml:space="preserve">, including </w:t>
      </w:r>
      <w:r w:rsidR="00D13DF6" w:rsidRPr="00281F5E">
        <w:rPr>
          <w:rStyle w:val="normaltextrun"/>
        </w:rPr>
        <w:t xml:space="preserve">internal </w:t>
      </w:r>
      <w:r w:rsidR="00281F5E" w:rsidRPr="00281F5E">
        <w:rPr>
          <w:rStyle w:val="normaltextrun"/>
        </w:rPr>
        <w:t>supplier</w:t>
      </w:r>
      <w:r w:rsidR="00D13DF6" w:rsidRPr="00281F5E">
        <w:rPr>
          <w:rStyle w:val="normaltextrun"/>
        </w:rPr>
        <w:t xml:space="preserve"> </w:t>
      </w:r>
      <w:r w:rsidR="00B21AA9" w:rsidRPr="00281F5E">
        <w:rPr>
          <w:rStyle w:val="normaltextrun"/>
        </w:rPr>
        <w:t>strategies</w:t>
      </w:r>
      <w:r w:rsidR="000E36AA" w:rsidRPr="00281F5E">
        <w:rPr>
          <w:rStyle w:val="normaltextrun"/>
        </w:rPr>
        <w:t>,</w:t>
      </w:r>
      <w:r w:rsidR="00B21AA9" w:rsidRPr="00281F5E">
        <w:rPr>
          <w:rStyle w:val="normaltextrun"/>
        </w:rPr>
        <w:t xml:space="preserve"> </w:t>
      </w:r>
      <w:r w:rsidR="001E6E26" w:rsidRPr="00281F5E">
        <w:rPr>
          <w:rStyle w:val="normaltextrun"/>
        </w:rPr>
        <w:t>target setting</w:t>
      </w:r>
      <w:r w:rsidR="00281F5E">
        <w:rPr>
          <w:rStyle w:val="normaltextrun"/>
        </w:rPr>
        <w:t>,</w:t>
      </w:r>
      <w:r w:rsidR="001E6E26" w:rsidRPr="00281F5E">
        <w:rPr>
          <w:rStyle w:val="normaltextrun"/>
        </w:rPr>
        <w:t xml:space="preserve"> </w:t>
      </w:r>
      <w:r w:rsidR="00382BC5">
        <w:rPr>
          <w:rStyle w:val="normaltextrun"/>
        </w:rPr>
        <w:t xml:space="preserve">attraction and retention </w:t>
      </w:r>
      <w:r w:rsidR="00D13DF6" w:rsidRPr="00281F5E">
        <w:rPr>
          <w:rStyle w:val="normaltextrun"/>
        </w:rPr>
        <w:t>policies</w:t>
      </w:r>
      <w:r w:rsidR="000E36AA" w:rsidRPr="00281F5E">
        <w:rPr>
          <w:rStyle w:val="normaltextrun"/>
        </w:rPr>
        <w:t xml:space="preserve"> and plans</w:t>
      </w:r>
      <w:r w:rsidR="00D13DF6" w:rsidRPr="00281F5E">
        <w:rPr>
          <w:rStyle w:val="normaltextrun"/>
        </w:rPr>
        <w:t xml:space="preserve"> </w:t>
      </w:r>
      <w:r w:rsidR="00382BC5">
        <w:rPr>
          <w:rStyle w:val="normaltextrun"/>
        </w:rPr>
        <w:t>for workforce gender equality</w:t>
      </w:r>
      <w:r w:rsidR="00382BC5" w:rsidRPr="00281F5E">
        <w:rPr>
          <w:rStyle w:val="normaltextrun"/>
        </w:rPr>
        <w:t xml:space="preserve"> </w:t>
      </w:r>
      <w:r w:rsidR="00382BC5">
        <w:rPr>
          <w:rStyle w:val="normaltextrun"/>
        </w:rPr>
        <w:t xml:space="preserve">and </w:t>
      </w:r>
      <w:r w:rsidR="00B21AA9" w:rsidRPr="00281F5E">
        <w:rPr>
          <w:rStyle w:val="normaltextrun"/>
        </w:rPr>
        <w:t>recruitment</w:t>
      </w:r>
      <w:r w:rsidR="007D3477" w:rsidRPr="00281F5E">
        <w:rPr>
          <w:rStyle w:val="normaltextrun"/>
        </w:rPr>
        <w:t xml:space="preserve"> practices</w:t>
      </w:r>
      <w:r w:rsidR="00F17EF9">
        <w:rPr>
          <w:rStyle w:val="normaltextrun"/>
        </w:rPr>
        <w:t>,</w:t>
      </w:r>
      <w:r w:rsidR="00835A51">
        <w:rPr>
          <w:rStyle w:val="normaltextrun"/>
        </w:rPr>
        <w:t xml:space="preserve"> </w:t>
      </w:r>
      <w:r w:rsidR="00382BC5">
        <w:rPr>
          <w:rStyle w:val="normaltextrun"/>
        </w:rPr>
        <w:t>implementing i</w:t>
      </w:r>
      <w:r w:rsidR="003B3C9F">
        <w:rPr>
          <w:rStyle w:val="normaltextrun"/>
        </w:rPr>
        <w:t xml:space="preserve">ndustry or internal supplier </w:t>
      </w:r>
      <w:r w:rsidR="00382BC5">
        <w:rPr>
          <w:rStyle w:val="normaltextrun"/>
        </w:rPr>
        <w:t>support mechanisms for employees, such as Mates in Construction</w:t>
      </w:r>
      <w:r w:rsidR="003B3C9F">
        <w:rPr>
          <w:rStyle w:val="normaltextrun"/>
        </w:rPr>
        <w:t xml:space="preserve"> </w:t>
      </w:r>
      <w:r w:rsidR="003B3C9F">
        <w:rPr>
          <w:rStyle w:val="FootnoteReference"/>
        </w:rPr>
        <w:footnoteReference w:id="52"/>
      </w:r>
      <w:r w:rsidR="003B3C9F">
        <w:rPr>
          <w:rStyle w:val="normaltextrun"/>
        </w:rPr>
        <w:t>or Build Like a Girl Australia</w:t>
      </w:r>
      <w:r w:rsidR="003B3C9F">
        <w:rPr>
          <w:rStyle w:val="FootnoteReference"/>
        </w:rPr>
        <w:footnoteReference w:id="53"/>
      </w:r>
      <w:r w:rsidR="00382BC5">
        <w:rPr>
          <w:rStyle w:val="normaltextrun"/>
        </w:rPr>
        <w:t>, and</w:t>
      </w:r>
      <w:r w:rsidR="00281F5E">
        <w:rPr>
          <w:rStyle w:val="normaltextrun"/>
        </w:rPr>
        <w:t xml:space="preserve"> </w:t>
      </w:r>
      <w:r w:rsidR="00B21AA9" w:rsidRPr="00281F5E">
        <w:rPr>
          <w:rStyle w:val="normaltextrun"/>
        </w:rPr>
        <w:t>training</w:t>
      </w:r>
      <w:r w:rsidR="00E21A77" w:rsidRPr="00281F5E">
        <w:rPr>
          <w:rStyle w:val="normaltextrun"/>
        </w:rPr>
        <w:t xml:space="preserve"> programs</w:t>
      </w:r>
      <w:r w:rsidR="00835A51" w:rsidRPr="00281F5E">
        <w:rPr>
          <w:rStyle w:val="normaltextrun"/>
        </w:rPr>
        <w:t xml:space="preserve">. </w:t>
      </w:r>
      <w:r w:rsidR="008A342C">
        <w:rPr>
          <w:rStyle w:val="normaltextrun"/>
        </w:rPr>
        <w:t xml:space="preserve">Industry Peak bodies, such as the Tech Council of Australia (TCA) are establishing industry forums to bring together employers and educators to discuss approaches to solve problems </w:t>
      </w:r>
      <w:r w:rsidR="00705421">
        <w:rPr>
          <w:rStyle w:val="normaltextrun"/>
        </w:rPr>
        <w:t xml:space="preserve">including </w:t>
      </w:r>
      <w:r w:rsidR="008A342C">
        <w:rPr>
          <w:rStyle w:val="normaltextrun"/>
        </w:rPr>
        <w:t>attract</w:t>
      </w:r>
      <w:r w:rsidR="00705421">
        <w:rPr>
          <w:rStyle w:val="normaltextrun"/>
        </w:rPr>
        <w:t>ing</w:t>
      </w:r>
      <w:r w:rsidR="008A342C">
        <w:rPr>
          <w:rStyle w:val="normaltextrun"/>
        </w:rPr>
        <w:t xml:space="preserve"> and train</w:t>
      </w:r>
      <w:r w:rsidR="00705421">
        <w:rPr>
          <w:rStyle w:val="normaltextrun"/>
        </w:rPr>
        <w:t>ing</w:t>
      </w:r>
      <w:r w:rsidR="008A342C">
        <w:rPr>
          <w:rStyle w:val="normaltextrun"/>
        </w:rPr>
        <w:t xml:space="preserve"> potential employees.</w:t>
      </w:r>
      <w:r w:rsidR="008A342C">
        <w:rPr>
          <w:rStyle w:val="FootnoteReference"/>
        </w:rPr>
        <w:footnoteReference w:id="54"/>
      </w:r>
      <w:r w:rsidR="008A342C">
        <w:rPr>
          <w:rStyle w:val="normaltextrun"/>
        </w:rPr>
        <w:t xml:space="preserve"> </w:t>
      </w:r>
    </w:p>
    <w:p w14:paraId="2EC3EA1D" w14:textId="5E94B8EB" w:rsidR="00E015B2" w:rsidRDefault="00835A51" w:rsidP="0058510D">
      <w:pPr>
        <w:rPr>
          <w:rStyle w:val="normaltextrun"/>
        </w:rPr>
      </w:pPr>
      <w:r w:rsidRPr="47EEB551">
        <w:rPr>
          <w:rStyle w:val="normaltextrun"/>
        </w:rPr>
        <w:t>A</w:t>
      </w:r>
      <w:r w:rsidR="00DE2D2D" w:rsidRPr="47EEB551">
        <w:rPr>
          <w:rStyle w:val="normaltextrun"/>
        </w:rPr>
        <w:t xml:space="preserve"> WGEA case study </w:t>
      </w:r>
      <w:r w:rsidR="001A1D4A" w:rsidRPr="47EEB551">
        <w:rPr>
          <w:rStyle w:val="normaltextrun"/>
        </w:rPr>
        <w:t>shows an example of</w:t>
      </w:r>
      <w:r w:rsidR="0048104B" w:rsidRPr="47EEB551">
        <w:rPr>
          <w:rStyle w:val="normaltextrun"/>
        </w:rPr>
        <w:t xml:space="preserve"> a company</w:t>
      </w:r>
      <w:r w:rsidR="00E50FAD" w:rsidRPr="47EEB551">
        <w:rPr>
          <w:rStyle w:val="normaltextrun"/>
        </w:rPr>
        <w:t xml:space="preserve"> </w:t>
      </w:r>
      <w:r w:rsidR="001E6E26" w:rsidRPr="47EEB551">
        <w:rPr>
          <w:rStyle w:val="normaltextrun"/>
        </w:rPr>
        <w:t xml:space="preserve">setting targets for </w:t>
      </w:r>
      <w:r w:rsidR="006D3C5B" w:rsidRPr="47EEB551">
        <w:rPr>
          <w:rStyle w:val="normaltextrun"/>
        </w:rPr>
        <w:t>female representation</w:t>
      </w:r>
      <w:r w:rsidR="00283970" w:rsidRPr="47EEB551">
        <w:rPr>
          <w:rStyle w:val="normaltextrun"/>
        </w:rPr>
        <w:t xml:space="preserve">, </w:t>
      </w:r>
      <w:r w:rsidR="006D3C5B" w:rsidRPr="47EEB551">
        <w:rPr>
          <w:rStyle w:val="normaltextrun"/>
        </w:rPr>
        <w:t xml:space="preserve">reviewing </w:t>
      </w:r>
      <w:r w:rsidR="00B50418" w:rsidRPr="47EEB551">
        <w:rPr>
          <w:rStyle w:val="normaltextrun"/>
        </w:rPr>
        <w:t>language and decision-making processes</w:t>
      </w:r>
      <w:r w:rsidR="00283970" w:rsidRPr="47EEB551">
        <w:rPr>
          <w:rStyle w:val="normaltextrun"/>
        </w:rPr>
        <w:t>, and reviewing its policies to ensure they are gender neutral and explicitly inclusive</w:t>
      </w:r>
      <w:r w:rsidR="00B50418" w:rsidRPr="47EEB551">
        <w:rPr>
          <w:rStyle w:val="normaltextrun"/>
        </w:rPr>
        <w:t>.</w:t>
      </w:r>
      <w:r w:rsidR="008B0376" w:rsidRPr="00281F5E">
        <w:rPr>
          <w:rStyle w:val="FootnoteReference"/>
        </w:rPr>
        <w:footnoteReference w:id="55"/>
      </w:r>
      <w:r w:rsidR="00B50418" w:rsidRPr="47EEB551">
        <w:rPr>
          <w:rStyle w:val="normaltextrun"/>
        </w:rPr>
        <w:t xml:space="preserve"> </w:t>
      </w:r>
      <w:r w:rsidR="00A57B95" w:rsidRPr="47EEB551">
        <w:rPr>
          <w:rStyle w:val="normaltextrun"/>
        </w:rPr>
        <w:t xml:space="preserve">Another </w:t>
      </w:r>
      <w:r w:rsidR="008B0376" w:rsidRPr="47EEB551">
        <w:rPr>
          <w:rStyle w:val="normaltextrun"/>
        </w:rPr>
        <w:t xml:space="preserve">WGEA case study </w:t>
      </w:r>
      <w:r w:rsidR="00A57B95" w:rsidRPr="47EEB551">
        <w:rPr>
          <w:rStyle w:val="normaltextrun"/>
        </w:rPr>
        <w:t>shows</w:t>
      </w:r>
      <w:r w:rsidR="001B56A5" w:rsidRPr="47EEB551">
        <w:rPr>
          <w:rStyle w:val="normaltextrun"/>
        </w:rPr>
        <w:t xml:space="preserve"> an ICT company implementing a</w:t>
      </w:r>
      <w:r w:rsidR="00A57B95" w:rsidRPr="47EEB551">
        <w:rPr>
          <w:rStyle w:val="normaltextrun"/>
        </w:rPr>
        <w:t xml:space="preserve"> training </w:t>
      </w:r>
      <w:r w:rsidR="001B56A5" w:rsidRPr="47EEB551">
        <w:rPr>
          <w:rStyle w:val="normaltextrun"/>
        </w:rPr>
        <w:t xml:space="preserve">program targeted at </w:t>
      </w:r>
      <w:r w:rsidR="0069590B" w:rsidRPr="47EEB551">
        <w:rPr>
          <w:rStyle w:val="normaltextrun"/>
        </w:rPr>
        <w:t xml:space="preserve">women which involved a </w:t>
      </w:r>
      <w:r w:rsidR="005330BE" w:rsidRPr="47EEB551">
        <w:rPr>
          <w:rStyle w:val="normaltextrun"/>
        </w:rPr>
        <w:t>16-week paid, part-time program including classroom-style basic coding for 8 weeks and working one-on-one with a ‘dev’ team member for 8 weeks.</w:t>
      </w:r>
      <w:r w:rsidR="00CB336C" w:rsidRPr="00281F5E">
        <w:rPr>
          <w:rStyle w:val="FootnoteReference"/>
        </w:rPr>
        <w:footnoteReference w:id="56"/>
      </w:r>
      <w:r w:rsidR="005330BE" w:rsidRPr="47EEB551">
        <w:rPr>
          <w:rStyle w:val="normaltextrun"/>
        </w:rPr>
        <w:t xml:space="preserve"> </w:t>
      </w:r>
      <w:r w:rsidR="00F95B98" w:rsidRPr="00281F5E">
        <w:rPr>
          <w:rStyle w:val="normaltextrun"/>
        </w:rPr>
        <w:t>However</w:t>
      </w:r>
      <w:r w:rsidR="00F95B98" w:rsidRPr="009319C0">
        <w:rPr>
          <w:rStyle w:val="normaltextrun"/>
        </w:rPr>
        <w:t xml:space="preserve">, </w:t>
      </w:r>
      <w:r w:rsidR="00DF455E" w:rsidRPr="47EEB551">
        <w:rPr>
          <w:rStyle w:val="normaltextrun"/>
        </w:rPr>
        <w:t>these</w:t>
      </w:r>
      <w:r w:rsidR="004F2997" w:rsidRPr="47EEB551">
        <w:rPr>
          <w:rStyle w:val="normaltextrun"/>
        </w:rPr>
        <w:t xml:space="preserve"> types of policies </w:t>
      </w:r>
      <w:r w:rsidR="00B56AFB" w:rsidRPr="47EEB551">
        <w:rPr>
          <w:rStyle w:val="normaltextrun"/>
        </w:rPr>
        <w:t xml:space="preserve">are being implemented by individual </w:t>
      </w:r>
      <w:r w:rsidR="00281F5E" w:rsidRPr="47EEB551">
        <w:rPr>
          <w:rStyle w:val="normaltextrun"/>
        </w:rPr>
        <w:t>suppliers</w:t>
      </w:r>
      <w:r w:rsidR="00543221" w:rsidRPr="47EEB551">
        <w:rPr>
          <w:rStyle w:val="normaltextrun"/>
        </w:rPr>
        <w:t xml:space="preserve">, meaning </w:t>
      </w:r>
      <w:r w:rsidR="001F2359" w:rsidRPr="47EEB551">
        <w:rPr>
          <w:rStyle w:val="normaltextrun"/>
        </w:rPr>
        <w:t xml:space="preserve">they are not coordinated </w:t>
      </w:r>
      <w:r w:rsidR="00B439CF" w:rsidRPr="47EEB551">
        <w:rPr>
          <w:rStyle w:val="normaltextrun"/>
        </w:rPr>
        <w:t>or</w:t>
      </w:r>
      <w:r w:rsidR="001F2359" w:rsidRPr="47EEB551">
        <w:rPr>
          <w:rStyle w:val="normaltextrun"/>
        </w:rPr>
        <w:t xml:space="preserve"> consistent</w:t>
      </w:r>
      <w:r w:rsidR="00281F5E" w:rsidRPr="47EEB551">
        <w:rPr>
          <w:rStyle w:val="normaltextrun"/>
        </w:rPr>
        <w:t>ly applied across suppliers to</w:t>
      </w:r>
      <w:r w:rsidR="001F2359" w:rsidRPr="47EEB551">
        <w:rPr>
          <w:rStyle w:val="normaltextrun"/>
        </w:rPr>
        <w:t xml:space="preserve"> </w:t>
      </w:r>
      <w:r w:rsidR="00543221" w:rsidRPr="47EEB551">
        <w:rPr>
          <w:rStyle w:val="normaltextrun"/>
        </w:rPr>
        <w:t>have the wide-</w:t>
      </w:r>
      <w:r w:rsidR="00543221" w:rsidRPr="47EEB551">
        <w:rPr>
          <w:rStyle w:val="normaltextrun"/>
        </w:rPr>
        <w:lastRenderedPageBreak/>
        <w:t xml:space="preserve">reaching impact </w:t>
      </w:r>
      <w:r w:rsidR="006F146C" w:rsidRPr="47EEB551">
        <w:rPr>
          <w:rStyle w:val="normaltextrun"/>
        </w:rPr>
        <w:t>at the industry level</w:t>
      </w:r>
      <w:r w:rsidR="00F92756" w:rsidRPr="47EEB551">
        <w:rPr>
          <w:rStyle w:val="normaltextrun"/>
        </w:rPr>
        <w:t>. T</w:t>
      </w:r>
      <w:r w:rsidR="00F0571B" w:rsidRPr="009319C0">
        <w:rPr>
          <w:rStyle w:val="normaltextrun"/>
        </w:rPr>
        <w:t xml:space="preserve">he </w:t>
      </w:r>
      <w:r w:rsidR="00F92756" w:rsidRPr="47EEB551">
        <w:rPr>
          <w:rStyle w:val="normaltextrun"/>
        </w:rPr>
        <w:t xml:space="preserve">Australian </w:t>
      </w:r>
      <w:r w:rsidR="00F0571B" w:rsidRPr="009319C0">
        <w:rPr>
          <w:rStyle w:val="normaltextrun"/>
        </w:rPr>
        <w:t>G</w:t>
      </w:r>
      <w:r w:rsidR="005D6637" w:rsidRPr="009319C0">
        <w:rPr>
          <w:rStyle w:val="normaltextrun"/>
        </w:rPr>
        <w:t xml:space="preserve">overnment can play a proactive role </w:t>
      </w:r>
      <w:r w:rsidR="00A4165E" w:rsidRPr="009319C0">
        <w:rPr>
          <w:rStyle w:val="normaltextrun"/>
        </w:rPr>
        <w:t>by</w:t>
      </w:r>
      <w:r w:rsidR="009E28B6" w:rsidRPr="009319C0">
        <w:rPr>
          <w:rStyle w:val="normaltextrun"/>
        </w:rPr>
        <w:t xml:space="preserve"> </w:t>
      </w:r>
      <w:r w:rsidR="00A64B15" w:rsidRPr="009319C0">
        <w:rPr>
          <w:rStyle w:val="normaltextrun"/>
        </w:rPr>
        <w:t xml:space="preserve">helping </w:t>
      </w:r>
      <w:r w:rsidR="0066663B" w:rsidRPr="009319C0">
        <w:rPr>
          <w:rStyle w:val="normaltextrun"/>
        </w:rPr>
        <w:t xml:space="preserve">more businesses </w:t>
      </w:r>
      <w:r w:rsidR="00AF0E2B" w:rsidRPr="009319C0">
        <w:rPr>
          <w:rStyle w:val="normaltextrun"/>
        </w:rPr>
        <w:t>build a skilled and diverse workforce.</w:t>
      </w:r>
      <w:r w:rsidR="00AF0E2B">
        <w:rPr>
          <w:rStyle w:val="normaltextrun"/>
        </w:rPr>
        <w:t xml:space="preserve"> </w:t>
      </w:r>
      <w:r w:rsidR="00C923BC" w:rsidRPr="47EEB551">
        <w:rPr>
          <w:rStyle w:val="normaltextrun"/>
        </w:rPr>
        <w:t>Importantly</w:t>
      </w:r>
      <w:r w:rsidR="006E72C5" w:rsidRPr="47EEB551">
        <w:rPr>
          <w:rStyle w:val="normaltextrun"/>
        </w:rPr>
        <w:t xml:space="preserve">, the Australian Government </w:t>
      </w:r>
      <w:r w:rsidR="000953E0" w:rsidRPr="47EEB551">
        <w:rPr>
          <w:rStyle w:val="normaltextrun"/>
        </w:rPr>
        <w:t xml:space="preserve">has the capacity to make an impact at the industry level </w:t>
      </w:r>
      <w:r w:rsidR="008C7E89" w:rsidRPr="47EEB551">
        <w:rPr>
          <w:rStyle w:val="normaltextrun"/>
        </w:rPr>
        <w:t>given</w:t>
      </w:r>
      <w:r w:rsidR="006E72C5" w:rsidRPr="47EEB551">
        <w:rPr>
          <w:rStyle w:val="normaltextrun"/>
        </w:rPr>
        <w:t xml:space="preserve"> </w:t>
      </w:r>
      <w:r w:rsidR="006F668F" w:rsidRPr="47EEB551">
        <w:rPr>
          <w:rStyle w:val="normaltextrun"/>
        </w:rPr>
        <w:t xml:space="preserve">its purchasing power and national </w:t>
      </w:r>
      <w:r w:rsidR="00396629" w:rsidRPr="47EEB551">
        <w:rPr>
          <w:rStyle w:val="normaltextrun"/>
        </w:rPr>
        <w:t>reach</w:t>
      </w:r>
      <w:r w:rsidR="00024ACD" w:rsidRPr="47EEB551">
        <w:rPr>
          <w:rStyle w:val="normaltextrun"/>
        </w:rPr>
        <w:t xml:space="preserve"> </w:t>
      </w:r>
      <w:r w:rsidR="00876CC1" w:rsidRPr="47EEB551">
        <w:rPr>
          <w:rStyle w:val="normaltextrun"/>
        </w:rPr>
        <w:t xml:space="preserve">– </w:t>
      </w:r>
      <w:r w:rsidR="00024ACD" w:rsidRPr="47EEB551">
        <w:rPr>
          <w:rStyle w:val="normaltextrun"/>
        </w:rPr>
        <w:t xml:space="preserve">thereby </w:t>
      </w:r>
      <w:r w:rsidR="00876CC1" w:rsidRPr="47EEB551">
        <w:rPr>
          <w:rStyle w:val="normaltextrun"/>
        </w:rPr>
        <w:t>building</w:t>
      </w:r>
      <w:r w:rsidR="00497D47" w:rsidRPr="47EEB551">
        <w:rPr>
          <w:rStyle w:val="normaltextrun"/>
        </w:rPr>
        <w:t xml:space="preserve"> on </w:t>
      </w:r>
      <w:r w:rsidR="00767F84" w:rsidRPr="47EEB551">
        <w:rPr>
          <w:rStyle w:val="normaltextrun"/>
        </w:rPr>
        <w:t>businesses</w:t>
      </w:r>
      <w:r w:rsidR="009208CD" w:rsidRPr="47EEB551">
        <w:rPr>
          <w:rStyle w:val="normaltextrun"/>
        </w:rPr>
        <w:t>’</w:t>
      </w:r>
      <w:r w:rsidR="00767F84" w:rsidRPr="47EEB551">
        <w:rPr>
          <w:rStyle w:val="normaltextrun"/>
        </w:rPr>
        <w:t xml:space="preserve"> efforts and </w:t>
      </w:r>
      <w:r w:rsidR="00205E92" w:rsidRPr="47EEB551">
        <w:rPr>
          <w:rStyle w:val="normaltextrun"/>
        </w:rPr>
        <w:t xml:space="preserve">on </w:t>
      </w:r>
      <w:r w:rsidR="00767F84" w:rsidRPr="47EEB551">
        <w:rPr>
          <w:rStyle w:val="normaltextrun"/>
        </w:rPr>
        <w:t>state and territory policies</w:t>
      </w:r>
      <w:r w:rsidR="00565DDB" w:rsidRPr="47EEB551">
        <w:rPr>
          <w:rStyle w:val="normaltextrun"/>
        </w:rPr>
        <w:t xml:space="preserve">. </w:t>
      </w:r>
      <w:r w:rsidR="00497D47" w:rsidRPr="47EEB551">
        <w:rPr>
          <w:rStyle w:val="normaltextrun"/>
        </w:rPr>
        <w:t xml:space="preserve"> </w:t>
      </w:r>
    </w:p>
    <w:p w14:paraId="1C415B62" w14:textId="1532FA66" w:rsidR="008B4DC4" w:rsidRDefault="00FC5018" w:rsidP="0058510D">
      <w:pPr>
        <w:rPr>
          <w:rStyle w:val="normaltextrun"/>
        </w:rPr>
      </w:pPr>
      <w:r>
        <w:rPr>
          <w:rStyle w:val="normaltextrun"/>
        </w:rPr>
        <w:t>S</w:t>
      </w:r>
      <w:r w:rsidR="008B4DC4">
        <w:rPr>
          <w:rStyle w:val="normaltextrun"/>
        </w:rPr>
        <w:t xml:space="preserve">kills shortages </w:t>
      </w:r>
      <w:r w:rsidR="00706885">
        <w:rPr>
          <w:rStyle w:val="normaltextrun"/>
        </w:rPr>
        <w:t xml:space="preserve">are prominent in the construction </w:t>
      </w:r>
      <w:r w:rsidR="00474EA9">
        <w:rPr>
          <w:rStyle w:val="normaltextrun"/>
        </w:rPr>
        <w:t>and ICT</w:t>
      </w:r>
      <w:r w:rsidR="008B4DC4">
        <w:rPr>
          <w:rStyle w:val="normaltextrun"/>
        </w:rPr>
        <w:t xml:space="preserve"> </w:t>
      </w:r>
      <w:r w:rsidR="007D2A22">
        <w:rPr>
          <w:rStyle w:val="normaltextrun"/>
        </w:rPr>
        <w:t xml:space="preserve">sectors and </w:t>
      </w:r>
      <w:r w:rsidR="008B4DC4">
        <w:rPr>
          <w:rStyle w:val="normaltextrun"/>
        </w:rPr>
        <w:t xml:space="preserve">appear to be caused by a combination of high demand growth and a lack of skills workers in the relevant occupations. </w:t>
      </w:r>
      <w:r w:rsidR="00820EC2">
        <w:rPr>
          <w:rStyle w:val="normaltextrun"/>
        </w:rPr>
        <w:t xml:space="preserve">As </w:t>
      </w:r>
      <w:r w:rsidR="009D7EEA">
        <w:rPr>
          <w:rStyle w:val="normaltextrun"/>
        </w:rPr>
        <w:t>projections indicate that</w:t>
      </w:r>
      <w:r w:rsidR="00563373" w:rsidRPr="00827A4A">
        <w:rPr>
          <w:rStyle w:val="normaltextrun"/>
        </w:rPr>
        <w:t xml:space="preserve"> </w:t>
      </w:r>
      <w:r w:rsidR="00827A4A" w:rsidRPr="00827A4A">
        <w:rPr>
          <w:rStyle w:val="normaltextrun"/>
        </w:rPr>
        <w:t>current and future skills need in the construction and ICT industries will not be met</w:t>
      </w:r>
      <w:r w:rsidR="002A2E72">
        <w:rPr>
          <w:rStyle w:val="FootnoteReference"/>
          <w:rFonts w:cstheme="minorHAnsi"/>
        </w:rPr>
        <w:footnoteReference w:id="57"/>
      </w:r>
      <w:r w:rsidR="009D7EEA">
        <w:rPr>
          <w:rStyle w:val="normaltextrun"/>
        </w:rPr>
        <w:t>,</w:t>
      </w:r>
      <w:r w:rsidR="00820EC2" w:rsidRPr="00820EC2">
        <w:rPr>
          <w:rStyle w:val="normaltextrun"/>
        </w:rPr>
        <w:t xml:space="preserve"> </w:t>
      </w:r>
      <w:r w:rsidR="009D7EEA">
        <w:rPr>
          <w:rStyle w:val="normaltextrun"/>
        </w:rPr>
        <w:t>t</w:t>
      </w:r>
      <w:r w:rsidR="0068241B">
        <w:rPr>
          <w:rStyle w:val="normaltextrun"/>
        </w:rPr>
        <w:t xml:space="preserve">he </w:t>
      </w:r>
      <w:r w:rsidR="007D2A22">
        <w:rPr>
          <w:rStyle w:val="normaltextrun"/>
        </w:rPr>
        <w:t>construction and ICT sectors can benefit from</w:t>
      </w:r>
      <w:r w:rsidR="0068241B">
        <w:rPr>
          <w:rStyle w:val="normaltextrun"/>
        </w:rPr>
        <w:t xml:space="preserve"> </w:t>
      </w:r>
      <w:r w:rsidR="00401B2C">
        <w:rPr>
          <w:rStyle w:val="normaltextrun"/>
        </w:rPr>
        <w:t xml:space="preserve">Government intervention </w:t>
      </w:r>
      <w:r w:rsidR="007D2A22">
        <w:rPr>
          <w:rStyle w:val="normaltextrun"/>
        </w:rPr>
        <w:t>aimed at</w:t>
      </w:r>
      <w:r w:rsidR="00401B2C">
        <w:rPr>
          <w:rStyle w:val="normaltextrun"/>
        </w:rPr>
        <w:t xml:space="preserve"> increas</w:t>
      </w:r>
      <w:r w:rsidR="007D2A22">
        <w:rPr>
          <w:rStyle w:val="normaltextrun"/>
        </w:rPr>
        <w:t>ing</w:t>
      </w:r>
      <w:r w:rsidR="00401B2C">
        <w:rPr>
          <w:rStyle w:val="normaltextrun"/>
        </w:rPr>
        <w:t xml:space="preserve"> the supply of </w:t>
      </w:r>
      <w:r w:rsidR="00D06375">
        <w:rPr>
          <w:rStyle w:val="normaltextrun"/>
        </w:rPr>
        <w:t>skilled workers</w:t>
      </w:r>
      <w:r w:rsidR="007D2A22">
        <w:rPr>
          <w:rStyle w:val="normaltextrun"/>
        </w:rPr>
        <w:t>.</w:t>
      </w:r>
      <w:r w:rsidR="004012DD">
        <w:rPr>
          <w:rStyle w:val="normaltextrun"/>
        </w:rPr>
        <w:t xml:space="preserve"> </w:t>
      </w:r>
    </w:p>
    <w:p w14:paraId="06B04342" w14:textId="787C1973" w:rsidR="00A370A2" w:rsidRDefault="004F136E" w:rsidP="00CD1E37">
      <w:r>
        <w:rPr>
          <w:rStyle w:val="normaltextrun"/>
        </w:rPr>
        <w:t xml:space="preserve">Similarly, </w:t>
      </w:r>
      <w:r w:rsidR="00672136" w:rsidRPr="49AD854B">
        <w:rPr>
          <w:rStyle w:val="normaltextrun"/>
        </w:rPr>
        <w:t xml:space="preserve">Australia’s labour market </w:t>
      </w:r>
      <w:r w:rsidR="00DA27C6">
        <w:rPr>
          <w:rStyle w:val="normaltextrun"/>
        </w:rPr>
        <w:t>which includes</w:t>
      </w:r>
      <w:r w:rsidR="00672136" w:rsidRPr="49AD854B">
        <w:rPr>
          <w:rStyle w:val="normaltextrun"/>
        </w:rPr>
        <w:t xml:space="preserve"> </w:t>
      </w:r>
      <w:r w:rsidR="000D0950">
        <w:rPr>
          <w:rStyle w:val="normaltextrun"/>
        </w:rPr>
        <w:t xml:space="preserve">segments of </w:t>
      </w:r>
      <w:r w:rsidR="00672136" w:rsidRPr="49AD854B">
        <w:rPr>
          <w:rStyle w:val="normaltextrun"/>
        </w:rPr>
        <w:t>high gender segregation has shown little change over the past 20 years.</w:t>
      </w:r>
      <w:r w:rsidR="00214934" w:rsidRPr="49AD854B">
        <w:rPr>
          <w:rStyle w:val="FootnoteReference"/>
        </w:rPr>
        <w:footnoteReference w:id="58"/>
      </w:r>
      <w:r w:rsidR="00672136" w:rsidRPr="49AD854B">
        <w:rPr>
          <w:rStyle w:val="normaltextrun"/>
        </w:rPr>
        <w:t> </w:t>
      </w:r>
      <w:r w:rsidR="008E5C05">
        <w:rPr>
          <w:rStyle w:val="normaltextrun"/>
        </w:rPr>
        <w:t xml:space="preserve"> </w:t>
      </w:r>
      <w:r w:rsidR="00A370A2">
        <w:t>A number of structural problems underpin occupational gender segregation and</w:t>
      </w:r>
      <w:r w:rsidR="00E70EFC" w:rsidRPr="00A87F02">
        <w:t xml:space="preserve"> </w:t>
      </w:r>
      <w:r w:rsidR="00D86553">
        <w:t xml:space="preserve">– </w:t>
      </w:r>
      <w:r w:rsidR="00282EA7" w:rsidRPr="00A87F02">
        <w:t xml:space="preserve">given the tight labour market </w:t>
      </w:r>
      <w:r w:rsidR="00C367B2">
        <w:t xml:space="preserve">and limited change </w:t>
      </w:r>
      <w:r w:rsidR="003E2015">
        <w:t xml:space="preserve">over the past 20 years </w:t>
      </w:r>
      <w:r w:rsidR="00D86553">
        <w:t xml:space="preserve">– </w:t>
      </w:r>
      <w:r w:rsidR="00282EA7" w:rsidRPr="00A87F02">
        <w:t xml:space="preserve">the department does not expect the market to come up with a solution to address </w:t>
      </w:r>
      <w:r w:rsidR="00271D85" w:rsidRPr="00A87F02">
        <w:t>the issue alone</w:t>
      </w:r>
      <w:r w:rsidR="00BA3A77">
        <w:t>,</w:t>
      </w:r>
      <w:r w:rsidR="00FB72CA">
        <w:t xml:space="preserve"> despite some companies</w:t>
      </w:r>
      <w:r w:rsidR="006D0490">
        <w:t>, peak bodies and unions</w:t>
      </w:r>
      <w:r w:rsidR="00FB72CA">
        <w:t xml:space="preserve"> implementing </w:t>
      </w:r>
      <w:r w:rsidR="00C45886">
        <w:t>strategies</w:t>
      </w:r>
      <w:r w:rsidR="006D0490">
        <w:t xml:space="preserve"> to help address the problems</w:t>
      </w:r>
      <w:r w:rsidR="00282EA7" w:rsidRPr="00A87F02">
        <w:t xml:space="preserve">. </w:t>
      </w:r>
      <w:r w:rsidR="004B3320" w:rsidRPr="004B3320">
        <w:t>The gendered nature of the construction and ICT industries means women apprentices, trainees and cadets are underrepresented in these sectors</w:t>
      </w:r>
      <w:r w:rsidR="002862F9">
        <w:t xml:space="preserve">, resulting in </w:t>
      </w:r>
      <w:r w:rsidR="006762DC">
        <w:t xml:space="preserve">various problems </w:t>
      </w:r>
      <w:r w:rsidR="00282C5F">
        <w:t>including</w:t>
      </w:r>
      <w:r w:rsidR="006762DC">
        <w:t xml:space="preserve"> </w:t>
      </w:r>
      <w:r w:rsidR="0034175E">
        <w:t>bullying and harassment</w:t>
      </w:r>
      <w:r w:rsidR="00071F11">
        <w:t xml:space="preserve"> towards women</w:t>
      </w:r>
      <w:r w:rsidR="001C0DB5">
        <w:t>, a higher attrition rate</w:t>
      </w:r>
      <w:r w:rsidR="0034175E">
        <w:t xml:space="preserve"> for women</w:t>
      </w:r>
      <w:r w:rsidR="001C0DB5">
        <w:t xml:space="preserve">, and </w:t>
      </w:r>
      <w:r w:rsidR="000B64AE">
        <w:t>limitations</w:t>
      </w:r>
      <w:r w:rsidR="007A16CC">
        <w:t xml:space="preserve"> for businesses </w:t>
      </w:r>
      <w:r w:rsidR="000B64AE">
        <w:t xml:space="preserve">looking </w:t>
      </w:r>
      <w:r w:rsidR="007A16CC">
        <w:t xml:space="preserve">to </w:t>
      </w:r>
      <w:r w:rsidR="000B64AE">
        <w:t xml:space="preserve">recruit </w:t>
      </w:r>
      <w:r w:rsidR="006762DC" w:rsidRPr="006762DC">
        <w:t>staff</w:t>
      </w:r>
      <w:r w:rsidR="00E9647C">
        <w:t xml:space="preserve"> (as discussed in </w:t>
      </w:r>
      <w:r w:rsidR="00336435">
        <w:rPr>
          <w:b/>
          <w:bCs/>
        </w:rPr>
        <w:t>Question 1</w:t>
      </w:r>
      <w:r w:rsidR="00336435">
        <w:t>)</w:t>
      </w:r>
      <w:r w:rsidR="004B3320" w:rsidRPr="004B3320">
        <w:t>.</w:t>
      </w:r>
      <w:r w:rsidR="00282EA7" w:rsidRPr="00A87F02">
        <w:t xml:space="preserve"> B</w:t>
      </w:r>
      <w:r w:rsidR="00A370A2" w:rsidRPr="00A87F02">
        <w:t>roader cultural and systemic changes are required to encourage women</w:t>
      </w:r>
      <w:r w:rsidR="00A370A2">
        <w:t xml:space="preserve"> into the construction and ICT industries. These industries could </w:t>
      </w:r>
      <w:r w:rsidR="00DA4EEB">
        <w:t xml:space="preserve">therefore </w:t>
      </w:r>
      <w:r w:rsidR="00A370A2">
        <w:t xml:space="preserve">be improved </w:t>
      </w:r>
      <w:r w:rsidR="002C0225">
        <w:t>by</w:t>
      </w:r>
      <w:r w:rsidR="009B3E25">
        <w:t xml:space="preserve"> Government intervention</w:t>
      </w:r>
      <w:r w:rsidR="00A370A2">
        <w:t xml:space="preserve"> to </w:t>
      </w:r>
      <w:r w:rsidR="009B3E25">
        <w:t>increase</w:t>
      </w:r>
      <w:r w:rsidR="00A370A2">
        <w:t xml:space="preserve"> </w:t>
      </w:r>
      <w:r w:rsidR="008C6274">
        <w:t xml:space="preserve">the number of </w:t>
      </w:r>
      <w:r w:rsidR="00A370A2">
        <w:t>women</w:t>
      </w:r>
      <w:r w:rsidR="008C6274">
        <w:t xml:space="preserve"> in </w:t>
      </w:r>
      <w:r w:rsidR="00725A23">
        <w:t>each</w:t>
      </w:r>
      <w:r w:rsidR="008C6274">
        <w:t xml:space="preserve"> </w:t>
      </w:r>
      <w:r w:rsidR="00725A23">
        <w:t>industry</w:t>
      </w:r>
      <w:r w:rsidR="00A370A2">
        <w:t xml:space="preserve">. </w:t>
      </w:r>
    </w:p>
    <w:p w14:paraId="1331803E" w14:textId="0D91ADFF" w:rsidR="004F044B" w:rsidRDefault="00200D3B" w:rsidP="00CD1E37">
      <w:r>
        <w:rPr>
          <w:rStyle w:val="normaltextrun"/>
        </w:rPr>
        <w:t xml:space="preserve">There is an opportunity for the Government </w:t>
      </w:r>
      <w:r w:rsidR="0029547C">
        <w:rPr>
          <w:rStyle w:val="normaltextrun"/>
        </w:rPr>
        <w:t xml:space="preserve">to </w:t>
      </w:r>
      <w:r w:rsidR="00621527">
        <w:rPr>
          <w:rStyle w:val="normaltextrun"/>
        </w:rPr>
        <w:t>increase the</w:t>
      </w:r>
      <w:r w:rsidR="0029547C">
        <w:rPr>
          <w:rStyle w:val="normaltextrun"/>
        </w:rPr>
        <w:t xml:space="preserve"> </w:t>
      </w:r>
      <w:r w:rsidR="00632CC1" w:rsidRPr="49AD854B">
        <w:rPr>
          <w:rStyle w:val="normaltextrun"/>
        </w:rPr>
        <w:t xml:space="preserve">diversity of the </w:t>
      </w:r>
      <w:r w:rsidR="001347BB">
        <w:rPr>
          <w:rStyle w:val="normaltextrun"/>
        </w:rPr>
        <w:t>constr</w:t>
      </w:r>
      <w:r w:rsidR="00B50F28">
        <w:rPr>
          <w:rStyle w:val="normaltextrun"/>
        </w:rPr>
        <w:t xml:space="preserve">uction and ICT </w:t>
      </w:r>
      <w:r w:rsidR="00632CC1" w:rsidRPr="49AD854B">
        <w:rPr>
          <w:rStyle w:val="normaltextrun"/>
        </w:rPr>
        <w:t>workforce</w:t>
      </w:r>
      <w:r w:rsidR="0029547C">
        <w:rPr>
          <w:rStyle w:val="normaltextrun"/>
        </w:rPr>
        <w:t>s</w:t>
      </w:r>
      <w:r w:rsidR="00632CC1" w:rsidRPr="49AD854B">
        <w:rPr>
          <w:rStyle w:val="normaltextrun"/>
        </w:rPr>
        <w:t xml:space="preserve"> </w:t>
      </w:r>
      <w:r w:rsidR="00621527">
        <w:rPr>
          <w:rStyle w:val="normaltextrun"/>
        </w:rPr>
        <w:t>on</w:t>
      </w:r>
      <w:r w:rsidR="00632CC1" w:rsidRPr="49AD854B">
        <w:rPr>
          <w:rStyle w:val="normaltextrun"/>
        </w:rPr>
        <w:t xml:space="preserve"> major projects, particularly in roles in industries that have a low level of participation by women. </w:t>
      </w:r>
      <w:r w:rsidR="006F529A" w:rsidRPr="00FA3191">
        <w:t>Analysis from Jobs and Skills Australia shows that occupations with skills shortages are likely to have significant gender imbalance in their workforce, particularly towards male-dominated occupations.</w:t>
      </w:r>
      <w:r w:rsidR="006F529A" w:rsidRPr="00FA3191">
        <w:rPr>
          <w:vertAlign w:val="superscript"/>
        </w:rPr>
        <w:footnoteReference w:id="59"/>
      </w:r>
      <w:r w:rsidR="006F529A">
        <w:rPr>
          <w:rStyle w:val="eop"/>
        </w:rPr>
        <w:t xml:space="preserve"> </w:t>
      </w:r>
      <w:r w:rsidR="00F47CA4">
        <w:t>I</w:t>
      </w:r>
      <w:r w:rsidR="004758C5" w:rsidRPr="00FA3191">
        <w:t>n the Australian construction industry</w:t>
      </w:r>
      <w:r w:rsidR="00F47CA4">
        <w:t xml:space="preserve"> </w:t>
      </w:r>
      <w:r w:rsidR="004758C5" w:rsidRPr="00FA3191">
        <w:t>women make up only 14.5% of the workforce</w:t>
      </w:r>
      <w:r w:rsidR="004758C5" w:rsidRPr="00FA3191">
        <w:rPr>
          <w:vertAlign w:val="superscript"/>
        </w:rPr>
        <w:footnoteReference w:id="60"/>
      </w:r>
      <w:r w:rsidR="004758C5" w:rsidRPr="00FA3191">
        <w:rPr>
          <w:vertAlign w:val="superscript"/>
        </w:rPr>
        <w:t xml:space="preserve"> </w:t>
      </w:r>
      <w:r w:rsidR="004758C5" w:rsidRPr="3A67EB22">
        <w:t>a</w:t>
      </w:r>
      <w:r w:rsidR="004758C5" w:rsidRPr="00FA3191">
        <w:t>nd the</w:t>
      </w:r>
      <w:r w:rsidR="00C801F2">
        <w:t>re are very low</w:t>
      </w:r>
      <w:r w:rsidR="004758C5" w:rsidRPr="00FA3191">
        <w:t xml:space="preserve"> rates of women undertaking apprenticeships and traineeships in these industries.</w:t>
      </w:r>
    </w:p>
    <w:p w14:paraId="79B6AD53" w14:textId="2C4C948F" w:rsidR="00DE5FEE" w:rsidRDefault="00632CC1" w:rsidP="00CD1E37">
      <w:pPr>
        <w:rPr>
          <w:rStyle w:val="eop"/>
          <w:rFonts w:cstheme="minorHAnsi"/>
        </w:rPr>
      </w:pPr>
      <w:r w:rsidRPr="00344C59">
        <w:rPr>
          <w:rStyle w:val="normaltextrun"/>
          <w:rFonts w:eastAsiaTheme="minorEastAsia" w:cstheme="minorHAnsi"/>
        </w:rPr>
        <w:t xml:space="preserve">Governments and the private sector have been increasingly working in partnership over the last </w:t>
      </w:r>
      <w:r w:rsidR="002F6B1C">
        <w:rPr>
          <w:rStyle w:val="normaltextrun"/>
          <w:rFonts w:eastAsiaTheme="minorEastAsia" w:cstheme="minorHAnsi"/>
        </w:rPr>
        <w:t>10</w:t>
      </w:r>
      <w:r w:rsidRPr="00344C59">
        <w:rPr>
          <w:rStyle w:val="normaltextrun"/>
          <w:rFonts w:eastAsiaTheme="minorEastAsia" w:cstheme="minorHAnsi"/>
        </w:rPr>
        <w:t xml:space="preserve"> years to address gender segregation in the construction industry, with </w:t>
      </w:r>
      <w:r w:rsidR="00887B71" w:rsidRPr="00344C59">
        <w:rPr>
          <w:rStyle w:val="normaltextrun"/>
          <w:rFonts w:eastAsiaTheme="minorEastAsia" w:cstheme="minorHAnsi"/>
        </w:rPr>
        <w:t>several</w:t>
      </w:r>
      <w:r w:rsidRPr="00344C59">
        <w:rPr>
          <w:rStyle w:val="normaltextrun"/>
          <w:rFonts w:eastAsiaTheme="minorEastAsia" w:cstheme="minorHAnsi"/>
        </w:rPr>
        <w:t xml:space="preserve"> initiatives introduced by state and territory governments to tackle gender equality in the construction sector.</w:t>
      </w:r>
      <w:r w:rsidRPr="00344C59">
        <w:rPr>
          <w:rStyle w:val="eop"/>
          <w:rFonts w:cstheme="minorHAnsi"/>
        </w:rPr>
        <w:t> </w:t>
      </w:r>
      <w:r w:rsidR="00C75C1B">
        <w:rPr>
          <w:rStyle w:val="eop"/>
          <w:rFonts w:cstheme="minorHAnsi"/>
        </w:rPr>
        <w:t>Some examples of initiatives include</w:t>
      </w:r>
      <w:r w:rsidR="005D02AA">
        <w:rPr>
          <w:rStyle w:val="eop"/>
          <w:rFonts w:cstheme="minorHAnsi"/>
        </w:rPr>
        <w:t xml:space="preserve"> </w:t>
      </w:r>
      <w:r w:rsidR="00253E88">
        <w:rPr>
          <w:rStyle w:val="eop"/>
          <w:rFonts w:cstheme="minorHAnsi"/>
        </w:rPr>
        <w:t xml:space="preserve">the </w:t>
      </w:r>
      <w:r w:rsidR="007D65C6">
        <w:rPr>
          <w:rStyle w:val="eop"/>
          <w:rFonts w:cstheme="minorHAnsi"/>
        </w:rPr>
        <w:t xml:space="preserve">Queensland </w:t>
      </w:r>
      <w:r w:rsidR="00253E88">
        <w:rPr>
          <w:rStyle w:val="eop"/>
          <w:rFonts w:cstheme="minorHAnsi"/>
        </w:rPr>
        <w:t>National Association for Women in Construction target</w:t>
      </w:r>
      <w:r w:rsidR="007D65C6">
        <w:rPr>
          <w:rStyle w:val="eop"/>
          <w:rFonts w:cstheme="minorHAnsi"/>
        </w:rPr>
        <w:t xml:space="preserve">, </w:t>
      </w:r>
      <w:r w:rsidR="00F061ED">
        <w:rPr>
          <w:rStyle w:val="eop"/>
          <w:rFonts w:cstheme="minorHAnsi"/>
        </w:rPr>
        <w:t xml:space="preserve">the </w:t>
      </w:r>
      <w:r w:rsidR="00C64938">
        <w:rPr>
          <w:rStyle w:val="eop"/>
          <w:rFonts w:cstheme="minorHAnsi"/>
        </w:rPr>
        <w:t>A</w:t>
      </w:r>
      <w:r w:rsidR="00F15105">
        <w:rPr>
          <w:rStyle w:val="eop"/>
          <w:rFonts w:cstheme="minorHAnsi"/>
        </w:rPr>
        <w:t xml:space="preserve">ustralian Capital Territory </w:t>
      </w:r>
      <w:r w:rsidR="00B529B6">
        <w:rPr>
          <w:rStyle w:val="eop"/>
          <w:rFonts w:cstheme="minorHAnsi"/>
        </w:rPr>
        <w:t xml:space="preserve">women </w:t>
      </w:r>
      <w:r w:rsidR="00764D4A">
        <w:rPr>
          <w:rStyle w:val="eop"/>
          <w:rFonts w:cstheme="minorHAnsi"/>
        </w:rPr>
        <w:t>apprentice target</w:t>
      </w:r>
      <w:r w:rsidR="006A4B0B">
        <w:rPr>
          <w:rStyle w:val="eop"/>
          <w:rFonts w:cstheme="minorHAnsi"/>
        </w:rPr>
        <w:t>s</w:t>
      </w:r>
      <w:r w:rsidR="00764D4A">
        <w:rPr>
          <w:rStyle w:val="eop"/>
          <w:rFonts w:cstheme="minorHAnsi"/>
        </w:rPr>
        <w:t xml:space="preserve"> in </w:t>
      </w:r>
      <w:r w:rsidR="004A0E57">
        <w:rPr>
          <w:rStyle w:val="eop"/>
          <w:rFonts w:cstheme="minorHAnsi"/>
        </w:rPr>
        <w:t xml:space="preserve">key infrastructure </w:t>
      </w:r>
      <w:r w:rsidR="00764D4A">
        <w:rPr>
          <w:rStyle w:val="eop"/>
          <w:rFonts w:cstheme="minorHAnsi"/>
        </w:rPr>
        <w:t xml:space="preserve">projects, </w:t>
      </w:r>
      <w:r w:rsidR="00B13A9C">
        <w:rPr>
          <w:rStyle w:val="eop"/>
          <w:rFonts w:cstheme="minorHAnsi"/>
        </w:rPr>
        <w:t>N</w:t>
      </w:r>
      <w:r w:rsidR="00F15105">
        <w:rPr>
          <w:rStyle w:val="eop"/>
          <w:rFonts w:cstheme="minorHAnsi"/>
        </w:rPr>
        <w:t>ew South Wales</w:t>
      </w:r>
      <w:r w:rsidR="00AC601A">
        <w:rPr>
          <w:rStyle w:val="eop"/>
          <w:rFonts w:cstheme="minorHAnsi"/>
        </w:rPr>
        <w:t xml:space="preserve"> </w:t>
      </w:r>
      <w:r w:rsidR="00520F35">
        <w:rPr>
          <w:rStyle w:val="eop"/>
          <w:rFonts w:cstheme="minorHAnsi"/>
        </w:rPr>
        <w:t>mandatory target</w:t>
      </w:r>
      <w:r w:rsidR="006A4B0B">
        <w:rPr>
          <w:rStyle w:val="eop"/>
          <w:rFonts w:cstheme="minorHAnsi"/>
        </w:rPr>
        <w:t>s</w:t>
      </w:r>
      <w:r w:rsidR="00520F35">
        <w:rPr>
          <w:rStyle w:val="eop"/>
          <w:rFonts w:cstheme="minorHAnsi"/>
        </w:rPr>
        <w:t xml:space="preserve"> for women in trades </w:t>
      </w:r>
      <w:r w:rsidR="00311794">
        <w:rPr>
          <w:rStyle w:val="eop"/>
          <w:rFonts w:cstheme="minorHAnsi"/>
        </w:rPr>
        <w:t xml:space="preserve">in </w:t>
      </w:r>
      <w:r w:rsidR="003E2D60">
        <w:rPr>
          <w:rStyle w:val="eop"/>
          <w:rFonts w:cstheme="minorHAnsi"/>
        </w:rPr>
        <w:t xml:space="preserve">the </w:t>
      </w:r>
      <w:r w:rsidR="00311794">
        <w:rPr>
          <w:rStyle w:val="eop"/>
          <w:rFonts w:cstheme="minorHAnsi"/>
        </w:rPr>
        <w:t xml:space="preserve">Infrastructure Skills </w:t>
      </w:r>
      <w:r w:rsidR="003E2D60">
        <w:rPr>
          <w:rStyle w:val="eop"/>
          <w:rFonts w:cstheme="minorHAnsi"/>
        </w:rPr>
        <w:t>Legacy Program</w:t>
      </w:r>
      <w:r w:rsidR="000C682B">
        <w:rPr>
          <w:rStyle w:val="eop"/>
          <w:rFonts w:cstheme="minorHAnsi"/>
        </w:rPr>
        <w:t xml:space="preserve"> and </w:t>
      </w:r>
      <w:r w:rsidR="001C6205">
        <w:rPr>
          <w:rStyle w:val="eop"/>
          <w:rFonts w:cstheme="minorHAnsi"/>
        </w:rPr>
        <w:t xml:space="preserve">increasing </w:t>
      </w:r>
      <w:r w:rsidR="00E94F2D">
        <w:rPr>
          <w:rStyle w:val="eop"/>
          <w:rFonts w:cstheme="minorHAnsi"/>
        </w:rPr>
        <w:t xml:space="preserve">women in construction </w:t>
      </w:r>
      <w:r w:rsidR="000E6BE1">
        <w:rPr>
          <w:rStyle w:val="eop"/>
          <w:rFonts w:cstheme="minorHAnsi"/>
        </w:rPr>
        <w:t>industry targets by 2030</w:t>
      </w:r>
      <w:r w:rsidR="00E9059B">
        <w:rPr>
          <w:rStyle w:val="eop"/>
          <w:rFonts w:cstheme="minorHAnsi"/>
        </w:rPr>
        <w:t xml:space="preserve">, and </w:t>
      </w:r>
      <w:r w:rsidR="00914E3C">
        <w:rPr>
          <w:rStyle w:val="eop"/>
          <w:rFonts w:cstheme="minorHAnsi"/>
        </w:rPr>
        <w:t xml:space="preserve">Victoria Building Equality Policy </w:t>
      </w:r>
      <w:r w:rsidR="00906044">
        <w:rPr>
          <w:rStyle w:val="eop"/>
          <w:rFonts w:cstheme="minorHAnsi"/>
        </w:rPr>
        <w:t xml:space="preserve">women in construction targets. </w:t>
      </w:r>
      <w:r w:rsidR="006D2E76">
        <w:rPr>
          <w:rStyle w:val="eop"/>
          <w:rFonts w:cstheme="minorHAnsi"/>
        </w:rPr>
        <w:t xml:space="preserve"> </w:t>
      </w:r>
    </w:p>
    <w:p w14:paraId="4CF48FE1" w14:textId="28CCCD74" w:rsidR="00F61596" w:rsidRPr="00F6184B" w:rsidRDefault="004D1A90" w:rsidP="007F1699">
      <w:pPr>
        <w:pStyle w:val="Heading2"/>
        <w:rPr>
          <w:rStyle w:val="eop"/>
        </w:rPr>
      </w:pPr>
      <w:bookmarkStart w:id="16" w:name="_Toc159246218"/>
      <w:r w:rsidRPr="00F6184B">
        <w:rPr>
          <w:rStyle w:val="eop"/>
        </w:rPr>
        <w:lastRenderedPageBreak/>
        <w:t>Objectives of Government action</w:t>
      </w:r>
      <w:bookmarkEnd w:id="16"/>
    </w:p>
    <w:p w14:paraId="4C2E2120" w14:textId="1AFC3FEB" w:rsidR="00887C44" w:rsidRPr="00F6184B" w:rsidRDefault="000E4053" w:rsidP="00CD1E37">
      <w:r w:rsidRPr="00F6184B">
        <w:t xml:space="preserve">This IA considers government intervention </w:t>
      </w:r>
      <w:r w:rsidR="002E15E8">
        <w:t xml:space="preserve">in </w:t>
      </w:r>
      <w:r w:rsidR="004163A1">
        <w:t>requiring</w:t>
      </w:r>
      <w:r w:rsidR="004163A1" w:rsidRPr="00F6184B">
        <w:t xml:space="preserve"> </w:t>
      </w:r>
      <w:r w:rsidR="00526D11" w:rsidRPr="00F6184B">
        <w:t>the use of</w:t>
      </w:r>
      <w:r w:rsidR="00BD78FD" w:rsidRPr="00F6184B">
        <w:t xml:space="preserve"> apprentices, trainees and </w:t>
      </w:r>
      <w:r w:rsidR="00EB183F" w:rsidRPr="00F6184B">
        <w:t xml:space="preserve">ICT </w:t>
      </w:r>
      <w:r w:rsidR="00BD78FD" w:rsidRPr="00F6184B">
        <w:t xml:space="preserve">cadets </w:t>
      </w:r>
      <w:r w:rsidR="00C37B01" w:rsidRPr="00F6184B">
        <w:t>by suppliers on major construction and ICT projects</w:t>
      </w:r>
      <w:r w:rsidR="006313CA" w:rsidRPr="00F6184B">
        <w:t xml:space="preserve"> procured by the Commonwealth</w:t>
      </w:r>
      <w:r w:rsidR="00933DB5" w:rsidRPr="00F6184B">
        <w:t xml:space="preserve"> to</w:t>
      </w:r>
      <w:r w:rsidR="00887C44" w:rsidRPr="00F6184B">
        <w:t xml:space="preserve"> achieve the following objectives</w:t>
      </w:r>
      <w:r w:rsidR="00B83C34" w:rsidRPr="00F6184B">
        <w:t>:</w:t>
      </w:r>
      <w:r w:rsidR="00887C44" w:rsidRPr="00F6184B">
        <w:t xml:space="preserve"> </w:t>
      </w:r>
    </w:p>
    <w:p w14:paraId="67467D66" w14:textId="13A7B176" w:rsidR="00933DB5" w:rsidRPr="00F6184B" w:rsidRDefault="00887C44" w:rsidP="00A64950">
      <w:pPr>
        <w:pStyle w:val="Heading4"/>
      </w:pPr>
      <w:r w:rsidRPr="00F6184B">
        <w:t>Primary problem objectives</w:t>
      </w:r>
    </w:p>
    <w:p w14:paraId="4FD078FC" w14:textId="234FB471" w:rsidR="00073DA1" w:rsidRPr="00F6184B" w:rsidRDefault="00887C44" w:rsidP="007415EF">
      <w:pPr>
        <w:pStyle w:val="Dot-pointlist"/>
      </w:pPr>
      <w:r w:rsidRPr="00F6184B">
        <w:t>I</w:t>
      </w:r>
      <w:r w:rsidR="00933DB5" w:rsidRPr="00F6184B">
        <w:t>ncrease entry level pathways in construction and ICT sectors</w:t>
      </w:r>
    </w:p>
    <w:p w14:paraId="2A495A45" w14:textId="43CA0BD9" w:rsidR="00073DA1" w:rsidRPr="00F6184B" w:rsidRDefault="00887C44" w:rsidP="007415EF">
      <w:pPr>
        <w:pStyle w:val="Dot-pointlist"/>
      </w:pPr>
      <w:r w:rsidRPr="00F6184B">
        <w:t>I</w:t>
      </w:r>
      <w:r w:rsidR="00073DA1" w:rsidRPr="00F6184B">
        <w:t>ncrease commencement rates for apprentices, trainees and ICT cadets</w:t>
      </w:r>
    </w:p>
    <w:p w14:paraId="43084993" w14:textId="39355189" w:rsidR="00BE5A46" w:rsidRPr="00F6184B" w:rsidRDefault="00887C44" w:rsidP="007415EF">
      <w:pPr>
        <w:pStyle w:val="Dot-pointlist"/>
      </w:pPr>
      <w:r w:rsidRPr="00F6184B">
        <w:t>R</w:t>
      </w:r>
      <w:r w:rsidR="00E30763" w:rsidRPr="00F6184B">
        <w:t>educe the current and future skills shortages in the construction and ICT sectors</w:t>
      </w:r>
      <w:r w:rsidR="004448D7" w:rsidRPr="00F6184B">
        <w:t>, including</w:t>
      </w:r>
      <w:r w:rsidR="00FA3C36" w:rsidRPr="00F6184B">
        <w:t xml:space="preserve"> drawing on the underutili</w:t>
      </w:r>
      <w:r w:rsidR="00221DA0" w:rsidRPr="00F6184B">
        <w:t xml:space="preserve">sed </w:t>
      </w:r>
      <w:r w:rsidR="007F7D90" w:rsidRPr="00F6184B">
        <w:t>female labour force</w:t>
      </w:r>
      <w:r w:rsidR="00E30763" w:rsidRPr="00F6184B">
        <w:t xml:space="preserve"> </w:t>
      </w:r>
    </w:p>
    <w:p w14:paraId="506992E7" w14:textId="40EDD5E2" w:rsidR="00723AA1" w:rsidRPr="00F6184B" w:rsidRDefault="00723AA1" w:rsidP="00E2574D">
      <w:pPr>
        <w:pStyle w:val="Heading4"/>
      </w:pPr>
      <w:r w:rsidRPr="00F6184B">
        <w:t>S</w:t>
      </w:r>
      <w:r w:rsidR="00427C44" w:rsidRPr="00F6184B">
        <w:t>ub-</w:t>
      </w:r>
      <w:r w:rsidRPr="00F6184B">
        <w:t>problem objectives</w:t>
      </w:r>
    </w:p>
    <w:p w14:paraId="7CB4FA21" w14:textId="4D85B61B" w:rsidR="00CB1A55" w:rsidRPr="006224A2" w:rsidRDefault="00723AA1" w:rsidP="007415EF">
      <w:pPr>
        <w:pStyle w:val="Dot-pointlist"/>
      </w:pPr>
      <w:r w:rsidRPr="006224A2">
        <w:t>R</w:t>
      </w:r>
      <w:r w:rsidR="00A06F40" w:rsidRPr="006224A2">
        <w:t>educe gender segregation</w:t>
      </w:r>
      <w:r w:rsidR="00674C02" w:rsidRPr="006224A2">
        <w:t xml:space="preserve"> by increasing </w:t>
      </w:r>
      <w:r w:rsidR="00371225" w:rsidRPr="006224A2">
        <w:t>female participation in construction and ICT sectors</w:t>
      </w:r>
    </w:p>
    <w:p w14:paraId="49D6B241" w14:textId="53DFAF1C" w:rsidR="00371225" w:rsidRPr="00F6184B" w:rsidRDefault="00723AA1" w:rsidP="007415EF">
      <w:pPr>
        <w:pStyle w:val="Dot-pointlist"/>
      </w:pPr>
      <w:r w:rsidRPr="006224A2">
        <w:t>R</w:t>
      </w:r>
      <w:r w:rsidR="00036DCA" w:rsidRPr="006224A2">
        <w:t xml:space="preserve">educe </w:t>
      </w:r>
      <w:r w:rsidR="007F7D90" w:rsidRPr="006224A2">
        <w:t>fem</w:t>
      </w:r>
      <w:r w:rsidR="00B53CB7" w:rsidRPr="006224A2">
        <w:t xml:space="preserve">ale </w:t>
      </w:r>
      <w:r w:rsidR="00112055" w:rsidRPr="006224A2">
        <w:t xml:space="preserve">unemployment rates and increase </w:t>
      </w:r>
      <w:r w:rsidR="00B37C13" w:rsidRPr="006224A2">
        <w:t xml:space="preserve">female labour </w:t>
      </w:r>
      <w:r w:rsidR="00C84DD0" w:rsidRPr="006224A2">
        <w:t>force participation</w:t>
      </w:r>
    </w:p>
    <w:p w14:paraId="62DE64FA" w14:textId="68A3A440" w:rsidR="00C242E1" w:rsidRPr="00C07B67" w:rsidRDefault="00D24DB8" w:rsidP="00676085">
      <w:pPr>
        <w:pStyle w:val="Heading2"/>
        <w:rPr>
          <w:rStyle w:val="eop"/>
        </w:rPr>
      </w:pPr>
      <w:bookmarkStart w:id="17" w:name="_Toc159246219"/>
      <w:r w:rsidRPr="00C07B67">
        <w:rPr>
          <w:rStyle w:val="eop"/>
        </w:rPr>
        <w:t>What</w:t>
      </w:r>
      <w:r w:rsidR="00C242E1" w:rsidRPr="00C07B67">
        <w:rPr>
          <w:rStyle w:val="eop"/>
        </w:rPr>
        <w:t xml:space="preserve"> success</w:t>
      </w:r>
      <w:r w:rsidRPr="00C07B67">
        <w:rPr>
          <w:rStyle w:val="eop"/>
        </w:rPr>
        <w:t xml:space="preserve"> looks like</w:t>
      </w:r>
      <w:bookmarkEnd w:id="17"/>
    </w:p>
    <w:p w14:paraId="7B97E4A4" w14:textId="26F1926F" w:rsidR="00452ACD" w:rsidRDefault="00585BD1" w:rsidP="001066A9">
      <w:pPr>
        <w:rPr>
          <w:rStyle w:val="eop"/>
          <w:rFonts w:cstheme="minorHAnsi"/>
        </w:rPr>
      </w:pPr>
      <w:r>
        <w:rPr>
          <w:rStyle w:val="eop"/>
          <w:rFonts w:cstheme="minorHAnsi"/>
        </w:rPr>
        <w:t>Effective</w:t>
      </w:r>
      <w:r w:rsidR="00403C38">
        <w:rPr>
          <w:rStyle w:val="eop"/>
          <w:rFonts w:cstheme="minorHAnsi"/>
        </w:rPr>
        <w:t xml:space="preserve"> g</w:t>
      </w:r>
      <w:r w:rsidR="00027083">
        <w:rPr>
          <w:rStyle w:val="eop"/>
          <w:rFonts w:cstheme="minorHAnsi"/>
        </w:rPr>
        <w:t xml:space="preserve">overnment </w:t>
      </w:r>
      <w:r w:rsidR="00603327">
        <w:rPr>
          <w:rStyle w:val="eop"/>
          <w:rFonts w:cstheme="minorHAnsi"/>
        </w:rPr>
        <w:t>action</w:t>
      </w:r>
      <w:r w:rsidR="00E04F46" w:rsidRPr="00E04F46" w:rsidDel="00403C38">
        <w:rPr>
          <w:rStyle w:val="eop"/>
          <w:rFonts w:cstheme="minorHAnsi"/>
        </w:rPr>
        <w:t xml:space="preserve"> </w:t>
      </w:r>
      <w:r>
        <w:rPr>
          <w:rStyle w:val="eop"/>
          <w:rFonts w:cstheme="minorHAnsi"/>
        </w:rPr>
        <w:t>can</w:t>
      </w:r>
      <w:r w:rsidR="00FC055C">
        <w:rPr>
          <w:rStyle w:val="eop"/>
          <w:rFonts w:cstheme="minorHAnsi"/>
        </w:rPr>
        <w:t>:</w:t>
      </w:r>
    </w:p>
    <w:p w14:paraId="6913983E" w14:textId="16B2F1EB" w:rsidR="00FC055C" w:rsidRPr="00BF49D0" w:rsidRDefault="00FC055C" w:rsidP="007415EF">
      <w:pPr>
        <w:pStyle w:val="Dot-pointlist"/>
        <w:rPr>
          <w:rStyle w:val="eop"/>
        </w:rPr>
      </w:pPr>
      <w:r w:rsidRPr="00BF49D0">
        <w:rPr>
          <w:rStyle w:val="eop"/>
        </w:rPr>
        <w:t xml:space="preserve">create long-term demand </w:t>
      </w:r>
      <w:r w:rsidR="00BD5AB2" w:rsidRPr="00BF49D0">
        <w:rPr>
          <w:rStyle w:val="eop"/>
        </w:rPr>
        <w:t>and increase employment opportunities</w:t>
      </w:r>
      <w:r w:rsidRPr="00BF49D0">
        <w:rPr>
          <w:rStyle w:val="eop"/>
        </w:rPr>
        <w:t xml:space="preserve"> for apprentices, trainees and ICT cadets</w:t>
      </w:r>
      <w:r w:rsidR="00BD5AB2" w:rsidRPr="00BF49D0">
        <w:rPr>
          <w:rStyle w:val="eop"/>
        </w:rPr>
        <w:t xml:space="preserve"> in construction and ICT industries</w:t>
      </w:r>
    </w:p>
    <w:p w14:paraId="146956E4" w14:textId="77777777" w:rsidR="00403C38" w:rsidRPr="00BF49D0" w:rsidRDefault="00453F89" w:rsidP="007415EF">
      <w:pPr>
        <w:pStyle w:val="Dot-pointlist"/>
        <w:rPr>
          <w:rStyle w:val="eop"/>
        </w:rPr>
      </w:pPr>
      <w:r w:rsidRPr="00BF49D0">
        <w:rPr>
          <w:rStyle w:val="eop"/>
        </w:rPr>
        <w:t xml:space="preserve">build a pipeline of </w:t>
      </w:r>
      <w:r w:rsidR="00C36345" w:rsidRPr="00BF49D0">
        <w:rPr>
          <w:rStyle w:val="eop"/>
        </w:rPr>
        <w:t>skill</w:t>
      </w:r>
      <w:r w:rsidR="00E03144" w:rsidRPr="00BF49D0">
        <w:rPr>
          <w:rStyle w:val="eop"/>
        </w:rPr>
        <w:t>ed</w:t>
      </w:r>
      <w:r w:rsidR="00C36345" w:rsidRPr="00BF49D0">
        <w:rPr>
          <w:rStyle w:val="eop"/>
        </w:rPr>
        <w:t xml:space="preserve"> workers</w:t>
      </w:r>
      <w:r w:rsidR="00B80EAF" w:rsidRPr="00BF49D0">
        <w:rPr>
          <w:rStyle w:val="eop"/>
        </w:rPr>
        <w:t xml:space="preserve"> to address </w:t>
      </w:r>
      <w:r w:rsidR="009E4DA4" w:rsidRPr="00BF49D0">
        <w:rPr>
          <w:rStyle w:val="eop"/>
        </w:rPr>
        <w:t xml:space="preserve">skills shortages </w:t>
      </w:r>
      <w:r w:rsidR="00644C4B" w:rsidRPr="00BF49D0">
        <w:rPr>
          <w:rStyle w:val="eop"/>
        </w:rPr>
        <w:t xml:space="preserve">in </w:t>
      </w:r>
      <w:r w:rsidR="00124B74" w:rsidRPr="00BF49D0">
        <w:rPr>
          <w:rStyle w:val="eop"/>
        </w:rPr>
        <w:t>the key sectors of construction and ICT</w:t>
      </w:r>
    </w:p>
    <w:p w14:paraId="54E8A923" w14:textId="1B783560" w:rsidR="00453F89" w:rsidRPr="00BF49D0" w:rsidRDefault="00403C38" w:rsidP="007415EF">
      <w:pPr>
        <w:pStyle w:val="Dot-pointlist"/>
        <w:rPr>
          <w:rStyle w:val="eop"/>
        </w:rPr>
      </w:pPr>
      <w:r w:rsidRPr="00BF49D0">
        <w:rPr>
          <w:rStyle w:val="eop"/>
        </w:rPr>
        <w:t>reduce gender segregation and create more diverse construction and ICT workforces in Australia</w:t>
      </w:r>
      <w:r w:rsidR="00124B74" w:rsidRPr="00BF49D0">
        <w:rPr>
          <w:rStyle w:val="eop"/>
        </w:rPr>
        <w:t xml:space="preserve">. </w:t>
      </w:r>
    </w:p>
    <w:p w14:paraId="27865CC5" w14:textId="6F16AF52" w:rsidR="002D0F3B" w:rsidRDefault="002D0F3B" w:rsidP="00CD1E37">
      <w:pPr>
        <w:rPr>
          <w:rStyle w:val="normaltextrun"/>
        </w:rPr>
      </w:pPr>
      <w:r>
        <w:rPr>
          <w:rStyle w:val="normaltextrun"/>
        </w:rPr>
        <w:t xml:space="preserve">Information on </w:t>
      </w:r>
      <w:r w:rsidR="00514121">
        <w:rPr>
          <w:rStyle w:val="normaltextrun"/>
        </w:rPr>
        <w:t xml:space="preserve">the </w:t>
      </w:r>
      <w:r w:rsidR="00516C18">
        <w:rPr>
          <w:rStyle w:val="normaltextrun"/>
        </w:rPr>
        <w:t>department’s approach</w:t>
      </w:r>
      <w:r>
        <w:rPr>
          <w:rStyle w:val="normaltextrun"/>
        </w:rPr>
        <w:t xml:space="preserve"> </w:t>
      </w:r>
      <w:r w:rsidR="00516C18">
        <w:rPr>
          <w:rStyle w:val="normaltextrun"/>
        </w:rPr>
        <w:t>to evaluation</w:t>
      </w:r>
      <w:r>
        <w:rPr>
          <w:rStyle w:val="normaltextrun"/>
        </w:rPr>
        <w:t xml:space="preserve"> </w:t>
      </w:r>
      <w:r w:rsidR="00516C18">
        <w:rPr>
          <w:rStyle w:val="normaltextrun"/>
        </w:rPr>
        <w:t>i</w:t>
      </w:r>
      <w:r>
        <w:rPr>
          <w:rStyle w:val="normaltextrun"/>
        </w:rPr>
        <w:t xml:space="preserve">s provided in </w:t>
      </w:r>
      <w:r w:rsidRPr="002D0F3B">
        <w:rPr>
          <w:rStyle w:val="normaltextrun"/>
          <w:b/>
          <w:bCs/>
        </w:rPr>
        <w:t>Question 7: Evaluation</w:t>
      </w:r>
      <w:r>
        <w:rPr>
          <w:rStyle w:val="normaltextrun"/>
        </w:rPr>
        <w:t xml:space="preserve">. </w:t>
      </w:r>
    </w:p>
    <w:p w14:paraId="29436828" w14:textId="0B466B13" w:rsidR="00E4683D" w:rsidRPr="00BA1366" w:rsidRDefault="00E4683D" w:rsidP="00CD1E37">
      <w:pPr>
        <w:rPr>
          <w:rStyle w:val="normaltextrun"/>
          <w:rFonts w:eastAsiaTheme="minorEastAsia" w:cstheme="minorHAnsi"/>
        </w:rPr>
      </w:pPr>
      <w:r>
        <w:rPr>
          <w:rStyle w:val="normaltextrun"/>
        </w:rPr>
        <w:br w:type="page"/>
      </w:r>
    </w:p>
    <w:p w14:paraId="47EC3AE0" w14:textId="6C9EF5AA" w:rsidR="00632CC1" w:rsidRPr="00676085" w:rsidRDefault="00632CC1" w:rsidP="00676085">
      <w:pPr>
        <w:pStyle w:val="Heading1"/>
        <w:rPr>
          <w:rStyle w:val="normaltextrun"/>
        </w:rPr>
      </w:pPr>
      <w:bookmarkStart w:id="18" w:name="_Toc159246220"/>
      <w:r w:rsidRPr="00676085">
        <w:rPr>
          <w:rStyle w:val="normaltextrun"/>
        </w:rPr>
        <w:lastRenderedPageBreak/>
        <w:t>Question 3: Policy Options</w:t>
      </w:r>
      <w:bookmarkEnd w:id="18"/>
      <w:r w:rsidRPr="00676085">
        <w:rPr>
          <w:rStyle w:val="normaltextrun"/>
        </w:rPr>
        <w:t>  </w:t>
      </w:r>
    </w:p>
    <w:p w14:paraId="2F248BAE" w14:textId="0C67392F" w:rsidR="00AA6B7E" w:rsidRPr="00C07B67" w:rsidRDefault="00AA6B7E" w:rsidP="00676085">
      <w:pPr>
        <w:pStyle w:val="Heading2"/>
      </w:pPr>
      <w:bookmarkStart w:id="19" w:name="_Toc159246221"/>
      <w:r w:rsidRPr="00C07B67">
        <w:rPr>
          <w:rStyle w:val="normaltextrun"/>
        </w:rPr>
        <w:t>Option 1: Take no action and continue with the status quo</w:t>
      </w:r>
      <w:bookmarkEnd w:id="19"/>
      <w:r w:rsidRPr="00C07B67">
        <w:rPr>
          <w:rStyle w:val="normaltextrun"/>
        </w:rPr>
        <w:t> </w:t>
      </w:r>
      <w:r w:rsidRPr="00C07B67">
        <w:rPr>
          <w:rStyle w:val="eop"/>
        </w:rPr>
        <w:t> </w:t>
      </w:r>
    </w:p>
    <w:p w14:paraId="280F6C5A" w14:textId="138E2314" w:rsidR="00AA6B7E" w:rsidRPr="006F7DC3" w:rsidRDefault="00AA6B7E" w:rsidP="0058510D">
      <w:pPr>
        <w:rPr>
          <w:rStyle w:val="eop"/>
          <w:rFonts w:eastAsiaTheme="minorEastAsia" w:cs="Calibri"/>
          <w:color w:val="000000"/>
          <w:shd w:val="clear" w:color="auto" w:fill="FFFFFF"/>
        </w:rPr>
      </w:pPr>
      <w:r w:rsidRPr="006F7DC3">
        <w:rPr>
          <w:rStyle w:val="normaltextrun"/>
          <w:rFonts w:ascii="Calibri" w:hAnsi="Calibri" w:cs="Calibri"/>
          <w:color w:val="000000"/>
          <w:shd w:val="clear" w:color="auto" w:fill="FFFFFF"/>
        </w:rPr>
        <w:t>Under option 1</w:t>
      </w:r>
      <w:r w:rsidR="00887C49">
        <w:rPr>
          <w:rStyle w:val="normaltextrun"/>
          <w:rFonts w:ascii="Calibri" w:hAnsi="Calibri" w:cs="Calibri"/>
          <w:color w:val="000000"/>
          <w:shd w:val="clear" w:color="auto" w:fill="FFFFFF"/>
        </w:rPr>
        <w:t xml:space="preserve">, </w:t>
      </w:r>
      <w:r w:rsidR="004D7B55">
        <w:rPr>
          <w:rStyle w:val="normaltextrun"/>
          <w:rFonts w:ascii="Calibri" w:hAnsi="Calibri" w:cs="Calibri"/>
          <w:color w:val="000000"/>
          <w:shd w:val="clear" w:color="auto" w:fill="FFFFFF"/>
        </w:rPr>
        <w:t>the</w:t>
      </w:r>
      <w:r w:rsidR="00C879BB">
        <w:rPr>
          <w:rStyle w:val="normaltextrun"/>
          <w:rFonts w:ascii="Calibri" w:hAnsi="Calibri" w:cs="Calibri"/>
          <w:color w:val="000000"/>
          <w:shd w:val="clear" w:color="auto" w:fill="FFFFFF"/>
        </w:rPr>
        <w:t xml:space="preserve">re will be no </w:t>
      </w:r>
      <w:r w:rsidR="004D7B55">
        <w:rPr>
          <w:rStyle w:val="normaltextrun"/>
          <w:rFonts w:ascii="Calibri" w:hAnsi="Calibri" w:cs="Calibri"/>
          <w:color w:val="000000"/>
          <w:shd w:val="clear" w:color="auto" w:fill="FFFFFF"/>
        </w:rPr>
        <w:t xml:space="preserve">Government </w:t>
      </w:r>
      <w:r w:rsidR="00C879BB">
        <w:rPr>
          <w:rStyle w:val="normaltextrun"/>
          <w:rFonts w:ascii="Calibri" w:hAnsi="Calibri" w:cs="Calibri"/>
          <w:color w:val="000000"/>
          <w:shd w:val="clear" w:color="auto" w:fill="FFFFFF"/>
        </w:rPr>
        <w:t>intervention</w:t>
      </w:r>
      <w:r w:rsidR="004D7B55">
        <w:rPr>
          <w:rStyle w:val="normaltextrun"/>
          <w:rFonts w:ascii="Calibri" w:hAnsi="Calibri" w:cs="Calibri"/>
          <w:color w:val="000000"/>
          <w:shd w:val="clear" w:color="auto" w:fill="FFFFFF"/>
        </w:rPr>
        <w:t xml:space="preserve">, leaving the </w:t>
      </w:r>
      <w:r w:rsidR="00887C49">
        <w:rPr>
          <w:rStyle w:val="normaltextrun"/>
          <w:rFonts w:ascii="Calibri" w:hAnsi="Calibri" w:cs="Calibri"/>
          <w:color w:val="000000"/>
          <w:shd w:val="clear" w:color="auto" w:fill="FFFFFF"/>
        </w:rPr>
        <w:t xml:space="preserve">industry </w:t>
      </w:r>
      <w:r w:rsidR="004D7B55">
        <w:rPr>
          <w:rStyle w:val="normaltextrun"/>
          <w:rFonts w:ascii="Calibri" w:hAnsi="Calibri" w:cs="Calibri"/>
          <w:color w:val="000000"/>
          <w:shd w:val="clear" w:color="auto" w:fill="FFFFFF"/>
        </w:rPr>
        <w:t xml:space="preserve">to address the problems outlined under </w:t>
      </w:r>
      <w:r w:rsidR="004D7B55" w:rsidRPr="003961F1">
        <w:rPr>
          <w:rStyle w:val="normaltextrun"/>
          <w:rFonts w:ascii="Calibri" w:hAnsi="Calibri" w:cs="Calibri"/>
          <w:b/>
          <w:color w:val="000000"/>
          <w:shd w:val="clear" w:color="auto" w:fill="FFFFFF"/>
        </w:rPr>
        <w:t>Question 1</w:t>
      </w:r>
      <w:r w:rsidR="004D7B55">
        <w:rPr>
          <w:rStyle w:val="normaltextrun"/>
          <w:rFonts w:ascii="Calibri" w:hAnsi="Calibri" w:cs="Calibri"/>
          <w:color w:val="000000"/>
          <w:shd w:val="clear" w:color="auto" w:fill="FFFFFF"/>
        </w:rPr>
        <w:t>.</w:t>
      </w:r>
      <w:r w:rsidR="00BF61F4">
        <w:rPr>
          <w:rStyle w:val="normaltextrun"/>
          <w:rFonts w:ascii="Calibri" w:hAnsi="Calibri" w:cs="Calibri"/>
          <w:color w:val="000000"/>
          <w:shd w:val="clear" w:color="auto" w:fill="FFFFFF"/>
        </w:rPr>
        <w:t xml:space="preserve"> </w:t>
      </w:r>
      <w:r w:rsidR="004D7B55">
        <w:rPr>
          <w:rStyle w:val="normaltextrun"/>
          <w:rFonts w:ascii="Calibri" w:hAnsi="Calibri" w:cs="Calibri"/>
          <w:color w:val="000000"/>
          <w:shd w:val="clear" w:color="auto" w:fill="FFFFFF"/>
        </w:rPr>
        <w:t>T</w:t>
      </w:r>
      <w:r w:rsidRPr="006F7DC3">
        <w:rPr>
          <w:rStyle w:val="normaltextrun"/>
          <w:rFonts w:ascii="Calibri" w:hAnsi="Calibri" w:cs="Calibri"/>
          <w:color w:val="000000"/>
          <w:shd w:val="clear" w:color="auto" w:fill="FFFFFF"/>
        </w:rPr>
        <w:t xml:space="preserve">here will not be any targets for apprentices, trainees and </w:t>
      </w:r>
      <w:r w:rsidR="006D0490">
        <w:rPr>
          <w:rStyle w:val="normaltextrun"/>
          <w:rFonts w:ascii="Calibri" w:hAnsi="Calibri" w:cs="Calibri"/>
          <w:color w:val="000000"/>
          <w:shd w:val="clear" w:color="auto" w:fill="FFFFFF"/>
        </w:rPr>
        <w:t xml:space="preserve">ICT </w:t>
      </w:r>
      <w:r w:rsidRPr="006F7DC3">
        <w:rPr>
          <w:rStyle w:val="normaltextrun"/>
          <w:rFonts w:ascii="Calibri" w:hAnsi="Calibri" w:cs="Calibri"/>
          <w:color w:val="000000"/>
          <w:shd w:val="clear" w:color="auto" w:fill="FFFFFF"/>
        </w:rPr>
        <w:t>cadets applied to major projects that are funded exclusively by the Australian Government.</w:t>
      </w:r>
      <w:r w:rsidRPr="006F7DC3">
        <w:rPr>
          <w:rStyle w:val="eop"/>
          <w:rFonts w:eastAsiaTheme="minorEastAsia" w:cs="Calibri"/>
          <w:color w:val="000000"/>
          <w:shd w:val="clear" w:color="auto" w:fill="FFFFFF"/>
        </w:rPr>
        <w:t> </w:t>
      </w:r>
    </w:p>
    <w:p w14:paraId="2EB7B6BE" w14:textId="3E9E2EEC" w:rsidR="00A50E81" w:rsidRDefault="00B22D7E" w:rsidP="0058510D">
      <w:r>
        <w:t xml:space="preserve">Noting that the Government has a range of initiatives underway to tackle the contributing factors and barriers to apprenticeship </w:t>
      </w:r>
      <w:r w:rsidR="00084F5A">
        <w:t>commencements and completions, u</w:t>
      </w:r>
      <w:r w:rsidR="00AA6B7E" w:rsidRPr="009B6DA1">
        <w:t xml:space="preserve">nder </w:t>
      </w:r>
      <w:r w:rsidR="00084F5A">
        <w:t xml:space="preserve">option 1 </w:t>
      </w:r>
      <w:r w:rsidR="00AA6B7E" w:rsidRPr="009B6DA1">
        <w:t xml:space="preserve">the department </w:t>
      </w:r>
      <w:r w:rsidR="00797357" w:rsidRPr="009B6DA1">
        <w:t xml:space="preserve">does not expect the </w:t>
      </w:r>
      <w:r w:rsidR="00AA6B7E" w:rsidRPr="009B6DA1">
        <w:t xml:space="preserve">total </w:t>
      </w:r>
      <w:r w:rsidR="00F771E3" w:rsidRPr="009B6DA1">
        <w:t xml:space="preserve">number of </w:t>
      </w:r>
      <w:r w:rsidR="00AA6B7E" w:rsidRPr="009B6DA1">
        <w:t xml:space="preserve">apprentices and trainees in construction that are women </w:t>
      </w:r>
      <w:r w:rsidR="00F771E3" w:rsidRPr="009B6DA1">
        <w:t>to increase</w:t>
      </w:r>
      <w:r w:rsidR="008C22E8">
        <w:t xml:space="preserve"> substantively</w:t>
      </w:r>
      <w:r w:rsidR="00852CB5" w:rsidRPr="001F555E">
        <w:t>.</w:t>
      </w:r>
      <w:r w:rsidR="008C22E8" w:rsidRPr="001F555E">
        <w:t xml:space="preserve"> There may </w:t>
      </w:r>
      <w:r w:rsidR="003A29F6">
        <w:t xml:space="preserve">also </w:t>
      </w:r>
      <w:r w:rsidR="008C22E8" w:rsidRPr="001F555E">
        <w:t xml:space="preserve">be some limited </w:t>
      </w:r>
      <w:r w:rsidR="008D0BB2" w:rsidRPr="001F555E">
        <w:t xml:space="preserve">increase to </w:t>
      </w:r>
      <w:r w:rsidR="009A2D47" w:rsidRPr="001F555E">
        <w:t xml:space="preserve">the number of </w:t>
      </w:r>
      <w:r w:rsidR="003A29F6">
        <w:t xml:space="preserve">women </w:t>
      </w:r>
      <w:r w:rsidR="00EE1B7D" w:rsidRPr="009B6DA1">
        <w:t xml:space="preserve">apprentices and trainees in construction </w:t>
      </w:r>
      <w:r w:rsidR="009A2D47" w:rsidRPr="001F555E">
        <w:t>due to</w:t>
      </w:r>
      <w:r w:rsidR="008C22E8" w:rsidRPr="001F555E">
        <w:t xml:space="preserve"> </w:t>
      </w:r>
      <w:r w:rsidR="003E37A1" w:rsidRPr="001F555E">
        <w:t xml:space="preserve">other initiatives. </w:t>
      </w:r>
      <w:r w:rsidR="007266A5">
        <w:t xml:space="preserve"> </w:t>
      </w:r>
    </w:p>
    <w:p w14:paraId="1C605691" w14:textId="52AF6B64" w:rsidR="00764DCF" w:rsidRPr="006D0490" w:rsidRDefault="00616C14" w:rsidP="0058510D">
      <w:r w:rsidRPr="177BCC9F">
        <w:rPr>
          <w:b/>
        </w:rPr>
        <w:t xml:space="preserve">Table </w:t>
      </w:r>
      <w:r w:rsidR="1471D6C6" w:rsidRPr="009B6DA1">
        <w:rPr>
          <w:b/>
        </w:rPr>
        <w:t>3</w:t>
      </w:r>
      <w:r>
        <w:t xml:space="preserve"> shows </w:t>
      </w:r>
      <w:r w:rsidR="00760C78">
        <w:t xml:space="preserve">the percentage of apprentices </w:t>
      </w:r>
      <w:r w:rsidR="007F589C">
        <w:t xml:space="preserve">in construction </w:t>
      </w:r>
      <w:r w:rsidR="00760C78">
        <w:t xml:space="preserve">that were women </w:t>
      </w:r>
      <w:r w:rsidR="009D79EC">
        <w:t xml:space="preserve">and the percentage of apprentices in construction that were women in trade roles </w:t>
      </w:r>
      <w:r w:rsidR="00760C78">
        <w:t xml:space="preserve">over the </w:t>
      </w:r>
      <w:r>
        <w:t>last 6 years</w:t>
      </w:r>
      <w:r w:rsidR="00760C78">
        <w:t xml:space="preserve">. </w:t>
      </w:r>
      <w:r>
        <w:t xml:space="preserve"> </w:t>
      </w:r>
    </w:p>
    <w:p w14:paraId="08926106" w14:textId="2FBA0095" w:rsidR="007F589C" w:rsidRPr="006D0490" w:rsidRDefault="007F589C" w:rsidP="00015CD7">
      <w:pPr>
        <w:pStyle w:val="Caption"/>
      </w:pPr>
      <w:r w:rsidRPr="006D0490">
        <w:t xml:space="preserve">Table </w:t>
      </w:r>
      <w:r w:rsidR="00844C3B" w:rsidRPr="00A7443C">
        <w:t>3</w:t>
      </w:r>
      <w:r w:rsidRPr="006D0490">
        <w:t>.</w:t>
      </w:r>
      <w:r w:rsidR="00015CD7" w:rsidRPr="006D0490">
        <w:t xml:space="preserve"> Percentage of apprentices in construction that were women</w:t>
      </w:r>
      <w:r w:rsidR="00015CD7" w:rsidRPr="006D0490">
        <w:rPr>
          <w:rStyle w:val="FootnoteReference"/>
        </w:rPr>
        <w:footnoteReference w:id="61"/>
      </w:r>
    </w:p>
    <w:tbl>
      <w:tblPr>
        <w:tblStyle w:val="TableGrid5"/>
        <w:tblW w:w="0" w:type="auto"/>
        <w:tblLook w:val="04A0" w:firstRow="1" w:lastRow="0" w:firstColumn="1" w:lastColumn="0" w:noHBand="0" w:noVBand="1"/>
      </w:tblPr>
      <w:tblGrid>
        <w:gridCol w:w="2674"/>
        <w:gridCol w:w="3105"/>
        <w:gridCol w:w="3403"/>
      </w:tblGrid>
      <w:tr w:rsidR="00172B84" w:rsidRPr="003C1655" w14:paraId="42C10072" w14:textId="77777777" w:rsidTr="0079709B">
        <w:trPr>
          <w:tblHeader/>
        </w:trPr>
        <w:tc>
          <w:tcPr>
            <w:tcW w:w="2674" w:type="dxa"/>
            <w:shd w:val="clear" w:color="auto" w:fill="404246"/>
          </w:tcPr>
          <w:p w14:paraId="314BCDBF" w14:textId="15C99720" w:rsidR="00172B84" w:rsidRPr="00784B47" w:rsidRDefault="00F725E3" w:rsidP="00C94F35">
            <w:pPr>
              <w:spacing w:before="120" w:after="120" w:line="240" w:lineRule="auto"/>
              <w:rPr>
                <w:color w:val="FFFFFF" w:themeColor="background1"/>
              </w:rPr>
            </w:pPr>
            <w:r w:rsidRPr="00784B47">
              <w:rPr>
                <w:color w:val="FFFFFF" w:themeColor="background1"/>
              </w:rPr>
              <w:t xml:space="preserve">Financial year, </w:t>
            </w:r>
            <w:r w:rsidR="00972FFD" w:rsidRPr="00784B47">
              <w:rPr>
                <w:color w:val="FFFFFF" w:themeColor="background1"/>
              </w:rPr>
              <w:t>Quarter 4</w:t>
            </w:r>
          </w:p>
        </w:tc>
        <w:tc>
          <w:tcPr>
            <w:tcW w:w="3105" w:type="dxa"/>
            <w:shd w:val="clear" w:color="auto" w:fill="404246"/>
          </w:tcPr>
          <w:p w14:paraId="4420F393" w14:textId="56842B84" w:rsidR="00172B84" w:rsidRPr="00784B47" w:rsidRDefault="008240EC" w:rsidP="00C94F35">
            <w:pPr>
              <w:spacing w:before="120" w:after="120" w:line="240" w:lineRule="auto"/>
              <w:rPr>
                <w:color w:val="FFFFFF" w:themeColor="background1"/>
              </w:rPr>
            </w:pPr>
            <w:r w:rsidRPr="00784B47">
              <w:rPr>
                <w:color w:val="FFFFFF" w:themeColor="background1"/>
              </w:rPr>
              <w:t>Women in construction apprenticeship roles</w:t>
            </w:r>
          </w:p>
        </w:tc>
        <w:tc>
          <w:tcPr>
            <w:tcW w:w="3403" w:type="dxa"/>
            <w:shd w:val="clear" w:color="auto" w:fill="404246"/>
          </w:tcPr>
          <w:p w14:paraId="3F2D2A6A" w14:textId="1FFE8B66" w:rsidR="00172B84" w:rsidRPr="00784B47" w:rsidRDefault="008240EC" w:rsidP="00C94F35">
            <w:pPr>
              <w:spacing w:before="120" w:after="120" w:line="240" w:lineRule="auto"/>
              <w:rPr>
                <w:color w:val="FFFFFF" w:themeColor="background1"/>
              </w:rPr>
            </w:pPr>
            <w:r w:rsidRPr="00784B47">
              <w:rPr>
                <w:color w:val="FFFFFF" w:themeColor="background1"/>
              </w:rPr>
              <w:t>Women in trade apprenticeship roles</w:t>
            </w:r>
          </w:p>
        </w:tc>
      </w:tr>
      <w:tr w:rsidR="00172B84" w:rsidRPr="003C1655" w14:paraId="4F715E27" w14:textId="77777777" w:rsidTr="0079709B">
        <w:tc>
          <w:tcPr>
            <w:tcW w:w="2674" w:type="dxa"/>
          </w:tcPr>
          <w:p w14:paraId="013AEA63" w14:textId="7D60E539" w:rsidR="00172B84" w:rsidRPr="006D0490" w:rsidRDefault="00972FFD" w:rsidP="00C94F35">
            <w:pPr>
              <w:spacing w:before="120" w:after="120" w:line="240" w:lineRule="auto"/>
            </w:pPr>
            <w:r w:rsidRPr="006D0490">
              <w:t>2018</w:t>
            </w:r>
          </w:p>
        </w:tc>
        <w:tc>
          <w:tcPr>
            <w:tcW w:w="3105" w:type="dxa"/>
          </w:tcPr>
          <w:p w14:paraId="4C3E8AB1" w14:textId="6874D50B" w:rsidR="00172B84" w:rsidRPr="006D0490" w:rsidRDefault="00FA3917" w:rsidP="00C94F35">
            <w:pPr>
              <w:spacing w:before="120" w:after="120" w:line="240" w:lineRule="auto"/>
              <w:jc w:val="center"/>
            </w:pPr>
            <w:r w:rsidRPr="006D0490">
              <w:t>2.7%</w:t>
            </w:r>
          </w:p>
        </w:tc>
        <w:tc>
          <w:tcPr>
            <w:tcW w:w="3403" w:type="dxa"/>
          </w:tcPr>
          <w:p w14:paraId="165B8105" w14:textId="2C033289" w:rsidR="00172B84" w:rsidRPr="006D0490" w:rsidRDefault="001374B7" w:rsidP="00C94F35">
            <w:pPr>
              <w:spacing w:before="120" w:after="120" w:line="240" w:lineRule="auto"/>
              <w:jc w:val="center"/>
            </w:pPr>
            <w:r w:rsidRPr="006D0490">
              <w:t>1.7%</w:t>
            </w:r>
          </w:p>
        </w:tc>
      </w:tr>
      <w:tr w:rsidR="00172B84" w:rsidRPr="003C1655" w14:paraId="1440AC45" w14:textId="77777777" w:rsidTr="0079709B">
        <w:tc>
          <w:tcPr>
            <w:tcW w:w="2674" w:type="dxa"/>
          </w:tcPr>
          <w:p w14:paraId="4B35E6FE" w14:textId="7F820585" w:rsidR="00172B84" w:rsidRPr="006D0490" w:rsidRDefault="00972FFD" w:rsidP="00C94F35">
            <w:pPr>
              <w:spacing w:before="120" w:after="120" w:line="240" w:lineRule="auto"/>
            </w:pPr>
            <w:r w:rsidRPr="006D0490">
              <w:t>2019</w:t>
            </w:r>
          </w:p>
        </w:tc>
        <w:tc>
          <w:tcPr>
            <w:tcW w:w="3105" w:type="dxa"/>
          </w:tcPr>
          <w:p w14:paraId="6DEB7C88" w14:textId="7A54FE78" w:rsidR="00172B84" w:rsidRPr="006D0490" w:rsidRDefault="00FA3917" w:rsidP="00C94F35">
            <w:pPr>
              <w:spacing w:before="120" w:after="120" w:line="240" w:lineRule="auto"/>
              <w:jc w:val="center"/>
            </w:pPr>
            <w:r w:rsidRPr="006D0490">
              <w:t>2.8%</w:t>
            </w:r>
          </w:p>
        </w:tc>
        <w:tc>
          <w:tcPr>
            <w:tcW w:w="3403" w:type="dxa"/>
          </w:tcPr>
          <w:p w14:paraId="7E155A93" w14:textId="20840ED8" w:rsidR="00172B84" w:rsidRPr="006D0490" w:rsidRDefault="001374B7" w:rsidP="00C94F35">
            <w:pPr>
              <w:spacing w:before="120" w:after="120" w:line="240" w:lineRule="auto"/>
              <w:jc w:val="center"/>
            </w:pPr>
            <w:r w:rsidRPr="006D0490">
              <w:t>1.9%</w:t>
            </w:r>
          </w:p>
        </w:tc>
      </w:tr>
      <w:tr w:rsidR="00172B84" w:rsidRPr="003C1655" w14:paraId="242FC3C4" w14:textId="77777777" w:rsidTr="0079709B">
        <w:tc>
          <w:tcPr>
            <w:tcW w:w="2674" w:type="dxa"/>
          </w:tcPr>
          <w:p w14:paraId="101D9814" w14:textId="72C9F45C" w:rsidR="00172B84" w:rsidRPr="006D0490" w:rsidRDefault="00972FFD" w:rsidP="00C94F35">
            <w:pPr>
              <w:spacing w:before="120" w:after="120" w:line="240" w:lineRule="auto"/>
            </w:pPr>
            <w:r w:rsidRPr="006D0490">
              <w:t>2020</w:t>
            </w:r>
          </w:p>
        </w:tc>
        <w:tc>
          <w:tcPr>
            <w:tcW w:w="3105" w:type="dxa"/>
          </w:tcPr>
          <w:p w14:paraId="5A5FF5E8" w14:textId="1CE17EEE" w:rsidR="00172B84" w:rsidRPr="006D0490" w:rsidRDefault="00FA3917" w:rsidP="00C94F35">
            <w:pPr>
              <w:spacing w:before="120" w:after="120" w:line="240" w:lineRule="auto"/>
              <w:jc w:val="center"/>
            </w:pPr>
            <w:r w:rsidRPr="006D0490">
              <w:t>3.1%</w:t>
            </w:r>
          </w:p>
        </w:tc>
        <w:tc>
          <w:tcPr>
            <w:tcW w:w="3403" w:type="dxa"/>
          </w:tcPr>
          <w:p w14:paraId="2E69996D" w14:textId="251E0A79" w:rsidR="00172B84" w:rsidRPr="006D0490" w:rsidRDefault="001374B7" w:rsidP="00C94F35">
            <w:pPr>
              <w:spacing w:before="120" w:after="120" w:line="240" w:lineRule="auto"/>
              <w:jc w:val="center"/>
            </w:pPr>
            <w:r w:rsidRPr="006D0490">
              <w:t>2.2%</w:t>
            </w:r>
          </w:p>
        </w:tc>
      </w:tr>
      <w:tr w:rsidR="00172B84" w:rsidRPr="003C1655" w14:paraId="6DB52BD0" w14:textId="77777777" w:rsidTr="0079709B">
        <w:tc>
          <w:tcPr>
            <w:tcW w:w="2674" w:type="dxa"/>
          </w:tcPr>
          <w:p w14:paraId="5775EF86" w14:textId="19AB7565" w:rsidR="00172B84" w:rsidRPr="006D0490" w:rsidRDefault="00972FFD" w:rsidP="00C94F35">
            <w:pPr>
              <w:spacing w:before="120" w:after="120" w:line="240" w:lineRule="auto"/>
            </w:pPr>
            <w:r w:rsidRPr="006D0490">
              <w:t>2021</w:t>
            </w:r>
          </w:p>
        </w:tc>
        <w:tc>
          <w:tcPr>
            <w:tcW w:w="3105" w:type="dxa"/>
          </w:tcPr>
          <w:p w14:paraId="6272BFCB" w14:textId="76CF19BE" w:rsidR="00172B84" w:rsidRPr="006D0490" w:rsidRDefault="00FA3917" w:rsidP="00C94F35">
            <w:pPr>
              <w:spacing w:before="120" w:after="120" w:line="240" w:lineRule="auto"/>
              <w:jc w:val="center"/>
            </w:pPr>
            <w:r w:rsidRPr="006D0490">
              <w:t>4.2%</w:t>
            </w:r>
          </w:p>
        </w:tc>
        <w:tc>
          <w:tcPr>
            <w:tcW w:w="3403" w:type="dxa"/>
          </w:tcPr>
          <w:p w14:paraId="6734BFF6" w14:textId="256B7CB1" w:rsidR="00172B84" w:rsidRPr="006D0490" w:rsidRDefault="00483A3A" w:rsidP="00C94F35">
            <w:pPr>
              <w:spacing w:before="120" w:after="120" w:line="240" w:lineRule="auto"/>
              <w:jc w:val="center"/>
            </w:pPr>
            <w:r w:rsidRPr="006D0490">
              <w:t>2.6%</w:t>
            </w:r>
          </w:p>
        </w:tc>
      </w:tr>
      <w:tr w:rsidR="00172B84" w:rsidRPr="003C1655" w14:paraId="6BC62492" w14:textId="77777777" w:rsidTr="0079709B">
        <w:tc>
          <w:tcPr>
            <w:tcW w:w="2674" w:type="dxa"/>
          </w:tcPr>
          <w:p w14:paraId="5A5EB688" w14:textId="6289ED62" w:rsidR="00172B84" w:rsidRPr="006D0490" w:rsidRDefault="00972FFD" w:rsidP="00C94F35">
            <w:pPr>
              <w:spacing w:before="120" w:after="120" w:line="240" w:lineRule="auto"/>
            </w:pPr>
            <w:r w:rsidRPr="006D0490">
              <w:t>2022</w:t>
            </w:r>
          </w:p>
        </w:tc>
        <w:tc>
          <w:tcPr>
            <w:tcW w:w="3105" w:type="dxa"/>
          </w:tcPr>
          <w:p w14:paraId="7E8D75DD" w14:textId="7B8584F6" w:rsidR="00172B84" w:rsidRPr="006D0490" w:rsidRDefault="001374B7" w:rsidP="00C94F35">
            <w:pPr>
              <w:spacing w:before="120" w:after="120" w:line="240" w:lineRule="auto"/>
              <w:jc w:val="center"/>
            </w:pPr>
            <w:r w:rsidRPr="006D0490">
              <w:t>5.2%</w:t>
            </w:r>
          </w:p>
        </w:tc>
        <w:tc>
          <w:tcPr>
            <w:tcW w:w="3403" w:type="dxa"/>
          </w:tcPr>
          <w:p w14:paraId="13EFA629" w14:textId="05F3BAB2" w:rsidR="00172B84" w:rsidRPr="006D0490" w:rsidRDefault="00483A3A" w:rsidP="00C94F35">
            <w:pPr>
              <w:spacing w:before="120" w:after="120" w:line="240" w:lineRule="auto"/>
              <w:jc w:val="center"/>
            </w:pPr>
            <w:r w:rsidRPr="006D0490">
              <w:t>3.3%</w:t>
            </w:r>
          </w:p>
        </w:tc>
      </w:tr>
      <w:tr w:rsidR="00172B84" w:rsidRPr="003C1655" w14:paraId="77627E2E" w14:textId="77777777" w:rsidTr="0079709B">
        <w:tc>
          <w:tcPr>
            <w:tcW w:w="2674" w:type="dxa"/>
          </w:tcPr>
          <w:p w14:paraId="2B75DF4A" w14:textId="7C3F597B" w:rsidR="00172B84" w:rsidRPr="006D0490" w:rsidRDefault="00972FFD" w:rsidP="00C94F35">
            <w:pPr>
              <w:spacing w:before="120" w:after="120" w:line="240" w:lineRule="auto"/>
            </w:pPr>
            <w:r w:rsidRPr="006D0490">
              <w:t>2023</w:t>
            </w:r>
          </w:p>
        </w:tc>
        <w:tc>
          <w:tcPr>
            <w:tcW w:w="3105" w:type="dxa"/>
          </w:tcPr>
          <w:p w14:paraId="6403E33C" w14:textId="2792D6D2" w:rsidR="00172B84" w:rsidRPr="006D0490" w:rsidRDefault="000921C2" w:rsidP="00C94F35">
            <w:pPr>
              <w:spacing w:before="120" w:after="120" w:line="240" w:lineRule="auto"/>
              <w:jc w:val="center"/>
            </w:pPr>
            <w:r w:rsidRPr="006D0490">
              <w:t>4.9%</w:t>
            </w:r>
          </w:p>
        </w:tc>
        <w:tc>
          <w:tcPr>
            <w:tcW w:w="3403" w:type="dxa"/>
          </w:tcPr>
          <w:p w14:paraId="04316E56" w14:textId="336EC4FC" w:rsidR="00172B84" w:rsidRPr="006D0490" w:rsidRDefault="00483A3A" w:rsidP="00C94F35">
            <w:pPr>
              <w:spacing w:before="120" w:after="120" w:line="240" w:lineRule="auto"/>
              <w:jc w:val="center"/>
            </w:pPr>
            <w:r w:rsidRPr="006D0490">
              <w:t>3.5%</w:t>
            </w:r>
          </w:p>
        </w:tc>
      </w:tr>
    </w:tbl>
    <w:p w14:paraId="1D2D3872" w14:textId="76CA71B4" w:rsidR="001F498B" w:rsidRPr="009B6DA1" w:rsidRDefault="00172B84" w:rsidP="0058510D">
      <w:r>
        <w:br/>
      </w:r>
      <w:r w:rsidR="001F498B">
        <w:t xml:space="preserve">As </w:t>
      </w:r>
      <w:r w:rsidR="00D75356" w:rsidRPr="177BCC9F">
        <w:rPr>
          <w:b/>
        </w:rPr>
        <w:t>T</w:t>
      </w:r>
      <w:r w:rsidR="001F498B" w:rsidRPr="177BCC9F">
        <w:rPr>
          <w:b/>
        </w:rPr>
        <w:t xml:space="preserve">able </w:t>
      </w:r>
      <w:r w:rsidR="1471D6C6" w:rsidRPr="009B6DA1">
        <w:rPr>
          <w:b/>
        </w:rPr>
        <w:t>3</w:t>
      </w:r>
      <w:r w:rsidR="00D75356">
        <w:t xml:space="preserve"> </w:t>
      </w:r>
      <w:r w:rsidR="001F498B">
        <w:t>shows, despite the increase in women in construction apprenticeship and trade apprenticeship roles</w:t>
      </w:r>
      <w:r w:rsidR="00C34DEB">
        <w:t xml:space="preserve"> since 2018</w:t>
      </w:r>
      <w:r w:rsidR="001F498B">
        <w:t xml:space="preserve">, the </w:t>
      </w:r>
      <w:r w:rsidR="002B24EF">
        <w:t>percentages</w:t>
      </w:r>
      <w:r w:rsidR="00EB6508">
        <w:t xml:space="preserve"> represent a very small proportion of apprentices in construction. </w:t>
      </w:r>
      <w:r w:rsidR="00C17366" w:rsidRPr="009B6DA1">
        <w:t xml:space="preserve">The 2022 and 2023 figures suggest </w:t>
      </w:r>
      <w:r w:rsidR="00053068" w:rsidRPr="009B6DA1">
        <w:t xml:space="preserve">that </w:t>
      </w:r>
      <w:r w:rsidR="00F26F39" w:rsidRPr="009B6DA1">
        <w:t>the rates have pla</w:t>
      </w:r>
      <w:r w:rsidR="00C17366" w:rsidRPr="009B6DA1">
        <w:t>teaued and</w:t>
      </w:r>
      <w:r w:rsidR="00817482" w:rsidRPr="009B6DA1">
        <w:t>,</w:t>
      </w:r>
      <w:r w:rsidR="00C17366" w:rsidRPr="009B6DA1">
        <w:t xml:space="preserve"> </w:t>
      </w:r>
      <w:r w:rsidR="00053068" w:rsidRPr="009B6DA1">
        <w:t>with</w:t>
      </w:r>
      <w:r w:rsidR="00B938E0" w:rsidRPr="009B6DA1">
        <w:t>out</w:t>
      </w:r>
      <w:r w:rsidR="00053068" w:rsidRPr="009B6DA1">
        <w:t xml:space="preserve"> intervention, will</w:t>
      </w:r>
      <w:r w:rsidR="002B24EF" w:rsidRPr="009B6DA1">
        <w:t xml:space="preserve"> not</w:t>
      </w:r>
      <w:r w:rsidR="00D75356" w:rsidRPr="009B6DA1">
        <w:t xml:space="preserve"> increas</w:t>
      </w:r>
      <w:r w:rsidR="00053068" w:rsidRPr="009B6DA1">
        <w:t>e</w:t>
      </w:r>
      <w:r w:rsidR="00AD1DB2" w:rsidRPr="009B6DA1">
        <w:t xml:space="preserve"> enough to effectively address the problems outlined under </w:t>
      </w:r>
      <w:r w:rsidR="00AD1DB2" w:rsidRPr="009B6DA1">
        <w:rPr>
          <w:b/>
        </w:rPr>
        <w:t>Question 1</w:t>
      </w:r>
      <w:r w:rsidR="00D75356" w:rsidRPr="009B6DA1">
        <w:t xml:space="preserve">. </w:t>
      </w:r>
    </w:p>
    <w:p w14:paraId="72BC7FE0" w14:textId="557AE45B" w:rsidR="00AA6B7E" w:rsidRPr="006F7DC3" w:rsidRDefault="002B58AB" w:rsidP="0058510D">
      <w:r w:rsidRPr="009B6DA1">
        <w:t xml:space="preserve">The department </w:t>
      </w:r>
      <w:r w:rsidR="473082F6">
        <w:t xml:space="preserve">anticipates it would be </w:t>
      </w:r>
      <w:r w:rsidR="0FAECD63">
        <w:t>reasonable to expect</w:t>
      </w:r>
      <w:r w:rsidRPr="009B6DA1">
        <w:t xml:space="preserve"> that</w:t>
      </w:r>
      <w:r w:rsidR="00AA6B7E" w:rsidRPr="009B6DA1">
        <w:t xml:space="preserve">, without intervention, the construction industry will continue to </w:t>
      </w:r>
      <w:r w:rsidR="00DF4B61" w:rsidRPr="009B6DA1">
        <w:t xml:space="preserve">experience </w:t>
      </w:r>
      <w:r w:rsidR="007D2C32" w:rsidRPr="009B6DA1">
        <w:t>skills shortages</w:t>
      </w:r>
      <w:r w:rsidR="00AA6B7E" w:rsidRPr="009B6DA1">
        <w:t xml:space="preserve"> </w:t>
      </w:r>
      <w:r w:rsidR="005974BB" w:rsidRPr="009B6DA1">
        <w:t>and</w:t>
      </w:r>
      <w:r w:rsidR="00AA6B7E" w:rsidRPr="009B6DA1">
        <w:t xml:space="preserve"> remain gender segregated and </w:t>
      </w:r>
      <w:r w:rsidR="005974BB">
        <w:t>therefore</w:t>
      </w:r>
      <w:r w:rsidR="00AA6B7E" w:rsidRPr="009B6DA1">
        <w:t xml:space="preserve"> more susceptible to skills shortages than other industries – resulting in a continuation of the problems outlined under </w:t>
      </w:r>
      <w:r w:rsidR="00AA6B7E" w:rsidRPr="009B6DA1">
        <w:rPr>
          <w:b/>
        </w:rPr>
        <w:t>Question 1</w:t>
      </w:r>
      <w:r w:rsidR="00AA6B7E" w:rsidRPr="009B6DA1">
        <w:t>.</w:t>
      </w:r>
      <w:r w:rsidR="00AA6B7E" w:rsidRPr="006F7DC3">
        <w:t xml:space="preserve"> </w:t>
      </w:r>
    </w:p>
    <w:p w14:paraId="1860821A" w14:textId="5896BBBD" w:rsidR="00985047" w:rsidRPr="006F7DC3" w:rsidRDefault="00223569" w:rsidP="000E614C">
      <w:r>
        <w:t xml:space="preserve">The department does not foresee the status quo </w:t>
      </w:r>
      <w:r w:rsidR="007045BD">
        <w:t>addressing the objective</w:t>
      </w:r>
      <w:r w:rsidR="00487138">
        <w:t>s</w:t>
      </w:r>
      <w:r w:rsidR="007045BD">
        <w:t xml:space="preserve"> outlined </w:t>
      </w:r>
      <w:r w:rsidR="00492214">
        <w:t xml:space="preserve">under </w:t>
      </w:r>
      <w:r w:rsidR="00492214" w:rsidRPr="003961F1">
        <w:rPr>
          <w:b/>
        </w:rPr>
        <w:t>Question 2</w:t>
      </w:r>
      <w:r w:rsidR="00492214">
        <w:t>,</w:t>
      </w:r>
      <w:r w:rsidR="007045BD">
        <w:t xml:space="preserve"> </w:t>
      </w:r>
      <w:r w:rsidR="00410F8A">
        <w:t>as it will</w:t>
      </w:r>
      <w:r w:rsidR="00DB5791">
        <w:t>:</w:t>
      </w:r>
      <w:r w:rsidR="00410F8A">
        <w:t xml:space="preserve"> not </w:t>
      </w:r>
      <w:r>
        <w:t>increas</w:t>
      </w:r>
      <w:r w:rsidR="00410F8A">
        <w:t>e</w:t>
      </w:r>
      <w:r>
        <w:t xml:space="preserve"> e</w:t>
      </w:r>
      <w:r w:rsidRPr="00223569">
        <w:t>ntry level pathways</w:t>
      </w:r>
      <w:r w:rsidR="004A2783">
        <w:t>;</w:t>
      </w:r>
      <w:r w:rsidR="00BC2AFB">
        <w:t xml:space="preserve"> </w:t>
      </w:r>
      <w:r w:rsidR="00487138">
        <w:t xml:space="preserve">not </w:t>
      </w:r>
      <w:r w:rsidR="00BC2AFB">
        <w:t>increa</w:t>
      </w:r>
      <w:r w:rsidR="00410F8A">
        <w:t>se</w:t>
      </w:r>
      <w:r w:rsidRPr="00223569">
        <w:t xml:space="preserve"> commencement rates for apprentices, trainees</w:t>
      </w:r>
      <w:r w:rsidR="006D0490">
        <w:t>,</w:t>
      </w:r>
      <w:r w:rsidRPr="00223569">
        <w:t xml:space="preserve"> and ICT cadets</w:t>
      </w:r>
      <w:r w:rsidR="00DB5791">
        <w:t>;</w:t>
      </w:r>
      <w:r w:rsidR="00FB1309">
        <w:t xml:space="preserve"> </w:t>
      </w:r>
      <w:r w:rsidR="00487138">
        <w:t>and will not</w:t>
      </w:r>
      <w:r w:rsidR="00FB1309">
        <w:t xml:space="preserve"> reduc</w:t>
      </w:r>
      <w:r w:rsidR="00410F8A">
        <w:t>e</w:t>
      </w:r>
      <w:r w:rsidRPr="00223569">
        <w:t xml:space="preserve"> the current and future skills shortages in the construction </w:t>
      </w:r>
      <w:r w:rsidRPr="00223569">
        <w:lastRenderedPageBreak/>
        <w:t xml:space="preserve">and ICT sectors, including </w:t>
      </w:r>
      <w:r w:rsidR="00FB1309">
        <w:t xml:space="preserve">by </w:t>
      </w:r>
      <w:r w:rsidRPr="00223569">
        <w:t>drawing on the underutilised female labour force</w:t>
      </w:r>
      <w:r w:rsidR="00FB1309">
        <w:t xml:space="preserve">. Additionally, the status quo will not </w:t>
      </w:r>
      <w:r w:rsidR="008A7E98">
        <w:t>r</w:t>
      </w:r>
      <w:r w:rsidRPr="00223569">
        <w:t>educe gender segregation by increasing female participation in construction and ICT sectors</w:t>
      </w:r>
      <w:r w:rsidR="008A7E98">
        <w:t xml:space="preserve"> or </w:t>
      </w:r>
      <w:r w:rsidRPr="00223569">
        <w:t>reduce female unemployment rates and increase female labour force participation</w:t>
      </w:r>
      <w:r w:rsidR="00F36AF4">
        <w:t xml:space="preserve"> – as evidenced by the plateau in </w:t>
      </w:r>
      <w:r w:rsidR="000E614C">
        <w:t>the number of women in</w:t>
      </w:r>
      <w:r w:rsidR="000E614C" w:rsidRPr="000E614C">
        <w:t xml:space="preserve"> </w:t>
      </w:r>
      <w:r w:rsidR="000E614C">
        <w:t>construction apprenticeship roles and in trade apprenticeship roles.</w:t>
      </w:r>
    </w:p>
    <w:p w14:paraId="4482A3A5" w14:textId="338D76AA" w:rsidR="00AA6B7E" w:rsidRDefault="00AA6B7E" w:rsidP="0058510D">
      <w:pPr>
        <w:rPr>
          <w:rStyle w:val="eop"/>
          <w:rFonts w:eastAsiaTheme="minorEastAsia" w:cs="Calibri"/>
          <w:color w:val="000000"/>
          <w:shd w:val="clear" w:color="auto" w:fill="FFFFFF"/>
        </w:rPr>
      </w:pPr>
      <w:r w:rsidRPr="006F7DC3">
        <w:rPr>
          <w:rStyle w:val="eop"/>
          <w:rFonts w:eastAsiaTheme="minorEastAsia" w:cs="Calibri"/>
          <w:color w:val="000000"/>
          <w:shd w:val="clear" w:color="auto" w:fill="FFFFFF"/>
        </w:rPr>
        <w:t xml:space="preserve">The construction and ICT industries will continue to face skills shortages – resulting in recruitment difficulties, project delays, and loss of work. Similarly, potential apprentices, trainees and </w:t>
      </w:r>
      <w:r w:rsidR="00210C8F">
        <w:rPr>
          <w:rStyle w:val="eop"/>
          <w:rFonts w:eastAsiaTheme="minorEastAsia" w:cs="Calibri"/>
          <w:color w:val="000000"/>
          <w:shd w:val="clear" w:color="auto" w:fill="FFFFFF"/>
        </w:rPr>
        <w:t xml:space="preserve">ICT </w:t>
      </w:r>
      <w:r w:rsidRPr="006F7DC3">
        <w:rPr>
          <w:rStyle w:val="eop"/>
          <w:rFonts w:eastAsiaTheme="minorEastAsia" w:cs="Calibri"/>
          <w:color w:val="000000"/>
          <w:shd w:val="clear" w:color="auto" w:fill="FFFFFF"/>
        </w:rPr>
        <w:t>cadets will miss out on a key entry-level learning pathway, as will women seeking to pursue employment or commence an apprenticeship or traineeship. This will be detrimental to the</w:t>
      </w:r>
      <w:r w:rsidRPr="000E5A39">
        <w:rPr>
          <w:rStyle w:val="eop"/>
          <w:rFonts w:eastAsiaTheme="minorEastAsia" w:cs="Calibri"/>
          <w:color w:val="000000"/>
          <w:shd w:val="clear" w:color="auto" w:fill="FFFFFF"/>
        </w:rPr>
        <w:t xml:space="preserve"> Australian economy.</w:t>
      </w:r>
    </w:p>
    <w:p w14:paraId="036EDA15" w14:textId="1062EB5B" w:rsidR="00AA6B7E" w:rsidRPr="003961F1" w:rsidRDefault="004D7B55" w:rsidP="003961F1">
      <w:pPr>
        <w:pStyle w:val="Heading2"/>
        <w:rPr>
          <w:rStyle w:val="normaltextrun"/>
          <w:rFonts w:asciiTheme="majorHAnsi" w:hAnsiTheme="majorHAnsi"/>
          <w:color w:val="2F5496" w:themeColor="accent1" w:themeShade="BF"/>
          <w:sz w:val="26"/>
        </w:rPr>
      </w:pPr>
      <w:bookmarkStart w:id="20" w:name="_Toc159246222"/>
      <w:r w:rsidRPr="00C07B67">
        <w:rPr>
          <w:rStyle w:val="normaltextrun"/>
        </w:rPr>
        <w:t>Option 2: Australian Skills Guarantee Procurement Connected Policy (PCP) </w:t>
      </w:r>
      <w:r w:rsidRPr="00C07B67">
        <w:rPr>
          <w:rStyle w:val="eop"/>
        </w:rPr>
        <w:t>guidelines</w:t>
      </w:r>
      <w:bookmarkEnd w:id="20"/>
      <w:r w:rsidRPr="00C07B67">
        <w:rPr>
          <w:rStyle w:val="eop"/>
        </w:rPr>
        <w:t xml:space="preserve"> </w:t>
      </w:r>
    </w:p>
    <w:p w14:paraId="0CA982E3" w14:textId="1A582809" w:rsidR="000413D2" w:rsidRDefault="00A23CE5" w:rsidP="00CD1E37">
      <w:r>
        <w:rPr>
          <w:rStyle w:val="normaltextrun"/>
          <w:rFonts w:eastAsiaTheme="minorEastAsia" w:cstheme="minorHAnsi"/>
        </w:rPr>
        <w:t>Option 2</w:t>
      </w:r>
      <w:r w:rsidR="000413D2">
        <w:rPr>
          <w:rStyle w:val="normaltextrun"/>
          <w:rFonts w:eastAsiaTheme="minorEastAsia" w:cstheme="minorHAnsi"/>
        </w:rPr>
        <w:t xml:space="preserve"> is designed to address the problem identified at </w:t>
      </w:r>
      <w:r w:rsidR="000413D2" w:rsidRPr="000413D2">
        <w:rPr>
          <w:rStyle w:val="normaltextrun"/>
          <w:rFonts w:eastAsiaTheme="minorEastAsia" w:cstheme="minorHAnsi"/>
          <w:b/>
          <w:bCs/>
        </w:rPr>
        <w:t>Question</w:t>
      </w:r>
      <w:r w:rsidR="000413D2">
        <w:rPr>
          <w:rStyle w:val="normaltextrun"/>
          <w:rFonts w:eastAsiaTheme="minorEastAsia" w:cstheme="minorHAnsi"/>
        </w:rPr>
        <w:t xml:space="preserve"> </w:t>
      </w:r>
      <w:r w:rsidR="000413D2" w:rsidRPr="000413D2">
        <w:rPr>
          <w:rStyle w:val="normaltextrun"/>
          <w:rFonts w:eastAsiaTheme="minorEastAsia" w:cstheme="minorHAnsi"/>
          <w:b/>
          <w:bCs/>
        </w:rPr>
        <w:t>1</w:t>
      </w:r>
      <w:r w:rsidR="000413D2">
        <w:rPr>
          <w:rStyle w:val="normaltextrun"/>
          <w:rFonts w:eastAsiaTheme="minorEastAsia" w:cstheme="minorHAnsi"/>
          <w:b/>
          <w:bCs/>
        </w:rPr>
        <w:t xml:space="preserve"> </w:t>
      </w:r>
      <w:r w:rsidR="000413D2">
        <w:rPr>
          <w:rStyle w:val="normaltextrun"/>
          <w:rFonts w:eastAsiaTheme="minorEastAsia" w:cstheme="minorHAnsi"/>
        </w:rPr>
        <w:t xml:space="preserve">and meet the government’s objectives outlined at </w:t>
      </w:r>
      <w:r w:rsidR="000413D2" w:rsidRPr="000413D2">
        <w:rPr>
          <w:rStyle w:val="normaltextrun"/>
          <w:rFonts w:eastAsiaTheme="minorEastAsia" w:cstheme="minorHAnsi"/>
          <w:b/>
          <w:bCs/>
        </w:rPr>
        <w:t>Question 2</w:t>
      </w:r>
      <w:r w:rsidR="000413D2">
        <w:rPr>
          <w:rStyle w:val="normaltextrun"/>
          <w:rFonts w:eastAsiaTheme="minorEastAsia" w:cstheme="minorHAnsi"/>
          <w:b/>
          <w:bCs/>
        </w:rPr>
        <w:t xml:space="preserve">. </w:t>
      </w:r>
      <w:r w:rsidR="000413D2">
        <w:t xml:space="preserve"> </w:t>
      </w:r>
    </w:p>
    <w:p w14:paraId="18F94285" w14:textId="47823C40" w:rsidR="00332028" w:rsidRPr="00332028" w:rsidRDefault="00332028" w:rsidP="00CD1E37">
      <w:pPr>
        <w:rPr>
          <w:rFonts w:eastAsiaTheme="minorEastAsia"/>
        </w:rPr>
      </w:pPr>
      <w:r w:rsidRPr="49AD854B">
        <w:rPr>
          <w:rStyle w:val="normaltextrun"/>
          <w:rFonts w:eastAsiaTheme="minorEastAsia"/>
        </w:rPr>
        <w:t xml:space="preserve">The Australian Skills Guarantee is a key election commitment under the Australian Government’s </w:t>
      </w:r>
      <w:r w:rsidRPr="49AD854B">
        <w:rPr>
          <w:rStyle w:val="normaltextrun"/>
          <w:rFonts w:eastAsiaTheme="minorEastAsia"/>
          <w:i/>
        </w:rPr>
        <w:t>Secure Australian Jobs Plan</w:t>
      </w:r>
      <w:r w:rsidRPr="49AD854B">
        <w:rPr>
          <w:rStyle w:val="normaltextrun"/>
          <w:rFonts w:eastAsiaTheme="minorEastAsia"/>
        </w:rPr>
        <w:t xml:space="preserve">. </w:t>
      </w:r>
      <w:r>
        <w:rPr>
          <w:rStyle w:val="normaltextrun"/>
          <w:rFonts w:eastAsiaTheme="minorEastAsia"/>
        </w:rPr>
        <w:t xml:space="preserve">The Skills Guarantee was brought forward as part of the </w:t>
      </w:r>
      <w:r>
        <w:rPr>
          <w:rStyle w:val="normaltextrun"/>
          <w:rFonts w:eastAsiaTheme="minorEastAsia"/>
          <w:i/>
          <w:iCs/>
        </w:rPr>
        <w:t>Secure Australian Jobs Plan</w:t>
      </w:r>
      <w:r>
        <w:rPr>
          <w:rStyle w:val="normaltextrun"/>
          <w:rFonts w:eastAsiaTheme="minorEastAsia"/>
        </w:rPr>
        <w:t xml:space="preserve"> as t</w:t>
      </w:r>
      <w:r w:rsidRPr="0002683C">
        <w:rPr>
          <w:rStyle w:val="normaltextrun"/>
          <w:rFonts w:eastAsiaTheme="minorEastAsia"/>
        </w:rPr>
        <w:t>here are at least 70,000 fewer people doing an apprenticeship or traineeship than almost a decade ago.</w:t>
      </w:r>
      <w:r>
        <w:rPr>
          <w:rStyle w:val="normaltextrun"/>
          <w:rFonts w:eastAsiaTheme="minorEastAsia"/>
        </w:rPr>
        <w:t xml:space="preserve"> </w:t>
      </w:r>
      <w:r w:rsidR="001C3231" w:rsidRPr="008C4C72">
        <w:rPr>
          <w:rStyle w:val="normaltextrun"/>
          <w:rFonts w:eastAsiaTheme="minorEastAsia"/>
        </w:rPr>
        <w:t>As part of the plan, the Skills Guarantee will train thousands of workers by ensuring one in 10 workers on major government projects is an apprentice, trainee, or cadet – with the intent to address skills shortages over the medium- to long-term and deliver secure jobs.</w:t>
      </w:r>
      <w:r w:rsidR="001C3231">
        <w:rPr>
          <w:rStyle w:val="normaltextrun"/>
          <w:rFonts w:eastAsiaTheme="minorEastAsia"/>
        </w:rPr>
        <w:t xml:space="preserve"> </w:t>
      </w:r>
    </w:p>
    <w:p w14:paraId="7EE5D706" w14:textId="61A0C339" w:rsidR="006A79D5" w:rsidRPr="00FF4321" w:rsidRDefault="000413D2" w:rsidP="00CD1E37">
      <w:pPr>
        <w:rPr>
          <w:rStyle w:val="normaltextrun"/>
          <w:rFonts w:eastAsiaTheme="minorEastAsia" w:cstheme="minorHAnsi"/>
        </w:rPr>
      </w:pPr>
      <w:r>
        <w:t>The</w:t>
      </w:r>
      <w:r w:rsidR="006A79D5" w:rsidRPr="0029564E">
        <w:t xml:space="preserve"> Skills Guarantee </w:t>
      </w:r>
      <w:r w:rsidR="00825738">
        <w:t>PCP</w:t>
      </w:r>
      <w:r w:rsidR="006A79D5" w:rsidRPr="0029564E">
        <w:t xml:space="preserve"> will use </w:t>
      </w:r>
      <w:r w:rsidR="006A79D5">
        <w:t xml:space="preserve">Commonwealth </w:t>
      </w:r>
      <w:r w:rsidR="006A79D5" w:rsidRPr="0029564E">
        <w:t xml:space="preserve">investment in major projects to </w:t>
      </w:r>
      <w:r w:rsidR="00332028">
        <w:t xml:space="preserve">ensure a </w:t>
      </w:r>
      <w:r w:rsidR="001C3231">
        <w:t xml:space="preserve">targeted </w:t>
      </w:r>
      <w:r w:rsidR="00332028">
        <w:t xml:space="preserve">proportion of all labour hours worked on major projects are undertaken by apprentices, trainees, ICT cadets and women to </w:t>
      </w:r>
      <w:r w:rsidR="006A79D5" w:rsidRPr="0029564E">
        <w:t>help train the next generation of skilled workers</w:t>
      </w:r>
      <w:r w:rsidR="00332028">
        <w:t>.</w:t>
      </w:r>
      <w:r w:rsidR="006A79D5" w:rsidRPr="0029564E">
        <w:t xml:space="preserve"> </w:t>
      </w:r>
    </w:p>
    <w:p w14:paraId="52770DBF" w14:textId="3895E68D" w:rsidR="006A79D5" w:rsidRDefault="006A79D5" w:rsidP="00CD1E37">
      <w:pPr>
        <w:rPr>
          <w:rStyle w:val="normaltextrun"/>
          <w:rFonts w:eastAsiaTheme="minorEastAsia" w:cstheme="minorHAnsi"/>
        </w:rPr>
      </w:pPr>
      <w:r w:rsidRPr="00FF4321">
        <w:rPr>
          <w:rStyle w:val="normaltextrun"/>
          <w:rFonts w:eastAsiaTheme="minorEastAsia" w:cstheme="minorHAnsi"/>
        </w:rPr>
        <w:t xml:space="preserve">The Skills Guarantee </w:t>
      </w:r>
      <w:r w:rsidR="00727ED0">
        <w:rPr>
          <w:rStyle w:val="normaltextrun"/>
          <w:rFonts w:eastAsiaTheme="minorEastAsia" w:cstheme="minorHAnsi"/>
        </w:rPr>
        <w:t xml:space="preserve">PCP </w:t>
      </w:r>
      <w:r w:rsidRPr="00FF4321">
        <w:rPr>
          <w:rStyle w:val="normaltextrun"/>
          <w:rFonts w:eastAsiaTheme="minorEastAsia" w:cstheme="minorHAnsi"/>
        </w:rPr>
        <w:t>will also introduce national targets for women to increase the proportion of women working on major projects and drive long-term sustainable change to reduce gender segregation in the apprenticeship system.</w:t>
      </w:r>
    </w:p>
    <w:p w14:paraId="119C7155" w14:textId="5ADDEE3D" w:rsidR="00973F2D" w:rsidRDefault="00D20E2D" w:rsidP="00CD1E37">
      <w:pPr>
        <w:rPr>
          <w:rStyle w:val="normaltextrun"/>
          <w:rFonts w:eastAsiaTheme="minorEastAsia" w:cstheme="minorHAnsi"/>
        </w:rPr>
      </w:pPr>
      <w:r w:rsidRPr="00AF4F7D">
        <w:rPr>
          <w:rStyle w:val="normaltextrun"/>
          <w:rFonts w:eastAsiaTheme="minorEastAsia" w:cstheme="minorHAnsi"/>
        </w:rPr>
        <w:t>The</w:t>
      </w:r>
      <w:r w:rsidR="00E559AF">
        <w:rPr>
          <w:rStyle w:val="normaltextrun"/>
          <w:rFonts w:eastAsiaTheme="minorEastAsia" w:cstheme="minorHAnsi"/>
        </w:rPr>
        <w:t xml:space="preserve"> introduction of targets </w:t>
      </w:r>
      <w:r w:rsidR="00AF4F7D">
        <w:rPr>
          <w:rStyle w:val="normaltextrun"/>
          <w:rFonts w:eastAsiaTheme="minorEastAsia" w:cstheme="minorHAnsi"/>
        </w:rPr>
        <w:t>aims</w:t>
      </w:r>
      <w:r w:rsidR="00CF064F">
        <w:rPr>
          <w:rStyle w:val="normaltextrun"/>
          <w:rFonts w:eastAsiaTheme="minorEastAsia" w:cstheme="minorHAnsi"/>
        </w:rPr>
        <w:t xml:space="preserve"> to </w:t>
      </w:r>
      <w:r w:rsidR="00D259A9">
        <w:rPr>
          <w:rStyle w:val="normaltextrun"/>
          <w:rFonts w:eastAsiaTheme="minorEastAsia" w:cstheme="minorHAnsi"/>
        </w:rPr>
        <w:t xml:space="preserve">increase the number of entry-level pathways </w:t>
      </w:r>
      <w:r w:rsidR="00CC2B4B">
        <w:rPr>
          <w:rStyle w:val="normaltextrun"/>
          <w:rFonts w:eastAsiaTheme="minorEastAsia" w:cstheme="minorHAnsi"/>
        </w:rPr>
        <w:t xml:space="preserve">and commencement rates </w:t>
      </w:r>
      <w:r w:rsidR="00997442">
        <w:rPr>
          <w:rStyle w:val="normaltextrun"/>
          <w:rFonts w:eastAsiaTheme="minorEastAsia" w:cstheme="minorHAnsi"/>
        </w:rPr>
        <w:t xml:space="preserve">for apprentices, </w:t>
      </w:r>
      <w:r w:rsidR="00997442" w:rsidRPr="00AD53C2">
        <w:rPr>
          <w:rStyle w:val="normaltextrun"/>
          <w:rFonts w:eastAsiaTheme="minorEastAsia" w:cstheme="minorHAnsi"/>
        </w:rPr>
        <w:t>trainees, and ICT cadets</w:t>
      </w:r>
      <w:r w:rsidR="00997442">
        <w:rPr>
          <w:rStyle w:val="normaltextrun"/>
          <w:rFonts w:eastAsiaTheme="minorEastAsia" w:cstheme="minorHAnsi"/>
        </w:rPr>
        <w:t xml:space="preserve"> in the ICT and construction sectors, with </w:t>
      </w:r>
      <w:r w:rsidR="00116F16">
        <w:rPr>
          <w:rStyle w:val="normaltextrun"/>
          <w:rFonts w:eastAsiaTheme="minorEastAsia" w:cstheme="minorHAnsi"/>
        </w:rPr>
        <w:t xml:space="preserve">the </w:t>
      </w:r>
      <w:r w:rsidR="00DB4B84">
        <w:rPr>
          <w:rStyle w:val="normaltextrun"/>
          <w:rFonts w:eastAsiaTheme="minorEastAsia" w:cstheme="minorHAnsi"/>
        </w:rPr>
        <w:t>objective</w:t>
      </w:r>
      <w:r w:rsidR="00116F16">
        <w:rPr>
          <w:rStyle w:val="normaltextrun"/>
          <w:rFonts w:eastAsiaTheme="minorEastAsia" w:cstheme="minorHAnsi"/>
        </w:rPr>
        <w:t xml:space="preserve"> to </w:t>
      </w:r>
      <w:r w:rsidR="00EB13DA">
        <w:rPr>
          <w:rStyle w:val="normaltextrun"/>
          <w:rFonts w:eastAsiaTheme="minorEastAsia" w:cstheme="minorHAnsi"/>
        </w:rPr>
        <w:t>r</w:t>
      </w:r>
      <w:r w:rsidR="00EB13DA" w:rsidRPr="00EB13DA">
        <w:rPr>
          <w:rStyle w:val="normaltextrun"/>
          <w:rFonts w:eastAsiaTheme="minorEastAsia" w:cstheme="minorHAnsi"/>
        </w:rPr>
        <w:t>educe the current and future skills shortages in the construction and ICT sectors</w:t>
      </w:r>
      <w:r w:rsidR="00EB13DA">
        <w:rPr>
          <w:rStyle w:val="normaltextrun"/>
          <w:rFonts w:eastAsiaTheme="minorEastAsia" w:cstheme="minorHAnsi"/>
        </w:rPr>
        <w:t xml:space="preserve">. </w:t>
      </w:r>
      <w:r w:rsidR="00591CAE">
        <w:rPr>
          <w:rStyle w:val="normaltextrun"/>
          <w:rFonts w:eastAsiaTheme="minorEastAsia" w:cstheme="minorHAnsi"/>
        </w:rPr>
        <w:t xml:space="preserve">The targets for women are designed to </w:t>
      </w:r>
      <w:r w:rsidR="00455E40">
        <w:rPr>
          <w:rStyle w:val="normaltextrun"/>
          <w:rFonts w:eastAsiaTheme="minorEastAsia" w:cstheme="minorHAnsi"/>
        </w:rPr>
        <w:t xml:space="preserve">increase the number of apprentices, </w:t>
      </w:r>
      <w:r w:rsidR="00455E40" w:rsidRPr="00AD53C2">
        <w:rPr>
          <w:rStyle w:val="normaltextrun"/>
          <w:rFonts w:eastAsiaTheme="minorEastAsia" w:cstheme="minorHAnsi"/>
        </w:rPr>
        <w:t>trainees, and ICT cadets</w:t>
      </w:r>
      <w:r w:rsidR="00455E40">
        <w:rPr>
          <w:rStyle w:val="normaltextrun"/>
          <w:rFonts w:eastAsiaTheme="minorEastAsia" w:cstheme="minorHAnsi"/>
        </w:rPr>
        <w:t xml:space="preserve"> that are women working on major construction and ICT projects and thereby reduce </w:t>
      </w:r>
      <w:r w:rsidR="0089347A" w:rsidRPr="0089347A">
        <w:rPr>
          <w:rStyle w:val="normaltextrun"/>
          <w:rFonts w:eastAsiaTheme="minorEastAsia" w:cstheme="minorHAnsi"/>
        </w:rPr>
        <w:t>gender segregation</w:t>
      </w:r>
      <w:r w:rsidR="0089347A">
        <w:rPr>
          <w:rStyle w:val="normaltextrun"/>
          <w:rFonts w:eastAsiaTheme="minorEastAsia" w:cstheme="minorHAnsi"/>
        </w:rPr>
        <w:t xml:space="preserve"> in </w:t>
      </w:r>
      <w:r w:rsidR="00F7080B">
        <w:rPr>
          <w:rStyle w:val="normaltextrun"/>
          <w:rFonts w:eastAsiaTheme="minorEastAsia" w:cstheme="minorHAnsi"/>
        </w:rPr>
        <w:t xml:space="preserve">the construction and ICT </w:t>
      </w:r>
      <w:r w:rsidR="007527F5">
        <w:rPr>
          <w:rStyle w:val="normaltextrun"/>
          <w:rFonts w:eastAsiaTheme="minorEastAsia" w:cstheme="minorHAnsi"/>
        </w:rPr>
        <w:t>sectors,</w:t>
      </w:r>
      <w:r w:rsidR="007527F5" w:rsidRPr="007527F5">
        <w:rPr>
          <w:rStyle w:val="normaltextrun"/>
          <w:rFonts w:eastAsiaTheme="minorEastAsia" w:cstheme="minorHAnsi"/>
        </w:rPr>
        <w:t xml:space="preserve"> </w:t>
      </w:r>
      <w:r w:rsidR="007527F5">
        <w:rPr>
          <w:rStyle w:val="normaltextrun"/>
          <w:rFonts w:eastAsiaTheme="minorEastAsia" w:cstheme="minorHAnsi"/>
        </w:rPr>
        <w:t>r</w:t>
      </w:r>
      <w:r w:rsidR="007527F5" w:rsidRPr="007527F5">
        <w:rPr>
          <w:rStyle w:val="normaltextrun"/>
          <w:rFonts w:eastAsiaTheme="minorEastAsia" w:cstheme="minorHAnsi"/>
        </w:rPr>
        <w:t>educe female unemployment rates and increase female labour force participation</w:t>
      </w:r>
      <w:r w:rsidR="007527F5">
        <w:rPr>
          <w:rStyle w:val="normaltextrun"/>
          <w:rFonts w:eastAsiaTheme="minorEastAsia" w:cstheme="minorHAnsi"/>
        </w:rPr>
        <w:t>.</w:t>
      </w:r>
      <w:r w:rsidR="00DB50B9">
        <w:rPr>
          <w:rStyle w:val="normaltextrun"/>
          <w:rFonts w:eastAsiaTheme="minorEastAsia" w:cstheme="minorHAnsi"/>
        </w:rPr>
        <w:t xml:space="preserve"> </w:t>
      </w:r>
    </w:p>
    <w:p w14:paraId="3F905482" w14:textId="679B929C" w:rsidR="00376177" w:rsidRDefault="007E534C" w:rsidP="00CD1E37">
      <w:pPr>
        <w:rPr>
          <w:rStyle w:val="normaltextrun"/>
          <w:rFonts w:eastAsiaTheme="minorEastAsia" w:cstheme="minorHAnsi"/>
        </w:rPr>
      </w:pPr>
      <w:r>
        <w:rPr>
          <w:rStyle w:val="normaltextrun"/>
          <w:rFonts w:eastAsiaTheme="minorEastAsia" w:cstheme="minorHAnsi"/>
        </w:rPr>
        <w:t xml:space="preserve">As discussed under </w:t>
      </w:r>
      <w:r w:rsidR="00F04789" w:rsidRPr="00C10CFE">
        <w:rPr>
          <w:rStyle w:val="normaltextrun"/>
          <w:rFonts w:eastAsiaTheme="minorEastAsia" w:cstheme="minorHAnsi"/>
          <w:b/>
          <w:bCs/>
        </w:rPr>
        <w:t>Question 1</w:t>
      </w:r>
      <w:r w:rsidR="00F04789">
        <w:rPr>
          <w:rStyle w:val="normaltextrun"/>
          <w:rFonts w:eastAsiaTheme="minorEastAsia" w:cstheme="minorHAnsi"/>
        </w:rPr>
        <w:t>, target setting has found to be useful in state and territory and international contexts</w:t>
      </w:r>
      <w:r w:rsidR="005B06B5">
        <w:rPr>
          <w:rStyle w:val="normaltextrun"/>
          <w:rFonts w:eastAsiaTheme="minorEastAsia" w:cstheme="minorHAnsi"/>
        </w:rPr>
        <w:t xml:space="preserve">. </w:t>
      </w:r>
    </w:p>
    <w:p w14:paraId="3CA12E64" w14:textId="355074C6" w:rsidR="00B053DE" w:rsidRPr="00A976FE" w:rsidRDefault="00632CC1" w:rsidP="00CD1E37">
      <w:pPr>
        <w:rPr>
          <w:rStyle w:val="eop"/>
          <w:rFonts w:cstheme="minorHAnsi"/>
        </w:rPr>
      </w:pPr>
      <w:r w:rsidRPr="49AD854B">
        <w:rPr>
          <w:rStyle w:val="normaltextrun"/>
          <w:rFonts w:eastAsiaTheme="minorEastAsia"/>
        </w:rPr>
        <w:t xml:space="preserve">Whilst the department is presenting </w:t>
      </w:r>
      <w:r w:rsidR="00457488">
        <w:rPr>
          <w:rStyle w:val="normaltextrun"/>
          <w:rFonts w:eastAsiaTheme="minorEastAsia"/>
        </w:rPr>
        <w:t>2</w:t>
      </w:r>
      <w:r w:rsidRPr="49AD854B">
        <w:rPr>
          <w:rStyle w:val="normaltextrun"/>
          <w:rFonts w:eastAsiaTheme="minorEastAsia"/>
        </w:rPr>
        <w:t xml:space="preserve"> options for the purpose of this impact analysis, multiple policy options were presented in the Australian Skills Guarantee Discussion Paper as part of an extensive consultation process</w:t>
      </w:r>
      <w:r w:rsidR="00CB65F1" w:rsidRPr="49AD854B">
        <w:rPr>
          <w:rStyle w:val="normaltextrun"/>
          <w:rFonts w:eastAsiaTheme="minorEastAsia"/>
        </w:rPr>
        <w:t xml:space="preserve"> in 2022</w:t>
      </w:r>
      <w:r w:rsidR="008B2119" w:rsidRPr="49AD854B">
        <w:rPr>
          <w:rStyle w:val="normaltextrun"/>
          <w:rFonts w:eastAsiaTheme="minorEastAsia"/>
        </w:rPr>
        <w:t xml:space="preserve"> (see </w:t>
      </w:r>
      <w:r w:rsidR="00C1168D" w:rsidRPr="49AD854B">
        <w:rPr>
          <w:rStyle w:val="normaltextrun"/>
          <w:rFonts w:eastAsiaTheme="minorEastAsia"/>
          <w:b/>
        </w:rPr>
        <w:t>Question</w:t>
      </w:r>
      <w:r w:rsidR="008B2119" w:rsidRPr="49AD854B">
        <w:rPr>
          <w:rStyle w:val="normaltextrun"/>
          <w:rFonts w:eastAsiaTheme="minorEastAsia"/>
          <w:b/>
        </w:rPr>
        <w:t xml:space="preserve"> 5</w:t>
      </w:r>
      <w:r w:rsidR="008B2119" w:rsidRPr="49AD854B">
        <w:rPr>
          <w:rStyle w:val="normaltextrun"/>
          <w:rFonts w:eastAsiaTheme="minorEastAsia"/>
        </w:rPr>
        <w:t xml:space="preserve"> for more information)</w:t>
      </w:r>
      <w:r w:rsidRPr="49AD854B">
        <w:rPr>
          <w:rStyle w:val="normaltextrun"/>
          <w:rFonts w:eastAsiaTheme="minorEastAsia"/>
        </w:rPr>
        <w:t xml:space="preserve">. Options for the financial thresholds and targets for women were considered by a range of stakeholders across industry, unions, </w:t>
      </w:r>
      <w:r w:rsidRPr="49AD854B">
        <w:rPr>
          <w:rStyle w:val="normaltextrun"/>
          <w:rFonts w:eastAsiaTheme="minorEastAsia"/>
        </w:rPr>
        <w:lastRenderedPageBreak/>
        <w:t>state and territory governments, women’s advocacy groups and academics.</w:t>
      </w:r>
      <w:r w:rsidR="00E85791" w:rsidRPr="00E85791">
        <w:rPr>
          <w:rStyle w:val="FootnoteReference"/>
          <w:rFonts w:ascii="Calibri" w:hAnsi="Calibri" w:cs="Calibri"/>
        </w:rPr>
        <w:footnoteReference w:id="62"/>
      </w:r>
      <w:r w:rsidRPr="49AD854B">
        <w:rPr>
          <w:rStyle w:val="eop"/>
        </w:rPr>
        <w:t> </w:t>
      </w:r>
      <w:r w:rsidR="00B053DE" w:rsidRPr="00344C59">
        <w:rPr>
          <w:rStyle w:val="normaltextrun"/>
          <w:rFonts w:eastAsiaTheme="minorEastAsia" w:cstheme="minorHAnsi"/>
        </w:rPr>
        <w:t>During consultation, government and industry stakeholders emphasised the importance of supporting demand for apprentices</w:t>
      </w:r>
      <w:r w:rsidR="00B053DE">
        <w:rPr>
          <w:rStyle w:val="normaltextrun"/>
          <w:rFonts w:eastAsiaTheme="minorEastAsia" w:cstheme="minorHAnsi"/>
        </w:rPr>
        <w:t>, trainees, and ICT cadets,</w:t>
      </w:r>
      <w:r w:rsidR="00B053DE" w:rsidRPr="00344C59">
        <w:rPr>
          <w:rStyle w:val="normaltextrun"/>
          <w:rFonts w:eastAsiaTheme="minorEastAsia" w:cstheme="minorHAnsi"/>
        </w:rPr>
        <w:t xml:space="preserve"> as well as increasing the representation of women in male dominated industries. </w:t>
      </w:r>
      <w:r w:rsidR="0005528C">
        <w:rPr>
          <w:rStyle w:val="normaltextrun"/>
          <w:rFonts w:eastAsiaTheme="minorEastAsia" w:cstheme="minorHAnsi"/>
        </w:rPr>
        <w:t xml:space="preserve">The department’s consultation </w:t>
      </w:r>
      <w:r w:rsidR="00296282">
        <w:rPr>
          <w:rStyle w:val="normaltextrun"/>
          <w:rFonts w:eastAsiaTheme="minorEastAsia" w:cstheme="minorHAnsi"/>
        </w:rPr>
        <w:t>also</w:t>
      </w:r>
      <w:r w:rsidR="00AD494A">
        <w:rPr>
          <w:rStyle w:val="normaltextrun"/>
          <w:rFonts w:eastAsiaTheme="minorEastAsia" w:cstheme="minorHAnsi"/>
        </w:rPr>
        <w:t xml:space="preserve"> </w:t>
      </w:r>
      <w:r w:rsidR="006C5A9C">
        <w:rPr>
          <w:rStyle w:val="normaltextrun"/>
          <w:rFonts w:eastAsiaTheme="minorEastAsia" w:cstheme="minorHAnsi"/>
        </w:rPr>
        <w:t xml:space="preserve">focused on </w:t>
      </w:r>
      <w:r w:rsidR="00B053DE" w:rsidRPr="00344C59">
        <w:rPr>
          <w:rStyle w:val="normaltextrun"/>
          <w:rFonts w:eastAsiaTheme="minorEastAsia" w:cstheme="minorHAnsi"/>
        </w:rPr>
        <w:t>ensur</w:t>
      </w:r>
      <w:r w:rsidR="006C5A9C">
        <w:rPr>
          <w:rStyle w:val="normaltextrun"/>
          <w:rFonts w:eastAsiaTheme="minorEastAsia" w:cstheme="minorHAnsi"/>
        </w:rPr>
        <w:t>ing that</w:t>
      </w:r>
      <w:r w:rsidR="00B053DE" w:rsidRPr="00344C59">
        <w:rPr>
          <w:rStyle w:val="normaltextrun"/>
          <w:rFonts w:eastAsiaTheme="minorEastAsia" w:cstheme="minorHAnsi"/>
        </w:rPr>
        <w:t xml:space="preserve"> </w:t>
      </w:r>
      <w:r w:rsidR="00B053DE">
        <w:rPr>
          <w:rStyle w:val="normaltextrun"/>
          <w:rFonts w:eastAsiaTheme="minorEastAsia" w:cstheme="minorHAnsi"/>
        </w:rPr>
        <w:t xml:space="preserve">the </w:t>
      </w:r>
      <w:r w:rsidR="00B053DE" w:rsidRPr="00344C59">
        <w:rPr>
          <w:rStyle w:val="normaltextrun"/>
          <w:rFonts w:eastAsiaTheme="minorEastAsia" w:cstheme="minorHAnsi"/>
        </w:rPr>
        <w:t>targets are achievable and reflect how industry and major construction and ICT projects operate</w:t>
      </w:r>
      <w:r w:rsidR="00B053DE">
        <w:rPr>
          <w:rStyle w:val="normaltextrun"/>
          <w:rFonts w:eastAsiaTheme="minorEastAsia" w:cstheme="minorHAnsi"/>
        </w:rPr>
        <w:t xml:space="preserve"> (see </w:t>
      </w:r>
      <w:r w:rsidR="00B053DE" w:rsidRPr="00A976FE">
        <w:rPr>
          <w:rStyle w:val="normaltextrun"/>
          <w:rFonts w:eastAsiaTheme="minorEastAsia" w:cstheme="minorHAnsi"/>
          <w:b/>
          <w:bCs/>
        </w:rPr>
        <w:t>Question 5</w:t>
      </w:r>
      <w:r w:rsidR="00B053DE" w:rsidRPr="00A976FE">
        <w:rPr>
          <w:rStyle w:val="normaltextrun"/>
          <w:rFonts w:eastAsiaTheme="minorEastAsia" w:cstheme="minorHAnsi"/>
        </w:rPr>
        <w:t xml:space="preserve"> for more information).</w:t>
      </w:r>
      <w:r w:rsidR="00B053DE" w:rsidRPr="00A976FE">
        <w:rPr>
          <w:rStyle w:val="eop"/>
          <w:rFonts w:cstheme="minorHAnsi"/>
        </w:rPr>
        <w:t> </w:t>
      </w:r>
    </w:p>
    <w:p w14:paraId="705B4860" w14:textId="1543F219" w:rsidR="00C30373" w:rsidRPr="00A976FE" w:rsidRDefault="00154D9C" w:rsidP="007F1699">
      <w:pPr>
        <w:pStyle w:val="Heading2"/>
        <w:rPr>
          <w:rStyle w:val="normaltextrun"/>
        </w:rPr>
      </w:pPr>
      <w:bookmarkStart w:id="21" w:name="_Toc159246223"/>
      <w:r w:rsidRPr="00A976FE">
        <w:rPr>
          <w:rStyle w:val="normaltextrun"/>
        </w:rPr>
        <w:t>S</w:t>
      </w:r>
      <w:r w:rsidR="00FD3320" w:rsidRPr="00A976FE">
        <w:rPr>
          <w:rStyle w:val="normaltextrun"/>
        </w:rPr>
        <w:t>cope</w:t>
      </w:r>
      <w:bookmarkEnd w:id="21"/>
    </w:p>
    <w:p w14:paraId="5983AE3B" w14:textId="6A82BFDF" w:rsidR="00977336" w:rsidRPr="00A976FE" w:rsidRDefault="00977336" w:rsidP="00797487">
      <w:pPr>
        <w:pStyle w:val="Heading3"/>
        <w:rPr>
          <w:rStyle w:val="normaltextrun"/>
        </w:rPr>
      </w:pPr>
      <w:r w:rsidRPr="00A976FE">
        <w:rPr>
          <w:rStyle w:val="normaltextrun"/>
        </w:rPr>
        <w:t>Industries</w:t>
      </w:r>
    </w:p>
    <w:p w14:paraId="0E7D8A4C" w14:textId="2D7F8173" w:rsidR="00B053DE" w:rsidRDefault="00B053DE" w:rsidP="00CD1E37">
      <w:pPr>
        <w:rPr>
          <w:rStyle w:val="eop"/>
        </w:rPr>
      </w:pPr>
      <w:r w:rsidRPr="00A976FE">
        <w:rPr>
          <w:rStyle w:val="normaltextrun"/>
          <w:rFonts w:eastAsiaTheme="minorEastAsia"/>
        </w:rPr>
        <w:t xml:space="preserve">The Skills Guarantee will apply to Commonwealth procurement </w:t>
      </w:r>
      <w:r w:rsidR="00EC0E18" w:rsidRPr="00A976FE">
        <w:rPr>
          <w:rStyle w:val="normaltextrun"/>
          <w:rFonts w:eastAsiaTheme="minorEastAsia"/>
        </w:rPr>
        <w:t>i</w:t>
      </w:r>
      <w:r w:rsidRPr="00A976FE">
        <w:rPr>
          <w:rStyle w:val="normaltextrun"/>
          <w:rFonts w:eastAsiaTheme="minorEastAsia"/>
        </w:rPr>
        <w:t>n the building and construction and maintenance</w:t>
      </w:r>
      <w:r w:rsidRPr="49AD854B">
        <w:rPr>
          <w:rStyle w:val="normaltextrun"/>
          <w:rFonts w:eastAsiaTheme="minorEastAsia"/>
        </w:rPr>
        <w:t xml:space="preserve"> services sector, which has the strongest links to occupations with a clear apprenticeship pathway</w:t>
      </w:r>
      <w:r w:rsidR="009A28A7">
        <w:rPr>
          <w:rStyle w:val="normaltextrun"/>
          <w:rFonts w:eastAsiaTheme="minorEastAsia"/>
        </w:rPr>
        <w:t>.</w:t>
      </w:r>
      <w:r w:rsidRPr="49AD854B">
        <w:rPr>
          <w:rStyle w:val="normaltextrun"/>
          <w:rFonts w:eastAsiaTheme="minorEastAsia"/>
        </w:rPr>
        <w:t xml:space="preserve"> The Skills Guarantee will also apply to Commonwealth procurements in major ICT projects, for example in computer services. </w:t>
      </w:r>
      <w:r w:rsidRPr="49AD854B">
        <w:rPr>
          <w:rStyle w:val="eop"/>
        </w:rPr>
        <w:t> </w:t>
      </w:r>
    </w:p>
    <w:p w14:paraId="76D6D3D8" w14:textId="010D450A" w:rsidR="002A235D" w:rsidRDefault="00EC74A4" w:rsidP="00CD1E37">
      <w:pPr>
        <w:rPr>
          <w:rStyle w:val="normaltextrun"/>
          <w:rFonts w:eastAsiaTheme="minorEastAsia"/>
        </w:rPr>
      </w:pPr>
      <w:r>
        <w:rPr>
          <w:rStyle w:val="eop"/>
        </w:rPr>
        <w:t xml:space="preserve">The </w:t>
      </w:r>
      <w:r w:rsidRPr="49AD854B">
        <w:rPr>
          <w:rStyle w:val="normaltextrun"/>
          <w:rFonts w:eastAsiaTheme="minorEastAsia"/>
        </w:rPr>
        <w:t>building and construction and maintenance services</w:t>
      </w:r>
      <w:r>
        <w:rPr>
          <w:rStyle w:val="normaltextrun"/>
          <w:rFonts w:eastAsiaTheme="minorEastAsia"/>
        </w:rPr>
        <w:t xml:space="preserve"> sector and the ICT sector</w:t>
      </w:r>
      <w:r w:rsidR="00DA4B4F">
        <w:rPr>
          <w:rStyle w:val="normaltextrun"/>
          <w:rFonts w:eastAsiaTheme="minorEastAsia"/>
        </w:rPr>
        <w:t xml:space="preserve">s have been </w:t>
      </w:r>
      <w:r>
        <w:rPr>
          <w:rStyle w:val="normaltextrun"/>
          <w:rFonts w:eastAsiaTheme="minorEastAsia"/>
        </w:rPr>
        <w:t xml:space="preserve">targeted </w:t>
      </w:r>
      <w:r w:rsidR="007D6B6D">
        <w:rPr>
          <w:rStyle w:val="normaltextrun"/>
          <w:rFonts w:eastAsiaTheme="minorEastAsia"/>
        </w:rPr>
        <w:t xml:space="preserve">because of the </w:t>
      </w:r>
      <w:r w:rsidR="00DA4B4F">
        <w:rPr>
          <w:rStyle w:val="normaltextrun"/>
          <w:rFonts w:eastAsiaTheme="minorEastAsia"/>
        </w:rPr>
        <w:t>issues</w:t>
      </w:r>
      <w:r w:rsidR="007D6B6D">
        <w:rPr>
          <w:rStyle w:val="normaltextrun"/>
          <w:rFonts w:eastAsiaTheme="minorEastAsia"/>
        </w:rPr>
        <w:t xml:space="preserve"> outlined in </w:t>
      </w:r>
      <w:r w:rsidR="007D6B6D" w:rsidRPr="00FE3A57">
        <w:rPr>
          <w:rStyle w:val="normaltextrun"/>
          <w:rFonts w:eastAsiaTheme="minorEastAsia"/>
          <w:b/>
          <w:bCs/>
        </w:rPr>
        <w:t>Question 1</w:t>
      </w:r>
      <w:r w:rsidR="007D6B6D">
        <w:rPr>
          <w:rStyle w:val="normaltextrun"/>
          <w:rFonts w:eastAsiaTheme="minorEastAsia"/>
        </w:rPr>
        <w:t xml:space="preserve"> – they are both highl</w:t>
      </w:r>
      <w:r w:rsidR="00D434F6">
        <w:rPr>
          <w:rStyle w:val="normaltextrun"/>
          <w:rFonts w:eastAsiaTheme="minorEastAsia"/>
        </w:rPr>
        <w:t>y</w:t>
      </w:r>
      <w:r w:rsidR="007D6B6D">
        <w:rPr>
          <w:rStyle w:val="normaltextrun"/>
          <w:rFonts w:eastAsiaTheme="minorEastAsia"/>
        </w:rPr>
        <w:t xml:space="preserve"> gender segregated </w:t>
      </w:r>
      <w:r w:rsidR="00D434F6">
        <w:rPr>
          <w:rStyle w:val="normaltextrun"/>
          <w:rFonts w:eastAsiaTheme="minorEastAsia"/>
        </w:rPr>
        <w:t xml:space="preserve">sectors </w:t>
      </w:r>
      <w:r w:rsidR="00916234">
        <w:rPr>
          <w:rStyle w:val="normaltextrun"/>
          <w:rFonts w:eastAsiaTheme="minorEastAsia"/>
        </w:rPr>
        <w:t xml:space="preserve">that are </w:t>
      </w:r>
      <w:r w:rsidR="00D434F6">
        <w:rPr>
          <w:rStyle w:val="normaltextrun"/>
          <w:rFonts w:eastAsiaTheme="minorEastAsia"/>
        </w:rPr>
        <w:t xml:space="preserve">experiencing skills shortages. </w:t>
      </w:r>
      <w:r w:rsidR="006C1B30">
        <w:rPr>
          <w:rStyle w:val="normaltextrun"/>
          <w:rFonts w:eastAsiaTheme="minorEastAsia"/>
        </w:rPr>
        <w:t xml:space="preserve">The construction industry is also familiar </w:t>
      </w:r>
      <w:r w:rsidR="00833E52">
        <w:rPr>
          <w:rStyle w:val="normaltextrun"/>
          <w:rFonts w:eastAsiaTheme="minorEastAsia"/>
        </w:rPr>
        <w:t>with these types of targets</w:t>
      </w:r>
      <w:r w:rsidR="00E61C3A">
        <w:rPr>
          <w:rStyle w:val="normaltextrun"/>
          <w:rFonts w:eastAsiaTheme="minorEastAsia"/>
        </w:rPr>
        <w:t xml:space="preserve"> at a state </w:t>
      </w:r>
      <w:r w:rsidR="007034E8">
        <w:rPr>
          <w:rStyle w:val="normaltextrun"/>
          <w:rFonts w:eastAsiaTheme="minorEastAsia"/>
        </w:rPr>
        <w:t>and territory</w:t>
      </w:r>
      <w:r w:rsidR="00E61C3A">
        <w:rPr>
          <w:rStyle w:val="normaltextrun"/>
          <w:rFonts w:eastAsiaTheme="minorEastAsia"/>
        </w:rPr>
        <w:t xml:space="preserve"> </w:t>
      </w:r>
      <w:r w:rsidR="007034E8">
        <w:rPr>
          <w:rStyle w:val="normaltextrun"/>
          <w:rFonts w:eastAsiaTheme="minorEastAsia"/>
        </w:rPr>
        <w:t xml:space="preserve">government </w:t>
      </w:r>
      <w:r w:rsidR="00E61C3A">
        <w:rPr>
          <w:rStyle w:val="normaltextrun"/>
          <w:rFonts w:eastAsiaTheme="minorEastAsia"/>
        </w:rPr>
        <w:t>level</w:t>
      </w:r>
      <w:r w:rsidR="0037795F">
        <w:rPr>
          <w:rStyle w:val="normaltextrun"/>
          <w:rFonts w:eastAsiaTheme="minorEastAsia"/>
        </w:rPr>
        <w:t xml:space="preserve">, which will help minimise the burden </w:t>
      </w:r>
      <w:r w:rsidR="006D0761">
        <w:rPr>
          <w:rStyle w:val="normaltextrun"/>
          <w:rFonts w:eastAsiaTheme="minorEastAsia"/>
        </w:rPr>
        <w:t>of the Skills Guarantee</w:t>
      </w:r>
      <w:r w:rsidR="00DF1995" w:rsidRPr="00DF1995">
        <w:rPr>
          <w:rStyle w:val="normaltextrun"/>
          <w:rFonts w:eastAsiaTheme="minorEastAsia"/>
        </w:rPr>
        <w:t>.</w:t>
      </w:r>
      <w:r w:rsidR="00887B71" w:rsidDel="00887B71">
        <w:rPr>
          <w:rStyle w:val="normaltextrun"/>
          <w:rFonts w:eastAsiaTheme="minorEastAsia"/>
        </w:rPr>
        <w:t xml:space="preserve"> </w:t>
      </w:r>
    </w:p>
    <w:p w14:paraId="22ADC976" w14:textId="552CBD27" w:rsidR="00977336" w:rsidRPr="009A73D9" w:rsidRDefault="00977336" w:rsidP="00797487">
      <w:pPr>
        <w:pStyle w:val="Heading3"/>
        <w:rPr>
          <w:rStyle w:val="normaltextrun"/>
        </w:rPr>
      </w:pPr>
      <w:r w:rsidRPr="009A73D9">
        <w:rPr>
          <w:rStyle w:val="normaltextrun"/>
        </w:rPr>
        <w:t>Project thresholds</w:t>
      </w:r>
    </w:p>
    <w:p w14:paraId="0C6614D2" w14:textId="77777777" w:rsidR="000E7207" w:rsidRDefault="00D414E4" w:rsidP="00CD1E37">
      <w:pPr>
        <w:rPr>
          <w:rStyle w:val="eop"/>
          <w:highlight w:val="yellow"/>
        </w:rPr>
      </w:pPr>
      <w:r w:rsidRPr="00A24070">
        <w:rPr>
          <w:rStyle w:val="eop"/>
        </w:rPr>
        <w:t>A</w:t>
      </w:r>
      <w:r w:rsidR="008C2976" w:rsidRPr="00A24070">
        <w:rPr>
          <w:rStyle w:val="eop"/>
        </w:rPr>
        <w:t>nother</w:t>
      </w:r>
      <w:r w:rsidRPr="00A24070">
        <w:rPr>
          <w:rStyle w:val="eop"/>
        </w:rPr>
        <w:t xml:space="preserve"> key design factor for the Skills Guarantee is the financial threshold for a ‘major project’. </w:t>
      </w:r>
    </w:p>
    <w:p w14:paraId="5B613ADB" w14:textId="0F95D6D2" w:rsidR="007300A5" w:rsidRDefault="00611B57" w:rsidP="00CD1E37">
      <w:pPr>
        <w:rPr>
          <w:rStyle w:val="eop"/>
          <w:highlight w:val="yellow"/>
        </w:rPr>
      </w:pPr>
      <w:r w:rsidRPr="00611B57">
        <w:rPr>
          <w:rStyle w:val="eop"/>
        </w:rPr>
        <w:t xml:space="preserve">Financial thresholds for projects with targets for apprentices, trainees and </w:t>
      </w:r>
      <w:r w:rsidR="007034E8">
        <w:rPr>
          <w:rStyle w:val="eop"/>
        </w:rPr>
        <w:t>ICT</w:t>
      </w:r>
      <w:r w:rsidR="007034E8" w:rsidRPr="00611B57">
        <w:rPr>
          <w:rStyle w:val="eop"/>
        </w:rPr>
        <w:t xml:space="preserve"> </w:t>
      </w:r>
      <w:r w:rsidRPr="00611B57">
        <w:rPr>
          <w:rStyle w:val="eop"/>
        </w:rPr>
        <w:t>cadets vary in existing state and territory government policies, with minimum thresholds ranging from $250,000 to $50 million.</w:t>
      </w:r>
    </w:p>
    <w:p w14:paraId="6B6AB6CF" w14:textId="1CB4CB9E" w:rsidR="003F44E5" w:rsidRPr="00CF4D30" w:rsidRDefault="007300A5" w:rsidP="00CD1E37">
      <w:pPr>
        <w:rPr>
          <w:rStyle w:val="eop"/>
          <w:highlight w:val="yellow"/>
        </w:rPr>
      </w:pPr>
      <w:r w:rsidRPr="007300A5">
        <w:rPr>
          <w:rStyle w:val="eop"/>
        </w:rPr>
        <w:t xml:space="preserve">In 2022, the Skills Guarantee discussion paper proposed </w:t>
      </w:r>
      <w:r w:rsidR="00CC34BE">
        <w:rPr>
          <w:rStyle w:val="eop"/>
        </w:rPr>
        <w:t>2</w:t>
      </w:r>
      <w:r w:rsidRPr="007300A5">
        <w:rPr>
          <w:rStyle w:val="eop"/>
        </w:rPr>
        <w:t xml:space="preserve"> potential thresholds. Stakeholder consultation found there was an even split between stakeholders in favour of a $7.5 million and $20 million threshold</w:t>
      </w:r>
      <w:r w:rsidR="00620450" w:rsidRPr="00620450">
        <w:rPr>
          <w:rStyle w:val="eop"/>
        </w:rPr>
        <w:t>, with stakeholders noting a range of advantages and disadvantages for each. Feedback indicated:</w:t>
      </w:r>
    </w:p>
    <w:p w14:paraId="5E220C30" w14:textId="21030E33" w:rsidR="00804234" w:rsidRPr="0057793F" w:rsidRDefault="00804234" w:rsidP="00294F4F">
      <w:pPr>
        <w:pStyle w:val="Dot-pointlist"/>
        <w:rPr>
          <w:rStyle w:val="eop"/>
        </w:rPr>
      </w:pPr>
      <w:r w:rsidRPr="0057793F">
        <w:rPr>
          <w:rStyle w:val="eop"/>
        </w:rPr>
        <w:t>A threshold of $7.5 million may increase administrative burden; exclude smaller businesses from tendering out of concern about meeting the requirements; but would increase opportunities for apprentices and trainees on smaller projects, including in regional and rural areas.</w:t>
      </w:r>
    </w:p>
    <w:p w14:paraId="4807B613" w14:textId="6EEFF587" w:rsidR="00804234" w:rsidRPr="0057793F" w:rsidRDefault="00804234" w:rsidP="00294F4F">
      <w:pPr>
        <w:pStyle w:val="Dot-pointlist"/>
        <w:rPr>
          <w:rStyle w:val="eop"/>
        </w:rPr>
      </w:pPr>
      <w:r w:rsidRPr="0057793F">
        <w:rPr>
          <w:rStyle w:val="eop"/>
        </w:rPr>
        <w:t>A threshold of $20 million may alleviate administrative burden; allow smaller tenderers to be more agile and responsive when tendering; but would not cover as many projects as a lower threshold.</w:t>
      </w:r>
    </w:p>
    <w:p w14:paraId="537BC750" w14:textId="7DF1AD8C" w:rsidR="00620450" w:rsidRDefault="00E120B0" w:rsidP="00CD1E37">
      <w:pPr>
        <w:rPr>
          <w:rStyle w:val="eop"/>
          <w:highlight w:val="yellow"/>
        </w:rPr>
      </w:pPr>
      <w:r w:rsidRPr="00804234">
        <w:rPr>
          <w:rStyle w:val="eop"/>
        </w:rPr>
        <w:t>Several</w:t>
      </w:r>
      <w:r w:rsidR="00804234" w:rsidRPr="00804234">
        <w:rPr>
          <w:rStyle w:val="eop"/>
        </w:rPr>
        <w:t xml:space="preserve"> stakeholders also recommended the </w:t>
      </w:r>
      <w:r>
        <w:rPr>
          <w:rStyle w:val="eop"/>
        </w:rPr>
        <w:t>department consider</w:t>
      </w:r>
      <w:r w:rsidR="00804234" w:rsidRPr="00804234">
        <w:rPr>
          <w:rStyle w:val="eop"/>
        </w:rPr>
        <w:t xml:space="preserve"> alternat</w:t>
      </w:r>
      <w:r w:rsidR="00F17D2F">
        <w:rPr>
          <w:rStyle w:val="eop"/>
        </w:rPr>
        <w:t>ive</w:t>
      </w:r>
      <w:r w:rsidR="00804234" w:rsidRPr="00804234">
        <w:rPr>
          <w:rStyle w:val="eop"/>
        </w:rPr>
        <w:t xml:space="preserve"> threshold</w:t>
      </w:r>
      <w:r w:rsidR="00F17D2F">
        <w:rPr>
          <w:rStyle w:val="eop"/>
        </w:rPr>
        <w:t>s.</w:t>
      </w:r>
      <w:r w:rsidR="00804234" w:rsidRPr="00804234">
        <w:rPr>
          <w:rStyle w:val="eop"/>
        </w:rPr>
        <w:t xml:space="preserve"> </w:t>
      </w:r>
    </w:p>
    <w:p w14:paraId="74229A6F" w14:textId="37C80645" w:rsidR="00D414E4" w:rsidRDefault="00D414E4" w:rsidP="00CD1E37">
      <w:pPr>
        <w:rPr>
          <w:rStyle w:val="eop"/>
          <w:rFonts w:cstheme="minorHAnsi"/>
        </w:rPr>
      </w:pPr>
      <w:r w:rsidRPr="00E75148">
        <w:rPr>
          <w:rStyle w:val="eop"/>
        </w:rPr>
        <w:lastRenderedPageBreak/>
        <w:t>After consultation, the department set the financial threshold for a major project as $10 million or higher. This threshold balances the need to capture enough projects to provide opportunities for apprentices, trainees</w:t>
      </w:r>
      <w:r w:rsidR="00F83122">
        <w:rPr>
          <w:rStyle w:val="eop"/>
        </w:rPr>
        <w:t>,</w:t>
      </w:r>
      <w:r w:rsidRPr="00E75148">
        <w:rPr>
          <w:rStyle w:val="eop"/>
        </w:rPr>
        <w:t xml:space="preserve"> and cadets with minimising the burden on suppliers. This is particularly relevant for smaller suppliers, as the $10 million threshold means that smaller suppliers will be less likely to be disadvantaged by the Skills Guarantee, including because of consequences for non-compliance.</w:t>
      </w:r>
      <w:r w:rsidRPr="008C637E">
        <w:rPr>
          <w:rStyle w:val="eop"/>
        </w:rPr>
        <w:t xml:space="preserve"> </w:t>
      </w:r>
      <w:r>
        <w:rPr>
          <w:rStyle w:val="eop"/>
        </w:rPr>
        <w:t xml:space="preserve"> </w:t>
      </w:r>
    </w:p>
    <w:p w14:paraId="012F4288" w14:textId="6F69036F" w:rsidR="00B053DE" w:rsidRDefault="00B053DE" w:rsidP="00CD1E37">
      <w:pPr>
        <w:rPr>
          <w:rStyle w:val="normaltextrun"/>
          <w:rFonts w:eastAsiaTheme="minorEastAsia" w:cstheme="minorHAnsi"/>
        </w:rPr>
      </w:pPr>
      <w:r>
        <w:rPr>
          <w:rStyle w:val="normaltextrun"/>
          <w:rFonts w:eastAsiaTheme="minorEastAsia" w:cstheme="minorHAnsi"/>
        </w:rPr>
        <w:t xml:space="preserve">While targets on major projects will apply to a portion of Commonwealth procurement, the Skills Guarantee PCP will provide a broader impact across the construction and ICT workforce to increase the pool of skilled workers available to work of future projects. </w:t>
      </w:r>
    </w:p>
    <w:p w14:paraId="4359B431" w14:textId="7B8E34B3" w:rsidR="005F443B" w:rsidRPr="009A73D9" w:rsidRDefault="000608C5" w:rsidP="006E569B">
      <w:pPr>
        <w:pStyle w:val="Heading3"/>
        <w:rPr>
          <w:rStyle w:val="normaltextrun"/>
        </w:rPr>
      </w:pPr>
      <w:r w:rsidRPr="009A73D9">
        <w:rPr>
          <w:rStyle w:val="normaltextrun"/>
        </w:rPr>
        <w:t>Targets for women</w:t>
      </w:r>
      <w:r w:rsidR="00BD181C" w:rsidRPr="009A73D9">
        <w:rPr>
          <w:rStyle w:val="normaltextrun"/>
        </w:rPr>
        <w:t xml:space="preserve"> </w:t>
      </w:r>
    </w:p>
    <w:p w14:paraId="74E39EC9" w14:textId="79F4EB8F" w:rsidR="000608C5" w:rsidRDefault="00464E3F" w:rsidP="00CD1E37">
      <w:pPr>
        <w:rPr>
          <w:rStyle w:val="eop"/>
          <w:rFonts w:cstheme="minorHAnsi"/>
        </w:rPr>
      </w:pPr>
      <w:r>
        <w:rPr>
          <w:rStyle w:val="eop"/>
          <w:rFonts w:cstheme="minorHAnsi"/>
        </w:rPr>
        <w:t>In determi</w:t>
      </w:r>
      <w:r w:rsidR="00F93FFC">
        <w:rPr>
          <w:rStyle w:val="eop"/>
          <w:rFonts w:cstheme="minorHAnsi"/>
        </w:rPr>
        <w:t>ni</w:t>
      </w:r>
      <w:r>
        <w:rPr>
          <w:rStyle w:val="eop"/>
          <w:rFonts w:cstheme="minorHAnsi"/>
        </w:rPr>
        <w:t xml:space="preserve">ng </w:t>
      </w:r>
      <w:r w:rsidR="00F93FFC">
        <w:rPr>
          <w:rStyle w:val="eop"/>
          <w:rFonts w:cstheme="minorHAnsi"/>
        </w:rPr>
        <w:t xml:space="preserve">the targets for women, the department considered </w:t>
      </w:r>
      <w:r w:rsidR="00BD181C" w:rsidRPr="00BD181C">
        <w:rPr>
          <w:rStyle w:val="eop"/>
          <w:rFonts w:cstheme="minorHAnsi"/>
        </w:rPr>
        <w:t xml:space="preserve">consultation feedback that found strong support among women’s organisations for initial targets that are achievable, but which could be scaled up over time. </w:t>
      </w:r>
      <w:r w:rsidR="00F93FFC" w:rsidRPr="00F93FFC">
        <w:rPr>
          <w:rStyle w:val="eop"/>
          <w:rFonts w:cstheme="minorHAnsi"/>
        </w:rPr>
        <w:t>As such</w:t>
      </w:r>
      <w:r w:rsidR="00F93FFC">
        <w:rPr>
          <w:rStyle w:val="eop"/>
          <w:rFonts w:cstheme="minorHAnsi"/>
        </w:rPr>
        <w:t xml:space="preserve">, targets for women </w:t>
      </w:r>
      <w:r w:rsidR="00F93FFC" w:rsidRPr="00F93FFC">
        <w:rPr>
          <w:rStyle w:val="eop"/>
          <w:rFonts w:cstheme="minorHAnsi"/>
        </w:rPr>
        <w:t>are set just above the current rates of participation and will increase each year.</w:t>
      </w:r>
      <w:r w:rsidR="00240BF2">
        <w:rPr>
          <w:rStyle w:val="eop"/>
          <w:rFonts w:cstheme="minorHAnsi"/>
        </w:rPr>
        <w:t xml:space="preserve"> This also aligns with </w:t>
      </w:r>
      <w:r w:rsidR="000A010E">
        <w:rPr>
          <w:rStyle w:val="eop"/>
          <w:rFonts w:cstheme="minorHAnsi"/>
        </w:rPr>
        <w:t xml:space="preserve">experience </w:t>
      </w:r>
      <w:r w:rsidR="000A010E" w:rsidRPr="000A010E">
        <w:rPr>
          <w:rStyle w:val="eop"/>
          <w:rFonts w:cstheme="minorHAnsi"/>
        </w:rPr>
        <w:t xml:space="preserve">implementing similar targets through the </w:t>
      </w:r>
      <w:r w:rsidR="001335D5">
        <w:rPr>
          <w:rStyle w:val="eop"/>
          <w:rFonts w:cstheme="minorHAnsi"/>
        </w:rPr>
        <w:t>IPP</w:t>
      </w:r>
      <w:r w:rsidR="000A010E">
        <w:rPr>
          <w:rStyle w:val="eop"/>
          <w:rFonts w:cstheme="minorHAnsi"/>
        </w:rPr>
        <w:t xml:space="preserve">, which </w:t>
      </w:r>
      <w:r w:rsidR="000A010E" w:rsidRPr="000A010E">
        <w:rPr>
          <w:rStyle w:val="eop"/>
          <w:rFonts w:cstheme="minorHAnsi"/>
        </w:rPr>
        <w:t>has shown that progressively increasing value target can drive change in business practices.</w:t>
      </w:r>
    </w:p>
    <w:p w14:paraId="4ADBFB44" w14:textId="78255B9C" w:rsidR="00632CC1" w:rsidRPr="00DF4BBF" w:rsidRDefault="00632CC1" w:rsidP="00DF4BBF">
      <w:pPr>
        <w:pStyle w:val="Heading2"/>
        <w:rPr>
          <w:rStyle w:val="normaltextrun"/>
        </w:rPr>
      </w:pPr>
      <w:bookmarkStart w:id="22" w:name="_Toc159246224"/>
      <w:r w:rsidRPr="00DF4BBF">
        <w:rPr>
          <w:rStyle w:val="normaltextrun"/>
        </w:rPr>
        <w:t xml:space="preserve">Key </w:t>
      </w:r>
      <w:r w:rsidR="003E7C16" w:rsidRPr="00DF4BBF">
        <w:rPr>
          <w:rStyle w:val="normaltextrun"/>
        </w:rPr>
        <w:t xml:space="preserve">policy </w:t>
      </w:r>
      <w:r w:rsidRPr="00DF4BBF">
        <w:rPr>
          <w:rStyle w:val="normaltextrun"/>
        </w:rPr>
        <w:t>design elements</w:t>
      </w:r>
      <w:bookmarkEnd w:id="22"/>
      <w:r w:rsidRPr="00DF4BBF">
        <w:rPr>
          <w:rStyle w:val="normaltextrun"/>
        </w:rPr>
        <w:t>  </w:t>
      </w:r>
    </w:p>
    <w:p w14:paraId="48563A2F" w14:textId="17CB7DA2" w:rsidR="004D3E36" w:rsidRDefault="00632CC1" w:rsidP="00CD1E37">
      <w:pPr>
        <w:rPr>
          <w:rStyle w:val="normaltextrun"/>
          <w:rFonts w:eastAsiaTheme="minorEastAsia" w:cstheme="minorHAnsi"/>
        </w:rPr>
      </w:pPr>
      <w:r w:rsidRPr="00344C59">
        <w:rPr>
          <w:rStyle w:val="normaltextrun"/>
          <w:rFonts w:eastAsiaTheme="minorEastAsia" w:cstheme="minorHAnsi"/>
        </w:rPr>
        <w:t xml:space="preserve">The Skills Guarantee will </w:t>
      </w:r>
      <w:r w:rsidR="004D3E36" w:rsidRPr="00344C59">
        <w:rPr>
          <w:rStyle w:val="normaltextrun"/>
          <w:rFonts w:eastAsiaTheme="minorEastAsia" w:cstheme="minorHAnsi"/>
        </w:rPr>
        <w:t>be implemented through the Commonwealth Procurement Framework as a PCP</w:t>
      </w:r>
      <w:r w:rsidR="004D3E36" w:rsidRPr="00B9134C">
        <w:t xml:space="preserve"> </w:t>
      </w:r>
      <w:r w:rsidR="004D3E36" w:rsidRPr="0029564E">
        <w:t>with targets applying to tender processes for Commonwealth projects from 1 July 2024.</w:t>
      </w:r>
    </w:p>
    <w:p w14:paraId="631824EB" w14:textId="3ACB40BB" w:rsidR="00D86CAA" w:rsidRPr="00DF4BBF" w:rsidRDefault="00632CC1" w:rsidP="00CD1E37">
      <w:pPr>
        <w:rPr>
          <w:rStyle w:val="eop"/>
          <w:rFonts w:eastAsiaTheme="minorEastAsia" w:cstheme="minorHAnsi"/>
        </w:rPr>
      </w:pPr>
      <w:r w:rsidRPr="00344C59">
        <w:rPr>
          <w:rStyle w:val="normaltextrun"/>
          <w:rFonts w:eastAsiaTheme="minorEastAsia" w:cstheme="minorHAnsi"/>
        </w:rPr>
        <w:t xml:space="preserve">The Skills Guarantee </w:t>
      </w:r>
      <w:r w:rsidR="004D3E36">
        <w:rPr>
          <w:rStyle w:val="normaltextrun"/>
          <w:rFonts w:eastAsiaTheme="minorEastAsia" w:cstheme="minorHAnsi"/>
        </w:rPr>
        <w:t xml:space="preserve">PCP </w:t>
      </w:r>
      <w:r w:rsidRPr="00344C59">
        <w:rPr>
          <w:rStyle w:val="normaltextrun"/>
          <w:rFonts w:eastAsiaTheme="minorEastAsia" w:cstheme="minorHAnsi"/>
        </w:rPr>
        <w:t>will apply to major building and construction and facilities management contracts (major construction projects) and major information and communications technology (ICT) contracts (major ICT projects)</w:t>
      </w:r>
      <w:r w:rsidR="008207C7">
        <w:rPr>
          <w:rStyle w:val="normaltextrun"/>
          <w:rFonts w:eastAsiaTheme="minorEastAsia" w:cstheme="minorHAnsi"/>
        </w:rPr>
        <w:t xml:space="preserve"> over $10 million and above</w:t>
      </w:r>
      <w:r w:rsidRPr="00344C59">
        <w:rPr>
          <w:rStyle w:val="normaltextrun"/>
          <w:rFonts w:eastAsiaTheme="minorEastAsia" w:cstheme="minorHAnsi"/>
        </w:rPr>
        <w:t xml:space="preserve">. </w:t>
      </w:r>
    </w:p>
    <w:p w14:paraId="52EC30B1" w14:textId="0FA56188" w:rsidR="00632CC1" w:rsidRDefault="00632CC1" w:rsidP="00CD1E37">
      <w:pPr>
        <w:rPr>
          <w:rStyle w:val="normaltextrun"/>
          <w:rFonts w:eastAsiaTheme="minorEastAsia" w:cstheme="minorHAnsi"/>
        </w:rPr>
      </w:pPr>
      <w:r w:rsidRPr="00344C59">
        <w:rPr>
          <w:rStyle w:val="normaltextrun"/>
          <w:rFonts w:eastAsiaTheme="minorEastAsia" w:cstheme="minorHAnsi"/>
        </w:rPr>
        <w:t xml:space="preserve">The Skills Guarantee </w:t>
      </w:r>
      <w:r w:rsidR="004D3E36">
        <w:rPr>
          <w:rStyle w:val="normaltextrun"/>
          <w:rFonts w:eastAsiaTheme="minorEastAsia" w:cstheme="minorHAnsi"/>
        </w:rPr>
        <w:t>PCP</w:t>
      </w:r>
      <w:r w:rsidRPr="00344C59">
        <w:rPr>
          <w:rStyle w:val="normaltextrun"/>
          <w:rFonts w:eastAsiaTheme="minorEastAsia" w:cstheme="minorHAnsi"/>
        </w:rPr>
        <w:t xml:space="preserve"> will introduce national targets for apprentices and trainees working on Australian Government funded major projects to drive steady demand for skilled workers and stimulate the uptake of apprenticeships and traineeships. </w:t>
      </w:r>
      <w:r w:rsidR="00472B91">
        <w:rPr>
          <w:rStyle w:val="normaltextrun"/>
          <w:rFonts w:eastAsiaTheme="minorEastAsia" w:cstheme="minorHAnsi"/>
        </w:rPr>
        <w:t>It</w:t>
      </w:r>
      <w:r w:rsidRPr="00344C59">
        <w:rPr>
          <w:rStyle w:val="normaltextrun"/>
          <w:rFonts w:eastAsiaTheme="minorEastAsia" w:cstheme="minorHAnsi"/>
        </w:rPr>
        <w:t xml:space="preserve"> will also embed targets for women in apprentice, trainee</w:t>
      </w:r>
      <w:r w:rsidR="00F83122">
        <w:rPr>
          <w:rStyle w:val="normaltextrun"/>
          <w:rFonts w:eastAsiaTheme="minorEastAsia" w:cstheme="minorHAnsi"/>
        </w:rPr>
        <w:t>,</w:t>
      </w:r>
      <w:r w:rsidRPr="00344C59">
        <w:rPr>
          <w:rStyle w:val="normaltextrun"/>
          <w:rFonts w:eastAsiaTheme="minorEastAsia" w:cstheme="minorHAnsi"/>
        </w:rPr>
        <w:t xml:space="preserve"> and paid cadet roles to diversify the pool of workers and reduce gender segregation on major construction and ICT projects.</w:t>
      </w:r>
    </w:p>
    <w:p w14:paraId="3E4CDE6A" w14:textId="126865E8" w:rsidR="003C04C1" w:rsidRDefault="003C04C1" w:rsidP="00CD1E37">
      <w:pPr>
        <w:rPr>
          <w:rStyle w:val="eop"/>
          <w:rFonts w:cstheme="minorHAnsi"/>
        </w:rPr>
      </w:pPr>
      <w:r w:rsidRPr="003C04C1">
        <w:rPr>
          <w:rStyle w:val="eop"/>
          <w:rFonts w:cstheme="minorHAnsi"/>
        </w:rPr>
        <w:t xml:space="preserve">The Skills Guarantee PCP </w:t>
      </w:r>
      <w:r>
        <w:rPr>
          <w:rStyle w:val="eop"/>
          <w:rFonts w:cstheme="minorHAnsi"/>
        </w:rPr>
        <w:t xml:space="preserve">will </w:t>
      </w:r>
      <w:r w:rsidRPr="003C04C1">
        <w:rPr>
          <w:rStyle w:val="eop"/>
          <w:rFonts w:cstheme="minorHAnsi"/>
        </w:rPr>
        <w:t>appl</w:t>
      </w:r>
      <w:r>
        <w:rPr>
          <w:rStyle w:val="eop"/>
          <w:rFonts w:cstheme="minorHAnsi"/>
        </w:rPr>
        <w:t>y</w:t>
      </w:r>
      <w:r w:rsidRPr="003C04C1">
        <w:rPr>
          <w:rStyle w:val="eop"/>
          <w:rFonts w:cstheme="minorHAnsi"/>
        </w:rPr>
        <w:t xml:space="preserve"> between a contracting agency and a supplier at the project level. A supplier on a Skills Guarantee project is responsible for ensuring that the labour hour requirements </w:t>
      </w:r>
      <w:r w:rsidR="009C4B84">
        <w:rPr>
          <w:rStyle w:val="eop"/>
          <w:rFonts w:cstheme="minorHAnsi"/>
        </w:rPr>
        <w:t xml:space="preserve">for each target </w:t>
      </w:r>
      <w:r w:rsidRPr="003C04C1">
        <w:rPr>
          <w:rStyle w:val="eop"/>
          <w:rFonts w:cstheme="minorHAnsi"/>
        </w:rPr>
        <w:t>are met in line with the PCP, including those of subcontractors.</w:t>
      </w:r>
    </w:p>
    <w:p w14:paraId="58AE70FB" w14:textId="19E78845" w:rsidR="007C0B35" w:rsidRPr="006E569B" w:rsidRDefault="007C0B35" w:rsidP="00DF4BBF">
      <w:pPr>
        <w:pStyle w:val="Heading3"/>
        <w:rPr>
          <w:rStyle w:val="normaltextrun"/>
          <w:rFonts w:asciiTheme="minorHAnsi" w:eastAsiaTheme="minorHAnsi" w:hAnsiTheme="minorHAnsi" w:cstheme="minorBidi"/>
          <w:b/>
          <w:color w:val="auto"/>
        </w:rPr>
      </w:pPr>
      <w:r w:rsidRPr="006E569B">
        <w:rPr>
          <w:rStyle w:val="normaltextrun"/>
        </w:rPr>
        <w:t>Major construction projects</w:t>
      </w:r>
    </w:p>
    <w:p w14:paraId="37313ACE" w14:textId="51226BC3" w:rsidR="007C0B35" w:rsidRPr="0029564E" w:rsidRDefault="007C0B35" w:rsidP="0058510D">
      <w:r w:rsidRPr="0029564E">
        <w:t>Under the Skills Guarantee PCP, major construction projects will be required to ensure a minimum of 10% of all labour hours spent on the project are undertaken by apprentices or trainees.</w:t>
      </w:r>
      <w:r w:rsidR="003C0888">
        <w:t xml:space="preserve"> </w:t>
      </w:r>
      <w:r w:rsidR="009660C8">
        <w:t>If the major construction project</w:t>
      </w:r>
      <w:r w:rsidR="00D7045A">
        <w:t xml:space="preserve"> </w:t>
      </w:r>
      <w:r w:rsidR="0089613F">
        <w:t xml:space="preserve">estimates it will </w:t>
      </w:r>
      <w:r w:rsidR="00D7045A">
        <w:t xml:space="preserve">require 10,000 labour hours, </w:t>
      </w:r>
      <w:r w:rsidR="00256E90">
        <w:t xml:space="preserve">for example, </w:t>
      </w:r>
      <w:r w:rsidR="00D7045A">
        <w:t xml:space="preserve">1,000 labour hours are to be undertaken by </w:t>
      </w:r>
      <w:r w:rsidR="003E7E8D">
        <w:t>an apprentice or trainee</w:t>
      </w:r>
      <w:r w:rsidR="003E7E8D" w:rsidRPr="00C6426A">
        <w:t xml:space="preserve">. </w:t>
      </w:r>
      <w:r w:rsidR="005A3A0F" w:rsidRPr="00C6426A">
        <w:t xml:space="preserve">Performance against </w:t>
      </w:r>
      <w:r w:rsidR="00F0424E" w:rsidRPr="00C6426A">
        <w:t>the apprentice</w:t>
      </w:r>
      <w:r w:rsidR="009F2F3E" w:rsidRPr="00C6426A">
        <w:t xml:space="preserve"> and trainee</w:t>
      </w:r>
      <w:r w:rsidR="00F0424E" w:rsidRPr="00C6426A">
        <w:t xml:space="preserve"> target</w:t>
      </w:r>
      <w:r w:rsidR="000B4D5C">
        <w:t>s</w:t>
      </w:r>
      <w:r w:rsidR="00F0424E" w:rsidRPr="00C6426A">
        <w:t xml:space="preserve"> will be formally assessed at the conclusion of the contract.</w:t>
      </w:r>
      <w:r w:rsidR="00750C41">
        <w:t xml:space="preserve"> </w:t>
      </w:r>
    </w:p>
    <w:p w14:paraId="501FBD3C" w14:textId="0AAA5591" w:rsidR="00FB54A0" w:rsidRPr="0029564E" w:rsidRDefault="00A92795" w:rsidP="0058510D">
      <w:r>
        <w:t>The targets for women will depend on the project contract start date, however t</w:t>
      </w:r>
      <w:r w:rsidR="007C0B35" w:rsidRPr="0029564E">
        <w:t xml:space="preserve">he initial targets </w:t>
      </w:r>
      <w:r>
        <w:t>from 1 July 2024,</w:t>
      </w:r>
      <w:r w:rsidR="00CB45FC">
        <w:t xml:space="preserve"> </w:t>
      </w:r>
      <w:r w:rsidR="007C0B35" w:rsidRPr="0029564E">
        <w:t xml:space="preserve">for construction projects will be 6% for women in apprenticeships and traineeships and 4% for women in trade apprenticeships and traineeships. This is above the current rate of women in </w:t>
      </w:r>
      <w:r w:rsidR="007C0B35" w:rsidRPr="0029564E">
        <w:lastRenderedPageBreak/>
        <w:t xml:space="preserve">apprenticeships overall, and for women in trade </w:t>
      </w:r>
      <w:r w:rsidR="007C0B35" w:rsidRPr="00C6426A">
        <w:t>roles.</w:t>
      </w:r>
      <w:r w:rsidR="000F1C60" w:rsidRPr="00C6426A">
        <w:t xml:space="preserve"> </w:t>
      </w:r>
      <w:r w:rsidR="00FB54A0" w:rsidRPr="00C6426A">
        <w:t xml:space="preserve">Performance against the targets for women will be </w:t>
      </w:r>
      <w:r w:rsidR="00F9374B" w:rsidRPr="00C6426A">
        <w:t>assessed</w:t>
      </w:r>
      <w:r w:rsidR="00FB54A0" w:rsidRPr="00C6426A">
        <w:t xml:space="preserve"> each financial year</w:t>
      </w:r>
      <w:r w:rsidR="0099100B" w:rsidRPr="00C6426A">
        <w:t xml:space="preserve">, </w:t>
      </w:r>
      <w:r w:rsidR="00F9374B" w:rsidRPr="00C6426A">
        <w:t>based on reported labour hours</w:t>
      </w:r>
      <w:r w:rsidR="00FB54A0" w:rsidRPr="00C6426A">
        <w:t>.</w:t>
      </w:r>
    </w:p>
    <w:p w14:paraId="56A711DF" w14:textId="5D1C5612" w:rsidR="00A325E5" w:rsidRDefault="007C0B35" w:rsidP="0058510D">
      <w:r w:rsidRPr="0029564E">
        <w:t xml:space="preserve">To drive sustainable change, the targets for women for major construction projects will increase each </w:t>
      </w:r>
      <w:r w:rsidR="0028583D">
        <w:t xml:space="preserve">financial </w:t>
      </w:r>
      <w:r w:rsidRPr="0029564E">
        <w:t>year</w:t>
      </w:r>
      <w:r w:rsidR="00DA3442">
        <w:t xml:space="preserve"> (</w:t>
      </w:r>
      <w:r w:rsidR="00DA3442" w:rsidRPr="009B6DA1">
        <w:rPr>
          <w:b/>
        </w:rPr>
        <w:t xml:space="preserve">Table </w:t>
      </w:r>
      <w:r w:rsidR="00844C3B" w:rsidRPr="009B6DA1">
        <w:rPr>
          <w:b/>
        </w:rPr>
        <w:t>4</w:t>
      </w:r>
      <w:r w:rsidR="00DA3442">
        <w:t>)</w:t>
      </w:r>
      <w:r w:rsidRPr="0029564E">
        <w:t>. The targets will reach 12% for women in apprenticeships and traineeships, and 10% for women in trade apprenticeships and traineeships in construction by 2030.</w:t>
      </w:r>
      <w:r w:rsidR="0038200A" w:rsidRPr="0038200A">
        <w:t xml:space="preserve"> </w:t>
      </w:r>
    </w:p>
    <w:p w14:paraId="1E705973" w14:textId="3EC68B4B" w:rsidR="00C604D1" w:rsidRPr="00C604D1" w:rsidRDefault="00C604D1" w:rsidP="00A01012">
      <w:pPr>
        <w:pStyle w:val="Caption"/>
        <w:rPr>
          <w:rFonts w:ascii="Calibri" w:eastAsia="Yu Gothic Light" w:hAnsi="Calibri" w:cs="Times New Roman"/>
          <w:b w:val="0"/>
          <w:color w:val="000000"/>
        </w:rPr>
      </w:pPr>
      <w:r w:rsidRPr="006E569B">
        <w:rPr>
          <w:rStyle w:val="Strong"/>
          <w:b/>
          <w:bCs w:val="0"/>
        </w:rPr>
        <w:t xml:space="preserve">Table </w:t>
      </w:r>
      <w:r w:rsidR="00844C3B">
        <w:rPr>
          <w:rStyle w:val="Strong"/>
          <w:b/>
          <w:bCs w:val="0"/>
        </w:rPr>
        <w:t>4</w:t>
      </w:r>
      <w:r w:rsidRPr="00C604D1">
        <w:rPr>
          <w:rFonts w:ascii="Calibri" w:eastAsia="Yu Gothic Light" w:hAnsi="Calibri" w:cs="Times New Roman"/>
          <w:color w:val="000000"/>
        </w:rPr>
        <w:t>: Annual increases of targets for women</w:t>
      </w:r>
    </w:p>
    <w:tbl>
      <w:tblPr>
        <w:tblStyle w:val="TableGrid5"/>
        <w:tblW w:w="0" w:type="auto"/>
        <w:tblLook w:val="04A0" w:firstRow="1" w:lastRow="0" w:firstColumn="1" w:lastColumn="0" w:noHBand="0" w:noVBand="1"/>
      </w:tblPr>
      <w:tblGrid>
        <w:gridCol w:w="3256"/>
        <w:gridCol w:w="2784"/>
        <w:gridCol w:w="3020"/>
      </w:tblGrid>
      <w:tr w:rsidR="00BF6AE8" w:rsidRPr="00C604D1" w14:paraId="5E410BE9" w14:textId="77777777" w:rsidTr="00BF6AE8">
        <w:trPr>
          <w:tblHeader/>
        </w:trPr>
        <w:tc>
          <w:tcPr>
            <w:tcW w:w="3256" w:type="dxa"/>
            <w:shd w:val="clear" w:color="auto" w:fill="404246"/>
          </w:tcPr>
          <w:p w14:paraId="57244560" w14:textId="77777777" w:rsidR="00C604D1" w:rsidRPr="00A01012" w:rsidRDefault="00C604D1" w:rsidP="0099239D">
            <w:pPr>
              <w:spacing w:before="120" w:after="120" w:line="240" w:lineRule="auto"/>
              <w:rPr>
                <w:color w:val="FFFFFF" w:themeColor="background1"/>
              </w:rPr>
            </w:pPr>
            <w:r w:rsidRPr="00A01012">
              <w:rPr>
                <w:color w:val="FFFFFF" w:themeColor="background1"/>
              </w:rPr>
              <w:t xml:space="preserve">Targets apply </w:t>
            </w:r>
          </w:p>
        </w:tc>
        <w:tc>
          <w:tcPr>
            <w:tcW w:w="2784" w:type="dxa"/>
            <w:shd w:val="clear" w:color="auto" w:fill="404246"/>
          </w:tcPr>
          <w:p w14:paraId="25866159" w14:textId="77777777" w:rsidR="00C604D1" w:rsidRPr="00A01012" w:rsidRDefault="00C604D1" w:rsidP="0099239D">
            <w:pPr>
              <w:spacing w:before="120" w:after="120" w:line="240" w:lineRule="auto"/>
              <w:rPr>
                <w:color w:val="FFFFFF" w:themeColor="background1"/>
              </w:rPr>
            </w:pPr>
            <w:r w:rsidRPr="00A01012">
              <w:rPr>
                <w:color w:val="FFFFFF" w:themeColor="background1"/>
              </w:rPr>
              <w:t>Overarching apprentice target for women</w:t>
            </w:r>
          </w:p>
        </w:tc>
        <w:tc>
          <w:tcPr>
            <w:tcW w:w="3020" w:type="dxa"/>
            <w:shd w:val="clear" w:color="auto" w:fill="404246"/>
          </w:tcPr>
          <w:p w14:paraId="2F515545" w14:textId="77777777" w:rsidR="00C604D1" w:rsidRPr="00A01012" w:rsidRDefault="00C604D1" w:rsidP="0099239D">
            <w:pPr>
              <w:spacing w:before="120" w:after="120" w:line="240" w:lineRule="auto"/>
              <w:rPr>
                <w:color w:val="FFFFFF" w:themeColor="background1"/>
              </w:rPr>
            </w:pPr>
            <w:r w:rsidRPr="00A01012">
              <w:rPr>
                <w:color w:val="FFFFFF" w:themeColor="background1"/>
              </w:rPr>
              <w:t>Trade-specific apprentice target for women</w:t>
            </w:r>
          </w:p>
        </w:tc>
      </w:tr>
      <w:tr w:rsidR="00C604D1" w:rsidRPr="00C604D1" w14:paraId="2065030D" w14:textId="77777777">
        <w:tc>
          <w:tcPr>
            <w:tcW w:w="3256" w:type="dxa"/>
          </w:tcPr>
          <w:p w14:paraId="0072CD4E" w14:textId="77777777" w:rsidR="00C604D1" w:rsidRPr="00C604D1" w:rsidRDefault="00C604D1" w:rsidP="0099239D">
            <w:pPr>
              <w:spacing w:before="120" w:after="120" w:line="240" w:lineRule="auto"/>
            </w:pPr>
            <w:r w:rsidRPr="00C604D1">
              <w:t>1 July 2024 to 30 June 2025</w:t>
            </w:r>
          </w:p>
        </w:tc>
        <w:tc>
          <w:tcPr>
            <w:tcW w:w="2784" w:type="dxa"/>
          </w:tcPr>
          <w:p w14:paraId="4F3ACCC7" w14:textId="77777777" w:rsidR="00C604D1" w:rsidRPr="00C604D1" w:rsidRDefault="00C604D1" w:rsidP="0099239D">
            <w:pPr>
              <w:spacing w:before="120" w:after="120" w:line="240" w:lineRule="auto"/>
              <w:jc w:val="center"/>
            </w:pPr>
            <w:r w:rsidRPr="00C604D1">
              <w:t>6.0%</w:t>
            </w:r>
          </w:p>
        </w:tc>
        <w:tc>
          <w:tcPr>
            <w:tcW w:w="3020" w:type="dxa"/>
          </w:tcPr>
          <w:p w14:paraId="1DCEC4EA" w14:textId="77777777" w:rsidR="00C604D1" w:rsidRPr="00C604D1" w:rsidRDefault="00C604D1" w:rsidP="0099239D">
            <w:pPr>
              <w:spacing w:before="120" w:after="120" w:line="240" w:lineRule="auto"/>
              <w:jc w:val="center"/>
            </w:pPr>
            <w:r w:rsidRPr="00C604D1">
              <w:t>4.0%</w:t>
            </w:r>
          </w:p>
        </w:tc>
      </w:tr>
      <w:tr w:rsidR="00C604D1" w:rsidRPr="00C604D1" w14:paraId="46D3AEF6" w14:textId="77777777">
        <w:tc>
          <w:tcPr>
            <w:tcW w:w="3256" w:type="dxa"/>
          </w:tcPr>
          <w:p w14:paraId="5E32CC7B" w14:textId="77777777" w:rsidR="00C604D1" w:rsidRPr="00C604D1" w:rsidRDefault="00C604D1" w:rsidP="0099239D">
            <w:pPr>
              <w:spacing w:before="120" w:after="120" w:line="240" w:lineRule="auto"/>
            </w:pPr>
            <w:r w:rsidRPr="00C604D1">
              <w:t>1 July 2025 to 30 June 2026</w:t>
            </w:r>
          </w:p>
        </w:tc>
        <w:tc>
          <w:tcPr>
            <w:tcW w:w="2784" w:type="dxa"/>
          </w:tcPr>
          <w:p w14:paraId="5DDB84D1" w14:textId="77777777" w:rsidR="00C604D1" w:rsidRPr="00C604D1" w:rsidRDefault="00C604D1" w:rsidP="0099239D">
            <w:pPr>
              <w:spacing w:before="120" w:after="120" w:line="240" w:lineRule="auto"/>
              <w:jc w:val="center"/>
            </w:pPr>
            <w:r w:rsidRPr="00C604D1">
              <w:t>7.0%</w:t>
            </w:r>
          </w:p>
        </w:tc>
        <w:tc>
          <w:tcPr>
            <w:tcW w:w="3020" w:type="dxa"/>
          </w:tcPr>
          <w:p w14:paraId="4983229D" w14:textId="77777777" w:rsidR="00C604D1" w:rsidRPr="00C604D1" w:rsidRDefault="00C604D1" w:rsidP="0099239D">
            <w:pPr>
              <w:spacing w:before="120" w:after="120" w:line="240" w:lineRule="auto"/>
              <w:jc w:val="center"/>
            </w:pPr>
            <w:r w:rsidRPr="00C604D1">
              <w:t>5.0%</w:t>
            </w:r>
          </w:p>
        </w:tc>
      </w:tr>
      <w:tr w:rsidR="00C604D1" w:rsidRPr="00C604D1" w14:paraId="517A3BE7" w14:textId="77777777">
        <w:tc>
          <w:tcPr>
            <w:tcW w:w="3256" w:type="dxa"/>
          </w:tcPr>
          <w:p w14:paraId="41EBE99C" w14:textId="77777777" w:rsidR="00C604D1" w:rsidRPr="00C604D1" w:rsidRDefault="00C604D1" w:rsidP="0099239D">
            <w:pPr>
              <w:spacing w:before="120" w:after="120" w:line="240" w:lineRule="auto"/>
            </w:pPr>
            <w:r w:rsidRPr="00C604D1">
              <w:t>1 July 2026 to 30 June 2027</w:t>
            </w:r>
          </w:p>
        </w:tc>
        <w:tc>
          <w:tcPr>
            <w:tcW w:w="2784" w:type="dxa"/>
          </w:tcPr>
          <w:p w14:paraId="126DE223" w14:textId="77777777" w:rsidR="00C604D1" w:rsidRPr="00C604D1" w:rsidRDefault="00C604D1" w:rsidP="0099239D">
            <w:pPr>
              <w:spacing w:before="120" w:after="120" w:line="240" w:lineRule="auto"/>
              <w:jc w:val="center"/>
            </w:pPr>
            <w:r w:rsidRPr="00C604D1">
              <w:t>8.0%</w:t>
            </w:r>
          </w:p>
        </w:tc>
        <w:tc>
          <w:tcPr>
            <w:tcW w:w="3020" w:type="dxa"/>
          </w:tcPr>
          <w:p w14:paraId="1C8911BD" w14:textId="77777777" w:rsidR="00C604D1" w:rsidRPr="00C604D1" w:rsidRDefault="00C604D1" w:rsidP="0099239D">
            <w:pPr>
              <w:spacing w:before="120" w:after="120" w:line="240" w:lineRule="auto"/>
              <w:jc w:val="center"/>
            </w:pPr>
            <w:r w:rsidRPr="00C604D1">
              <w:t>6.0%</w:t>
            </w:r>
          </w:p>
        </w:tc>
      </w:tr>
      <w:tr w:rsidR="00C604D1" w:rsidRPr="00C604D1" w14:paraId="150D9173" w14:textId="77777777">
        <w:tc>
          <w:tcPr>
            <w:tcW w:w="3256" w:type="dxa"/>
          </w:tcPr>
          <w:p w14:paraId="5958E841" w14:textId="77777777" w:rsidR="00C604D1" w:rsidRPr="00C604D1" w:rsidRDefault="00C604D1" w:rsidP="0099239D">
            <w:pPr>
              <w:spacing w:before="120" w:after="120" w:line="240" w:lineRule="auto"/>
            </w:pPr>
            <w:r w:rsidRPr="00C604D1">
              <w:t>1 July 2027 to 30 June 2028</w:t>
            </w:r>
          </w:p>
        </w:tc>
        <w:tc>
          <w:tcPr>
            <w:tcW w:w="2784" w:type="dxa"/>
          </w:tcPr>
          <w:p w14:paraId="42D2EF90" w14:textId="77777777" w:rsidR="00C604D1" w:rsidRPr="00C604D1" w:rsidRDefault="00C604D1" w:rsidP="0099239D">
            <w:pPr>
              <w:spacing w:before="120" w:after="120" w:line="240" w:lineRule="auto"/>
              <w:jc w:val="center"/>
            </w:pPr>
            <w:r w:rsidRPr="00C604D1">
              <w:t>9.0%</w:t>
            </w:r>
          </w:p>
        </w:tc>
        <w:tc>
          <w:tcPr>
            <w:tcW w:w="3020" w:type="dxa"/>
          </w:tcPr>
          <w:p w14:paraId="313D3B02" w14:textId="77777777" w:rsidR="00C604D1" w:rsidRPr="00C604D1" w:rsidRDefault="00C604D1" w:rsidP="0099239D">
            <w:pPr>
              <w:spacing w:before="120" w:after="120" w:line="240" w:lineRule="auto"/>
              <w:jc w:val="center"/>
            </w:pPr>
            <w:r w:rsidRPr="00C604D1">
              <w:t>7.0%</w:t>
            </w:r>
          </w:p>
        </w:tc>
      </w:tr>
      <w:tr w:rsidR="00C604D1" w:rsidRPr="00C604D1" w14:paraId="6DAA7BC8" w14:textId="77777777">
        <w:tc>
          <w:tcPr>
            <w:tcW w:w="3256" w:type="dxa"/>
          </w:tcPr>
          <w:p w14:paraId="44919476" w14:textId="77777777" w:rsidR="00C604D1" w:rsidRPr="00C604D1" w:rsidRDefault="00C604D1" w:rsidP="0099239D">
            <w:pPr>
              <w:spacing w:before="120" w:after="120" w:line="240" w:lineRule="auto"/>
            </w:pPr>
            <w:r w:rsidRPr="00C604D1">
              <w:t>1 July 2028 to 30 June 2029</w:t>
            </w:r>
          </w:p>
        </w:tc>
        <w:tc>
          <w:tcPr>
            <w:tcW w:w="2784" w:type="dxa"/>
          </w:tcPr>
          <w:p w14:paraId="1FF948BD" w14:textId="77777777" w:rsidR="00C604D1" w:rsidRPr="00C604D1" w:rsidRDefault="00C604D1" w:rsidP="0099239D">
            <w:pPr>
              <w:spacing w:before="120" w:after="120" w:line="240" w:lineRule="auto"/>
              <w:jc w:val="center"/>
            </w:pPr>
            <w:r w:rsidRPr="00C604D1">
              <w:t>10.0%</w:t>
            </w:r>
          </w:p>
        </w:tc>
        <w:tc>
          <w:tcPr>
            <w:tcW w:w="3020" w:type="dxa"/>
          </w:tcPr>
          <w:p w14:paraId="39683448" w14:textId="77777777" w:rsidR="00C604D1" w:rsidRPr="00C604D1" w:rsidRDefault="00C604D1" w:rsidP="0099239D">
            <w:pPr>
              <w:spacing w:before="120" w:after="120" w:line="240" w:lineRule="auto"/>
              <w:jc w:val="center"/>
            </w:pPr>
            <w:r w:rsidRPr="00C604D1">
              <w:t>8.0%</w:t>
            </w:r>
          </w:p>
        </w:tc>
      </w:tr>
      <w:tr w:rsidR="00C604D1" w:rsidRPr="00C604D1" w14:paraId="628237A0" w14:textId="77777777">
        <w:tc>
          <w:tcPr>
            <w:tcW w:w="3256" w:type="dxa"/>
          </w:tcPr>
          <w:p w14:paraId="405B8864" w14:textId="77777777" w:rsidR="00C604D1" w:rsidRPr="00C604D1" w:rsidRDefault="00C604D1" w:rsidP="0099239D">
            <w:pPr>
              <w:spacing w:before="120" w:after="120" w:line="240" w:lineRule="auto"/>
            </w:pPr>
            <w:r w:rsidRPr="00C604D1">
              <w:t>1 July 2029 to 30 June 2030</w:t>
            </w:r>
          </w:p>
        </w:tc>
        <w:tc>
          <w:tcPr>
            <w:tcW w:w="2784" w:type="dxa"/>
          </w:tcPr>
          <w:p w14:paraId="128C2AFD" w14:textId="77777777" w:rsidR="00C604D1" w:rsidRPr="00C604D1" w:rsidRDefault="00C604D1" w:rsidP="0099239D">
            <w:pPr>
              <w:spacing w:before="120" w:after="120" w:line="240" w:lineRule="auto"/>
              <w:jc w:val="center"/>
            </w:pPr>
            <w:r w:rsidRPr="00C604D1">
              <w:t>11.0%</w:t>
            </w:r>
          </w:p>
        </w:tc>
        <w:tc>
          <w:tcPr>
            <w:tcW w:w="3020" w:type="dxa"/>
          </w:tcPr>
          <w:p w14:paraId="2659EA67" w14:textId="77777777" w:rsidR="00C604D1" w:rsidRPr="00C604D1" w:rsidRDefault="00C604D1" w:rsidP="0099239D">
            <w:pPr>
              <w:spacing w:before="120" w:after="120" w:line="240" w:lineRule="auto"/>
              <w:jc w:val="center"/>
            </w:pPr>
            <w:r w:rsidRPr="00C604D1">
              <w:t>9.0%</w:t>
            </w:r>
          </w:p>
        </w:tc>
      </w:tr>
      <w:tr w:rsidR="00C604D1" w:rsidRPr="00C604D1" w14:paraId="699EE30D" w14:textId="77777777">
        <w:tc>
          <w:tcPr>
            <w:tcW w:w="3256" w:type="dxa"/>
          </w:tcPr>
          <w:p w14:paraId="389CD688" w14:textId="77777777" w:rsidR="00C604D1" w:rsidRPr="00C604D1" w:rsidRDefault="00C604D1" w:rsidP="0099239D">
            <w:pPr>
              <w:spacing w:before="120" w:after="120" w:line="240" w:lineRule="auto"/>
            </w:pPr>
            <w:r w:rsidRPr="00C604D1">
              <w:t>1 July 2030 onwards</w:t>
            </w:r>
          </w:p>
        </w:tc>
        <w:tc>
          <w:tcPr>
            <w:tcW w:w="2784" w:type="dxa"/>
          </w:tcPr>
          <w:p w14:paraId="73DEFE56" w14:textId="77777777" w:rsidR="00C604D1" w:rsidRPr="00C604D1" w:rsidRDefault="00C604D1" w:rsidP="0099239D">
            <w:pPr>
              <w:spacing w:before="120" w:after="120" w:line="240" w:lineRule="auto"/>
              <w:jc w:val="center"/>
            </w:pPr>
            <w:r w:rsidRPr="00C604D1">
              <w:t>12.0%</w:t>
            </w:r>
          </w:p>
        </w:tc>
        <w:tc>
          <w:tcPr>
            <w:tcW w:w="3020" w:type="dxa"/>
          </w:tcPr>
          <w:p w14:paraId="4CD02EC4" w14:textId="77777777" w:rsidR="00C604D1" w:rsidRPr="00C604D1" w:rsidRDefault="00C604D1" w:rsidP="0099239D">
            <w:pPr>
              <w:spacing w:before="120" w:after="120" w:line="240" w:lineRule="auto"/>
              <w:jc w:val="center"/>
            </w:pPr>
            <w:r w:rsidRPr="00C604D1">
              <w:t>10.0%</w:t>
            </w:r>
          </w:p>
        </w:tc>
      </w:tr>
    </w:tbl>
    <w:p w14:paraId="6D6F4650" w14:textId="384909EE" w:rsidR="00A73CE2" w:rsidRPr="006C4D15" w:rsidRDefault="00224FDE" w:rsidP="00CD1E37">
      <w:r>
        <w:br/>
      </w:r>
      <w:r w:rsidR="0038200A" w:rsidRPr="0038200A">
        <w:t xml:space="preserve">Outlining the path forward for the targets will support employers and industry with their business planning and focus sustained efforts on increasing the pipeline of women who are interested in these roles. </w:t>
      </w:r>
    </w:p>
    <w:p w14:paraId="29446453" w14:textId="77777777" w:rsidR="007C0B35" w:rsidRPr="009A73D9" w:rsidRDefault="007C0B35" w:rsidP="006C4D15">
      <w:pPr>
        <w:pStyle w:val="Heading3"/>
        <w:rPr>
          <w:rStyle w:val="normaltextrun"/>
          <w:rFonts w:asciiTheme="minorHAnsi" w:eastAsiaTheme="minorHAnsi" w:hAnsiTheme="minorHAnsi" w:cstheme="minorBidi"/>
          <w:b/>
          <w:color w:val="auto"/>
        </w:rPr>
      </w:pPr>
      <w:r w:rsidRPr="009A73D9">
        <w:rPr>
          <w:rStyle w:val="normaltextrun"/>
        </w:rPr>
        <w:t>Flagship construction projects</w:t>
      </w:r>
    </w:p>
    <w:p w14:paraId="3C003C5B" w14:textId="52962B25" w:rsidR="00FC0491" w:rsidRPr="000174F6" w:rsidRDefault="007C0B35" w:rsidP="00CD1E37">
      <w:pPr>
        <w:rPr>
          <w:rFonts w:eastAsiaTheme="minorEastAsia" w:cstheme="minorHAnsi"/>
        </w:rPr>
      </w:pPr>
      <w:r w:rsidRPr="0029564E">
        <w:t xml:space="preserve">In addition to the apprentice/trainee target outlined for major construction projects, there will be more ambitious targets for women in flagship construction projects with a total contract value of $100 million or more. </w:t>
      </w:r>
      <w:r w:rsidR="00FC0491">
        <w:rPr>
          <w:rStyle w:val="normaltextrun"/>
          <w:rFonts w:eastAsiaTheme="minorEastAsia" w:cstheme="minorHAnsi"/>
        </w:rPr>
        <w:t xml:space="preserve">By requiring more ambitious targets on flagship construction projects, </w:t>
      </w:r>
      <w:r w:rsidR="00FC0491" w:rsidRPr="00344C59">
        <w:rPr>
          <w:rStyle w:val="normaltextrun"/>
          <w:rFonts w:eastAsiaTheme="minorEastAsia" w:cstheme="minorHAnsi"/>
        </w:rPr>
        <w:t>Australian Government policy can be used to build a critical mass of women on site to help shift cultures on projects and act as exemplars across the industry.</w:t>
      </w:r>
    </w:p>
    <w:p w14:paraId="3FC98DE2" w14:textId="626ABBA9" w:rsidR="007C0B35" w:rsidRDefault="007C0B35" w:rsidP="0058510D">
      <w:r w:rsidRPr="0029564E">
        <w:t>Suppliers will also be required to prepare Gender Equality Action Plans outlining how targets will be achieved</w:t>
      </w:r>
      <w:r w:rsidR="00EC17B2">
        <w:t xml:space="preserve">, supplier recruitment and retention strategies and supports that </w:t>
      </w:r>
      <w:r w:rsidR="00885867">
        <w:t>will be in place for women</w:t>
      </w:r>
      <w:r w:rsidRPr="0029564E">
        <w:t>.</w:t>
      </w:r>
      <w:r w:rsidR="00031D8F">
        <w:t xml:space="preserve"> The </w:t>
      </w:r>
      <w:r w:rsidR="003B0D62">
        <w:t xml:space="preserve">Gender Equality Action Plans will also assist </w:t>
      </w:r>
      <w:r w:rsidR="003A62B4">
        <w:t xml:space="preserve">sub-contractors associated with flagship construction projects to plan and implement similar recruitment and retention strategies </w:t>
      </w:r>
      <w:r w:rsidR="00F6784B">
        <w:t xml:space="preserve">in accordance with the project supplier. </w:t>
      </w:r>
    </w:p>
    <w:p w14:paraId="22100D7F" w14:textId="0A5AAD5C" w:rsidR="000174F6" w:rsidRPr="000174F6" w:rsidRDefault="000174F6" w:rsidP="0058510D">
      <w:r w:rsidRPr="000174F6">
        <w:rPr>
          <w:rStyle w:val="normaltextrun"/>
          <w:rFonts w:eastAsiaTheme="minorEastAsia" w:cstheme="minorHAnsi"/>
        </w:rPr>
        <w:t>The $100 million threshold impacts fewer projects of higher value where the cost of any associated changes in recruitment is more easily absorbed.</w:t>
      </w:r>
      <w:r>
        <w:rPr>
          <w:rStyle w:val="normaltextrun"/>
          <w:rFonts w:eastAsiaTheme="minorEastAsia" w:cstheme="minorHAnsi"/>
        </w:rPr>
        <w:t xml:space="preserve"> </w:t>
      </w:r>
      <w:r w:rsidR="007E73A4" w:rsidRPr="007E73A4">
        <w:rPr>
          <w:rStyle w:val="normaltextrun"/>
          <w:rFonts w:eastAsiaTheme="minorEastAsia" w:cstheme="minorHAnsi"/>
        </w:rPr>
        <w:t xml:space="preserve">Analysis of AusTender data suggests </w:t>
      </w:r>
      <w:r w:rsidR="00AD7D91">
        <w:rPr>
          <w:rStyle w:val="normaltextrun"/>
          <w:rFonts w:eastAsiaTheme="minorEastAsia" w:cstheme="minorHAnsi"/>
        </w:rPr>
        <w:t>8</w:t>
      </w:r>
      <w:r w:rsidR="007E73A4" w:rsidRPr="007E73A4">
        <w:rPr>
          <w:rStyle w:val="normaltextrun"/>
          <w:rFonts w:eastAsiaTheme="minorEastAsia" w:cstheme="minorHAnsi"/>
        </w:rPr>
        <w:t xml:space="preserve"> Commonwealth funded projects in the 202</w:t>
      </w:r>
      <w:r w:rsidR="00BE725F">
        <w:rPr>
          <w:rStyle w:val="normaltextrun"/>
          <w:rFonts w:eastAsiaTheme="minorEastAsia" w:cstheme="minorHAnsi"/>
        </w:rPr>
        <w:t>2</w:t>
      </w:r>
      <w:r w:rsidR="007E73A4">
        <w:rPr>
          <w:rStyle w:val="normaltextrun"/>
          <w:rFonts w:eastAsiaTheme="minorEastAsia" w:cstheme="minorHAnsi"/>
        </w:rPr>
        <w:t>–</w:t>
      </w:r>
      <w:r w:rsidR="007E73A4" w:rsidRPr="007E73A4">
        <w:rPr>
          <w:rStyle w:val="normaltextrun"/>
          <w:rFonts w:eastAsiaTheme="minorEastAsia" w:cstheme="minorHAnsi"/>
        </w:rPr>
        <w:t>2</w:t>
      </w:r>
      <w:r w:rsidR="00BE725F">
        <w:rPr>
          <w:rStyle w:val="normaltextrun"/>
          <w:rFonts w:eastAsiaTheme="minorEastAsia" w:cstheme="minorHAnsi"/>
        </w:rPr>
        <w:t>3</w:t>
      </w:r>
      <w:r w:rsidR="007E73A4" w:rsidRPr="007E73A4">
        <w:rPr>
          <w:rStyle w:val="normaltextrun"/>
          <w:rFonts w:eastAsiaTheme="minorEastAsia" w:cstheme="minorHAnsi"/>
        </w:rPr>
        <w:t xml:space="preserve"> financial year were worth $100 million or more and would have qualified as a flagship construction project.</w:t>
      </w:r>
      <w:r w:rsidR="007E73A4">
        <w:rPr>
          <w:rStyle w:val="normaltextrun"/>
          <w:rFonts w:eastAsiaTheme="minorEastAsia" w:cstheme="minorHAnsi"/>
        </w:rPr>
        <w:t xml:space="preserve"> </w:t>
      </w:r>
    </w:p>
    <w:p w14:paraId="3254E6C0" w14:textId="77777777" w:rsidR="007C0B35" w:rsidRPr="009A73D9" w:rsidRDefault="007C0B35" w:rsidP="006C4D15">
      <w:pPr>
        <w:pStyle w:val="Heading3"/>
        <w:rPr>
          <w:rStyle w:val="normaltextrun"/>
          <w:rFonts w:asciiTheme="minorHAnsi" w:eastAsiaTheme="minorHAnsi" w:hAnsiTheme="minorHAnsi" w:cstheme="minorBidi"/>
          <w:b/>
          <w:color w:val="auto"/>
        </w:rPr>
      </w:pPr>
      <w:r w:rsidRPr="009A73D9">
        <w:rPr>
          <w:rStyle w:val="normaltextrun"/>
        </w:rPr>
        <w:lastRenderedPageBreak/>
        <w:t>Major ICT projects</w:t>
      </w:r>
    </w:p>
    <w:p w14:paraId="7E2530CF" w14:textId="77777777" w:rsidR="007C0B35" w:rsidRPr="0029564E" w:rsidRDefault="007C0B35" w:rsidP="00CD1E37">
      <w:r w:rsidRPr="0029564E">
        <w:t xml:space="preserve">For major ICT projects, targets for apprentices, trainees and paid cadets, and targets for women, will initially be negotiated with suppliers on a project-by-project basis. </w:t>
      </w:r>
    </w:p>
    <w:p w14:paraId="73CE65F7" w14:textId="77777777" w:rsidR="007C0B35" w:rsidRPr="0029564E" w:rsidRDefault="007C0B35" w:rsidP="00CD1E37">
      <w:r w:rsidRPr="0029564E">
        <w:t>Targets will be based on workforce information provided by suppliers during the tender process. This approach will support the collection of data on entry-level pathways in the ICT sector to enable potential future development of targets for all major ICT projects.</w:t>
      </w:r>
    </w:p>
    <w:p w14:paraId="1CC39170" w14:textId="004D7363" w:rsidR="00073BDC" w:rsidRPr="00B139CF" w:rsidRDefault="00073BDC" w:rsidP="006C4D15">
      <w:pPr>
        <w:pStyle w:val="Heading3"/>
        <w:rPr>
          <w:rStyle w:val="normaltextrun"/>
        </w:rPr>
      </w:pPr>
      <w:r w:rsidRPr="00B139CF">
        <w:rPr>
          <w:rStyle w:val="normaltextrun"/>
        </w:rPr>
        <w:t>Compliance</w:t>
      </w:r>
    </w:p>
    <w:p w14:paraId="7D646C1B" w14:textId="3A15A905" w:rsidR="00C5577E" w:rsidRPr="005C1228" w:rsidRDefault="005860D7" w:rsidP="00CD1E37">
      <w:pPr>
        <w:rPr>
          <w:rStyle w:val="normaltextrun"/>
        </w:rPr>
      </w:pPr>
      <w:r w:rsidRPr="005C1228">
        <w:rPr>
          <w:rStyle w:val="normaltextrun"/>
        </w:rPr>
        <w:t>Contracting agencies are required to undertake six-monthly assessments and a final (end-of-contract) assessment for contracts with Skills Guarantee targets</w:t>
      </w:r>
      <w:r w:rsidR="00275529" w:rsidRPr="005C1228">
        <w:rPr>
          <w:rStyle w:val="normaltextrun"/>
        </w:rPr>
        <w:t xml:space="preserve"> to ensure</w:t>
      </w:r>
      <w:r w:rsidR="00695EC8" w:rsidRPr="005C1228">
        <w:rPr>
          <w:rStyle w:val="normaltextrun"/>
        </w:rPr>
        <w:t xml:space="preserve"> suppliers are </w:t>
      </w:r>
      <w:r w:rsidR="00946673" w:rsidRPr="005C1228">
        <w:rPr>
          <w:rStyle w:val="normaltextrun"/>
        </w:rPr>
        <w:t xml:space="preserve">either </w:t>
      </w:r>
      <w:r w:rsidR="00695EC8" w:rsidRPr="005C1228">
        <w:rPr>
          <w:rStyle w:val="normaltextrun"/>
        </w:rPr>
        <w:t xml:space="preserve">on track to meet </w:t>
      </w:r>
      <w:r w:rsidR="00946673" w:rsidRPr="005C1228">
        <w:rPr>
          <w:rStyle w:val="normaltextrun"/>
        </w:rPr>
        <w:t xml:space="preserve">or have met targets, </w:t>
      </w:r>
      <w:r w:rsidR="00275529" w:rsidRPr="005C1228">
        <w:rPr>
          <w:rStyle w:val="normaltextrun"/>
        </w:rPr>
        <w:t xml:space="preserve">and </w:t>
      </w:r>
      <w:r w:rsidR="00946673" w:rsidRPr="005C1228">
        <w:rPr>
          <w:rStyle w:val="normaltextrun"/>
        </w:rPr>
        <w:t>they are</w:t>
      </w:r>
      <w:r w:rsidR="003746F5" w:rsidRPr="005C1228">
        <w:rPr>
          <w:rStyle w:val="normaltextrun"/>
        </w:rPr>
        <w:t xml:space="preserve"> complying with their Gender Equality Action Plan (</w:t>
      </w:r>
      <w:r w:rsidR="00584B18" w:rsidRPr="005C1228">
        <w:rPr>
          <w:rStyle w:val="normaltextrun"/>
        </w:rPr>
        <w:t>for flagship construction projects)</w:t>
      </w:r>
      <w:r w:rsidRPr="005C1228">
        <w:rPr>
          <w:rStyle w:val="normaltextrun"/>
        </w:rPr>
        <w:t>.</w:t>
      </w:r>
      <w:r w:rsidR="00BB523B" w:rsidRPr="005C1228">
        <w:rPr>
          <w:rStyle w:val="normaltextrun"/>
        </w:rPr>
        <w:t xml:space="preserve"> </w:t>
      </w:r>
      <w:r w:rsidR="004F6A04" w:rsidRPr="005C1228">
        <w:rPr>
          <w:rStyle w:val="normaltextrun"/>
        </w:rPr>
        <w:t>Contracting agencies</w:t>
      </w:r>
      <w:r w:rsidR="00BB523B" w:rsidRPr="005C1228">
        <w:rPr>
          <w:rStyle w:val="normaltextrun"/>
        </w:rPr>
        <w:t xml:space="preserve"> will be required </w:t>
      </w:r>
      <w:r w:rsidR="000B4D5C">
        <w:rPr>
          <w:rStyle w:val="normaltextrun"/>
        </w:rPr>
        <w:t xml:space="preserve">to </w:t>
      </w:r>
      <w:r w:rsidRPr="005C1228">
        <w:rPr>
          <w:rStyle w:val="normaltextrun"/>
        </w:rPr>
        <w:t>address non-compliance where necessary</w:t>
      </w:r>
      <w:r w:rsidR="00663374" w:rsidRPr="005C1228">
        <w:rPr>
          <w:rStyle w:val="normaltextrun"/>
        </w:rPr>
        <w:t xml:space="preserve">. </w:t>
      </w:r>
    </w:p>
    <w:p w14:paraId="3F031511" w14:textId="5DB7B034" w:rsidR="00073BDC" w:rsidRPr="005C1228" w:rsidRDefault="00663374" w:rsidP="00CD1E37">
      <w:pPr>
        <w:rPr>
          <w:rStyle w:val="normaltextrun"/>
        </w:rPr>
      </w:pPr>
      <w:r w:rsidRPr="005C1228">
        <w:rPr>
          <w:rStyle w:val="normaltextrun"/>
        </w:rPr>
        <w:t xml:space="preserve">As part of </w:t>
      </w:r>
      <w:r w:rsidR="00C7624C" w:rsidRPr="005C1228">
        <w:rPr>
          <w:rStyle w:val="normaltextrun"/>
        </w:rPr>
        <w:t xml:space="preserve">the </w:t>
      </w:r>
      <w:r w:rsidR="004677C7" w:rsidRPr="005C1228">
        <w:rPr>
          <w:rStyle w:val="normaltextrun"/>
        </w:rPr>
        <w:t>compliance approach</w:t>
      </w:r>
      <w:r w:rsidR="00C42F9E" w:rsidRPr="005C1228">
        <w:rPr>
          <w:rStyle w:val="normaltextrun"/>
        </w:rPr>
        <w:t xml:space="preserve"> </w:t>
      </w:r>
      <w:r w:rsidR="00C7624C" w:rsidRPr="005C1228">
        <w:rPr>
          <w:rStyle w:val="normaltextrun"/>
        </w:rPr>
        <w:t xml:space="preserve">suppliers will </w:t>
      </w:r>
      <w:r w:rsidR="00773CBB" w:rsidRPr="005C1228">
        <w:rPr>
          <w:rStyle w:val="normaltextrun"/>
        </w:rPr>
        <w:t>have the opportunity to</w:t>
      </w:r>
      <w:r w:rsidR="00C7624C" w:rsidRPr="005C1228">
        <w:rPr>
          <w:rStyle w:val="normaltextrun"/>
        </w:rPr>
        <w:t xml:space="preserve"> provide reasons for non-compliance</w:t>
      </w:r>
      <w:r w:rsidR="00233FE3" w:rsidRPr="005C1228">
        <w:rPr>
          <w:rStyle w:val="normaltextrun"/>
        </w:rPr>
        <w:t>,</w:t>
      </w:r>
      <w:r w:rsidR="00C7624C" w:rsidRPr="005C1228">
        <w:rPr>
          <w:rStyle w:val="normaltextrun"/>
        </w:rPr>
        <w:t xml:space="preserve"> </w:t>
      </w:r>
      <w:r w:rsidR="00FF64B7" w:rsidRPr="005C1228">
        <w:rPr>
          <w:rStyle w:val="normaltextrun"/>
        </w:rPr>
        <w:t xml:space="preserve">including </w:t>
      </w:r>
      <w:r w:rsidR="00384CD0" w:rsidRPr="005C1228">
        <w:rPr>
          <w:rStyle w:val="normaltextrun"/>
        </w:rPr>
        <w:t>mitigating factors, for example, a shortage of apprentices in the supplier’s location.</w:t>
      </w:r>
    </w:p>
    <w:p w14:paraId="45DF52FB" w14:textId="5BD6D815" w:rsidR="00AA24F5" w:rsidRDefault="00222089" w:rsidP="00CD1E37">
      <w:pPr>
        <w:rPr>
          <w:rStyle w:val="normaltextrun"/>
        </w:rPr>
      </w:pPr>
      <w:r w:rsidRPr="005C1228">
        <w:rPr>
          <w:rStyle w:val="normaltextrun"/>
        </w:rPr>
        <w:t>D</w:t>
      </w:r>
      <w:r w:rsidR="00AA24F5" w:rsidRPr="005C1228">
        <w:rPr>
          <w:rStyle w:val="normaltextrun"/>
        </w:rPr>
        <w:t>etail</w:t>
      </w:r>
      <w:r w:rsidR="00121ED3" w:rsidRPr="005C1228">
        <w:rPr>
          <w:rStyle w:val="normaltextrun"/>
        </w:rPr>
        <w:t>s</w:t>
      </w:r>
      <w:r w:rsidR="00AA24F5" w:rsidRPr="005C1228">
        <w:rPr>
          <w:rStyle w:val="normaltextrun"/>
        </w:rPr>
        <w:t xml:space="preserve"> </w:t>
      </w:r>
      <w:r w:rsidR="005C5227" w:rsidRPr="005C1228">
        <w:rPr>
          <w:rStyle w:val="normaltextrun"/>
        </w:rPr>
        <w:t>about</w:t>
      </w:r>
      <w:r w:rsidR="00AA24F5" w:rsidRPr="005C1228">
        <w:rPr>
          <w:rStyle w:val="normaltextrun"/>
        </w:rPr>
        <w:t xml:space="preserve"> </w:t>
      </w:r>
      <w:r w:rsidRPr="005C1228">
        <w:rPr>
          <w:rStyle w:val="normaltextrun"/>
        </w:rPr>
        <w:t xml:space="preserve">the </w:t>
      </w:r>
      <w:r w:rsidR="00A03C5C" w:rsidRPr="005C1228">
        <w:rPr>
          <w:rStyle w:val="normaltextrun"/>
        </w:rPr>
        <w:t xml:space="preserve">consequences of non-compliance with the Skills Guarantee are </w:t>
      </w:r>
      <w:r w:rsidR="006F39E8" w:rsidRPr="005C1228">
        <w:rPr>
          <w:rStyle w:val="normaltextrun"/>
        </w:rPr>
        <w:t>provided</w:t>
      </w:r>
      <w:r w:rsidR="00A03C5C" w:rsidRPr="005C1228">
        <w:rPr>
          <w:rStyle w:val="normaltextrun"/>
        </w:rPr>
        <w:t xml:space="preserve"> in the Skills Guarantee PCP.</w:t>
      </w:r>
      <w:r w:rsidR="00A03C5C">
        <w:rPr>
          <w:rStyle w:val="normaltextrun"/>
        </w:rPr>
        <w:t xml:space="preserve"> </w:t>
      </w:r>
    </w:p>
    <w:p w14:paraId="578E4E14" w14:textId="12DF54C4" w:rsidR="00FF120C" w:rsidRDefault="00FF120C" w:rsidP="00CD1E37">
      <w:pPr>
        <w:rPr>
          <w:rStyle w:val="normaltextrun"/>
          <w:rFonts w:ascii="Calibri" w:eastAsia="Calibri" w:hAnsi="Calibri" w:cstheme="majorBidi"/>
          <w:b/>
          <w:color w:val="404246"/>
          <w:sz w:val="32"/>
          <w:szCs w:val="32"/>
        </w:rPr>
      </w:pPr>
      <w:r>
        <w:rPr>
          <w:rStyle w:val="normaltextrun"/>
        </w:rPr>
        <w:br w:type="page"/>
      </w:r>
    </w:p>
    <w:p w14:paraId="7EE30C63" w14:textId="3E9279E5" w:rsidR="00632CC1" w:rsidRPr="006E569B" w:rsidRDefault="00632CC1" w:rsidP="006E569B">
      <w:pPr>
        <w:pStyle w:val="Heading1"/>
        <w:rPr>
          <w:rStyle w:val="normaltextrun"/>
        </w:rPr>
      </w:pPr>
      <w:bookmarkStart w:id="23" w:name="_Toc159246225"/>
      <w:r w:rsidRPr="006E569B">
        <w:rPr>
          <w:rStyle w:val="normaltextrun"/>
        </w:rPr>
        <w:lastRenderedPageBreak/>
        <w:t xml:space="preserve">Question 4: </w:t>
      </w:r>
      <w:r w:rsidR="00A923BC" w:rsidRPr="006E569B">
        <w:rPr>
          <w:rStyle w:val="normaltextrun"/>
        </w:rPr>
        <w:t>What is the likely net benefit?</w:t>
      </w:r>
      <w:r w:rsidRPr="006E569B">
        <w:rPr>
          <w:rStyle w:val="normaltextrun"/>
        </w:rPr>
        <w:t> </w:t>
      </w:r>
      <w:bookmarkEnd w:id="23"/>
      <w:r w:rsidRPr="006E569B">
        <w:rPr>
          <w:rStyle w:val="normaltextrun"/>
        </w:rPr>
        <w:t> </w:t>
      </w:r>
    </w:p>
    <w:p w14:paraId="56BCCEF9" w14:textId="428E15BC" w:rsidR="00B85FCD" w:rsidRDefault="00B85FCD" w:rsidP="00CD1E37">
      <w:r>
        <w:t xml:space="preserve">This section presents an analysis of the potential costs and benefits of the </w:t>
      </w:r>
      <w:r w:rsidR="00E316CC">
        <w:t xml:space="preserve">2 </w:t>
      </w:r>
      <w:r>
        <w:t xml:space="preserve">options explored in this </w:t>
      </w:r>
      <w:r w:rsidR="003D2AAC">
        <w:t>IA</w:t>
      </w:r>
      <w:r>
        <w:t xml:space="preserve">. </w:t>
      </w:r>
      <w:r w:rsidR="000D7F59">
        <w:t xml:space="preserve">The analysis considers the extent to which each option is expected to meet the policy objectives </w:t>
      </w:r>
      <w:r w:rsidR="001173DA">
        <w:t xml:space="preserve">at </w:t>
      </w:r>
      <w:r w:rsidR="001173DA" w:rsidRPr="009267AB">
        <w:rPr>
          <w:b/>
        </w:rPr>
        <w:t>Question 3</w:t>
      </w:r>
      <w:r w:rsidR="001229D5">
        <w:t xml:space="preserve">, potential impacts for </w:t>
      </w:r>
      <w:r w:rsidR="00954DF5">
        <w:t>tender</w:t>
      </w:r>
      <w:r w:rsidR="00A77FD7">
        <w:t xml:space="preserve">ers, </w:t>
      </w:r>
      <w:r w:rsidR="008530DE">
        <w:t xml:space="preserve">suppliers, </w:t>
      </w:r>
      <w:r w:rsidR="004A102C">
        <w:t>apprentices</w:t>
      </w:r>
      <w:r w:rsidR="003F170E">
        <w:t>/trainees and ICT cadets and government</w:t>
      </w:r>
      <w:r w:rsidR="00954DF5">
        <w:t xml:space="preserve">. </w:t>
      </w:r>
      <w:r w:rsidR="00685935">
        <w:t>The cost</w:t>
      </w:r>
      <w:r w:rsidR="003D2AAC">
        <w:t xml:space="preserve"> </w:t>
      </w:r>
      <w:r w:rsidR="00685935">
        <w:t xml:space="preserve">benefit analysis </w:t>
      </w:r>
      <w:r w:rsidR="004F2C47">
        <w:t>is difficult to</w:t>
      </w:r>
      <w:r w:rsidR="00685935">
        <w:t xml:space="preserve"> quantif</w:t>
      </w:r>
      <w:r w:rsidR="004F2C47">
        <w:t>y</w:t>
      </w:r>
      <w:r w:rsidR="00685935">
        <w:t xml:space="preserve"> due to nature of the </w:t>
      </w:r>
      <w:r w:rsidR="00104818">
        <w:t>Skills Guarantee</w:t>
      </w:r>
      <w:r w:rsidR="001F0776">
        <w:t xml:space="preserve"> </w:t>
      </w:r>
      <w:r w:rsidR="003102B8">
        <w:t>PCP</w:t>
      </w:r>
      <w:r w:rsidR="004F2C47">
        <w:t xml:space="preserve"> and </w:t>
      </w:r>
      <w:r w:rsidR="00CF39C0">
        <w:t xml:space="preserve">eligible construction and ICT </w:t>
      </w:r>
      <w:r w:rsidR="009A6735">
        <w:t>Commonwealth procurement</w:t>
      </w:r>
      <w:r w:rsidR="004607B9">
        <w:t xml:space="preserve">. </w:t>
      </w:r>
    </w:p>
    <w:p w14:paraId="63465B46" w14:textId="11CC46DE" w:rsidR="00AC5A34" w:rsidRPr="00B85FCD" w:rsidRDefault="00D31D16" w:rsidP="00CD1E37">
      <w:r>
        <w:t>R</w:t>
      </w:r>
      <w:r w:rsidR="00AC5A34">
        <w:t>egulatory burden estimate</w:t>
      </w:r>
      <w:r w:rsidR="00821752">
        <w:t>s</w:t>
      </w:r>
      <w:r w:rsidR="00AC5A34">
        <w:t xml:space="preserve"> for Option 1 and Option 2 </w:t>
      </w:r>
      <w:r w:rsidR="00821752">
        <w:t>are</w:t>
      </w:r>
      <w:r w:rsidR="00AC5A34">
        <w:t xml:space="preserve"> provided in </w:t>
      </w:r>
      <w:r w:rsidR="00AC5A34" w:rsidRPr="00821752">
        <w:rPr>
          <w:b/>
          <w:bCs/>
        </w:rPr>
        <w:t>Appendix B. Regulatory Burden Estimates</w:t>
      </w:r>
      <w:r w:rsidR="00AC5A34">
        <w:t>.</w:t>
      </w:r>
    </w:p>
    <w:p w14:paraId="52436E71" w14:textId="1775FDFF" w:rsidR="0042573A" w:rsidRPr="009A73D9" w:rsidRDefault="00632CC1" w:rsidP="006E569B">
      <w:pPr>
        <w:pStyle w:val="Heading2"/>
        <w:rPr>
          <w:rStyle w:val="eop"/>
        </w:rPr>
      </w:pPr>
      <w:bookmarkStart w:id="24" w:name="_Toc159246226"/>
      <w:r w:rsidRPr="009A73D9">
        <w:rPr>
          <w:rStyle w:val="normaltextrun"/>
        </w:rPr>
        <w:t xml:space="preserve">Option 1: No </w:t>
      </w:r>
      <w:r w:rsidR="00CF3283" w:rsidRPr="009A73D9">
        <w:rPr>
          <w:rStyle w:val="normaltextrun"/>
        </w:rPr>
        <w:t>a</w:t>
      </w:r>
      <w:r w:rsidRPr="009A73D9">
        <w:rPr>
          <w:rStyle w:val="normaltextrun"/>
        </w:rPr>
        <w:t>ction, status quo</w:t>
      </w:r>
      <w:bookmarkEnd w:id="24"/>
      <w:r w:rsidRPr="009A73D9">
        <w:rPr>
          <w:rStyle w:val="eop"/>
        </w:rPr>
        <w:t> </w:t>
      </w:r>
    </w:p>
    <w:p w14:paraId="436DE22D" w14:textId="7AC8DEC4" w:rsidR="00D02A22" w:rsidRPr="00031ECC" w:rsidRDefault="00D02A22" w:rsidP="006E569B">
      <w:pPr>
        <w:pStyle w:val="Heading3"/>
      </w:pPr>
      <w:r w:rsidRPr="00031ECC">
        <w:t>Benefits </w:t>
      </w:r>
    </w:p>
    <w:p w14:paraId="5286D710" w14:textId="56206978" w:rsidR="00C62733" w:rsidRDefault="00D02A22" w:rsidP="00CD1E37">
      <w:r w:rsidRPr="00456741">
        <w:t xml:space="preserve">There are </w:t>
      </w:r>
      <w:r>
        <w:t>limited</w:t>
      </w:r>
      <w:r w:rsidRPr="00456741">
        <w:t xml:space="preserve"> foreseeable benefits under the status quo</w:t>
      </w:r>
      <w:r>
        <w:t xml:space="preserve">. </w:t>
      </w:r>
      <w:r w:rsidR="00A14DD7">
        <w:t>While m</w:t>
      </w:r>
      <w:r>
        <w:t>aintaining the status quo will provide industry with the opportunity to address skills shortages and gender segregation in the construction and ICT sectors</w:t>
      </w:r>
      <w:r w:rsidR="00A14DD7">
        <w:t>,</w:t>
      </w:r>
      <w:r w:rsidR="00B42330">
        <w:t xml:space="preserve"> progress is likely to be slow and limited as it will be entirely driven by the sector</w:t>
      </w:r>
      <w:r>
        <w:t xml:space="preserve">. </w:t>
      </w:r>
      <w:r w:rsidR="0020010A">
        <w:t xml:space="preserve">This approach may also </w:t>
      </w:r>
      <w:r>
        <w:t>will lack consistency and not</w:t>
      </w:r>
      <w:r w:rsidR="00211496">
        <w:t xml:space="preserve"> effectively</w:t>
      </w:r>
      <w:r>
        <w:t xml:space="preserve"> address issues</w:t>
      </w:r>
      <w:r w:rsidR="002E6160">
        <w:t>.</w:t>
      </w:r>
      <w:r w:rsidR="00176177">
        <w:t xml:space="preserve"> Without intervention the department expects </w:t>
      </w:r>
      <w:r w:rsidR="00D65EF2">
        <w:t xml:space="preserve">the construction and ICT industries to remain </w:t>
      </w:r>
      <w:r w:rsidR="00D65EF2" w:rsidRPr="00D65EF2">
        <w:t xml:space="preserve">gender segregated and </w:t>
      </w:r>
      <w:r w:rsidR="00750797">
        <w:t>to</w:t>
      </w:r>
      <w:r w:rsidR="00D65EF2" w:rsidRPr="00D65EF2">
        <w:t xml:space="preserve"> be more susceptible to skills shortages than other industries.</w:t>
      </w:r>
    </w:p>
    <w:p w14:paraId="067A6083" w14:textId="7A168AE3" w:rsidR="00F97218" w:rsidRDefault="002069F3" w:rsidP="00CD1E37">
      <w:r>
        <w:t>B</w:t>
      </w:r>
      <w:r w:rsidR="009E7016">
        <w:t xml:space="preserve">usinesses </w:t>
      </w:r>
      <w:r>
        <w:t>may</w:t>
      </w:r>
      <w:r w:rsidR="009E7016">
        <w:t xml:space="preserve"> </w:t>
      </w:r>
      <w:r w:rsidR="005C09D6">
        <w:t xml:space="preserve">benefit from </w:t>
      </w:r>
      <w:r w:rsidR="00FA064B">
        <w:t>be</w:t>
      </w:r>
      <w:r w:rsidR="005C09D6">
        <w:t>ing</w:t>
      </w:r>
      <w:r w:rsidR="00FA064B">
        <w:t xml:space="preserve"> able to maintain their current recruitment practices </w:t>
      </w:r>
      <w:r w:rsidR="00D47384">
        <w:t>and may</w:t>
      </w:r>
      <w:r w:rsidR="005C09D6">
        <w:t xml:space="preserve"> </w:t>
      </w:r>
      <w:r w:rsidR="00D47384">
        <w:t xml:space="preserve">avoid </w:t>
      </w:r>
      <w:r w:rsidR="00E07AE4">
        <w:t>the</w:t>
      </w:r>
      <w:r w:rsidR="00D47384">
        <w:t xml:space="preserve"> cost of recruiting more apprentices or women apprentices. </w:t>
      </w:r>
      <w:r w:rsidR="00C73783">
        <w:t>However, as noted earlier</w:t>
      </w:r>
      <w:r w:rsidR="002C14F1">
        <w:t>,</w:t>
      </w:r>
      <w:r w:rsidR="00C73783">
        <w:t xml:space="preserve"> this may be to the detriment of </w:t>
      </w:r>
      <w:r w:rsidR="00B66695">
        <w:t>businesses and</w:t>
      </w:r>
      <w:r w:rsidR="00C73783">
        <w:t xml:space="preserve"> </w:t>
      </w:r>
      <w:r w:rsidR="007D6E87">
        <w:t xml:space="preserve">the </w:t>
      </w:r>
      <w:r w:rsidR="008C21D6">
        <w:t>industry</w:t>
      </w:r>
      <w:r w:rsidR="004B4D5F">
        <w:t xml:space="preserve"> by</w:t>
      </w:r>
      <w:r w:rsidR="00EA426F">
        <w:t xml:space="preserve"> </w:t>
      </w:r>
      <w:r w:rsidR="008C7C29">
        <w:t xml:space="preserve">reinforcing skills shortages and affecting </w:t>
      </w:r>
      <w:r w:rsidR="00EA426F">
        <w:t xml:space="preserve">the capacity </w:t>
      </w:r>
      <w:r w:rsidR="002C14F1">
        <w:t>to</w:t>
      </w:r>
      <w:r w:rsidR="008C7C29">
        <w:t xml:space="preserve"> complet</w:t>
      </w:r>
      <w:r w:rsidR="002C14F1">
        <w:t>e</w:t>
      </w:r>
      <w:r w:rsidR="008C7C29">
        <w:t xml:space="preserve"> </w:t>
      </w:r>
      <w:r w:rsidR="00744665">
        <w:t xml:space="preserve">future projects. </w:t>
      </w:r>
    </w:p>
    <w:p w14:paraId="50507A3B" w14:textId="274662A7" w:rsidR="00FA6BCB" w:rsidRPr="00D02A22" w:rsidRDefault="0042573A" w:rsidP="00797487">
      <w:pPr>
        <w:pStyle w:val="Heading3"/>
      </w:pPr>
      <w:r w:rsidRPr="00D02A22">
        <w:t>Costs </w:t>
      </w:r>
    </w:p>
    <w:p w14:paraId="316A40B9" w14:textId="18D23064" w:rsidR="00D13E6C" w:rsidRPr="00CD1E37" w:rsidRDefault="0085534F" w:rsidP="00CD1E37">
      <w:pPr>
        <w:rPr>
          <w:rStyle w:val="eop"/>
        </w:rPr>
      </w:pPr>
      <w:r w:rsidRPr="00CD1E37">
        <w:rPr>
          <w:rStyle w:val="normaltextrun"/>
        </w:rPr>
        <w:t xml:space="preserve">The costs of </w:t>
      </w:r>
      <w:r w:rsidR="00B05501" w:rsidRPr="00CD1E37">
        <w:rPr>
          <w:rStyle w:val="normaltextrun"/>
        </w:rPr>
        <w:t>O</w:t>
      </w:r>
      <w:r w:rsidRPr="00CD1E37">
        <w:rPr>
          <w:rStyle w:val="normaltextrun"/>
        </w:rPr>
        <w:t xml:space="preserve">ption 1 are </w:t>
      </w:r>
      <w:r w:rsidR="004F7416" w:rsidRPr="00CD1E37">
        <w:rPr>
          <w:rStyle w:val="normaltextrun"/>
        </w:rPr>
        <w:t xml:space="preserve">expressed as an opportunity cost. </w:t>
      </w:r>
      <w:r w:rsidR="008D027D" w:rsidRPr="00CD1E37">
        <w:rPr>
          <w:rStyle w:val="normaltextrun"/>
        </w:rPr>
        <w:t xml:space="preserve">Maintaining the status quo results in a missed opportunity to leverage the significant purchasing power of the Australian Government to increase apprentices, trainees, ICT cadets, and women working in the construction and ICT industries. </w:t>
      </w:r>
      <w:r w:rsidR="00E07115" w:rsidRPr="00CD1E37">
        <w:rPr>
          <w:rStyle w:val="eop"/>
        </w:rPr>
        <w:t>T</w:t>
      </w:r>
      <w:r w:rsidR="00D13E6C" w:rsidRPr="00CD1E37">
        <w:rPr>
          <w:rStyle w:val="eop"/>
        </w:rPr>
        <w:t xml:space="preserve">his will mean </w:t>
      </w:r>
      <w:r w:rsidR="00E07115" w:rsidRPr="00CD1E37">
        <w:rPr>
          <w:rStyle w:val="eop"/>
        </w:rPr>
        <w:t xml:space="preserve">that </w:t>
      </w:r>
      <w:r w:rsidR="00D13E6C" w:rsidRPr="00CD1E37">
        <w:rPr>
          <w:rStyle w:val="eop"/>
        </w:rPr>
        <w:t>current skills shortages and gender segregation will continue to exist in these sectors</w:t>
      </w:r>
      <w:r w:rsidR="00E07115" w:rsidRPr="00CD1E37">
        <w:rPr>
          <w:rStyle w:val="eop"/>
        </w:rPr>
        <w:t>,</w:t>
      </w:r>
      <w:r w:rsidR="00E07115" w:rsidRPr="00CD1E37">
        <w:rPr>
          <w:rStyle w:val="normaltextrun"/>
        </w:rPr>
        <w:t xml:space="preserve"> thereby affecting employers’ output and productivity in these vital sectors.</w:t>
      </w:r>
      <w:r w:rsidR="00E07115" w:rsidRPr="00CD1E37">
        <w:rPr>
          <w:rStyle w:val="eop"/>
        </w:rPr>
        <w:t> </w:t>
      </w:r>
    </w:p>
    <w:p w14:paraId="301D0CA5" w14:textId="1E148884" w:rsidR="00CC6EEE" w:rsidRDefault="00716912" w:rsidP="00CD1E37">
      <w:r>
        <w:t>As noted</w:t>
      </w:r>
      <w:r w:rsidR="00937402">
        <w:t xml:space="preserve"> earlier</w:t>
      </w:r>
      <w:r w:rsidR="00622E55">
        <w:t>, th</w:t>
      </w:r>
      <w:r w:rsidRPr="192C8392">
        <w:t xml:space="preserve">e recent report by The Women’s Economic Equality Taskforce found that ‘we could add $128 billion to the economy through boosting women’s workforce participation and productivity growth if we tackle the factors holding women back’. The report noted that gender segregation is one of the factors </w:t>
      </w:r>
      <w:r w:rsidR="002D1869">
        <w:t>contributing to this missed opportunity</w:t>
      </w:r>
      <w:r w:rsidR="00966352">
        <w:t xml:space="preserve"> to add to the economy</w:t>
      </w:r>
      <w:r w:rsidR="00A70615">
        <w:t>.</w:t>
      </w:r>
      <w:r w:rsidRPr="192C8392">
        <w:rPr>
          <w:vertAlign w:val="superscript"/>
        </w:rPr>
        <w:footnoteReference w:id="63"/>
      </w:r>
      <w:r>
        <w:t xml:space="preserve"> </w:t>
      </w:r>
      <w:r w:rsidR="00CC6EEE">
        <w:t xml:space="preserve">The estimated $128 billion boost to the economy is based on Deloitte modelling and is </w:t>
      </w:r>
      <w:r w:rsidR="00CC6EEE" w:rsidRPr="00340CD8">
        <w:t>an</w:t>
      </w:r>
      <w:r w:rsidR="00CC6EEE">
        <w:t xml:space="preserve"> </w:t>
      </w:r>
      <w:r w:rsidR="00CC6EEE" w:rsidRPr="00340CD8">
        <w:t>economy-wide view</w:t>
      </w:r>
      <w:r w:rsidR="00CC6EEE">
        <w:t xml:space="preserve"> of the effect of removing gender norms in Australia. The gains are based on a higher participation rate for </w:t>
      </w:r>
      <w:r w:rsidR="00CC6EEE" w:rsidRPr="00BE718D">
        <w:t>women in the labour force</w:t>
      </w:r>
      <w:r w:rsidR="00CC6EEE">
        <w:t>, w</w:t>
      </w:r>
      <w:r w:rsidR="00CC6EEE" w:rsidRPr="00BE718D">
        <w:t>omen working more paid hours (</w:t>
      </w:r>
      <w:r w:rsidR="00CC6EEE">
        <w:t>i.e., achieving a m</w:t>
      </w:r>
      <w:r w:rsidR="00CC6EEE" w:rsidRPr="00BE718D">
        <w:t xml:space="preserve">ore equal split of unpaid labour </w:t>
      </w:r>
      <w:r w:rsidR="00CC6EEE">
        <w:t>or</w:t>
      </w:r>
      <w:r w:rsidR="00CC6EEE" w:rsidRPr="00BE718D">
        <w:t xml:space="preserve"> care)</w:t>
      </w:r>
      <w:r w:rsidR="00CC6EEE">
        <w:t>, and importantly also having m</w:t>
      </w:r>
      <w:r w:rsidR="00CC6EEE" w:rsidRPr="00BE718D">
        <w:t xml:space="preserve">ore people working in roles that align with their skills, </w:t>
      </w:r>
      <w:r w:rsidR="00CC6EEE" w:rsidRPr="00BE718D">
        <w:lastRenderedPageBreak/>
        <w:t>talent, and qualifications</w:t>
      </w:r>
      <w:r w:rsidR="00CC6EEE">
        <w:t>.</w:t>
      </w:r>
      <w:r w:rsidR="00CC6EEE">
        <w:rPr>
          <w:rStyle w:val="FootnoteReference"/>
          <w:rFonts w:cs="Times New Roman"/>
        </w:rPr>
        <w:footnoteReference w:id="64"/>
      </w:r>
      <w:r w:rsidR="00CC6EEE">
        <w:t xml:space="preserve"> This last point speaks to the potential impact of reducing gender segregation.</w:t>
      </w:r>
      <w:r w:rsidR="008A1CE8" w:rsidRPr="008A1CE8">
        <w:t xml:space="preserve"> </w:t>
      </w:r>
      <w:r w:rsidR="008A1CE8">
        <w:t xml:space="preserve">Option 1 results in a missed opportunity to </w:t>
      </w:r>
      <w:r w:rsidR="00844183">
        <w:t>reduce gender segregation</w:t>
      </w:r>
      <w:r w:rsidR="008A1CE8">
        <w:t xml:space="preserve"> and </w:t>
      </w:r>
      <w:r w:rsidR="00661AC2">
        <w:t>boost</w:t>
      </w:r>
      <w:r w:rsidR="008A1CE8">
        <w:t xml:space="preserve"> the economy by more evenly distributing women’s skills </w:t>
      </w:r>
      <w:r w:rsidR="008A1CE8" w:rsidRPr="00D31773">
        <w:t>across occupations</w:t>
      </w:r>
      <w:r w:rsidR="008A1CE8">
        <w:t xml:space="preserve"> and </w:t>
      </w:r>
      <w:r w:rsidR="008A1CE8" w:rsidRPr="00ED37EE">
        <w:t>allow</w:t>
      </w:r>
      <w:r w:rsidR="008A1CE8">
        <w:t>ing</w:t>
      </w:r>
      <w:r w:rsidR="008A1CE8" w:rsidRPr="00ED37EE">
        <w:t xml:space="preserve"> for higher productivity</w:t>
      </w:r>
      <w:r w:rsidR="008A1CE8" w:rsidRPr="00A2557D">
        <w:t xml:space="preserve"> with better allocated talent</w:t>
      </w:r>
      <w:r w:rsidR="008A1CE8">
        <w:t>.</w:t>
      </w:r>
      <w:r w:rsidR="00CC6EEE" w:rsidRPr="00A2557D">
        <w:rPr>
          <w:rStyle w:val="FootnoteReference"/>
          <w:rFonts w:cs="Times New Roman"/>
        </w:rPr>
        <w:t xml:space="preserve"> </w:t>
      </w:r>
      <w:r w:rsidR="00CC6EEE">
        <w:rPr>
          <w:rStyle w:val="FootnoteReference"/>
          <w:rFonts w:cs="Times New Roman"/>
        </w:rPr>
        <w:footnoteReference w:id="65"/>
      </w:r>
    </w:p>
    <w:p w14:paraId="2732C8EE" w14:textId="61B14127" w:rsidR="00716912" w:rsidRPr="008D027D" w:rsidRDefault="008E64C9" w:rsidP="00CD1E37">
      <w:r>
        <w:t>By not c</w:t>
      </w:r>
      <w:r w:rsidRPr="008E64C9">
        <w:t xml:space="preserve">hanging the gender balance and culture in male-dominated industries, like construction and ICT, businesses </w:t>
      </w:r>
      <w:r>
        <w:t xml:space="preserve">will miss the opportunity to </w:t>
      </w:r>
      <w:r w:rsidRPr="008E64C9">
        <w:t>access a larger pool of talent</w:t>
      </w:r>
      <w:r>
        <w:t xml:space="preserve"> and avoid </w:t>
      </w:r>
      <w:r w:rsidR="00D52689">
        <w:t>the current recruitment issues businesses are facing (</w:t>
      </w:r>
      <w:r w:rsidR="00D52689" w:rsidRPr="5195FBBD">
        <w:rPr>
          <w:rStyle w:val="normaltextrun"/>
          <w:rFonts w:eastAsiaTheme="minorEastAsia"/>
        </w:rPr>
        <w:t>with 56% of recruiting employers reporting difficulty hiring staff as of January 2023</w:t>
      </w:r>
      <w:r w:rsidR="00D52689">
        <w:rPr>
          <w:rStyle w:val="normaltextrun"/>
          <w:rFonts w:eastAsiaTheme="minorEastAsia"/>
        </w:rPr>
        <w:t>).</w:t>
      </w:r>
      <w:r w:rsidR="00D52689" w:rsidRPr="00A806AB">
        <w:rPr>
          <w:vertAlign w:val="superscript"/>
        </w:rPr>
        <w:t xml:space="preserve"> </w:t>
      </w:r>
      <w:r w:rsidR="00D52689" w:rsidRPr="00A806AB">
        <w:rPr>
          <w:vertAlign w:val="superscript"/>
        </w:rPr>
        <w:footnoteReference w:id="66"/>
      </w:r>
    </w:p>
    <w:p w14:paraId="3FAA572F" w14:textId="4B7C3570" w:rsidR="00236FC6" w:rsidRDefault="00123C29" w:rsidP="00CD1E37">
      <w:r>
        <w:t>Women’s</w:t>
      </w:r>
      <w:r w:rsidR="00DE744B">
        <w:t xml:space="preserve"> </w:t>
      </w:r>
      <w:r w:rsidR="00707A66">
        <w:t>participation</w:t>
      </w:r>
      <w:r w:rsidR="00DE744B" w:rsidRPr="192C8392">
        <w:t xml:space="preserve"> on major </w:t>
      </w:r>
      <w:r w:rsidR="00707A66">
        <w:t>construction and ICT</w:t>
      </w:r>
      <w:r w:rsidR="00DE744B" w:rsidRPr="192C8392">
        <w:t xml:space="preserve"> projects funded by Commonwealth procurement </w:t>
      </w:r>
      <w:r w:rsidR="00356801">
        <w:t xml:space="preserve">will </w:t>
      </w:r>
      <w:r w:rsidR="00DE744B" w:rsidRPr="192C8392">
        <w:t>continue to be limited, not helping to address the gender segregation in the construction or ICT workforce.</w:t>
      </w:r>
      <w:r w:rsidR="00DE744B">
        <w:rPr>
          <w:rFonts w:cs="Times New Roman"/>
          <w:vertAlign w:val="superscript"/>
        </w:rPr>
        <w:t xml:space="preserve"> </w:t>
      </w:r>
      <w:r w:rsidR="00236FC6" w:rsidRPr="004C7C5E">
        <w:t>It is likely that women’s participation in trade apprenticeships will continue to trend in significantly lower numbers than their male peers, contributing to gender segregation across industries like construction.</w:t>
      </w:r>
      <w:r w:rsidR="007A7C5C">
        <w:t xml:space="preserve"> </w:t>
      </w:r>
    </w:p>
    <w:p w14:paraId="1910903E" w14:textId="77777777" w:rsidR="00C07810" w:rsidRPr="004C7C5E" w:rsidRDefault="00C07810" w:rsidP="00CD1E37">
      <w:r w:rsidRPr="004C7C5E">
        <w:t xml:space="preserve">Individuals who are considering taking up an apprenticeship, in particular women who are interested to taking up apprenticeships in construction, will miss out on opportunities to work on major Australian Government funded projects and become skilled workers. </w:t>
      </w:r>
    </w:p>
    <w:p w14:paraId="76D9B294" w14:textId="41B3D56A" w:rsidR="00236FC6" w:rsidRPr="002E65FF" w:rsidRDefault="00236FC6" w:rsidP="00CD1E37">
      <w:pPr>
        <w:rPr>
          <w:rStyle w:val="normaltextrun"/>
        </w:rPr>
      </w:pPr>
      <w:r w:rsidRPr="00236FC6">
        <w:t>The ICT workforce shortages may continue without intervention, states and territories do not have mechanisms in place to increase the number of ICT apprentices, trainees</w:t>
      </w:r>
      <w:r w:rsidR="00887B71">
        <w:t>,</w:t>
      </w:r>
      <w:r w:rsidRPr="00236FC6">
        <w:t xml:space="preserve"> and cadets through targets in government procurement.</w:t>
      </w:r>
    </w:p>
    <w:p w14:paraId="336666D9" w14:textId="29A26DB4" w:rsidR="00632CC1" w:rsidRPr="009A73D9" w:rsidRDefault="00632CC1" w:rsidP="007F1699">
      <w:pPr>
        <w:pStyle w:val="Heading2"/>
        <w:rPr>
          <w:rStyle w:val="normaltextrun"/>
        </w:rPr>
      </w:pPr>
      <w:bookmarkStart w:id="25" w:name="_Toc159246227"/>
      <w:r w:rsidRPr="009A73D9">
        <w:rPr>
          <w:rStyle w:val="normaltextrun"/>
        </w:rPr>
        <w:t>Option 2: Australian Skills Guarantee </w:t>
      </w:r>
      <w:r w:rsidR="00F42649" w:rsidRPr="009A73D9">
        <w:rPr>
          <w:rStyle w:val="normaltextrun"/>
        </w:rPr>
        <w:t>PCP</w:t>
      </w:r>
      <w:bookmarkEnd w:id="25"/>
      <w:r w:rsidR="00F42649" w:rsidRPr="009A73D9">
        <w:rPr>
          <w:rStyle w:val="normaltextrun"/>
        </w:rPr>
        <w:t xml:space="preserve"> </w:t>
      </w:r>
    </w:p>
    <w:p w14:paraId="088AC2AB" w14:textId="7D2F9890" w:rsidR="00607356" w:rsidRPr="003C1D2C" w:rsidRDefault="003C1D2C" w:rsidP="00CD1E37">
      <w:pPr>
        <w:rPr>
          <w:rStyle w:val="normaltextrun"/>
          <w:rFonts w:eastAsiaTheme="minorEastAsia" w:cstheme="minorHAnsi"/>
        </w:rPr>
      </w:pPr>
      <w:r>
        <w:rPr>
          <w:rStyle w:val="normaltextrun"/>
          <w:rFonts w:eastAsiaTheme="minorEastAsia" w:cstheme="minorHAnsi"/>
        </w:rPr>
        <w:t>The department</w:t>
      </w:r>
      <w:r w:rsidR="006E401F">
        <w:rPr>
          <w:rStyle w:val="normaltextrun"/>
          <w:rFonts w:eastAsiaTheme="minorEastAsia" w:cstheme="minorHAnsi"/>
        </w:rPr>
        <w:t xml:space="preserve"> is leading the design and </w:t>
      </w:r>
      <w:r w:rsidR="00B05DB1">
        <w:rPr>
          <w:rStyle w:val="normaltextrun"/>
          <w:rFonts w:eastAsiaTheme="minorEastAsia" w:cstheme="minorHAnsi"/>
        </w:rPr>
        <w:t>consultation</w:t>
      </w:r>
      <w:r w:rsidR="006E401F">
        <w:rPr>
          <w:rStyle w:val="normaltextrun"/>
          <w:rFonts w:eastAsiaTheme="minorEastAsia" w:cstheme="minorHAnsi"/>
        </w:rPr>
        <w:t xml:space="preserve"> of the Skills Guarantee</w:t>
      </w:r>
      <w:r w:rsidR="00203DA8">
        <w:rPr>
          <w:rStyle w:val="normaltextrun"/>
          <w:rFonts w:eastAsiaTheme="minorEastAsia" w:cstheme="minorHAnsi"/>
        </w:rPr>
        <w:t xml:space="preserve"> PCP</w:t>
      </w:r>
      <w:r w:rsidR="002D68B8">
        <w:rPr>
          <w:rStyle w:val="normaltextrun"/>
          <w:rFonts w:eastAsiaTheme="minorEastAsia" w:cstheme="minorHAnsi"/>
        </w:rPr>
        <w:t xml:space="preserve">. </w:t>
      </w:r>
    </w:p>
    <w:p w14:paraId="59299817" w14:textId="365AA182" w:rsidR="00F23E97" w:rsidRDefault="009E1A4B" w:rsidP="00CD1E37">
      <w:r>
        <w:t>Locally, m</w:t>
      </w:r>
      <w:r w:rsidR="00F23E97" w:rsidRPr="00F32273">
        <w:t>ost states and territories have procurement policies in place that require apprentices and trainees to be used on major construction projects. The exceptions are the Northern Territory, which does not have apprentice targets, and the Australian Capital Territory, which only applies targets to select projects.</w:t>
      </w:r>
      <w:r w:rsidR="00F23E97">
        <w:t xml:space="preserve"> </w:t>
      </w:r>
      <w:r w:rsidR="00F23E97" w:rsidRPr="00324E54">
        <w:rPr>
          <w:rFonts w:ascii="Calibri" w:hAnsi="Calibri"/>
        </w:rPr>
        <w:t>State governments allocate dedicated resources to administer similar procurement policies</w:t>
      </w:r>
      <w:r w:rsidR="00F23E97">
        <w:rPr>
          <w:rFonts w:ascii="Calibri" w:hAnsi="Calibri"/>
        </w:rPr>
        <w:t xml:space="preserve"> to the </w:t>
      </w:r>
      <w:r w:rsidR="006E0752">
        <w:rPr>
          <w:rFonts w:ascii="Calibri" w:hAnsi="Calibri"/>
        </w:rPr>
        <w:t>Skills Guarantee</w:t>
      </w:r>
      <w:r w:rsidR="00F23E97" w:rsidRPr="00324E54">
        <w:rPr>
          <w:rFonts w:ascii="Calibri" w:hAnsi="Calibri"/>
        </w:rPr>
        <w:t xml:space="preserve">, including managing compliance, educating, and supporting suppliers </w:t>
      </w:r>
      <w:r w:rsidR="00F23E97">
        <w:rPr>
          <w:rFonts w:ascii="Calibri" w:hAnsi="Calibri"/>
        </w:rPr>
        <w:t>with</w:t>
      </w:r>
      <w:r w:rsidR="00F23E97" w:rsidRPr="00324E54">
        <w:rPr>
          <w:rFonts w:ascii="Calibri" w:hAnsi="Calibri"/>
        </w:rPr>
        <w:t xml:space="preserve"> procurement processes, policies, and systems</w:t>
      </w:r>
      <w:r w:rsidR="00F23E97">
        <w:rPr>
          <w:rFonts w:ascii="Calibri" w:hAnsi="Calibri"/>
        </w:rPr>
        <w:t xml:space="preserve">. </w:t>
      </w:r>
    </w:p>
    <w:p w14:paraId="01144E29" w14:textId="6E3C569B" w:rsidR="00575232" w:rsidRPr="006E569B" w:rsidRDefault="00575232" w:rsidP="00047E70">
      <w:pPr>
        <w:pStyle w:val="Caption"/>
        <w:keepNext/>
        <w:rPr>
          <w:rStyle w:val="Strong"/>
          <w:b/>
          <w:bCs w:val="0"/>
        </w:rPr>
      </w:pPr>
      <w:r w:rsidRPr="006E569B">
        <w:rPr>
          <w:rStyle w:val="Strong"/>
          <w:b/>
          <w:bCs w:val="0"/>
        </w:rPr>
        <w:lastRenderedPageBreak/>
        <w:t xml:space="preserve">Table </w:t>
      </w:r>
      <w:r w:rsidR="00924AB3">
        <w:rPr>
          <w:rStyle w:val="Strong"/>
          <w:b/>
        </w:rPr>
        <w:t>5</w:t>
      </w:r>
      <w:r w:rsidRPr="006E569B">
        <w:rPr>
          <w:rStyle w:val="Strong"/>
          <w:b/>
          <w:bCs w:val="0"/>
        </w:rPr>
        <w:t xml:space="preserve">: </w:t>
      </w:r>
      <w:r w:rsidR="0070286B" w:rsidRPr="006E569B">
        <w:rPr>
          <w:rStyle w:val="Strong"/>
          <w:b/>
          <w:bCs w:val="0"/>
        </w:rPr>
        <w:t>Summary of costs and benefits under Option 2</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2552"/>
        <w:gridCol w:w="3402"/>
        <w:gridCol w:w="3072"/>
      </w:tblGrid>
      <w:tr w:rsidR="00BE71FE" w:rsidRPr="00947470" w14:paraId="47627E3A" w14:textId="77777777" w:rsidTr="0058510D">
        <w:trPr>
          <w:cnfStyle w:val="100000000000" w:firstRow="1" w:lastRow="0" w:firstColumn="0" w:lastColumn="0" w:oddVBand="0" w:evenVBand="0" w:oddHBand="0" w:evenHBand="0" w:firstRowFirstColumn="0" w:firstRowLastColumn="0" w:lastRowFirstColumn="0" w:lastRowLastColumn="0"/>
          <w:trHeight w:val="350"/>
          <w:tblHeader/>
        </w:trPr>
        <w:tc>
          <w:tcPr>
            <w:tcW w:w="2552" w:type="dxa"/>
            <w:shd w:val="clear" w:color="auto" w:fill="404246"/>
          </w:tcPr>
          <w:p w14:paraId="4DBE0C2F" w14:textId="70C50D47" w:rsidR="00BE71FE" w:rsidRPr="00E61DB6" w:rsidRDefault="006B3C5A" w:rsidP="00F65C16">
            <w:pPr>
              <w:pStyle w:val="TBLHeading"/>
            </w:pPr>
            <w:r w:rsidRPr="00E61DB6">
              <w:t>Stakeholder</w:t>
            </w:r>
          </w:p>
        </w:tc>
        <w:tc>
          <w:tcPr>
            <w:tcW w:w="3402" w:type="dxa"/>
            <w:shd w:val="clear" w:color="auto" w:fill="404246"/>
          </w:tcPr>
          <w:p w14:paraId="0FF7CAC9" w14:textId="05F68217" w:rsidR="00BE71FE" w:rsidRPr="00E61DB6" w:rsidRDefault="006B3C5A" w:rsidP="00F65C16">
            <w:pPr>
              <w:pStyle w:val="TBLHeading"/>
            </w:pPr>
            <w:r w:rsidRPr="00E61DB6">
              <w:t>Costs</w:t>
            </w:r>
          </w:p>
        </w:tc>
        <w:tc>
          <w:tcPr>
            <w:tcW w:w="3072" w:type="dxa"/>
            <w:shd w:val="clear" w:color="auto" w:fill="404246"/>
          </w:tcPr>
          <w:p w14:paraId="7DA1E887" w14:textId="79E1B3B2" w:rsidR="00BE71FE" w:rsidRPr="00E61DB6" w:rsidRDefault="006B3C5A" w:rsidP="00F65C16">
            <w:pPr>
              <w:pStyle w:val="TBLHeading"/>
            </w:pPr>
            <w:r w:rsidRPr="00E61DB6">
              <w:t>Benefits</w:t>
            </w:r>
          </w:p>
        </w:tc>
      </w:tr>
      <w:tr w:rsidR="00BE71FE" w:rsidRPr="00947470" w14:paraId="2CEB20BA" w14:textId="77777777" w:rsidTr="0058510D">
        <w:trPr>
          <w:trHeight w:val="350"/>
        </w:trPr>
        <w:tc>
          <w:tcPr>
            <w:tcW w:w="2552" w:type="dxa"/>
          </w:tcPr>
          <w:p w14:paraId="5DC13C56" w14:textId="5A86681A" w:rsidR="00BE71FE" w:rsidRPr="009A73D9" w:rsidRDefault="00B32908" w:rsidP="00CD1E37">
            <w:pPr>
              <w:pStyle w:val="TBLText"/>
              <w:rPr>
                <w:sz w:val="22"/>
                <w:szCs w:val="22"/>
              </w:rPr>
            </w:pPr>
            <w:r w:rsidRPr="009A73D9">
              <w:rPr>
                <w:sz w:val="22"/>
                <w:szCs w:val="22"/>
              </w:rPr>
              <w:t>Tenderers and suppliers</w:t>
            </w:r>
          </w:p>
        </w:tc>
        <w:tc>
          <w:tcPr>
            <w:tcW w:w="3402" w:type="dxa"/>
          </w:tcPr>
          <w:p w14:paraId="41B624B5" w14:textId="77777777" w:rsidR="00BE71FE" w:rsidRPr="009A73D9" w:rsidRDefault="008F217B" w:rsidP="00CD1E37">
            <w:pPr>
              <w:pStyle w:val="TBLText"/>
              <w:numPr>
                <w:ilvl w:val="0"/>
                <w:numId w:val="8"/>
              </w:numPr>
              <w:rPr>
                <w:sz w:val="22"/>
                <w:szCs w:val="22"/>
              </w:rPr>
            </w:pPr>
            <w:r w:rsidRPr="009A73D9">
              <w:rPr>
                <w:sz w:val="22"/>
                <w:szCs w:val="22"/>
              </w:rPr>
              <w:t>Increased time and resources completing tendering requirements</w:t>
            </w:r>
          </w:p>
          <w:p w14:paraId="03B3D1E3" w14:textId="77777777" w:rsidR="008F217B" w:rsidRPr="009A73D9" w:rsidRDefault="008F217B" w:rsidP="00CD1E37">
            <w:pPr>
              <w:pStyle w:val="TBLText"/>
              <w:numPr>
                <w:ilvl w:val="0"/>
                <w:numId w:val="8"/>
              </w:numPr>
              <w:rPr>
                <w:sz w:val="22"/>
                <w:szCs w:val="22"/>
              </w:rPr>
            </w:pPr>
            <w:r w:rsidRPr="009A73D9">
              <w:rPr>
                <w:sz w:val="22"/>
                <w:szCs w:val="22"/>
              </w:rPr>
              <w:t xml:space="preserve">Adjustments to recruitment </w:t>
            </w:r>
            <w:r w:rsidR="0031253E" w:rsidRPr="009A73D9">
              <w:rPr>
                <w:sz w:val="22"/>
                <w:szCs w:val="22"/>
              </w:rPr>
              <w:t>processes</w:t>
            </w:r>
          </w:p>
          <w:p w14:paraId="7597063E" w14:textId="4C353B18" w:rsidR="0031253E" w:rsidRPr="009A73D9" w:rsidRDefault="0031253E" w:rsidP="00CD1E37">
            <w:pPr>
              <w:pStyle w:val="TBLText"/>
              <w:numPr>
                <w:ilvl w:val="0"/>
                <w:numId w:val="8"/>
              </w:numPr>
              <w:rPr>
                <w:sz w:val="22"/>
                <w:szCs w:val="22"/>
              </w:rPr>
            </w:pPr>
            <w:r w:rsidRPr="009A73D9">
              <w:rPr>
                <w:sz w:val="22"/>
                <w:szCs w:val="22"/>
              </w:rPr>
              <w:t>Adjustments to reporting processes</w:t>
            </w:r>
            <w:r w:rsidR="00830756" w:rsidRPr="009A73D9">
              <w:rPr>
                <w:sz w:val="22"/>
                <w:szCs w:val="22"/>
              </w:rPr>
              <w:t>.</w:t>
            </w:r>
          </w:p>
        </w:tc>
        <w:tc>
          <w:tcPr>
            <w:tcW w:w="3072" w:type="dxa"/>
          </w:tcPr>
          <w:p w14:paraId="369A494F" w14:textId="119A9A97" w:rsidR="00BE71FE" w:rsidRPr="009A73D9" w:rsidRDefault="006A1F10" w:rsidP="00CD1E37">
            <w:pPr>
              <w:pStyle w:val="TBLText"/>
              <w:numPr>
                <w:ilvl w:val="0"/>
                <w:numId w:val="8"/>
              </w:numPr>
              <w:rPr>
                <w:sz w:val="22"/>
                <w:szCs w:val="22"/>
              </w:rPr>
            </w:pPr>
            <w:r w:rsidRPr="009A73D9">
              <w:rPr>
                <w:sz w:val="22"/>
                <w:szCs w:val="22"/>
              </w:rPr>
              <w:t>Strengthened pipeline of skilled workers</w:t>
            </w:r>
          </w:p>
          <w:p w14:paraId="3810FE04" w14:textId="043BF334" w:rsidR="006A1F10" w:rsidRPr="009A73D9" w:rsidRDefault="006A1F10" w:rsidP="00CD1E37">
            <w:pPr>
              <w:pStyle w:val="TBLText"/>
              <w:numPr>
                <w:ilvl w:val="0"/>
                <w:numId w:val="8"/>
              </w:numPr>
              <w:rPr>
                <w:sz w:val="22"/>
                <w:szCs w:val="22"/>
              </w:rPr>
            </w:pPr>
            <w:r w:rsidRPr="009A73D9">
              <w:rPr>
                <w:sz w:val="22"/>
                <w:szCs w:val="22"/>
              </w:rPr>
              <w:t>Improved productivity</w:t>
            </w:r>
          </w:p>
          <w:p w14:paraId="5C61BF0C" w14:textId="6A238473" w:rsidR="006A1F10" w:rsidRPr="009A73D9" w:rsidRDefault="006A1F10" w:rsidP="00CD1E37">
            <w:pPr>
              <w:pStyle w:val="TBLText"/>
              <w:numPr>
                <w:ilvl w:val="0"/>
                <w:numId w:val="8"/>
              </w:numPr>
              <w:rPr>
                <w:sz w:val="22"/>
                <w:szCs w:val="22"/>
              </w:rPr>
            </w:pPr>
            <w:r w:rsidRPr="009A73D9">
              <w:rPr>
                <w:sz w:val="22"/>
                <w:szCs w:val="22"/>
              </w:rPr>
              <w:t>Greater capacity to deliver future projects</w:t>
            </w:r>
            <w:r w:rsidR="00830756" w:rsidRPr="009A73D9">
              <w:rPr>
                <w:sz w:val="22"/>
                <w:szCs w:val="22"/>
              </w:rPr>
              <w:t>.</w:t>
            </w:r>
          </w:p>
        </w:tc>
      </w:tr>
      <w:tr w:rsidR="00BE71FE" w:rsidRPr="00995541" w14:paraId="69330EB9" w14:textId="77777777" w:rsidTr="0058510D">
        <w:trPr>
          <w:trHeight w:val="350"/>
        </w:trPr>
        <w:tc>
          <w:tcPr>
            <w:tcW w:w="2552" w:type="dxa"/>
          </w:tcPr>
          <w:p w14:paraId="47990E1E" w14:textId="0BF37805" w:rsidR="00BE71FE" w:rsidRPr="009A73D9" w:rsidRDefault="00B32908" w:rsidP="00CD1E37">
            <w:pPr>
              <w:pStyle w:val="TBLText"/>
              <w:rPr>
                <w:sz w:val="22"/>
                <w:szCs w:val="22"/>
              </w:rPr>
            </w:pPr>
            <w:r w:rsidRPr="009A73D9">
              <w:rPr>
                <w:sz w:val="22"/>
                <w:szCs w:val="22"/>
              </w:rPr>
              <w:t>Regional and rural suppliers</w:t>
            </w:r>
          </w:p>
        </w:tc>
        <w:tc>
          <w:tcPr>
            <w:tcW w:w="3402" w:type="dxa"/>
          </w:tcPr>
          <w:p w14:paraId="7C223CF6" w14:textId="702DCDE4" w:rsidR="00BE71FE" w:rsidRPr="009A73D9" w:rsidRDefault="004D61FD" w:rsidP="00CD1E37">
            <w:pPr>
              <w:pStyle w:val="TBLText"/>
              <w:numPr>
                <w:ilvl w:val="0"/>
                <w:numId w:val="8"/>
              </w:numPr>
              <w:rPr>
                <w:sz w:val="22"/>
                <w:szCs w:val="22"/>
              </w:rPr>
            </w:pPr>
            <w:r w:rsidRPr="009A73D9">
              <w:rPr>
                <w:sz w:val="22"/>
                <w:szCs w:val="22"/>
              </w:rPr>
              <w:t>M</w:t>
            </w:r>
            <w:r w:rsidR="00817384" w:rsidRPr="009A73D9">
              <w:rPr>
                <w:sz w:val="22"/>
                <w:szCs w:val="22"/>
              </w:rPr>
              <w:t xml:space="preserve">ay require additional time and support to build a job ready workforce </w:t>
            </w:r>
            <w:r w:rsidRPr="009A73D9">
              <w:rPr>
                <w:sz w:val="22"/>
                <w:szCs w:val="22"/>
              </w:rPr>
              <w:t xml:space="preserve">given limited </w:t>
            </w:r>
            <w:r w:rsidR="00817384" w:rsidRPr="009A73D9">
              <w:rPr>
                <w:sz w:val="22"/>
                <w:szCs w:val="22"/>
              </w:rPr>
              <w:t xml:space="preserve">access to a ready pool of apprentices </w:t>
            </w:r>
          </w:p>
          <w:p w14:paraId="3E944E96" w14:textId="03E41CF8" w:rsidR="004D61FD" w:rsidRPr="009A73D9" w:rsidRDefault="00BE3E40" w:rsidP="00CD1E37">
            <w:pPr>
              <w:pStyle w:val="TBLText"/>
              <w:numPr>
                <w:ilvl w:val="0"/>
                <w:numId w:val="8"/>
              </w:numPr>
              <w:rPr>
                <w:sz w:val="22"/>
                <w:szCs w:val="22"/>
              </w:rPr>
            </w:pPr>
            <w:r w:rsidRPr="009A73D9">
              <w:rPr>
                <w:sz w:val="22"/>
                <w:szCs w:val="22"/>
              </w:rPr>
              <w:t>Additional travel for off-the-job training because of limited local training opportunities</w:t>
            </w:r>
            <w:r w:rsidR="00830756" w:rsidRPr="009A73D9">
              <w:rPr>
                <w:sz w:val="22"/>
                <w:szCs w:val="22"/>
              </w:rPr>
              <w:t>.</w:t>
            </w:r>
          </w:p>
        </w:tc>
        <w:tc>
          <w:tcPr>
            <w:tcW w:w="3072" w:type="dxa"/>
          </w:tcPr>
          <w:p w14:paraId="1963D9C7" w14:textId="140FF214" w:rsidR="00BE71FE" w:rsidRPr="009A73D9" w:rsidRDefault="00082040" w:rsidP="00CD1E37">
            <w:pPr>
              <w:pStyle w:val="TBLText"/>
              <w:numPr>
                <w:ilvl w:val="0"/>
                <w:numId w:val="8"/>
              </w:numPr>
              <w:rPr>
                <w:sz w:val="22"/>
                <w:szCs w:val="22"/>
              </w:rPr>
            </w:pPr>
            <w:r w:rsidRPr="009A73D9">
              <w:rPr>
                <w:sz w:val="22"/>
                <w:szCs w:val="22"/>
              </w:rPr>
              <w:t>I</w:t>
            </w:r>
            <w:r w:rsidR="00814421" w:rsidRPr="009A73D9">
              <w:rPr>
                <w:sz w:val="22"/>
                <w:szCs w:val="22"/>
              </w:rPr>
              <w:t>ncrease demand for apprentices and trainees in rural and regional areas</w:t>
            </w:r>
          </w:p>
          <w:p w14:paraId="5BC1CB3C" w14:textId="77777777" w:rsidR="00082040" w:rsidRPr="009A73D9" w:rsidRDefault="00082040" w:rsidP="00CD1E37">
            <w:pPr>
              <w:pStyle w:val="TBLText"/>
              <w:numPr>
                <w:ilvl w:val="0"/>
                <w:numId w:val="8"/>
              </w:numPr>
              <w:rPr>
                <w:sz w:val="22"/>
                <w:szCs w:val="22"/>
              </w:rPr>
            </w:pPr>
            <w:r w:rsidRPr="009A73D9">
              <w:rPr>
                <w:sz w:val="22"/>
                <w:szCs w:val="22"/>
              </w:rPr>
              <w:t>Strengthened pipeline of skilled workers</w:t>
            </w:r>
          </w:p>
          <w:p w14:paraId="7D053D20" w14:textId="0EE2EC70" w:rsidR="00082040" w:rsidRPr="009A73D9" w:rsidRDefault="00082040" w:rsidP="00CD1E37">
            <w:pPr>
              <w:pStyle w:val="TBLText"/>
              <w:numPr>
                <w:ilvl w:val="0"/>
                <w:numId w:val="8"/>
              </w:numPr>
              <w:rPr>
                <w:sz w:val="22"/>
                <w:szCs w:val="22"/>
              </w:rPr>
            </w:pPr>
            <w:r w:rsidRPr="009A73D9">
              <w:rPr>
                <w:sz w:val="22"/>
                <w:szCs w:val="22"/>
              </w:rPr>
              <w:t>Boost digital skills</w:t>
            </w:r>
          </w:p>
          <w:p w14:paraId="0ECCFDD8" w14:textId="69036160" w:rsidR="00082040" w:rsidRPr="009A73D9" w:rsidRDefault="00082040" w:rsidP="00CD1E37">
            <w:pPr>
              <w:pStyle w:val="TBLText"/>
              <w:numPr>
                <w:ilvl w:val="0"/>
                <w:numId w:val="8"/>
              </w:numPr>
              <w:rPr>
                <w:sz w:val="22"/>
                <w:szCs w:val="22"/>
              </w:rPr>
            </w:pPr>
            <w:r w:rsidRPr="009A73D9">
              <w:rPr>
                <w:sz w:val="22"/>
                <w:szCs w:val="22"/>
              </w:rPr>
              <w:t>Attract new people to work and train in regional and rural Australia</w:t>
            </w:r>
            <w:r w:rsidR="00830756" w:rsidRPr="009A73D9">
              <w:rPr>
                <w:sz w:val="22"/>
                <w:szCs w:val="22"/>
              </w:rPr>
              <w:t>.</w:t>
            </w:r>
          </w:p>
        </w:tc>
      </w:tr>
      <w:tr w:rsidR="00B32908" w:rsidRPr="00995541" w14:paraId="5057234B" w14:textId="77777777" w:rsidTr="0058510D">
        <w:trPr>
          <w:trHeight w:val="350"/>
        </w:trPr>
        <w:tc>
          <w:tcPr>
            <w:tcW w:w="2552" w:type="dxa"/>
          </w:tcPr>
          <w:p w14:paraId="6AF57A8B" w14:textId="12CD6232" w:rsidR="00B32908" w:rsidRPr="009A73D9" w:rsidRDefault="00C5582F" w:rsidP="00CD1E37">
            <w:pPr>
              <w:pStyle w:val="TBLText"/>
              <w:rPr>
                <w:sz w:val="22"/>
                <w:szCs w:val="22"/>
              </w:rPr>
            </w:pPr>
            <w:r w:rsidRPr="009A73D9">
              <w:rPr>
                <w:sz w:val="22"/>
                <w:szCs w:val="22"/>
              </w:rPr>
              <w:t>Smaller suppliers and sub-contractors</w:t>
            </w:r>
          </w:p>
        </w:tc>
        <w:tc>
          <w:tcPr>
            <w:tcW w:w="3402" w:type="dxa"/>
          </w:tcPr>
          <w:p w14:paraId="0452403B" w14:textId="4DBF7109" w:rsidR="00B32908" w:rsidRPr="009A73D9" w:rsidRDefault="005A4350" w:rsidP="00CD1E37">
            <w:pPr>
              <w:pStyle w:val="TBLText"/>
              <w:numPr>
                <w:ilvl w:val="0"/>
                <w:numId w:val="8"/>
              </w:numPr>
              <w:rPr>
                <w:sz w:val="22"/>
                <w:szCs w:val="22"/>
              </w:rPr>
            </w:pPr>
            <w:r w:rsidRPr="009A73D9">
              <w:rPr>
                <w:sz w:val="22"/>
                <w:szCs w:val="22"/>
              </w:rPr>
              <w:t>Potential</w:t>
            </w:r>
            <w:r w:rsidR="001C6893" w:rsidRPr="009A73D9">
              <w:rPr>
                <w:sz w:val="22"/>
                <w:szCs w:val="22"/>
              </w:rPr>
              <w:t xml:space="preserve"> disadvantage in tendering for and completing Skills Guarantee projects compared to </w:t>
            </w:r>
            <w:r w:rsidR="000D4EDA" w:rsidRPr="009A73D9">
              <w:rPr>
                <w:sz w:val="22"/>
                <w:szCs w:val="22"/>
              </w:rPr>
              <w:t>large businesses</w:t>
            </w:r>
          </w:p>
          <w:p w14:paraId="666B0ECB" w14:textId="7B09AC4B" w:rsidR="000D4EDA" w:rsidRPr="009A73D9" w:rsidRDefault="000D4EDA" w:rsidP="00CD1E37">
            <w:pPr>
              <w:pStyle w:val="TBLText"/>
              <w:numPr>
                <w:ilvl w:val="0"/>
                <w:numId w:val="8"/>
              </w:numPr>
              <w:rPr>
                <w:sz w:val="22"/>
                <w:szCs w:val="22"/>
              </w:rPr>
            </w:pPr>
            <w:r w:rsidRPr="009A73D9">
              <w:rPr>
                <w:sz w:val="22"/>
                <w:szCs w:val="22"/>
              </w:rPr>
              <w:t xml:space="preserve">Impact </w:t>
            </w:r>
            <w:r w:rsidR="005A4350" w:rsidRPr="009A73D9">
              <w:rPr>
                <w:sz w:val="22"/>
                <w:szCs w:val="22"/>
              </w:rPr>
              <w:t xml:space="preserve">on </w:t>
            </w:r>
            <w:r w:rsidRPr="009A73D9">
              <w:rPr>
                <w:sz w:val="22"/>
                <w:szCs w:val="22"/>
              </w:rPr>
              <w:t>smaller suppliers’ workforce if larger suppliers poach employees due to the competitive labour market</w:t>
            </w:r>
            <w:r w:rsidR="00830756" w:rsidRPr="009A73D9">
              <w:rPr>
                <w:sz w:val="22"/>
                <w:szCs w:val="22"/>
              </w:rPr>
              <w:t>.</w:t>
            </w:r>
          </w:p>
        </w:tc>
        <w:tc>
          <w:tcPr>
            <w:tcW w:w="3072" w:type="dxa"/>
          </w:tcPr>
          <w:p w14:paraId="7C082F91" w14:textId="4CC845E6" w:rsidR="00DA2C6C" w:rsidRPr="009A73D9" w:rsidRDefault="00DA2C6C" w:rsidP="00CD1E37">
            <w:pPr>
              <w:pStyle w:val="TBLText"/>
              <w:numPr>
                <w:ilvl w:val="0"/>
                <w:numId w:val="8"/>
              </w:numPr>
              <w:rPr>
                <w:sz w:val="22"/>
                <w:szCs w:val="22"/>
              </w:rPr>
            </w:pPr>
            <w:r w:rsidRPr="009A73D9">
              <w:rPr>
                <w:sz w:val="22"/>
                <w:szCs w:val="22"/>
              </w:rPr>
              <w:t xml:space="preserve">More opportunities to collaborate with larger suppliers </w:t>
            </w:r>
          </w:p>
          <w:p w14:paraId="4D747F3E" w14:textId="6BB5F737" w:rsidR="00B32908" w:rsidRPr="009A73D9" w:rsidRDefault="00DA2C6C" w:rsidP="00CD1E37">
            <w:pPr>
              <w:pStyle w:val="TBLText"/>
              <w:numPr>
                <w:ilvl w:val="0"/>
                <w:numId w:val="8"/>
              </w:numPr>
              <w:rPr>
                <w:sz w:val="22"/>
                <w:szCs w:val="22"/>
              </w:rPr>
            </w:pPr>
            <w:r w:rsidRPr="009A73D9">
              <w:rPr>
                <w:sz w:val="22"/>
                <w:szCs w:val="22"/>
              </w:rPr>
              <w:t>Exposure to broader range of on-the-job experiences for their apprentices and trainees</w:t>
            </w:r>
          </w:p>
          <w:p w14:paraId="34237BF5" w14:textId="7F4F5261" w:rsidR="00DA2C6C" w:rsidRPr="009A73D9" w:rsidRDefault="00DA2C6C" w:rsidP="00CD1E37">
            <w:pPr>
              <w:pStyle w:val="TBLText"/>
              <w:numPr>
                <w:ilvl w:val="0"/>
                <w:numId w:val="8"/>
              </w:numPr>
              <w:rPr>
                <w:sz w:val="22"/>
                <w:szCs w:val="22"/>
              </w:rPr>
            </w:pPr>
            <w:r w:rsidRPr="009A73D9">
              <w:rPr>
                <w:sz w:val="22"/>
                <w:szCs w:val="22"/>
              </w:rPr>
              <w:t>Strengthened pipeline of skilled workers</w:t>
            </w:r>
            <w:r w:rsidR="00830756" w:rsidRPr="009A73D9">
              <w:rPr>
                <w:sz w:val="22"/>
                <w:szCs w:val="22"/>
              </w:rPr>
              <w:t>.</w:t>
            </w:r>
          </w:p>
        </w:tc>
      </w:tr>
      <w:tr w:rsidR="00B32908" w:rsidRPr="00995541" w14:paraId="274ED000" w14:textId="77777777" w:rsidTr="0058510D">
        <w:trPr>
          <w:trHeight w:val="350"/>
        </w:trPr>
        <w:tc>
          <w:tcPr>
            <w:tcW w:w="2552" w:type="dxa"/>
          </w:tcPr>
          <w:p w14:paraId="00333A8C" w14:textId="56E00203" w:rsidR="00B32908" w:rsidRPr="009A73D9" w:rsidRDefault="00A17B0D" w:rsidP="00CD1E37">
            <w:pPr>
              <w:pStyle w:val="TBLText"/>
              <w:rPr>
                <w:sz w:val="22"/>
                <w:szCs w:val="22"/>
              </w:rPr>
            </w:pPr>
            <w:r w:rsidRPr="009A73D9">
              <w:rPr>
                <w:sz w:val="22"/>
                <w:szCs w:val="22"/>
              </w:rPr>
              <w:t xml:space="preserve">Flagship construction </w:t>
            </w:r>
            <w:r w:rsidR="00A93B99" w:rsidRPr="009A73D9">
              <w:rPr>
                <w:sz w:val="22"/>
                <w:szCs w:val="22"/>
              </w:rPr>
              <w:t>project suppliers</w:t>
            </w:r>
          </w:p>
        </w:tc>
        <w:tc>
          <w:tcPr>
            <w:tcW w:w="3402" w:type="dxa"/>
          </w:tcPr>
          <w:p w14:paraId="6BECA5B2" w14:textId="60181002" w:rsidR="00B32908" w:rsidRPr="009A73D9" w:rsidRDefault="000F43AB" w:rsidP="00CD1E37">
            <w:pPr>
              <w:pStyle w:val="TBLText"/>
              <w:numPr>
                <w:ilvl w:val="0"/>
                <w:numId w:val="8"/>
              </w:numPr>
              <w:rPr>
                <w:sz w:val="22"/>
                <w:szCs w:val="22"/>
              </w:rPr>
            </w:pPr>
            <w:r w:rsidRPr="009A73D9">
              <w:rPr>
                <w:sz w:val="22"/>
                <w:szCs w:val="22"/>
              </w:rPr>
              <w:t>Suppliers will</w:t>
            </w:r>
            <w:r w:rsidR="009B3250" w:rsidRPr="009A73D9">
              <w:rPr>
                <w:sz w:val="22"/>
                <w:szCs w:val="22"/>
              </w:rPr>
              <w:t xml:space="preserve"> </w:t>
            </w:r>
            <w:r w:rsidRPr="009A73D9">
              <w:rPr>
                <w:sz w:val="22"/>
                <w:szCs w:val="22"/>
              </w:rPr>
              <w:t>be required to propose more ambitious targets</w:t>
            </w:r>
            <w:r w:rsidR="0074124C" w:rsidRPr="009A73D9">
              <w:rPr>
                <w:sz w:val="22"/>
                <w:szCs w:val="22"/>
              </w:rPr>
              <w:t xml:space="preserve"> over other tenderers and suppliers</w:t>
            </w:r>
            <w:r w:rsidRPr="009A73D9">
              <w:rPr>
                <w:sz w:val="22"/>
                <w:szCs w:val="22"/>
              </w:rPr>
              <w:t xml:space="preserve"> for women and provide a Gender Equality Action Plan.</w:t>
            </w:r>
            <w:r w:rsidR="009B3250" w:rsidRPr="009A73D9">
              <w:rPr>
                <w:sz w:val="22"/>
                <w:szCs w:val="22"/>
              </w:rPr>
              <w:t xml:space="preserve"> This will</w:t>
            </w:r>
            <w:r w:rsidR="00504F34" w:rsidRPr="009A73D9">
              <w:rPr>
                <w:sz w:val="22"/>
                <w:szCs w:val="22"/>
              </w:rPr>
              <w:t>:</w:t>
            </w:r>
          </w:p>
          <w:p w14:paraId="7856F5B0" w14:textId="058E5D4C" w:rsidR="00F64A4A" w:rsidRPr="009A73D9" w:rsidRDefault="00504F34" w:rsidP="0058510D">
            <w:pPr>
              <w:pStyle w:val="TBLText"/>
              <w:numPr>
                <w:ilvl w:val="0"/>
                <w:numId w:val="9"/>
              </w:numPr>
              <w:ind w:left="1166"/>
              <w:rPr>
                <w:sz w:val="22"/>
                <w:szCs w:val="22"/>
              </w:rPr>
            </w:pPr>
            <w:r w:rsidRPr="009A73D9">
              <w:rPr>
                <w:sz w:val="22"/>
                <w:szCs w:val="22"/>
              </w:rPr>
              <w:t>further i</w:t>
            </w:r>
            <w:r w:rsidR="00F64A4A" w:rsidRPr="009A73D9">
              <w:rPr>
                <w:sz w:val="22"/>
                <w:szCs w:val="22"/>
              </w:rPr>
              <w:t>ncrease time and resources completing tendering requirements</w:t>
            </w:r>
            <w:r w:rsidRPr="009A73D9">
              <w:rPr>
                <w:sz w:val="22"/>
                <w:szCs w:val="22"/>
              </w:rPr>
              <w:t xml:space="preserve"> </w:t>
            </w:r>
          </w:p>
          <w:p w14:paraId="3B1C4F62" w14:textId="28ADFDA0" w:rsidR="00F64A4A" w:rsidRPr="009A73D9" w:rsidRDefault="00504F34" w:rsidP="0058510D">
            <w:pPr>
              <w:pStyle w:val="TBLText"/>
              <w:numPr>
                <w:ilvl w:val="0"/>
                <w:numId w:val="9"/>
              </w:numPr>
              <w:ind w:left="1166"/>
              <w:rPr>
                <w:sz w:val="22"/>
                <w:szCs w:val="22"/>
              </w:rPr>
            </w:pPr>
            <w:r w:rsidRPr="009A73D9">
              <w:rPr>
                <w:sz w:val="22"/>
                <w:szCs w:val="22"/>
              </w:rPr>
              <w:t>requirement a</w:t>
            </w:r>
            <w:r w:rsidR="00F64A4A" w:rsidRPr="009A73D9">
              <w:rPr>
                <w:sz w:val="22"/>
                <w:szCs w:val="22"/>
              </w:rPr>
              <w:t>djustments to recruitment processes</w:t>
            </w:r>
          </w:p>
          <w:p w14:paraId="4859BB64" w14:textId="0BF63B85" w:rsidR="00F64A4A" w:rsidRPr="009A73D9" w:rsidRDefault="00504F34" w:rsidP="0058510D">
            <w:pPr>
              <w:pStyle w:val="TBLText"/>
              <w:numPr>
                <w:ilvl w:val="0"/>
                <w:numId w:val="9"/>
              </w:numPr>
              <w:ind w:left="1166"/>
              <w:rPr>
                <w:sz w:val="22"/>
                <w:szCs w:val="22"/>
              </w:rPr>
            </w:pPr>
            <w:r w:rsidRPr="009A73D9">
              <w:rPr>
                <w:sz w:val="22"/>
                <w:szCs w:val="22"/>
              </w:rPr>
              <w:t>require a</w:t>
            </w:r>
            <w:r w:rsidR="00F64A4A" w:rsidRPr="009A73D9">
              <w:rPr>
                <w:sz w:val="22"/>
                <w:szCs w:val="22"/>
              </w:rPr>
              <w:t>djustments to reporting processes</w:t>
            </w:r>
            <w:r w:rsidRPr="009A73D9">
              <w:rPr>
                <w:sz w:val="22"/>
                <w:szCs w:val="22"/>
              </w:rPr>
              <w:t>.</w:t>
            </w:r>
          </w:p>
        </w:tc>
        <w:tc>
          <w:tcPr>
            <w:tcW w:w="3072" w:type="dxa"/>
          </w:tcPr>
          <w:p w14:paraId="4029F760" w14:textId="77777777" w:rsidR="00964313" w:rsidRPr="009A73D9" w:rsidRDefault="00964313" w:rsidP="00CD1E37">
            <w:pPr>
              <w:pStyle w:val="TBLText"/>
              <w:numPr>
                <w:ilvl w:val="0"/>
                <w:numId w:val="8"/>
              </w:numPr>
              <w:rPr>
                <w:sz w:val="22"/>
                <w:szCs w:val="22"/>
              </w:rPr>
            </w:pPr>
            <w:r w:rsidRPr="009A73D9">
              <w:rPr>
                <w:sz w:val="22"/>
                <w:szCs w:val="22"/>
              </w:rPr>
              <w:t>Strengthened pipeline of skilled workers</w:t>
            </w:r>
          </w:p>
          <w:p w14:paraId="2503E18A" w14:textId="77777777" w:rsidR="00964313" w:rsidRPr="009A73D9" w:rsidRDefault="00964313" w:rsidP="00CD1E37">
            <w:pPr>
              <w:pStyle w:val="TBLText"/>
              <w:numPr>
                <w:ilvl w:val="0"/>
                <w:numId w:val="8"/>
              </w:numPr>
              <w:rPr>
                <w:sz w:val="22"/>
                <w:szCs w:val="22"/>
              </w:rPr>
            </w:pPr>
            <w:r w:rsidRPr="009A73D9">
              <w:rPr>
                <w:sz w:val="22"/>
                <w:szCs w:val="22"/>
              </w:rPr>
              <w:t>Improved productivity</w:t>
            </w:r>
          </w:p>
          <w:p w14:paraId="2341AD27" w14:textId="20F01F6F" w:rsidR="00964313" w:rsidRPr="009A73D9" w:rsidRDefault="00964313" w:rsidP="00CD1E37">
            <w:pPr>
              <w:pStyle w:val="TBLText"/>
              <w:numPr>
                <w:ilvl w:val="0"/>
                <w:numId w:val="8"/>
              </w:numPr>
              <w:rPr>
                <w:sz w:val="22"/>
                <w:szCs w:val="22"/>
              </w:rPr>
            </w:pPr>
            <w:r w:rsidRPr="009A73D9">
              <w:rPr>
                <w:sz w:val="22"/>
                <w:szCs w:val="22"/>
              </w:rPr>
              <w:t>Greater capacity to deliver future projects</w:t>
            </w:r>
          </w:p>
          <w:p w14:paraId="169BC33A" w14:textId="7C92B549" w:rsidR="00964313" w:rsidRPr="009A73D9" w:rsidRDefault="00964313" w:rsidP="00CD1E37">
            <w:pPr>
              <w:pStyle w:val="TBLText"/>
              <w:numPr>
                <w:ilvl w:val="0"/>
                <w:numId w:val="8"/>
              </w:numPr>
              <w:rPr>
                <w:sz w:val="22"/>
                <w:szCs w:val="22"/>
              </w:rPr>
            </w:pPr>
            <w:r w:rsidRPr="009A73D9">
              <w:rPr>
                <w:sz w:val="22"/>
                <w:szCs w:val="22"/>
              </w:rPr>
              <w:t xml:space="preserve">Accelerate cultural change by acting as exemplars </w:t>
            </w:r>
          </w:p>
          <w:p w14:paraId="3576BD74" w14:textId="198345C4" w:rsidR="00B32908" w:rsidRPr="009A73D9" w:rsidRDefault="00964313" w:rsidP="00CD1E37">
            <w:pPr>
              <w:pStyle w:val="TBLText"/>
              <w:numPr>
                <w:ilvl w:val="0"/>
                <w:numId w:val="8"/>
              </w:numPr>
              <w:rPr>
                <w:sz w:val="22"/>
                <w:szCs w:val="22"/>
              </w:rPr>
            </w:pPr>
            <w:r w:rsidRPr="009A73D9">
              <w:rPr>
                <w:sz w:val="22"/>
                <w:szCs w:val="22"/>
              </w:rPr>
              <w:t>Increasing the proportion of women working on major construction projects</w:t>
            </w:r>
            <w:r w:rsidR="00830756" w:rsidRPr="009A73D9">
              <w:rPr>
                <w:sz w:val="22"/>
                <w:szCs w:val="22"/>
              </w:rPr>
              <w:t>.</w:t>
            </w:r>
          </w:p>
        </w:tc>
      </w:tr>
      <w:tr w:rsidR="004C6DCA" w:rsidRPr="00995541" w14:paraId="1AF68A59" w14:textId="77777777" w:rsidTr="0058510D">
        <w:trPr>
          <w:trHeight w:val="350"/>
        </w:trPr>
        <w:tc>
          <w:tcPr>
            <w:tcW w:w="2552" w:type="dxa"/>
          </w:tcPr>
          <w:p w14:paraId="23EA77E4" w14:textId="735B11CD" w:rsidR="004C6DCA" w:rsidRPr="009A73D9" w:rsidRDefault="004C6DCA" w:rsidP="00CD1E37">
            <w:pPr>
              <w:pStyle w:val="TBLText"/>
              <w:rPr>
                <w:sz w:val="22"/>
                <w:szCs w:val="22"/>
              </w:rPr>
            </w:pPr>
            <w:r w:rsidRPr="009A73D9">
              <w:rPr>
                <w:sz w:val="22"/>
                <w:szCs w:val="22"/>
              </w:rPr>
              <w:lastRenderedPageBreak/>
              <w:t>Apprentices, trainees and ICT cadets</w:t>
            </w:r>
          </w:p>
        </w:tc>
        <w:tc>
          <w:tcPr>
            <w:tcW w:w="3402" w:type="dxa"/>
          </w:tcPr>
          <w:p w14:paraId="75063121" w14:textId="7D9FFF8A" w:rsidR="00191033" w:rsidRPr="009A73D9" w:rsidRDefault="00191033" w:rsidP="00850461">
            <w:pPr>
              <w:pStyle w:val="TBLText"/>
              <w:ind w:left="720"/>
              <w:rPr>
                <w:sz w:val="22"/>
                <w:szCs w:val="22"/>
              </w:rPr>
            </w:pPr>
          </w:p>
        </w:tc>
        <w:tc>
          <w:tcPr>
            <w:tcW w:w="3072" w:type="dxa"/>
          </w:tcPr>
          <w:p w14:paraId="00E122FD" w14:textId="301CCB2B" w:rsidR="009367A1" w:rsidRPr="009A73D9" w:rsidRDefault="009367A1" w:rsidP="00CD1E37">
            <w:pPr>
              <w:pStyle w:val="TBLText"/>
              <w:numPr>
                <w:ilvl w:val="0"/>
                <w:numId w:val="8"/>
              </w:numPr>
              <w:rPr>
                <w:sz w:val="22"/>
                <w:szCs w:val="22"/>
              </w:rPr>
            </w:pPr>
            <w:r w:rsidRPr="009A73D9">
              <w:rPr>
                <w:sz w:val="22"/>
                <w:szCs w:val="22"/>
              </w:rPr>
              <w:t xml:space="preserve">Opportunity to receive training </w:t>
            </w:r>
            <w:r w:rsidR="003A3E89" w:rsidRPr="009A73D9">
              <w:rPr>
                <w:sz w:val="22"/>
                <w:szCs w:val="22"/>
              </w:rPr>
              <w:t xml:space="preserve">and gaining qualifications </w:t>
            </w:r>
            <w:r w:rsidRPr="009A73D9">
              <w:rPr>
                <w:sz w:val="22"/>
                <w:szCs w:val="22"/>
              </w:rPr>
              <w:t>while earning an income</w:t>
            </w:r>
          </w:p>
          <w:p w14:paraId="113B0F2E" w14:textId="77777777" w:rsidR="004C6DCA" w:rsidRPr="009A73D9" w:rsidRDefault="009367A1" w:rsidP="00CD1E37">
            <w:pPr>
              <w:pStyle w:val="TBLText"/>
              <w:numPr>
                <w:ilvl w:val="0"/>
                <w:numId w:val="8"/>
              </w:numPr>
              <w:rPr>
                <w:sz w:val="22"/>
                <w:szCs w:val="22"/>
              </w:rPr>
            </w:pPr>
            <w:r w:rsidRPr="009A73D9">
              <w:rPr>
                <w:sz w:val="22"/>
                <w:szCs w:val="22"/>
              </w:rPr>
              <w:t>Increase</w:t>
            </w:r>
            <w:r w:rsidR="00022CDA" w:rsidRPr="009A73D9">
              <w:rPr>
                <w:sz w:val="22"/>
                <w:szCs w:val="22"/>
              </w:rPr>
              <w:t>d</w:t>
            </w:r>
            <w:r w:rsidRPr="009A73D9">
              <w:rPr>
                <w:sz w:val="22"/>
                <w:szCs w:val="22"/>
              </w:rPr>
              <w:t xml:space="preserve"> opportunities to work in </w:t>
            </w:r>
            <w:r w:rsidR="007718D9" w:rsidRPr="009A73D9">
              <w:rPr>
                <w:sz w:val="22"/>
                <w:szCs w:val="22"/>
              </w:rPr>
              <w:t xml:space="preserve">construction and ICT industries </w:t>
            </w:r>
          </w:p>
          <w:p w14:paraId="0997ADE3" w14:textId="01F2A42A" w:rsidR="005E61FF" w:rsidRPr="009A73D9" w:rsidRDefault="005E61FF" w:rsidP="00CD1E37">
            <w:pPr>
              <w:pStyle w:val="TBLText"/>
              <w:numPr>
                <w:ilvl w:val="0"/>
                <w:numId w:val="8"/>
              </w:numPr>
              <w:rPr>
                <w:sz w:val="22"/>
                <w:szCs w:val="22"/>
              </w:rPr>
            </w:pPr>
            <w:r w:rsidRPr="009A73D9">
              <w:rPr>
                <w:sz w:val="22"/>
                <w:szCs w:val="22"/>
              </w:rPr>
              <w:t>Help unskilled and semi-skilled workers enter higher paying and secure trade or ICT roles</w:t>
            </w:r>
            <w:r w:rsidR="00830756" w:rsidRPr="009A73D9">
              <w:rPr>
                <w:sz w:val="22"/>
                <w:szCs w:val="22"/>
              </w:rPr>
              <w:t>.</w:t>
            </w:r>
          </w:p>
        </w:tc>
      </w:tr>
      <w:tr w:rsidR="004C6DCA" w:rsidRPr="00995541" w14:paraId="5E5DE173" w14:textId="77777777" w:rsidTr="0058510D">
        <w:trPr>
          <w:trHeight w:val="350"/>
        </w:trPr>
        <w:tc>
          <w:tcPr>
            <w:tcW w:w="2552" w:type="dxa"/>
          </w:tcPr>
          <w:p w14:paraId="4D6A043E" w14:textId="57FC04BB" w:rsidR="004C6DCA" w:rsidRPr="009A73D9" w:rsidRDefault="003F1793" w:rsidP="00CD1E37">
            <w:pPr>
              <w:pStyle w:val="TBLText"/>
              <w:rPr>
                <w:sz w:val="22"/>
                <w:szCs w:val="22"/>
              </w:rPr>
            </w:pPr>
            <w:r w:rsidRPr="009A73D9">
              <w:rPr>
                <w:sz w:val="22"/>
                <w:szCs w:val="22"/>
              </w:rPr>
              <w:t>Women and the construction and ICT workforces</w:t>
            </w:r>
          </w:p>
        </w:tc>
        <w:tc>
          <w:tcPr>
            <w:tcW w:w="3402" w:type="dxa"/>
          </w:tcPr>
          <w:p w14:paraId="78E7C406" w14:textId="6973798C" w:rsidR="00D01891" w:rsidRPr="009A73D9" w:rsidRDefault="00D01891" w:rsidP="00CD1E37">
            <w:pPr>
              <w:pStyle w:val="TBLText"/>
              <w:numPr>
                <w:ilvl w:val="0"/>
                <w:numId w:val="8"/>
              </w:numPr>
              <w:rPr>
                <w:sz w:val="22"/>
                <w:szCs w:val="22"/>
              </w:rPr>
            </w:pPr>
            <w:r w:rsidRPr="009A73D9">
              <w:rPr>
                <w:sz w:val="22"/>
                <w:szCs w:val="22"/>
              </w:rPr>
              <w:t>Barrier</w:t>
            </w:r>
            <w:r w:rsidR="000349B2" w:rsidRPr="009A73D9">
              <w:rPr>
                <w:sz w:val="22"/>
                <w:szCs w:val="22"/>
              </w:rPr>
              <w:t>s</w:t>
            </w:r>
            <w:r w:rsidRPr="009A73D9">
              <w:rPr>
                <w:sz w:val="22"/>
                <w:szCs w:val="22"/>
              </w:rPr>
              <w:t xml:space="preserve"> for women in a construction</w:t>
            </w:r>
            <w:r w:rsidR="003A3E89" w:rsidRPr="009A73D9">
              <w:rPr>
                <w:sz w:val="22"/>
                <w:szCs w:val="22"/>
              </w:rPr>
              <w:t xml:space="preserve"> and </w:t>
            </w:r>
            <w:r w:rsidR="000349B2" w:rsidRPr="009A73D9">
              <w:rPr>
                <w:sz w:val="22"/>
                <w:szCs w:val="22"/>
              </w:rPr>
              <w:t>ICT reducing participation</w:t>
            </w:r>
            <w:r w:rsidR="007010A7" w:rsidRPr="009A73D9">
              <w:rPr>
                <w:sz w:val="22"/>
                <w:szCs w:val="22"/>
              </w:rPr>
              <w:t xml:space="preserve"> hours</w:t>
            </w:r>
            <w:r w:rsidR="000349B2" w:rsidRPr="009A73D9">
              <w:rPr>
                <w:sz w:val="22"/>
                <w:szCs w:val="22"/>
              </w:rPr>
              <w:t xml:space="preserve"> </w:t>
            </w:r>
            <w:r w:rsidR="007010A7" w:rsidRPr="009A73D9">
              <w:rPr>
                <w:sz w:val="22"/>
                <w:szCs w:val="22"/>
              </w:rPr>
              <w:t>and engagement numbers</w:t>
            </w:r>
          </w:p>
          <w:p w14:paraId="7731954A" w14:textId="099C69DB" w:rsidR="004C6DCA" w:rsidRPr="009A73D9" w:rsidRDefault="00930535" w:rsidP="00CD1E37">
            <w:pPr>
              <w:pStyle w:val="TBLText"/>
              <w:numPr>
                <w:ilvl w:val="0"/>
                <w:numId w:val="8"/>
              </w:numPr>
              <w:rPr>
                <w:sz w:val="22"/>
                <w:szCs w:val="22"/>
              </w:rPr>
            </w:pPr>
            <w:r w:rsidRPr="009A73D9">
              <w:rPr>
                <w:sz w:val="22"/>
                <w:szCs w:val="22"/>
              </w:rPr>
              <w:t>A</w:t>
            </w:r>
            <w:r w:rsidR="00D01891" w:rsidRPr="009A73D9">
              <w:rPr>
                <w:sz w:val="22"/>
                <w:szCs w:val="22"/>
              </w:rPr>
              <w:t>dditional practices, processes and support networks for apprentices, trainees and ICT cadets, in particular women</w:t>
            </w:r>
            <w:r w:rsidR="00830756" w:rsidRPr="009A73D9">
              <w:rPr>
                <w:sz w:val="22"/>
                <w:szCs w:val="22"/>
              </w:rPr>
              <w:t>.</w:t>
            </w:r>
          </w:p>
        </w:tc>
        <w:tc>
          <w:tcPr>
            <w:tcW w:w="3072" w:type="dxa"/>
          </w:tcPr>
          <w:p w14:paraId="3E19C063" w14:textId="77777777" w:rsidR="00AB5A32" w:rsidRPr="009A73D9" w:rsidRDefault="00AB5A32" w:rsidP="00CD1E37">
            <w:pPr>
              <w:pStyle w:val="TBLText"/>
              <w:numPr>
                <w:ilvl w:val="0"/>
                <w:numId w:val="8"/>
              </w:numPr>
              <w:rPr>
                <w:sz w:val="22"/>
                <w:szCs w:val="22"/>
              </w:rPr>
            </w:pPr>
            <w:r w:rsidRPr="009A73D9">
              <w:rPr>
                <w:sz w:val="22"/>
                <w:szCs w:val="22"/>
              </w:rPr>
              <w:t>Reduce gender segregation</w:t>
            </w:r>
          </w:p>
          <w:p w14:paraId="4B5B52DF" w14:textId="36AF0FEB" w:rsidR="00815DA9" w:rsidRPr="009A73D9" w:rsidRDefault="00D95C2C" w:rsidP="00CD1E37">
            <w:pPr>
              <w:pStyle w:val="TBLText"/>
              <w:numPr>
                <w:ilvl w:val="0"/>
                <w:numId w:val="8"/>
              </w:numPr>
              <w:rPr>
                <w:sz w:val="22"/>
                <w:szCs w:val="22"/>
              </w:rPr>
            </w:pPr>
            <w:r w:rsidRPr="009A73D9">
              <w:rPr>
                <w:sz w:val="22"/>
                <w:szCs w:val="22"/>
              </w:rPr>
              <w:t>Increase the number of women on construction sites and working in ICT</w:t>
            </w:r>
            <w:r w:rsidR="00815DA9" w:rsidRPr="009A73D9">
              <w:rPr>
                <w:sz w:val="22"/>
                <w:szCs w:val="22"/>
              </w:rPr>
              <w:t xml:space="preserve"> </w:t>
            </w:r>
            <w:r w:rsidR="00E92814" w:rsidRPr="009A73D9">
              <w:rPr>
                <w:sz w:val="22"/>
                <w:szCs w:val="22"/>
              </w:rPr>
              <w:t xml:space="preserve">to </w:t>
            </w:r>
            <w:r w:rsidR="000C6905" w:rsidRPr="009A73D9">
              <w:rPr>
                <w:sz w:val="22"/>
                <w:szCs w:val="22"/>
              </w:rPr>
              <w:t>change culture</w:t>
            </w:r>
            <w:r w:rsidR="00E92814" w:rsidRPr="009A73D9">
              <w:rPr>
                <w:sz w:val="22"/>
                <w:szCs w:val="22"/>
              </w:rPr>
              <w:t xml:space="preserve"> and reduce </w:t>
            </w:r>
            <w:r w:rsidR="00815DA9" w:rsidRPr="009A73D9">
              <w:rPr>
                <w:sz w:val="22"/>
                <w:szCs w:val="22"/>
              </w:rPr>
              <w:t>disproportionate levels of gender discrimination</w:t>
            </w:r>
          </w:p>
          <w:p w14:paraId="44391EC2" w14:textId="1364889A" w:rsidR="00D95C2C" w:rsidRPr="009A73D9" w:rsidRDefault="00D95C2C" w:rsidP="00CD1E37">
            <w:pPr>
              <w:pStyle w:val="TBLText"/>
              <w:numPr>
                <w:ilvl w:val="0"/>
                <w:numId w:val="8"/>
              </w:numPr>
              <w:rPr>
                <w:sz w:val="22"/>
                <w:szCs w:val="22"/>
              </w:rPr>
            </w:pPr>
            <w:r w:rsidRPr="009A73D9">
              <w:rPr>
                <w:sz w:val="22"/>
                <w:szCs w:val="22"/>
              </w:rPr>
              <w:t>Increase the supply of skills labour our economy needs</w:t>
            </w:r>
            <w:r w:rsidR="00830756" w:rsidRPr="009A73D9">
              <w:rPr>
                <w:sz w:val="22"/>
                <w:szCs w:val="22"/>
              </w:rPr>
              <w:t>.</w:t>
            </w:r>
          </w:p>
        </w:tc>
      </w:tr>
      <w:tr w:rsidR="004C6DCA" w:rsidRPr="00995541" w14:paraId="1D6FFE19" w14:textId="77777777" w:rsidTr="0058510D">
        <w:trPr>
          <w:trHeight w:val="350"/>
        </w:trPr>
        <w:tc>
          <w:tcPr>
            <w:tcW w:w="2552" w:type="dxa"/>
          </w:tcPr>
          <w:p w14:paraId="5871FA82" w14:textId="57412323" w:rsidR="004C6DCA" w:rsidRPr="009A73D9" w:rsidRDefault="004C6DCA" w:rsidP="00CD1E37">
            <w:pPr>
              <w:pStyle w:val="TBLText"/>
              <w:rPr>
                <w:sz w:val="22"/>
                <w:szCs w:val="22"/>
              </w:rPr>
            </w:pPr>
            <w:r w:rsidRPr="009A73D9">
              <w:rPr>
                <w:sz w:val="22"/>
                <w:szCs w:val="22"/>
              </w:rPr>
              <w:t>Apprenticeship support providers</w:t>
            </w:r>
          </w:p>
        </w:tc>
        <w:tc>
          <w:tcPr>
            <w:tcW w:w="3402" w:type="dxa"/>
          </w:tcPr>
          <w:p w14:paraId="27A421AC" w14:textId="1C0488FD" w:rsidR="004C6DCA" w:rsidRPr="009A73D9" w:rsidRDefault="00D85153" w:rsidP="00CD1E37">
            <w:pPr>
              <w:pStyle w:val="TBLText"/>
              <w:numPr>
                <w:ilvl w:val="0"/>
                <w:numId w:val="8"/>
              </w:numPr>
              <w:rPr>
                <w:sz w:val="22"/>
                <w:szCs w:val="22"/>
              </w:rPr>
            </w:pPr>
            <w:r w:rsidRPr="009A73D9">
              <w:rPr>
                <w:sz w:val="22"/>
                <w:szCs w:val="22"/>
              </w:rPr>
              <w:t xml:space="preserve">Limited workload impact </w:t>
            </w:r>
            <w:r w:rsidR="003B3BC6" w:rsidRPr="009A73D9">
              <w:rPr>
                <w:sz w:val="22"/>
                <w:szCs w:val="22"/>
              </w:rPr>
              <w:t xml:space="preserve">due to </w:t>
            </w:r>
            <w:r w:rsidRPr="009A73D9">
              <w:rPr>
                <w:sz w:val="22"/>
                <w:szCs w:val="22"/>
              </w:rPr>
              <w:t>increased numbers of apprentices and trainees, and suppliers seeking advice and support</w:t>
            </w:r>
            <w:r w:rsidR="00830756" w:rsidRPr="009A73D9">
              <w:rPr>
                <w:sz w:val="22"/>
                <w:szCs w:val="22"/>
              </w:rPr>
              <w:t>.</w:t>
            </w:r>
          </w:p>
        </w:tc>
        <w:tc>
          <w:tcPr>
            <w:tcW w:w="3072" w:type="dxa"/>
          </w:tcPr>
          <w:p w14:paraId="5EAC9228" w14:textId="16BF7AEF" w:rsidR="004C6DCA" w:rsidRPr="009A73D9" w:rsidRDefault="00CD7C92" w:rsidP="00CD1E37">
            <w:pPr>
              <w:pStyle w:val="TBLText"/>
              <w:numPr>
                <w:ilvl w:val="0"/>
                <w:numId w:val="8"/>
              </w:numPr>
              <w:rPr>
                <w:sz w:val="22"/>
                <w:szCs w:val="22"/>
              </w:rPr>
            </w:pPr>
            <w:r w:rsidRPr="009A73D9">
              <w:rPr>
                <w:sz w:val="22"/>
                <w:szCs w:val="22"/>
              </w:rPr>
              <w:t>Supporting participants in the Skills Guarantee would form part of business as usual support to assist the broader economies in the relevant states and territories</w:t>
            </w:r>
            <w:r w:rsidR="00830756" w:rsidRPr="009A73D9">
              <w:rPr>
                <w:sz w:val="22"/>
                <w:szCs w:val="22"/>
              </w:rPr>
              <w:t>.</w:t>
            </w:r>
          </w:p>
        </w:tc>
      </w:tr>
    </w:tbl>
    <w:p w14:paraId="5FA462F5" w14:textId="564ACE92" w:rsidR="004A49B1" w:rsidRPr="009A73D9" w:rsidRDefault="005B55C7" w:rsidP="006E569B">
      <w:pPr>
        <w:pStyle w:val="Heading3"/>
        <w:rPr>
          <w:rStyle w:val="normaltextrun"/>
        </w:rPr>
      </w:pPr>
      <w:r w:rsidRPr="009A73D9">
        <w:rPr>
          <w:rStyle w:val="normaltextrun"/>
        </w:rPr>
        <w:t xml:space="preserve">Tenderers and suppliers </w:t>
      </w:r>
    </w:p>
    <w:p w14:paraId="019BB702" w14:textId="674C33D2" w:rsidR="007B1B19" w:rsidRPr="009A73D9" w:rsidRDefault="007B1B19" w:rsidP="006E569B">
      <w:pPr>
        <w:pStyle w:val="Heading4"/>
      </w:pPr>
      <w:r w:rsidRPr="009A73D9">
        <w:t xml:space="preserve">Costs </w:t>
      </w:r>
    </w:p>
    <w:p w14:paraId="40752E11" w14:textId="57CBCAB4" w:rsidR="004A49B1" w:rsidRDefault="00617415" w:rsidP="00CD1E37">
      <w:r>
        <w:t xml:space="preserve">The Skills Guarantee will introduce new </w:t>
      </w:r>
      <w:r w:rsidR="008251E8">
        <w:t>obligations</w:t>
      </w:r>
      <w:r>
        <w:t xml:space="preserve"> </w:t>
      </w:r>
      <w:r w:rsidR="008251E8">
        <w:t>for tenderers and suppliers. There will likely</w:t>
      </w:r>
      <w:r w:rsidR="006914F9">
        <w:t xml:space="preserve"> be additional costs associated with increased time and resources to complete tendering requirements</w:t>
      </w:r>
      <w:r w:rsidR="003D5A3F">
        <w:t xml:space="preserve">, </w:t>
      </w:r>
      <w:r w:rsidR="005E1D2B">
        <w:t xml:space="preserve">adjustments to recruitment processes </w:t>
      </w:r>
      <w:r w:rsidR="006914F9">
        <w:t>and</w:t>
      </w:r>
      <w:r w:rsidR="000C3C05">
        <w:t xml:space="preserve"> reporting</w:t>
      </w:r>
      <w:r w:rsidR="006914F9">
        <w:t xml:space="preserve"> to deliver projects. </w:t>
      </w:r>
      <w:r w:rsidR="004A6D2E">
        <w:rPr>
          <w:rStyle w:val="normaltextrun"/>
          <w:rFonts w:cs="Calibri"/>
          <w:color w:val="000000"/>
          <w:shd w:val="clear" w:color="auto" w:fill="FFFFFF"/>
        </w:rPr>
        <w:t>From stakeholders’ responses during consultation, businesses will likely incur additional costs associated with recruitment, resourcing</w:t>
      </w:r>
      <w:r w:rsidR="009E1EF6">
        <w:rPr>
          <w:rStyle w:val="normaltextrun"/>
          <w:rFonts w:cs="Calibri"/>
          <w:color w:val="000000"/>
          <w:shd w:val="clear" w:color="auto" w:fill="FFFFFF"/>
        </w:rPr>
        <w:t xml:space="preserve">, </w:t>
      </w:r>
      <w:r w:rsidR="004A6D2E">
        <w:rPr>
          <w:rStyle w:val="normaltextrun"/>
          <w:rFonts w:cs="Calibri"/>
          <w:color w:val="000000"/>
          <w:shd w:val="clear" w:color="auto" w:fill="FFFFFF"/>
        </w:rPr>
        <w:t>support</w:t>
      </w:r>
      <w:r w:rsidR="000B468C">
        <w:rPr>
          <w:rStyle w:val="normaltextrun"/>
          <w:rFonts w:cs="Calibri"/>
          <w:color w:val="000000"/>
          <w:shd w:val="clear" w:color="auto" w:fill="FFFFFF"/>
        </w:rPr>
        <w:t xml:space="preserve"> </w:t>
      </w:r>
      <w:r w:rsidR="000B468C" w:rsidRPr="00993125">
        <w:rPr>
          <w:rStyle w:val="normaltextrun"/>
          <w:rFonts w:cs="Calibri"/>
          <w:color w:val="000000"/>
          <w:shd w:val="clear" w:color="auto" w:fill="FFFFFF"/>
        </w:rPr>
        <w:t>and reporting</w:t>
      </w:r>
      <w:r w:rsidR="004A6D2E" w:rsidRPr="00993125">
        <w:rPr>
          <w:rStyle w:val="normaltextrun"/>
          <w:rFonts w:cs="Calibri"/>
          <w:color w:val="000000"/>
          <w:shd w:val="clear" w:color="auto" w:fill="FFFFFF"/>
        </w:rPr>
        <w:t xml:space="preserve"> for</w:t>
      </w:r>
      <w:r w:rsidR="004A6D2E">
        <w:rPr>
          <w:rStyle w:val="normaltextrun"/>
          <w:rFonts w:cs="Calibri"/>
          <w:color w:val="000000"/>
          <w:shd w:val="clear" w:color="auto" w:fill="FFFFFF"/>
        </w:rPr>
        <w:t xml:space="preserve"> suitable apprentices</w:t>
      </w:r>
      <w:r w:rsidR="009E1EF6">
        <w:rPr>
          <w:rStyle w:val="normaltextrun"/>
          <w:rFonts w:cs="Calibri"/>
          <w:color w:val="000000"/>
          <w:shd w:val="clear" w:color="auto" w:fill="FFFFFF"/>
        </w:rPr>
        <w:t xml:space="preserve">, </w:t>
      </w:r>
      <w:r w:rsidR="004A6D2E">
        <w:rPr>
          <w:rStyle w:val="normaltextrun"/>
          <w:rFonts w:cs="Calibri"/>
          <w:color w:val="000000"/>
          <w:shd w:val="clear" w:color="auto" w:fill="FFFFFF"/>
        </w:rPr>
        <w:t>trainees</w:t>
      </w:r>
      <w:r w:rsidR="009E1EF6">
        <w:rPr>
          <w:rStyle w:val="normaltextrun"/>
          <w:rFonts w:cs="Calibri"/>
          <w:color w:val="000000"/>
          <w:shd w:val="clear" w:color="auto" w:fill="FFFFFF"/>
        </w:rPr>
        <w:t>, and ICT cadets</w:t>
      </w:r>
      <w:r w:rsidR="004A6D2E">
        <w:rPr>
          <w:rStyle w:val="normaltextrun"/>
          <w:rFonts w:cs="Calibri"/>
          <w:color w:val="000000"/>
          <w:shd w:val="clear" w:color="auto" w:fill="FFFFFF"/>
        </w:rPr>
        <w:t xml:space="preserve">. </w:t>
      </w:r>
      <w:r w:rsidR="004A49B1" w:rsidRPr="00C62B46">
        <w:t xml:space="preserve">The actual cost to </w:t>
      </w:r>
      <w:r w:rsidR="00BA7828">
        <w:t>suppliers</w:t>
      </w:r>
      <w:r w:rsidR="004A49B1" w:rsidRPr="00C62B46">
        <w:t xml:space="preserve"> will </w:t>
      </w:r>
      <w:r w:rsidR="004A6D2E">
        <w:t xml:space="preserve">also </w:t>
      </w:r>
      <w:r w:rsidR="004A49B1" w:rsidRPr="00C62B46">
        <w:t>depend on the scale and number of projects contracted to deliver</w:t>
      </w:r>
      <w:r w:rsidR="00D34479">
        <w:t xml:space="preserve">. </w:t>
      </w:r>
      <w:r w:rsidR="004A49B1" w:rsidRPr="00C62B46">
        <w:t xml:space="preserve"> </w:t>
      </w:r>
    </w:p>
    <w:p w14:paraId="1D7137F5" w14:textId="47F18E0E" w:rsidR="00DF1D06" w:rsidRDefault="001B5A05" w:rsidP="001B5A05">
      <w:r w:rsidRPr="00F6518F">
        <w:t xml:space="preserve">The estimated regulatory burden cost to </w:t>
      </w:r>
      <w:r w:rsidR="00BE7443" w:rsidRPr="00F6518F">
        <w:t xml:space="preserve">tenderers and suppliers is between </w:t>
      </w:r>
      <w:r w:rsidRPr="00F6518F">
        <w:t>$0.</w:t>
      </w:r>
      <w:r w:rsidR="00657BCB" w:rsidRPr="00F6518F">
        <w:t>600</w:t>
      </w:r>
      <w:r w:rsidR="00BE7443" w:rsidRPr="00F6518F">
        <w:t>m and</w:t>
      </w:r>
      <w:r w:rsidRPr="00F6518F">
        <w:t xml:space="preserve"> </w:t>
      </w:r>
      <w:r w:rsidR="00BE7443" w:rsidRPr="00F6518F">
        <w:t>$</w:t>
      </w:r>
      <w:r w:rsidRPr="00F6518F">
        <w:t>1.4</w:t>
      </w:r>
      <w:r w:rsidR="00657BCB" w:rsidRPr="00F6518F">
        <w:t>24</w:t>
      </w:r>
      <w:r w:rsidR="00BE7443" w:rsidRPr="00F6518F">
        <w:t>m</w:t>
      </w:r>
      <w:r w:rsidR="005770D6" w:rsidRPr="00F6518F">
        <w:t xml:space="preserve"> per </w:t>
      </w:r>
      <w:r w:rsidR="00F6518F">
        <w:t xml:space="preserve">financial </w:t>
      </w:r>
      <w:r w:rsidR="005770D6" w:rsidRPr="00F6518F">
        <w:t>year</w:t>
      </w:r>
      <w:r w:rsidR="00BE7443" w:rsidRPr="00F6518F">
        <w:t xml:space="preserve">. </w:t>
      </w:r>
      <w:r w:rsidR="00400A69" w:rsidRPr="00F6518F">
        <w:t>This includes the additional cost</w:t>
      </w:r>
      <w:r w:rsidR="00452C81" w:rsidRPr="00F6518F">
        <w:t>s</w:t>
      </w:r>
      <w:r w:rsidR="00400A69" w:rsidRPr="00F6518F">
        <w:t xml:space="preserve"> the Skills Guarantee may create for tendering, </w:t>
      </w:r>
      <w:r w:rsidR="00400A69" w:rsidRPr="00F6518F">
        <w:lastRenderedPageBreak/>
        <w:t xml:space="preserve">recruitment and reporting for suppliers. </w:t>
      </w:r>
      <w:r w:rsidR="00BE7443" w:rsidRPr="00F6518F">
        <w:t xml:space="preserve">More detail on this estimate is provided in </w:t>
      </w:r>
      <w:r w:rsidR="00BE7443" w:rsidRPr="00F6518F">
        <w:rPr>
          <w:b/>
        </w:rPr>
        <w:t>Appendix B. Regulatory Burden Estimates</w:t>
      </w:r>
      <w:r w:rsidR="00BE7443" w:rsidRPr="00F6518F">
        <w:t>.</w:t>
      </w:r>
    </w:p>
    <w:p w14:paraId="188813F7" w14:textId="38339B05" w:rsidR="005A24C8" w:rsidRPr="009A73D9" w:rsidRDefault="005A24C8" w:rsidP="006E569B">
      <w:pPr>
        <w:pStyle w:val="Heading5"/>
      </w:pPr>
      <w:r w:rsidRPr="009A73D9">
        <w:t>Tenders</w:t>
      </w:r>
    </w:p>
    <w:p w14:paraId="4997BD6D" w14:textId="1C5CDBCF" w:rsidR="00E57E00" w:rsidRDefault="00E76799" w:rsidP="00CD1E37">
      <w:r>
        <w:t>Tenderers will be required to make a declaration of their ability to comply with</w:t>
      </w:r>
      <w:r w:rsidR="008C0596">
        <w:t xml:space="preserve"> </w:t>
      </w:r>
      <w:r w:rsidR="00CD644C">
        <w:t xml:space="preserve">the Skills Guarantee PCP targets </w:t>
      </w:r>
      <w:r w:rsidR="000F1AA8">
        <w:t xml:space="preserve">and provide supporting information </w:t>
      </w:r>
      <w:r w:rsidR="00345E73">
        <w:t>identifying the estimated labour hours</w:t>
      </w:r>
      <w:r w:rsidR="004C2FD7">
        <w:t xml:space="preserve"> of the eligible projects</w:t>
      </w:r>
      <w:r w:rsidR="00A165B2">
        <w:t xml:space="preserve"> and </w:t>
      </w:r>
      <w:r w:rsidR="00E53B83">
        <w:t>women targets and</w:t>
      </w:r>
      <w:r w:rsidR="00FD0FFA">
        <w:t xml:space="preserve"> </w:t>
      </w:r>
      <w:r w:rsidR="001D243F">
        <w:t xml:space="preserve">submit </w:t>
      </w:r>
      <w:r w:rsidR="009E402B">
        <w:t>a Gender Equality Action Plan for</w:t>
      </w:r>
      <w:r w:rsidR="00680F09">
        <w:t xml:space="preserve"> </w:t>
      </w:r>
      <w:r w:rsidR="00E06342">
        <w:t xml:space="preserve">flagship construction projects. </w:t>
      </w:r>
    </w:p>
    <w:p w14:paraId="491A12BD" w14:textId="7E1B3B3A" w:rsidR="00400A69" w:rsidRDefault="00400A69" w:rsidP="00CD1E37">
      <w:r w:rsidRPr="00F6518F">
        <w:t>The estimated regulatory burden cost to tenderers and suppliers for tendering is between $0.486m and $0.971m per</w:t>
      </w:r>
      <w:r>
        <w:t xml:space="preserve"> </w:t>
      </w:r>
      <w:r w:rsidR="00F6518F">
        <w:t xml:space="preserve">financial </w:t>
      </w:r>
      <w:r w:rsidRPr="00F6518F">
        <w:t xml:space="preserve">year. More detail on this estimate is provided in </w:t>
      </w:r>
      <w:r w:rsidRPr="00F6518F">
        <w:rPr>
          <w:b/>
        </w:rPr>
        <w:t>Appendix B. Regulatory Burden Estimates</w:t>
      </w:r>
      <w:r w:rsidRPr="00F6518F">
        <w:t>.</w:t>
      </w:r>
    </w:p>
    <w:p w14:paraId="2F5CB9C1" w14:textId="328B9217" w:rsidR="003C1E43" w:rsidRDefault="003C1E43" w:rsidP="006E569B">
      <w:pPr>
        <w:pStyle w:val="Heading5"/>
      </w:pPr>
      <w:r>
        <w:t>Recruitment</w:t>
      </w:r>
    </w:p>
    <w:p w14:paraId="5312FB9B" w14:textId="6DA88E88" w:rsidR="00CD6A24" w:rsidRPr="00F6518F" w:rsidRDefault="00855BAA" w:rsidP="00855BAA">
      <w:pPr>
        <w:rPr>
          <w:rFonts w:ascii="Calibri" w:eastAsia="Calibri" w:hAnsi="Calibri" w:cs="Arial"/>
        </w:rPr>
      </w:pPr>
      <w:r w:rsidRPr="00F6518F">
        <w:t xml:space="preserve">Current participation rates for apprentices indicates that </w:t>
      </w:r>
      <w:r w:rsidR="00AE3F31" w:rsidRPr="00F6518F">
        <w:t xml:space="preserve">most </w:t>
      </w:r>
      <w:r w:rsidRPr="00F6518F">
        <w:t xml:space="preserve">suppliers will be well-positioned to meet the Skills Guarantee </w:t>
      </w:r>
      <w:r w:rsidR="009E65BA" w:rsidRPr="00F6518F">
        <w:t xml:space="preserve">apprentice </w:t>
      </w:r>
      <w:r w:rsidRPr="00F6518F">
        <w:t>target</w:t>
      </w:r>
      <w:r w:rsidR="00CD6A24" w:rsidRPr="00F6518F">
        <w:t xml:space="preserve">. </w:t>
      </w:r>
      <w:r w:rsidR="00D13AAE" w:rsidRPr="00F6518F">
        <w:t xml:space="preserve">Across the </w:t>
      </w:r>
      <w:r w:rsidR="009B28DB" w:rsidRPr="00F6518F">
        <w:t>entire construction industry</w:t>
      </w:r>
      <w:r w:rsidR="00CD6A24" w:rsidRPr="00F6518F">
        <w:t xml:space="preserve">, </w:t>
      </w:r>
      <w:r w:rsidR="00D13AAE" w:rsidRPr="00F6518F">
        <w:t xml:space="preserve">10.8% of workers are apprentices and trainees </w:t>
      </w:r>
      <w:r w:rsidR="009B28DB" w:rsidRPr="00F6518F">
        <w:t>(based on May 2023 ABS Labour Force information)</w:t>
      </w:r>
      <w:r w:rsidR="00EA79A5">
        <w:t>.</w:t>
      </w:r>
      <w:r w:rsidR="00CD6A24" w:rsidRPr="00F6518F">
        <w:rPr>
          <w:rFonts w:ascii="Calibri" w:eastAsia="Calibri" w:hAnsi="Calibri" w:cs="Arial"/>
          <w:vertAlign w:val="superscript"/>
        </w:rPr>
        <w:footnoteReference w:id="67"/>
      </w:r>
      <w:r w:rsidR="008E34E3" w:rsidRPr="00F6518F">
        <w:rPr>
          <w:rFonts w:ascii="Calibri" w:eastAsia="Calibri" w:hAnsi="Calibri" w:cs="Arial"/>
        </w:rPr>
        <w:t xml:space="preserve"> </w:t>
      </w:r>
      <w:r w:rsidR="0055670B" w:rsidRPr="00F6518F">
        <w:rPr>
          <w:rFonts w:ascii="Calibri" w:eastAsia="Calibri" w:hAnsi="Calibri" w:cs="Arial"/>
        </w:rPr>
        <w:t xml:space="preserve">This </w:t>
      </w:r>
      <w:r w:rsidR="00023C30" w:rsidRPr="00F6518F">
        <w:rPr>
          <w:rFonts w:ascii="Calibri" w:eastAsia="Calibri" w:hAnsi="Calibri" w:cs="Arial"/>
        </w:rPr>
        <w:t xml:space="preserve">suggests that the cost to suppliers to alter their recruitment </w:t>
      </w:r>
      <w:r w:rsidR="002D7B7F" w:rsidRPr="00F6518F">
        <w:rPr>
          <w:rFonts w:ascii="Calibri" w:eastAsia="Calibri" w:hAnsi="Calibri" w:cs="Arial"/>
        </w:rPr>
        <w:t>processes because of the Skills Guarantee</w:t>
      </w:r>
      <w:r w:rsidR="00701E3C" w:rsidRPr="00F6518F">
        <w:rPr>
          <w:rFonts w:ascii="Calibri" w:eastAsia="Calibri" w:hAnsi="Calibri" w:cs="Arial"/>
        </w:rPr>
        <w:t>’s</w:t>
      </w:r>
      <w:r w:rsidR="002D7B7F" w:rsidRPr="00F6518F">
        <w:rPr>
          <w:rFonts w:ascii="Calibri" w:eastAsia="Calibri" w:hAnsi="Calibri" w:cs="Arial"/>
        </w:rPr>
        <w:t xml:space="preserve"> overarching apprentice target will be </w:t>
      </w:r>
      <w:r w:rsidR="00B4137E" w:rsidRPr="00F6518F">
        <w:rPr>
          <w:rFonts w:ascii="Calibri" w:eastAsia="Calibri" w:hAnsi="Calibri" w:cs="Arial"/>
        </w:rPr>
        <w:t>limited and</w:t>
      </w:r>
      <w:r w:rsidR="00B72D5E" w:rsidRPr="00F6518F">
        <w:rPr>
          <w:rFonts w:ascii="Calibri" w:eastAsia="Calibri" w:hAnsi="Calibri" w:cs="Arial"/>
        </w:rPr>
        <w:t xml:space="preserve"> </w:t>
      </w:r>
      <w:r w:rsidR="00D41DCE">
        <w:rPr>
          <w:rFonts w:ascii="Calibri" w:eastAsia="Calibri" w:hAnsi="Calibri" w:cs="Arial"/>
        </w:rPr>
        <w:t xml:space="preserve">may </w:t>
      </w:r>
      <w:r w:rsidR="00B72D5E" w:rsidRPr="00F6518F">
        <w:rPr>
          <w:rFonts w:ascii="Calibri" w:eastAsia="Calibri" w:hAnsi="Calibri" w:cs="Arial"/>
        </w:rPr>
        <w:t>not be incurred by all suppliers</w:t>
      </w:r>
      <w:r w:rsidR="00023C30" w:rsidRPr="00F6518F">
        <w:rPr>
          <w:rFonts w:ascii="Calibri" w:eastAsia="Calibri" w:hAnsi="Calibri" w:cs="Arial"/>
        </w:rPr>
        <w:t xml:space="preserve">.  </w:t>
      </w:r>
    </w:p>
    <w:p w14:paraId="35A5FF51" w14:textId="18B2C070" w:rsidR="00364CEC" w:rsidRPr="005B0DEA" w:rsidRDefault="00364CEC" w:rsidP="00855BAA">
      <w:pPr>
        <w:rPr>
          <w:rFonts w:ascii="Calibri" w:eastAsia="Calibri" w:hAnsi="Calibri" w:cs="Arial"/>
        </w:rPr>
      </w:pPr>
      <w:r w:rsidRPr="177BCC9F">
        <w:rPr>
          <w:rFonts w:ascii="Calibri" w:eastAsia="Calibri" w:hAnsi="Calibri" w:cs="Arial"/>
        </w:rPr>
        <w:t xml:space="preserve">Initial targets for women </w:t>
      </w:r>
      <w:r w:rsidR="00D41DCE">
        <w:rPr>
          <w:rFonts w:ascii="Calibri" w:eastAsia="Calibri" w:hAnsi="Calibri" w:cs="Arial"/>
        </w:rPr>
        <w:t>will likely be</w:t>
      </w:r>
      <w:r w:rsidRPr="177BCC9F">
        <w:rPr>
          <w:rFonts w:ascii="Calibri" w:eastAsia="Calibri" w:hAnsi="Calibri" w:cs="Arial"/>
        </w:rPr>
        <w:t xml:space="preserve"> achievable</w:t>
      </w:r>
      <w:r w:rsidR="006E4B29" w:rsidRPr="177BCC9F">
        <w:rPr>
          <w:rFonts w:ascii="Calibri" w:eastAsia="Calibri" w:hAnsi="Calibri" w:cs="Arial"/>
        </w:rPr>
        <w:t xml:space="preserve"> for most construction suppliers</w:t>
      </w:r>
      <w:r w:rsidRPr="177BCC9F">
        <w:rPr>
          <w:rFonts w:ascii="Calibri" w:eastAsia="Calibri" w:hAnsi="Calibri" w:cs="Arial"/>
        </w:rPr>
        <w:t xml:space="preserve">. </w:t>
      </w:r>
      <w:r w:rsidR="003F15DF" w:rsidRPr="005B0DEA">
        <w:rPr>
          <w:rFonts w:ascii="Calibri" w:eastAsia="Calibri" w:hAnsi="Calibri" w:cs="Arial"/>
        </w:rPr>
        <w:t xml:space="preserve">As noted earlier, </w:t>
      </w:r>
      <w:r w:rsidRPr="005B0DEA">
        <w:rPr>
          <w:rFonts w:ascii="Calibri" w:eastAsia="Calibri" w:hAnsi="Calibri" w:cs="Arial"/>
        </w:rPr>
        <w:t>4.9%</w:t>
      </w:r>
      <w:r w:rsidRPr="177BCC9F">
        <w:rPr>
          <w:rFonts w:ascii="Calibri" w:eastAsia="Calibri" w:hAnsi="Calibri" w:cs="Arial"/>
        </w:rPr>
        <w:t xml:space="preserve"> </w:t>
      </w:r>
      <w:r w:rsidR="00ED1915" w:rsidRPr="177BCC9F">
        <w:rPr>
          <w:rFonts w:ascii="Calibri" w:eastAsia="Calibri" w:hAnsi="Calibri" w:cs="Arial"/>
        </w:rPr>
        <w:t>of</w:t>
      </w:r>
      <w:r w:rsidRPr="177BCC9F">
        <w:rPr>
          <w:rFonts w:ascii="Calibri" w:eastAsia="Calibri" w:hAnsi="Calibri" w:cs="Arial"/>
        </w:rPr>
        <w:t xml:space="preserve"> apprentices and trainees in construction were women and 3.5%</w:t>
      </w:r>
      <w:r w:rsidR="00ED1915" w:rsidRPr="177BCC9F">
        <w:rPr>
          <w:rFonts w:ascii="Calibri" w:eastAsia="Calibri" w:hAnsi="Calibri" w:cs="Arial"/>
        </w:rPr>
        <w:t xml:space="preserve"> of apprentices and trainees were</w:t>
      </w:r>
      <w:r w:rsidRPr="177BCC9F">
        <w:rPr>
          <w:rFonts w:ascii="Calibri" w:eastAsia="Calibri" w:hAnsi="Calibri" w:cs="Arial"/>
        </w:rPr>
        <w:t xml:space="preserve"> women in trade apprenticeships</w:t>
      </w:r>
      <w:r w:rsidR="00990C15" w:rsidRPr="005B0DEA">
        <w:rPr>
          <w:rFonts w:ascii="Calibri" w:eastAsia="Calibri" w:hAnsi="Calibri" w:cs="Arial"/>
        </w:rPr>
        <w:t xml:space="preserve"> in June 2023</w:t>
      </w:r>
      <w:r w:rsidR="008D145A" w:rsidRPr="00E53B83">
        <w:rPr>
          <w:rStyle w:val="FootnoteReference"/>
          <w:rFonts w:ascii="Calibri" w:eastAsia="Calibri" w:hAnsi="Calibri" w:cs="Arial"/>
        </w:rPr>
        <w:footnoteReference w:id="68"/>
      </w:r>
      <w:r w:rsidRPr="005B0DEA">
        <w:rPr>
          <w:rFonts w:ascii="Calibri" w:eastAsia="Calibri" w:hAnsi="Calibri" w:cs="Arial"/>
        </w:rPr>
        <w:t>.</w:t>
      </w:r>
      <w:r w:rsidR="00ED1915" w:rsidRPr="00E53B83">
        <w:rPr>
          <w:rFonts w:ascii="Calibri" w:eastAsia="Calibri" w:hAnsi="Calibri" w:cs="Arial"/>
        </w:rPr>
        <w:t xml:space="preserve"> </w:t>
      </w:r>
    </w:p>
    <w:p w14:paraId="2AFBDB42" w14:textId="2B48859B" w:rsidR="00F80486" w:rsidRDefault="00D41DCE" w:rsidP="00CD1E37">
      <w:r>
        <w:t>Despite this, s</w:t>
      </w:r>
      <w:r w:rsidR="00644AE1">
        <w:t xml:space="preserve">upplier recruitment </w:t>
      </w:r>
      <w:r w:rsidR="00D8631F">
        <w:t xml:space="preserve">processes </w:t>
      </w:r>
      <w:r w:rsidR="003F4684">
        <w:t xml:space="preserve">may </w:t>
      </w:r>
      <w:r w:rsidR="004616BC">
        <w:t>require changes to advertising</w:t>
      </w:r>
      <w:r w:rsidR="00DC2365">
        <w:t>, screening, interviewing, onboarding, support and training</w:t>
      </w:r>
      <w:r w:rsidR="008B50B8">
        <w:t xml:space="preserve"> to meet and comply with the </w:t>
      </w:r>
      <w:r w:rsidR="0004791E">
        <w:t xml:space="preserve">Skills Guarantee PCP targets. </w:t>
      </w:r>
      <w:r w:rsidR="00F80486">
        <w:t xml:space="preserve">The department expects the cost </w:t>
      </w:r>
      <w:r w:rsidR="0064653D">
        <w:t xml:space="preserve">to suppliers </w:t>
      </w:r>
      <w:r w:rsidR="00F80486">
        <w:t>to change recruitment processes to be consistent</w:t>
      </w:r>
      <w:r w:rsidR="00F77415">
        <w:t xml:space="preserve"> each year</w:t>
      </w:r>
      <w:r w:rsidR="00640CBB">
        <w:t xml:space="preserve">. This is because </w:t>
      </w:r>
      <w:r w:rsidR="00F80486">
        <w:t xml:space="preserve">the </w:t>
      </w:r>
      <w:r w:rsidR="00F77415">
        <w:t xml:space="preserve">increases in targets </w:t>
      </w:r>
      <w:r w:rsidR="00727D67">
        <w:t xml:space="preserve">for women </w:t>
      </w:r>
      <w:r w:rsidR="00F77415">
        <w:t xml:space="preserve">are </w:t>
      </w:r>
      <w:r w:rsidR="00727D67">
        <w:t>consis</w:t>
      </w:r>
      <w:r w:rsidR="002E22FD">
        <w:t>tent</w:t>
      </w:r>
      <w:r w:rsidR="00F77415">
        <w:t xml:space="preserve"> and will </w:t>
      </w:r>
      <w:r w:rsidR="0064653D">
        <w:t xml:space="preserve">likely require an uplift </w:t>
      </w:r>
      <w:r w:rsidR="00E54315">
        <w:t xml:space="preserve">from suppliers </w:t>
      </w:r>
      <w:r w:rsidR="0064653D">
        <w:t>each year</w:t>
      </w:r>
      <w:r w:rsidR="00336FE8">
        <w:t>,</w:t>
      </w:r>
      <w:r w:rsidR="002E22FD">
        <w:t xml:space="preserve"> including the expected uplift required </w:t>
      </w:r>
      <w:r w:rsidR="00336FE8">
        <w:t xml:space="preserve">from suppliers </w:t>
      </w:r>
      <w:r w:rsidR="002E22FD">
        <w:t>to meet</w:t>
      </w:r>
      <w:r w:rsidR="00977D22">
        <w:t xml:space="preserve"> the</w:t>
      </w:r>
      <w:r w:rsidR="002E22FD">
        <w:t xml:space="preserve"> targets in the first year of the </w:t>
      </w:r>
      <w:r w:rsidR="00142894">
        <w:t xml:space="preserve">Skills Guarantee. </w:t>
      </w:r>
    </w:p>
    <w:p w14:paraId="707F6DFA" w14:textId="4A839943" w:rsidR="007F0AA6" w:rsidRDefault="007F0AA6" w:rsidP="00CD1E37">
      <w:r w:rsidRPr="00F6518F">
        <w:t xml:space="preserve">The estimated regulatory burden cost to tenderers and suppliers for </w:t>
      </w:r>
      <w:r w:rsidR="005901CE" w:rsidRPr="00F6518F">
        <w:t>recruitment</w:t>
      </w:r>
      <w:r w:rsidR="00B27288" w:rsidRPr="00F6518F">
        <w:t xml:space="preserve"> changes resulting from the Skills Guarantee</w:t>
      </w:r>
      <w:r w:rsidRPr="00F6518F">
        <w:t xml:space="preserve"> is between $0.109m and $0.271m per </w:t>
      </w:r>
      <w:r w:rsidR="00F6518F" w:rsidRPr="00F6518F">
        <w:t xml:space="preserve">financial </w:t>
      </w:r>
      <w:r w:rsidRPr="00F6518F">
        <w:t xml:space="preserve">year. More detail on this estimate is provided in </w:t>
      </w:r>
      <w:r w:rsidRPr="00F6518F">
        <w:rPr>
          <w:b/>
        </w:rPr>
        <w:t>Appendix B. Regulatory Burden Estimates</w:t>
      </w:r>
      <w:r w:rsidRPr="00F6518F">
        <w:t>.</w:t>
      </w:r>
    </w:p>
    <w:p w14:paraId="369FD4AE" w14:textId="642B5AF9" w:rsidR="005A24C8" w:rsidRPr="00374E46" w:rsidRDefault="005A24C8" w:rsidP="006E569B">
      <w:pPr>
        <w:pStyle w:val="Heading5"/>
        <w:rPr>
          <w:rFonts w:eastAsiaTheme="minorEastAsia" w:cstheme="minorHAnsi"/>
        </w:rPr>
      </w:pPr>
      <w:r>
        <w:t>Reporting</w:t>
      </w:r>
    </w:p>
    <w:p w14:paraId="2E77144F" w14:textId="64EDD017" w:rsidR="00082C28" w:rsidRDefault="00E455F5" w:rsidP="00F91BEA">
      <w:r>
        <w:rPr>
          <w:rFonts w:ascii="Calibri" w:eastAsia="Calibri" w:hAnsi="Calibri" w:cs="Calibri"/>
        </w:rPr>
        <w:t>Supplier d</w:t>
      </w:r>
      <w:r w:rsidR="00ED1A02">
        <w:t xml:space="preserve">ata collection and record keeping </w:t>
      </w:r>
      <w:r w:rsidR="006B6A6F">
        <w:t>will be</w:t>
      </w:r>
      <w:r w:rsidR="00ED1A02" w:rsidRPr="00C62B46">
        <w:t xml:space="preserve"> line with normal contracting reporting obligations for large contracts</w:t>
      </w:r>
      <w:r w:rsidR="00ED1A02">
        <w:t>,</w:t>
      </w:r>
      <w:r w:rsidR="00ED1A02" w:rsidRPr="00C62B46">
        <w:t xml:space="preserve"> imposing a minimal additional burden. </w:t>
      </w:r>
      <w:r w:rsidR="00030240">
        <w:t>The Skills Guarantee PCP requires quarterly reporting from suppliers</w:t>
      </w:r>
      <w:r w:rsidR="009C5DC2">
        <w:t xml:space="preserve">. </w:t>
      </w:r>
      <w:r w:rsidR="003C1D22">
        <w:rPr>
          <w:rFonts w:ascii="Calibri" w:eastAsia="Calibri" w:hAnsi="Calibri" w:cs="Calibri"/>
        </w:rPr>
        <w:t>A</w:t>
      </w:r>
      <w:r w:rsidR="008870E7" w:rsidRPr="00C62B46">
        <w:t xml:space="preserve">dditional training may be required to learn new reporting policy and </w:t>
      </w:r>
      <w:r w:rsidR="00E10667">
        <w:lastRenderedPageBreak/>
        <w:t>process</w:t>
      </w:r>
      <w:r w:rsidR="00E10667" w:rsidRPr="00C62B46">
        <w:t xml:space="preserve"> </w:t>
      </w:r>
      <w:r w:rsidR="008870E7" w:rsidRPr="00C62B46">
        <w:t>for new or existing employees</w:t>
      </w:r>
      <w:r w:rsidR="008870E7">
        <w:t xml:space="preserve"> resulting in administration costs beyond business-as-usual costs. </w:t>
      </w:r>
    </w:p>
    <w:p w14:paraId="0C199B1F" w14:textId="6F1592E8" w:rsidR="005901CE" w:rsidRDefault="005901CE" w:rsidP="00F91BEA">
      <w:r w:rsidRPr="00AF089F">
        <w:t xml:space="preserve">The estimated regulatory cost to suppliers for </w:t>
      </w:r>
      <w:r w:rsidR="00B27288" w:rsidRPr="00AF089F">
        <w:t>reporting</w:t>
      </w:r>
      <w:r w:rsidRPr="00AF089F">
        <w:t xml:space="preserve"> is between $0.</w:t>
      </w:r>
      <w:r w:rsidR="00B27288" w:rsidRPr="00AF089F">
        <w:t>006</w:t>
      </w:r>
      <w:r w:rsidRPr="00AF089F">
        <w:t>m and $0.</w:t>
      </w:r>
      <w:r w:rsidR="00B27288" w:rsidRPr="00AF089F">
        <w:t>182</w:t>
      </w:r>
      <w:r w:rsidRPr="00AF089F">
        <w:t xml:space="preserve">m per </w:t>
      </w:r>
      <w:r w:rsidR="00AF089F" w:rsidRPr="00AF089F">
        <w:t xml:space="preserve">financial </w:t>
      </w:r>
      <w:r w:rsidRPr="00AF089F">
        <w:t>year</w:t>
      </w:r>
      <w:r w:rsidR="0025064F">
        <w:t>, depending on the reporting requirements and level quality assurance required be undertaken by suppliers</w:t>
      </w:r>
      <w:r w:rsidRPr="00AF089F">
        <w:t xml:space="preserve">. More detail on this estimate is provided in </w:t>
      </w:r>
      <w:r w:rsidRPr="00AF089F">
        <w:rPr>
          <w:b/>
        </w:rPr>
        <w:t>Appendix B. Regulatory Burden Estimates</w:t>
      </w:r>
      <w:r w:rsidRPr="00AF089F">
        <w:t>.</w:t>
      </w:r>
    </w:p>
    <w:p w14:paraId="219B26A5" w14:textId="23D01637" w:rsidR="00740C6A" w:rsidRDefault="00740C6A" w:rsidP="006E569B">
      <w:pPr>
        <w:pStyle w:val="Heading5"/>
      </w:pPr>
      <w:r>
        <w:t>Othe</w:t>
      </w:r>
      <w:r w:rsidR="00F769FA">
        <w:t>r costs</w:t>
      </w:r>
    </w:p>
    <w:p w14:paraId="72B2D0D7" w14:textId="36943EBC" w:rsidR="008928D4" w:rsidRPr="00215C69" w:rsidRDefault="00291AB0" w:rsidP="00CD1E37">
      <w:pPr>
        <w:rPr>
          <w:rStyle w:val="normaltextrun"/>
          <w:rFonts w:asciiTheme="majorHAnsi" w:eastAsiaTheme="majorEastAsia" w:hAnsiTheme="majorHAnsi" w:cstheme="majorBidi"/>
          <w:i/>
          <w:iCs/>
          <w:color w:val="1F3763" w:themeColor="accent1" w:themeShade="7F"/>
        </w:rPr>
      </w:pPr>
      <w:r>
        <w:rPr>
          <w:rStyle w:val="normaltextrun"/>
          <w:rFonts w:eastAsiaTheme="minorEastAsia" w:cstheme="minorHAnsi"/>
        </w:rPr>
        <w:t xml:space="preserve">It was noted during the department’s consultation </w:t>
      </w:r>
      <w:r w:rsidR="00C51DEF">
        <w:rPr>
          <w:rStyle w:val="normaltextrun"/>
          <w:rFonts w:eastAsiaTheme="minorEastAsia" w:cstheme="minorHAnsi"/>
        </w:rPr>
        <w:t xml:space="preserve">on the Skills Guarantee </w:t>
      </w:r>
      <w:r>
        <w:rPr>
          <w:rStyle w:val="normaltextrun"/>
          <w:rFonts w:eastAsiaTheme="minorEastAsia" w:cstheme="minorHAnsi"/>
        </w:rPr>
        <w:t>that s</w:t>
      </w:r>
      <w:r w:rsidR="008928D4" w:rsidRPr="007A7C00">
        <w:rPr>
          <w:rStyle w:val="normaltextrun"/>
          <w:rFonts w:eastAsiaTheme="minorEastAsia" w:cstheme="minorHAnsi"/>
        </w:rPr>
        <w:t>uppliers</w:t>
      </w:r>
      <w:r w:rsidR="008928D4" w:rsidRPr="00344C59">
        <w:rPr>
          <w:rStyle w:val="normaltextrun"/>
          <w:rFonts w:eastAsiaTheme="minorEastAsia" w:cstheme="minorHAnsi"/>
        </w:rPr>
        <w:t xml:space="preserve"> may be reluctant to take on new apprentices</w:t>
      </w:r>
      <w:r w:rsidR="008928D4">
        <w:rPr>
          <w:rStyle w:val="normaltextrun"/>
          <w:rFonts w:eastAsiaTheme="minorEastAsia" w:cstheme="minorHAnsi"/>
        </w:rPr>
        <w:t xml:space="preserve">, </w:t>
      </w:r>
      <w:r w:rsidR="008928D4" w:rsidRPr="00344C59">
        <w:rPr>
          <w:rStyle w:val="normaltextrun"/>
          <w:rFonts w:eastAsiaTheme="minorEastAsia" w:cstheme="minorHAnsi"/>
        </w:rPr>
        <w:t>trainees</w:t>
      </w:r>
      <w:r w:rsidR="008928D4">
        <w:rPr>
          <w:rStyle w:val="normaltextrun"/>
          <w:rFonts w:eastAsiaTheme="minorEastAsia" w:cstheme="minorHAnsi"/>
        </w:rPr>
        <w:t xml:space="preserve"> or ICT cadets due to</w:t>
      </w:r>
      <w:r w:rsidR="008928D4" w:rsidRPr="00344C59">
        <w:rPr>
          <w:rStyle w:val="normaltextrun"/>
          <w:rFonts w:eastAsiaTheme="minorEastAsia" w:cstheme="minorHAnsi"/>
        </w:rPr>
        <w:t xml:space="preserve"> concern</w:t>
      </w:r>
      <w:r w:rsidR="008928D4">
        <w:rPr>
          <w:rStyle w:val="normaltextrun"/>
          <w:rFonts w:eastAsiaTheme="minorEastAsia" w:cstheme="minorHAnsi"/>
        </w:rPr>
        <w:t xml:space="preserve">s they </w:t>
      </w:r>
      <w:r w:rsidR="008928D4" w:rsidRPr="00344C59">
        <w:rPr>
          <w:rStyle w:val="normaltextrun"/>
          <w:rFonts w:eastAsiaTheme="minorEastAsia" w:cstheme="minorHAnsi"/>
        </w:rPr>
        <w:t xml:space="preserve">will get ‘poached’ by competitors, either during the later stages or after </w:t>
      </w:r>
      <w:r w:rsidR="008928D4">
        <w:rPr>
          <w:rStyle w:val="normaltextrun"/>
          <w:rFonts w:eastAsiaTheme="minorEastAsia" w:cstheme="minorHAnsi"/>
        </w:rPr>
        <w:t>finishing their qualifications</w:t>
      </w:r>
      <w:r w:rsidR="008928D4" w:rsidRPr="00344C59">
        <w:rPr>
          <w:rStyle w:val="normaltextrun"/>
          <w:rFonts w:eastAsiaTheme="minorEastAsia" w:cstheme="minorHAnsi"/>
        </w:rPr>
        <w:t xml:space="preserve">. For </w:t>
      </w:r>
      <w:r w:rsidR="008928D4">
        <w:rPr>
          <w:rStyle w:val="normaltextrun"/>
          <w:rFonts w:eastAsiaTheme="minorEastAsia" w:cstheme="minorHAnsi"/>
        </w:rPr>
        <w:t>suppliers</w:t>
      </w:r>
      <w:r w:rsidR="008928D4" w:rsidRPr="00344C59">
        <w:rPr>
          <w:rStyle w:val="normaltextrun"/>
          <w:rFonts w:eastAsiaTheme="minorEastAsia" w:cstheme="minorHAnsi"/>
        </w:rPr>
        <w:t xml:space="preserve"> competing on tight margins, like in the construction industry, the</w:t>
      </w:r>
      <w:r w:rsidR="008928D4">
        <w:rPr>
          <w:rStyle w:val="normaltextrun"/>
          <w:rFonts w:eastAsiaTheme="minorEastAsia" w:cstheme="minorHAnsi"/>
        </w:rPr>
        <w:t>re may be a</w:t>
      </w:r>
      <w:r w:rsidR="008928D4" w:rsidRPr="00344C59">
        <w:rPr>
          <w:rStyle w:val="normaltextrun"/>
          <w:rFonts w:eastAsiaTheme="minorEastAsia" w:cstheme="minorHAnsi"/>
        </w:rPr>
        <w:t xml:space="preserve"> perception that training </w:t>
      </w:r>
      <w:r w:rsidR="008928D4">
        <w:rPr>
          <w:rStyle w:val="normaltextrun"/>
          <w:rFonts w:eastAsiaTheme="minorEastAsia" w:cstheme="minorHAnsi"/>
        </w:rPr>
        <w:t>is a</w:t>
      </w:r>
      <w:r w:rsidR="008928D4" w:rsidRPr="00344C59">
        <w:rPr>
          <w:rStyle w:val="normaltextrun"/>
          <w:rFonts w:eastAsiaTheme="minorEastAsia" w:cstheme="minorHAnsi"/>
        </w:rPr>
        <w:t xml:space="preserve"> poor investment</w:t>
      </w:r>
      <w:r w:rsidR="008928D4">
        <w:rPr>
          <w:rStyle w:val="normaltextrun"/>
          <w:rFonts w:eastAsiaTheme="minorEastAsia" w:cstheme="minorHAnsi"/>
        </w:rPr>
        <w:t xml:space="preserve">. </w:t>
      </w:r>
      <w:r w:rsidR="007F3655">
        <w:t>Stakeholders</w:t>
      </w:r>
      <w:r w:rsidR="008928D4">
        <w:t xml:space="preserve"> </w:t>
      </w:r>
      <w:r w:rsidR="000B07AF">
        <w:t>also noted</w:t>
      </w:r>
      <w:r w:rsidR="008928D4">
        <w:t xml:space="preserve"> concerns </w:t>
      </w:r>
      <w:r w:rsidR="000B07AF">
        <w:t xml:space="preserve">about </w:t>
      </w:r>
      <w:r w:rsidR="008928D4">
        <w:t xml:space="preserve">the non-completion and retention of apprentices/trainees and ICT cadets, particularly women, if they experience bullying, harassment or unconscious bias in the workplace and training. </w:t>
      </w:r>
    </w:p>
    <w:p w14:paraId="088B60A9" w14:textId="728F14FA" w:rsidR="006A6667" w:rsidRDefault="0084099C" w:rsidP="00CD1E37">
      <w:r w:rsidRPr="00BB2F4E">
        <w:t>The department does not foresee the Skills Guarantee restricting entry of new construction or ICT suppliers into the market</w:t>
      </w:r>
      <w:r w:rsidR="004C69A1" w:rsidRPr="00BB2F4E">
        <w:t xml:space="preserve"> as </w:t>
      </w:r>
      <w:r w:rsidR="00AD57E6" w:rsidRPr="00BB2F4E">
        <w:t xml:space="preserve">decisions around </w:t>
      </w:r>
      <w:r w:rsidR="00CB547E">
        <w:t>a</w:t>
      </w:r>
      <w:r w:rsidR="00AD57E6" w:rsidRPr="00BB2F4E">
        <w:t xml:space="preserve"> </w:t>
      </w:r>
      <w:r w:rsidR="00CB2151" w:rsidRPr="00BB2F4E">
        <w:t>business’s</w:t>
      </w:r>
      <w:r w:rsidR="002C4A96" w:rsidRPr="00BB2F4E">
        <w:t xml:space="preserve"> </w:t>
      </w:r>
      <w:r w:rsidR="003F3512" w:rsidRPr="00BB2F4E">
        <w:t xml:space="preserve">workforce composition can be made to </w:t>
      </w:r>
      <w:r w:rsidR="00AC2C5D" w:rsidRPr="00BB2F4E">
        <w:t>meet the Skills Guarantee PCP targets</w:t>
      </w:r>
      <w:r w:rsidRPr="00BB2F4E">
        <w:t xml:space="preserve">. The department expects more burden to be imposed on </w:t>
      </w:r>
      <w:r w:rsidR="00BB0B99">
        <w:t>suppliers</w:t>
      </w:r>
      <w:r w:rsidRPr="00BB2F4E">
        <w:t xml:space="preserve"> with workforces that currently </w:t>
      </w:r>
      <w:r w:rsidR="00CA2A49" w:rsidRPr="00BB2F4E">
        <w:t xml:space="preserve">would not </w:t>
      </w:r>
      <w:r w:rsidRPr="00BB2F4E">
        <w:t>meet the targets outlined in the Skills Guarantee PCP</w:t>
      </w:r>
      <w:r w:rsidR="00CA2A49" w:rsidRPr="00BB2F4E">
        <w:t>,</w:t>
      </w:r>
      <w:r w:rsidRPr="00BB2F4E">
        <w:t xml:space="preserve"> as the</w:t>
      </w:r>
      <w:r w:rsidR="00CA2A49" w:rsidRPr="00BB2F4E">
        <w:t>se businesses</w:t>
      </w:r>
      <w:r w:rsidRPr="00BB2F4E">
        <w:t xml:space="preserve"> may need to hire additional people to </w:t>
      </w:r>
      <w:r w:rsidR="00BB069E" w:rsidRPr="00BB2F4E">
        <w:t>tender</w:t>
      </w:r>
      <w:r w:rsidRPr="00BB2F4E">
        <w:t xml:space="preserve"> for </w:t>
      </w:r>
      <w:r w:rsidR="00A617EA">
        <w:t>C</w:t>
      </w:r>
      <w:r w:rsidRPr="00BB2F4E">
        <w:t xml:space="preserve">ommonwealth procurement projects captured by the </w:t>
      </w:r>
      <w:r w:rsidR="00BB069E" w:rsidRPr="00BB2F4E">
        <w:t>Skills Guarantee PCP.</w:t>
      </w:r>
      <w:r w:rsidR="00BB069E">
        <w:t xml:space="preserve"> </w:t>
      </w:r>
    </w:p>
    <w:p w14:paraId="283BCF27" w14:textId="1AB17A1B" w:rsidR="00F55AA3" w:rsidRDefault="00F55AA3" w:rsidP="00CD1E37">
      <w:pPr>
        <w:rPr>
          <w:rFonts w:ascii="Calibri" w:eastAsia="Calibri" w:hAnsi="Calibri" w:cs="Calibri"/>
          <w:color w:val="000000" w:themeColor="text1"/>
        </w:rPr>
      </w:pPr>
      <w:r>
        <w:t xml:space="preserve">It is likely that any additional costs to suppliers associated with meeting the Skills Guarantee requirements would be passed on to the Government given the Skills Guarantee PCP affects direct Commonwealth procurements, resulting in higher project delivery costs. </w:t>
      </w:r>
      <w:r w:rsidRPr="06CE5D9D">
        <w:rPr>
          <w:rFonts w:ascii="Calibri" w:eastAsia="Calibri" w:hAnsi="Calibri" w:cs="Calibri"/>
          <w:color w:val="000000" w:themeColor="text1"/>
        </w:rPr>
        <w:t>However, it is difficult to est</w:t>
      </w:r>
      <w:r>
        <w:rPr>
          <w:rFonts w:ascii="Calibri" w:eastAsia="Calibri" w:hAnsi="Calibri" w:cs="Calibri"/>
          <w:color w:val="000000" w:themeColor="text1"/>
        </w:rPr>
        <w:t>ablish the</w:t>
      </w:r>
      <w:r w:rsidRPr="06CE5D9D">
        <w:rPr>
          <w:rFonts w:ascii="Calibri" w:eastAsia="Calibri" w:hAnsi="Calibri" w:cs="Calibri"/>
          <w:color w:val="000000" w:themeColor="text1"/>
        </w:rPr>
        <w:t xml:space="preserve"> causal relationships between </w:t>
      </w:r>
      <w:r>
        <w:rPr>
          <w:rFonts w:ascii="Calibri" w:eastAsia="Calibri" w:hAnsi="Calibri" w:cs="Calibri"/>
          <w:color w:val="000000" w:themeColor="text1"/>
        </w:rPr>
        <w:t xml:space="preserve">higher </w:t>
      </w:r>
      <w:r w:rsidRPr="06CE5D9D">
        <w:rPr>
          <w:rFonts w:ascii="Calibri" w:eastAsia="Calibri" w:hAnsi="Calibri" w:cs="Calibri"/>
          <w:color w:val="000000" w:themeColor="text1"/>
        </w:rPr>
        <w:t>tend</w:t>
      </w:r>
      <w:r>
        <w:rPr>
          <w:rFonts w:ascii="Calibri" w:eastAsia="Calibri" w:hAnsi="Calibri" w:cs="Calibri"/>
          <w:color w:val="000000" w:themeColor="text1"/>
        </w:rPr>
        <w:t>er</w:t>
      </w:r>
      <w:r w:rsidRPr="06CE5D9D">
        <w:rPr>
          <w:rFonts w:ascii="Calibri" w:eastAsia="Calibri" w:hAnsi="Calibri" w:cs="Calibri"/>
          <w:color w:val="000000" w:themeColor="text1"/>
        </w:rPr>
        <w:t xml:space="preserve"> quotes and the introduction of new workforce targets, </w:t>
      </w:r>
      <w:r w:rsidRPr="234BBB8D">
        <w:rPr>
          <w:rFonts w:ascii="Calibri" w:eastAsia="Calibri" w:hAnsi="Calibri" w:cs="Calibri"/>
          <w:color w:val="000000" w:themeColor="text1"/>
        </w:rPr>
        <w:t xml:space="preserve">given </w:t>
      </w:r>
      <w:r>
        <w:t>the variability in costs</w:t>
      </w:r>
      <w:r w:rsidRPr="234BBB8D">
        <w:rPr>
          <w:rFonts w:ascii="Calibri" w:eastAsia="Calibri" w:hAnsi="Calibri" w:cs="Calibri"/>
          <w:color w:val="000000" w:themeColor="text1"/>
        </w:rPr>
        <w:t xml:space="preserve"> for both labour and construction materials</w:t>
      </w:r>
      <w:r>
        <w:rPr>
          <w:rFonts w:ascii="Calibri" w:eastAsia="Calibri" w:hAnsi="Calibri" w:cs="Calibri"/>
          <w:color w:val="000000" w:themeColor="text1"/>
        </w:rPr>
        <w:t>.</w:t>
      </w:r>
      <w:r>
        <w:rPr>
          <w:rStyle w:val="FootnoteReference"/>
          <w:rFonts w:ascii="Calibri" w:eastAsia="Calibri" w:hAnsi="Calibri" w:cs="Calibri"/>
          <w:color w:val="000000" w:themeColor="text1"/>
        </w:rPr>
        <w:footnoteReference w:id="69"/>
      </w:r>
    </w:p>
    <w:p w14:paraId="04C5CB94" w14:textId="37A3C564" w:rsidR="00590B45" w:rsidRPr="006B1105" w:rsidRDefault="00590B45" w:rsidP="00CD1E37">
      <w:r w:rsidRPr="00A5093C">
        <w:t xml:space="preserve">Targets for women will increase over time to be achievable and drive long-term sustainable change required to address the structural problems of gender segregation, currently limiting opportunities for women, and constraining the supply of skills labour our economy needs. Experience implementing similar targets through the </w:t>
      </w:r>
      <w:r>
        <w:t>IPP</w:t>
      </w:r>
      <w:r w:rsidRPr="00A5093C">
        <w:t xml:space="preserve"> has shown that progressively increasing the value target can drive change in business practices. It will send a clear signal to </w:t>
      </w:r>
      <w:r w:rsidR="00B27F50">
        <w:t xml:space="preserve">suppliers </w:t>
      </w:r>
      <w:r w:rsidRPr="00A5093C">
        <w:t>that they will need to adapt their strategies to recruit and retain women if they are to be competitive in winning future Commonwealth Government business. This approach also aligns with consultation feedback that found strong support among women’s organisations for initial targets that are achievable.</w:t>
      </w:r>
    </w:p>
    <w:p w14:paraId="6E2CA321" w14:textId="342B9F4F" w:rsidR="0049482F" w:rsidRPr="009A73D9" w:rsidRDefault="0049482F" w:rsidP="006E569B">
      <w:pPr>
        <w:pStyle w:val="Heading4"/>
      </w:pPr>
      <w:r w:rsidRPr="009A73D9">
        <w:t xml:space="preserve">Benefits </w:t>
      </w:r>
    </w:p>
    <w:p w14:paraId="12AFF7DE" w14:textId="741F034D" w:rsidR="00D8743D" w:rsidRDefault="004D071B" w:rsidP="00CD1E37">
      <w:pPr>
        <w:rPr>
          <w:rStyle w:val="normaltextrun"/>
          <w:rFonts w:eastAsiaTheme="minorEastAsia" w:cstheme="minorHAnsi"/>
        </w:rPr>
      </w:pPr>
      <w:r>
        <w:rPr>
          <w:rStyle w:val="eop"/>
        </w:rPr>
        <w:t>Working towards improving</w:t>
      </w:r>
      <w:r w:rsidR="00851E99" w:rsidRPr="34FD635A">
        <w:rPr>
          <w:rStyle w:val="eop"/>
        </w:rPr>
        <w:t xml:space="preserve"> the </w:t>
      </w:r>
      <w:r w:rsidR="00851E99" w:rsidRPr="62476D06">
        <w:rPr>
          <w:rStyle w:val="eop"/>
        </w:rPr>
        <w:t xml:space="preserve">gender balance and </w:t>
      </w:r>
      <w:r w:rsidR="00851E99" w:rsidRPr="34FD635A">
        <w:rPr>
          <w:rStyle w:val="eop"/>
        </w:rPr>
        <w:t xml:space="preserve">culture in male-dominated </w:t>
      </w:r>
      <w:r w:rsidR="00851E99" w:rsidRPr="44A6EF88">
        <w:rPr>
          <w:rStyle w:val="eop"/>
        </w:rPr>
        <w:t xml:space="preserve">industries, like construction and ICT, will </w:t>
      </w:r>
      <w:r w:rsidR="00851E99" w:rsidRPr="7B4CBE68">
        <w:rPr>
          <w:rStyle w:val="eop"/>
        </w:rPr>
        <w:t xml:space="preserve">help </w:t>
      </w:r>
      <w:r w:rsidR="00851E99">
        <w:rPr>
          <w:rStyle w:val="eop"/>
        </w:rPr>
        <w:t>suppliers</w:t>
      </w:r>
      <w:r w:rsidR="00851E99" w:rsidRPr="536ACC6C">
        <w:rPr>
          <w:rStyle w:val="eop"/>
        </w:rPr>
        <w:t xml:space="preserve"> have access to a larger pool of talent</w:t>
      </w:r>
      <w:r w:rsidR="001C4616">
        <w:rPr>
          <w:rStyle w:val="eop"/>
        </w:rPr>
        <w:t xml:space="preserve"> </w:t>
      </w:r>
      <w:r w:rsidR="001C4616">
        <w:rPr>
          <w:rStyle w:val="normaltextrun"/>
          <w:rFonts w:eastAsiaTheme="minorEastAsia" w:cstheme="minorHAnsi"/>
        </w:rPr>
        <w:t>by increasing the participation of women</w:t>
      </w:r>
      <w:r w:rsidR="00851E99">
        <w:rPr>
          <w:rStyle w:val="eop"/>
        </w:rPr>
        <w:t xml:space="preserve">, </w:t>
      </w:r>
      <w:r w:rsidR="0049482F" w:rsidRPr="00344C59">
        <w:rPr>
          <w:rStyle w:val="normaltextrun"/>
          <w:rFonts w:eastAsiaTheme="minorEastAsia" w:cstheme="minorHAnsi"/>
        </w:rPr>
        <w:t>strengthen</w:t>
      </w:r>
      <w:r w:rsidR="00851E99">
        <w:rPr>
          <w:rStyle w:val="normaltextrun"/>
          <w:rFonts w:eastAsiaTheme="minorEastAsia" w:cstheme="minorHAnsi"/>
        </w:rPr>
        <w:t>ing</w:t>
      </w:r>
      <w:r w:rsidR="0049482F" w:rsidRPr="00344C59">
        <w:rPr>
          <w:rStyle w:val="normaltextrun"/>
          <w:rFonts w:eastAsiaTheme="minorEastAsia" w:cstheme="minorHAnsi"/>
        </w:rPr>
        <w:t xml:space="preserve"> </w:t>
      </w:r>
      <w:r w:rsidR="00851E99">
        <w:rPr>
          <w:rStyle w:val="normaltextrun"/>
          <w:rFonts w:eastAsiaTheme="minorEastAsia" w:cstheme="minorHAnsi"/>
        </w:rPr>
        <w:t xml:space="preserve">the </w:t>
      </w:r>
      <w:r w:rsidR="0049482F" w:rsidRPr="00344C59">
        <w:rPr>
          <w:rStyle w:val="normaltextrun"/>
          <w:rFonts w:eastAsiaTheme="minorEastAsia" w:cstheme="minorHAnsi"/>
        </w:rPr>
        <w:t xml:space="preserve">pipeline of skilled workers and improved productivity. </w:t>
      </w:r>
    </w:p>
    <w:p w14:paraId="7BD15162" w14:textId="29AD2E88" w:rsidR="000A7C43" w:rsidRDefault="0049482F" w:rsidP="00CD1E37">
      <w:pPr>
        <w:rPr>
          <w:rStyle w:val="normaltextrun"/>
          <w:rFonts w:eastAsiaTheme="minorEastAsia" w:cstheme="minorHAnsi"/>
        </w:rPr>
      </w:pPr>
      <w:r w:rsidRPr="00344C59">
        <w:rPr>
          <w:rStyle w:val="normaltextrun"/>
          <w:rFonts w:eastAsiaTheme="minorEastAsia" w:cstheme="minorHAnsi"/>
        </w:rPr>
        <w:lastRenderedPageBreak/>
        <w:t>Investing in skills development and achieving strong productivity growth would create a greater capacity for businesses to deliver future projects and supporting demand for apprentices, trainees and paid cadets can help reduce skills shortage in the future.</w:t>
      </w:r>
    </w:p>
    <w:p w14:paraId="1FBF6E0E" w14:textId="0D96F3F3" w:rsidR="00AC3FD6" w:rsidRDefault="00AC3FD6" w:rsidP="00CD1E37">
      <w:pPr>
        <w:rPr>
          <w:rStyle w:val="normaltextrun"/>
          <w:rFonts w:eastAsiaTheme="minorEastAsia" w:cstheme="minorHAnsi"/>
        </w:rPr>
      </w:pPr>
      <w:r>
        <w:rPr>
          <w:rStyle w:val="normaltextrun"/>
          <w:rFonts w:eastAsiaTheme="minorEastAsia" w:cstheme="minorHAnsi"/>
        </w:rPr>
        <w:t xml:space="preserve">There is also evidence that increasing the </w:t>
      </w:r>
      <w:r w:rsidR="0015293B">
        <w:rPr>
          <w:rStyle w:val="normaltextrun"/>
          <w:rFonts w:eastAsiaTheme="minorEastAsia" w:cstheme="minorHAnsi"/>
        </w:rPr>
        <w:t>diversity of a business</w:t>
      </w:r>
      <w:r w:rsidR="00145153">
        <w:rPr>
          <w:rStyle w:val="normaltextrun"/>
          <w:rFonts w:eastAsiaTheme="minorEastAsia" w:cstheme="minorHAnsi"/>
        </w:rPr>
        <w:t>’</w:t>
      </w:r>
      <w:r w:rsidR="0015293B">
        <w:rPr>
          <w:rStyle w:val="normaltextrun"/>
          <w:rFonts w:eastAsiaTheme="minorEastAsia" w:cstheme="minorHAnsi"/>
        </w:rPr>
        <w:t xml:space="preserve">s workforce can lead to an increase in </w:t>
      </w:r>
      <w:r w:rsidR="002163A4">
        <w:rPr>
          <w:rStyle w:val="normaltextrun"/>
          <w:rFonts w:eastAsiaTheme="minorEastAsia" w:cstheme="minorHAnsi"/>
        </w:rPr>
        <w:t xml:space="preserve">productivity and </w:t>
      </w:r>
      <w:r w:rsidR="002B1672">
        <w:rPr>
          <w:rStyle w:val="normaltextrun"/>
          <w:rFonts w:eastAsiaTheme="minorEastAsia" w:cstheme="minorHAnsi"/>
        </w:rPr>
        <w:t>profit</w:t>
      </w:r>
      <w:r w:rsidR="007E09AD">
        <w:rPr>
          <w:rStyle w:val="normaltextrun"/>
          <w:rFonts w:eastAsiaTheme="minorEastAsia" w:cstheme="minorHAnsi"/>
        </w:rPr>
        <w:t xml:space="preserve"> –</w:t>
      </w:r>
      <w:r w:rsidR="008F3182">
        <w:rPr>
          <w:rStyle w:val="normaltextrun"/>
          <w:rFonts w:eastAsiaTheme="minorEastAsia" w:cstheme="minorHAnsi"/>
        </w:rPr>
        <w:t xml:space="preserve"> as </w:t>
      </w:r>
      <w:r w:rsidR="009D0346">
        <w:rPr>
          <w:rStyle w:val="normaltextrun"/>
          <w:rFonts w:eastAsiaTheme="minorEastAsia" w:cstheme="minorHAnsi"/>
        </w:rPr>
        <w:t>increasing</w:t>
      </w:r>
      <w:r w:rsidR="00785A49">
        <w:rPr>
          <w:rStyle w:val="normaltextrun"/>
          <w:rFonts w:eastAsiaTheme="minorEastAsia" w:cstheme="minorHAnsi"/>
        </w:rPr>
        <w:t xml:space="preserve"> divers</w:t>
      </w:r>
      <w:r w:rsidR="009D0346">
        <w:rPr>
          <w:rStyle w:val="normaltextrun"/>
          <w:rFonts w:eastAsiaTheme="minorEastAsia" w:cstheme="minorHAnsi"/>
        </w:rPr>
        <w:t>ity</w:t>
      </w:r>
      <w:r w:rsidR="000129EA">
        <w:rPr>
          <w:rStyle w:val="normaltextrun"/>
          <w:rFonts w:eastAsiaTheme="minorEastAsia" w:cstheme="minorHAnsi"/>
        </w:rPr>
        <w:t xml:space="preserve"> </w:t>
      </w:r>
      <w:r w:rsidR="00785A49">
        <w:rPr>
          <w:rStyle w:val="normaltextrun"/>
          <w:rFonts w:eastAsiaTheme="minorEastAsia" w:cstheme="minorHAnsi"/>
        </w:rPr>
        <w:t>allows for more</w:t>
      </w:r>
      <w:r w:rsidR="00E05ABA">
        <w:rPr>
          <w:rStyle w:val="normaltextrun"/>
          <w:rFonts w:eastAsiaTheme="minorEastAsia" w:cstheme="minorHAnsi"/>
        </w:rPr>
        <w:t xml:space="preserve"> different perspectives</w:t>
      </w:r>
      <w:r w:rsidR="006E0815">
        <w:rPr>
          <w:rStyle w:val="normaltextrun"/>
          <w:rFonts w:eastAsiaTheme="minorEastAsia" w:cstheme="minorHAnsi"/>
        </w:rPr>
        <w:t xml:space="preserve"> and ideas</w:t>
      </w:r>
      <w:r w:rsidR="006C21CA">
        <w:rPr>
          <w:rStyle w:val="normaltextrun"/>
          <w:rFonts w:eastAsiaTheme="minorEastAsia" w:cstheme="minorHAnsi"/>
        </w:rPr>
        <w:t>, increase</w:t>
      </w:r>
      <w:r w:rsidR="00785A49">
        <w:rPr>
          <w:rStyle w:val="normaltextrun"/>
          <w:rFonts w:eastAsiaTheme="minorEastAsia" w:cstheme="minorHAnsi"/>
        </w:rPr>
        <w:t>s</w:t>
      </w:r>
      <w:r w:rsidR="006C21CA">
        <w:rPr>
          <w:rStyle w:val="normaltextrun"/>
          <w:rFonts w:eastAsiaTheme="minorEastAsia" w:cstheme="minorHAnsi"/>
        </w:rPr>
        <w:t xml:space="preserve"> creativity</w:t>
      </w:r>
      <w:r w:rsidR="000C2384">
        <w:rPr>
          <w:rStyle w:val="normaltextrun"/>
          <w:rFonts w:eastAsiaTheme="minorEastAsia" w:cstheme="minorHAnsi"/>
        </w:rPr>
        <w:t>,</w:t>
      </w:r>
      <w:r w:rsidR="00E05ABA">
        <w:rPr>
          <w:rStyle w:val="normaltextrun"/>
          <w:rFonts w:eastAsiaTheme="minorEastAsia" w:cstheme="minorHAnsi"/>
        </w:rPr>
        <w:t xml:space="preserve"> and </w:t>
      </w:r>
      <w:r w:rsidR="00DD5031">
        <w:rPr>
          <w:rStyle w:val="normaltextrun"/>
          <w:rFonts w:eastAsiaTheme="minorEastAsia" w:cstheme="minorHAnsi"/>
        </w:rPr>
        <w:t>make</w:t>
      </w:r>
      <w:r w:rsidR="00785A49">
        <w:rPr>
          <w:rStyle w:val="normaltextrun"/>
          <w:rFonts w:eastAsiaTheme="minorEastAsia" w:cstheme="minorHAnsi"/>
        </w:rPr>
        <w:t>s</w:t>
      </w:r>
      <w:r w:rsidR="00DD5031">
        <w:rPr>
          <w:rStyle w:val="normaltextrun"/>
          <w:rFonts w:eastAsiaTheme="minorEastAsia" w:cstheme="minorHAnsi"/>
        </w:rPr>
        <w:t xml:space="preserve"> </w:t>
      </w:r>
      <w:r w:rsidR="00223161">
        <w:rPr>
          <w:rStyle w:val="normaltextrun"/>
          <w:rFonts w:eastAsiaTheme="minorEastAsia" w:cstheme="minorHAnsi"/>
        </w:rPr>
        <w:t xml:space="preserve">the </w:t>
      </w:r>
      <w:r w:rsidR="008664C1">
        <w:rPr>
          <w:rStyle w:val="normaltextrun"/>
          <w:rFonts w:eastAsiaTheme="minorEastAsia" w:cstheme="minorHAnsi"/>
        </w:rPr>
        <w:t>business more resilient</w:t>
      </w:r>
      <w:r w:rsidR="0015293B">
        <w:rPr>
          <w:rStyle w:val="normaltextrun"/>
          <w:rFonts w:eastAsiaTheme="minorEastAsia" w:cstheme="minorHAnsi"/>
        </w:rPr>
        <w:t>.</w:t>
      </w:r>
      <w:r w:rsidR="009D0346">
        <w:rPr>
          <w:rStyle w:val="FootnoteReference"/>
          <w:rFonts w:eastAsiaTheme="minorEastAsia" w:cstheme="minorHAnsi"/>
        </w:rPr>
        <w:footnoteReference w:id="70"/>
      </w:r>
      <w:r w:rsidR="0015293B">
        <w:rPr>
          <w:rStyle w:val="normaltextrun"/>
          <w:rFonts w:eastAsiaTheme="minorEastAsia" w:cstheme="minorHAnsi"/>
        </w:rPr>
        <w:t xml:space="preserve"> </w:t>
      </w:r>
    </w:p>
    <w:p w14:paraId="07AAB1C0" w14:textId="6C3C5066" w:rsidR="00C33C92" w:rsidRPr="00F0795A" w:rsidRDefault="008C04D4" w:rsidP="00CD1E37">
      <w:r w:rsidRPr="00CE4566">
        <w:rPr>
          <w:rStyle w:val="eop"/>
          <w:rFonts w:cstheme="minorHAnsi"/>
        </w:rPr>
        <w:t xml:space="preserve">Tenderers and suppliers should be </w:t>
      </w:r>
      <w:r w:rsidR="00CE4566" w:rsidRPr="00CE4566">
        <w:rPr>
          <w:rStyle w:val="eop"/>
          <w:rFonts w:cstheme="minorHAnsi"/>
        </w:rPr>
        <w:t>able to receive another layer of s</w:t>
      </w:r>
      <w:r w:rsidR="00C33C92" w:rsidRPr="00CE4566">
        <w:rPr>
          <w:rStyle w:val="eop"/>
          <w:rFonts w:cstheme="minorHAnsi"/>
        </w:rPr>
        <w:t xml:space="preserve">upport from </w:t>
      </w:r>
      <w:r w:rsidR="00CE4566" w:rsidRPr="00CE4566">
        <w:rPr>
          <w:rStyle w:val="eop"/>
          <w:rFonts w:cstheme="minorHAnsi"/>
        </w:rPr>
        <w:t xml:space="preserve">the construction and ICT </w:t>
      </w:r>
      <w:r w:rsidR="00C33C92" w:rsidRPr="00CE4566">
        <w:rPr>
          <w:rStyle w:val="eop"/>
          <w:rFonts w:cstheme="minorHAnsi"/>
        </w:rPr>
        <w:t>industry peaks</w:t>
      </w:r>
      <w:r w:rsidR="00CE4566" w:rsidRPr="00CE4566">
        <w:rPr>
          <w:rStyle w:val="eop"/>
          <w:rFonts w:cstheme="minorHAnsi"/>
        </w:rPr>
        <w:t xml:space="preserve"> and </w:t>
      </w:r>
      <w:r w:rsidR="00C33C92" w:rsidRPr="00CE4566">
        <w:rPr>
          <w:rStyle w:val="eop"/>
          <w:rFonts w:cstheme="minorHAnsi"/>
        </w:rPr>
        <w:t xml:space="preserve">unions </w:t>
      </w:r>
      <w:r w:rsidR="00CE2083" w:rsidRPr="00CE4566">
        <w:rPr>
          <w:rStyle w:val="eop"/>
          <w:rFonts w:cstheme="minorHAnsi"/>
        </w:rPr>
        <w:t>that have been actively engaged throughout consultations.</w:t>
      </w:r>
      <w:r w:rsidR="00CE2083">
        <w:rPr>
          <w:rStyle w:val="eop"/>
          <w:rFonts w:cstheme="minorHAnsi"/>
        </w:rPr>
        <w:t xml:space="preserve"> </w:t>
      </w:r>
    </w:p>
    <w:p w14:paraId="0B474B1E" w14:textId="64CE96E8" w:rsidR="00615713" w:rsidRPr="009A73D9" w:rsidRDefault="00615713" w:rsidP="006E569B">
      <w:pPr>
        <w:pStyle w:val="Heading3"/>
        <w:rPr>
          <w:rStyle w:val="normaltextrun"/>
        </w:rPr>
      </w:pPr>
      <w:r w:rsidRPr="009A73D9">
        <w:rPr>
          <w:rStyle w:val="normaltextrun"/>
        </w:rPr>
        <w:t xml:space="preserve">Regional and </w:t>
      </w:r>
      <w:r w:rsidR="00B32908" w:rsidRPr="009A73D9">
        <w:rPr>
          <w:rStyle w:val="normaltextrun"/>
        </w:rPr>
        <w:t>r</w:t>
      </w:r>
      <w:r w:rsidRPr="009A73D9">
        <w:rPr>
          <w:rStyle w:val="normaltextrun"/>
        </w:rPr>
        <w:t>ural suppliers</w:t>
      </w:r>
    </w:p>
    <w:p w14:paraId="7660B514" w14:textId="26D474B3" w:rsidR="0049482F" w:rsidRPr="009A73D9" w:rsidRDefault="0049482F" w:rsidP="006E569B">
      <w:pPr>
        <w:pStyle w:val="Heading4"/>
      </w:pPr>
      <w:r w:rsidRPr="009A73D9">
        <w:t xml:space="preserve">Costs </w:t>
      </w:r>
    </w:p>
    <w:p w14:paraId="14D68500" w14:textId="7FEC6A29" w:rsidR="00624854" w:rsidRPr="00961D8A" w:rsidRDefault="00AB51C9" w:rsidP="00CD1E37">
      <w:r w:rsidRPr="00604A0C">
        <w:rPr>
          <w:rStyle w:val="normaltextrun"/>
          <w:rFonts w:eastAsiaTheme="minorEastAsia" w:cstheme="minorHAnsi"/>
        </w:rPr>
        <w:t xml:space="preserve">The </w:t>
      </w:r>
      <w:r>
        <w:rPr>
          <w:rStyle w:val="normaltextrun"/>
          <w:rFonts w:eastAsiaTheme="minorEastAsia" w:cstheme="minorHAnsi"/>
        </w:rPr>
        <w:t xml:space="preserve">Skills Guarantee is a national policy that does not target specific regions. </w:t>
      </w:r>
      <w:r w:rsidR="00052737">
        <w:rPr>
          <w:rStyle w:val="normaltextrun"/>
          <w:rFonts w:eastAsiaTheme="minorEastAsia" w:cstheme="minorHAnsi"/>
        </w:rPr>
        <w:t xml:space="preserve">Despite this, </w:t>
      </w:r>
      <w:r w:rsidR="00C473DB">
        <w:rPr>
          <w:rStyle w:val="normaltextrun"/>
          <w:rFonts w:eastAsiaTheme="minorEastAsia" w:cstheme="minorHAnsi"/>
        </w:rPr>
        <w:t xml:space="preserve">the Skills Guarantee </w:t>
      </w:r>
      <w:r w:rsidR="00D91998">
        <w:rPr>
          <w:rStyle w:val="normaltextrun"/>
          <w:rFonts w:eastAsiaTheme="minorEastAsia" w:cstheme="minorHAnsi"/>
        </w:rPr>
        <w:t>may impact the regions diffe</w:t>
      </w:r>
      <w:r w:rsidR="00642718">
        <w:rPr>
          <w:rStyle w:val="normaltextrun"/>
          <w:rFonts w:eastAsiaTheme="minorEastAsia" w:cstheme="minorHAnsi"/>
        </w:rPr>
        <w:t xml:space="preserve">rently to urban areas and pose unique challenges and </w:t>
      </w:r>
      <w:r w:rsidR="00642718" w:rsidRPr="00961D8A">
        <w:t xml:space="preserve">benefits. </w:t>
      </w:r>
    </w:p>
    <w:p w14:paraId="13F8DC2C" w14:textId="77777777" w:rsidR="00624854" w:rsidRDefault="00B842F7" w:rsidP="00CD1E37">
      <w:pPr>
        <w:rPr>
          <w:rFonts w:eastAsia="Times New Roman" w:cs="Times New Roman"/>
          <w:vertAlign w:val="superscript"/>
        </w:rPr>
      </w:pPr>
      <w:r w:rsidRPr="00961D8A">
        <w:t>Data from the Infrastructure Investment</w:t>
      </w:r>
      <w:r w:rsidRPr="49AD854B">
        <w:rPr>
          <w:rStyle w:val="normaltextrun"/>
          <w:lang w:eastAsia="en-AU"/>
        </w:rPr>
        <w:t xml:space="preserve"> Program (IIP) Program of Works reveals that 525 IIP projects would be classified as major projects.</w:t>
      </w:r>
      <w:r w:rsidRPr="00D71E95">
        <w:rPr>
          <w:rFonts w:eastAsia="Times New Roman" w:cs="Times New Roman"/>
          <w:vertAlign w:val="superscript"/>
        </w:rPr>
        <w:footnoteReference w:id="71"/>
      </w:r>
      <w:r w:rsidRPr="00D71E95">
        <w:rPr>
          <w:rFonts w:eastAsia="Times New Roman" w:cs="Times New Roman"/>
          <w:vertAlign w:val="superscript"/>
        </w:rPr>
        <w:t xml:space="preserve"> </w:t>
      </w:r>
      <w:r w:rsidRPr="49AD854B">
        <w:rPr>
          <w:rStyle w:val="normaltextrun"/>
          <w:lang w:eastAsia="en-AU"/>
        </w:rPr>
        <w:t>Of these, 277 are regional projects and these regional projects represent 27.9% of the value of the total cost of projects where the Australian Government is a partner.</w:t>
      </w:r>
      <w:r w:rsidRPr="00D71E95">
        <w:rPr>
          <w:rFonts w:eastAsia="Times New Roman" w:cs="Times New Roman"/>
          <w:vertAlign w:val="superscript"/>
        </w:rPr>
        <w:footnoteReference w:id="72"/>
      </w:r>
      <w:r w:rsidRPr="00D71E95">
        <w:rPr>
          <w:rFonts w:eastAsia="Times New Roman" w:cs="Times New Roman"/>
          <w:vertAlign w:val="superscript"/>
        </w:rPr>
        <w:t xml:space="preserve"> </w:t>
      </w:r>
    </w:p>
    <w:p w14:paraId="54A4091E" w14:textId="0666F5FD" w:rsidR="00961D8A" w:rsidRPr="00961D8A" w:rsidRDefault="00B842F7" w:rsidP="00CD1E37">
      <w:pPr>
        <w:rPr>
          <w:rStyle w:val="normaltextrun"/>
          <w:rFonts w:eastAsia="Times New Roman" w:cs="Times New Roman"/>
          <w:vertAlign w:val="superscript"/>
        </w:rPr>
      </w:pPr>
      <w:r w:rsidRPr="49AD854B">
        <w:rPr>
          <w:rStyle w:val="normaltextrun"/>
          <w:lang w:eastAsia="en-AU"/>
        </w:rPr>
        <w:t>Equally significant, the flagship projects threshold would capture 215 IPP projects, of which 97 are regional projects and these regional projects represent 23.7% of the value of the total cost of projects where the Australian Government is a partner.</w:t>
      </w:r>
      <w:r w:rsidRPr="00D71E95">
        <w:rPr>
          <w:rFonts w:eastAsia="Times New Roman" w:cs="Times New Roman"/>
          <w:vertAlign w:val="superscript"/>
        </w:rPr>
        <w:footnoteReference w:id="73"/>
      </w:r>
    </w:p>
    <w:p w14:paraId="7855AACB" w14:textId="4E3386C4" w:rsidR="00B067E8" w:rsidRDefault="00761CFE" w:rsidP="00CD1E37">
      <w:pPr>
        <w:rPr>
          <w:rStyle w:val="eop"/>
          <w:rFonts w:cstheme="minorHAnsi"/>
          <w:color w:val="D13438"/>
        </w:rPr>
      </w:pPr>
      <w:r>
        <w:rPr>
          <w:rStyle w:val="normaltextrun"/>
          <w:rFonts w:eastAsiaTheme="minorEastAsia" w:cstheme="minorHAnsi"/>
        </w:rPr>
        <w:t xml:space="preserve">Some regional areas with thin labour markets may require additional </w:t>
      </w:r>
      <w:r w:rsidR="00C41827">
        <w:rPr>
          <w:rStyle w:val="normaltextrun"/>
          <w:rFonts w:eastAsiaTheme="minorEastAsia" w:cstheme="minorHAnsi"/>
        </w:rPr>
        <w:t xml:space="preserve">time and support to build a job ready workforce. </w:t>
      </w:r>
      <w:r w:rsidR="00365B69" w:rsidRPr="00365B69">
        <w:rPr>
          <w:rStyle w:val="normaltextrun"/>
          <w:rFonts w:eastAsiaTheme="minorEastAsia" w:cstheme="minorHAnsi"/>
        </w:rPr>
        <w:t>There may be impacts on regional suppliers who do not have access to a ready pool of apprentices to draw on to meet the Skills Guarantee targets. The department acknowledges that regional and rural suppliers may find it harder to meet the targets due to skills shortages and limited local training opportunities resulting in additional travel for off-the-job training. </w:t>
      </w:r>
      <w:r w:rsidR="00365B69" w:rsidRPr="00365B69">
        <w:rPr>
          <w:rStyle w:val="eop"/>
          <w:rFonts w:cstheme="minorHAnsi"/>
          <w:color w:val="D13438"/>
        </w:rPr>
        <w:t> </w:t>
      </w:r>
    </w:p>
    <w:p w14:paraId="14C79D94" w14:textId="31641E60" w:rsidR="00F951D7" w:rsidRPr="00961D8A" w:rsidRDefault="00F50729" w:rsidP="00CD1E37">
      <w:r w:rsidRPr="00F951D7">
        <w:rPr>
          <w:rStyle w:val="normaltextrun"/>
          <w:rFonts w:eastAsiaTheme="minorEastAsia"/>
        </w:rPr>
        <w:t xml:space="preserve">As the employer </w:t>
      </w:r>
      <w:r w:rsidR="007811F3" w:rsidRPr="00F951D7">
        <w:rPr>
          <w:rStyle w:val="normaltextrun"/>
          <w:rFonts w:eastAsiaTheme="minorEastAsia"/>
        </w:rPr>
        <w:t xml:space="preserve">must pay the </w:t>
      </w:r>
      <w:r w:rsidR="009D43EF" w:rsidRPr="00F951D7">
        <w:rPr>
          <w:rStyle w:val="normaltextrun"/>
          <w:rFonts w:eastAsiaTheme="minorEastAsia"/>
        </w:rPr>
        <w:t xml:space="preserve">reasonable travel costs to </w:t>
      </w:r>
      <w:r w:rsidR="00065287" w:rsidRPr="00F951D7">
        <w:rPr>
          <w:rStyle w:val="normaltextrun"/>
          <w:rFonts w:eastAsiaTheme="minorEastAsia"/>
        </w:rPr>
        <w:t>and from training if the apprentice attend</w:t>
      </w:r>
      <w:r w:rsidRPr="00F951D7">
        <w:rPr>
          <w:rStyle w:val="normaltextrun"/>
          <w:rFonts w:eastAsiaTheme="minorEastAsia"/>
        </w:rPr>
        <w:t>s</w:t>
      </w:r>
      <w:r w:rsidR="00065287" w:rsidRPr="00F951D7">
        <w:rPr>
          <w:rStyle w:val="normaltextrun"/>
          <w:rFonts w:eastAsiaTheme="minorEastAsia"/>
        </w:rPr>
        <w:t xml:space="preserve"> block </w:t>
      </w:r>
      <w:r w:rsidR="008A54F7" w:rsidRPr="00F951D7">
        <w:rPr>
          <w:rStyle w:val="normaltextrun"/>
          <w:rFonts w:eastAsiaTheme="minorEastAsia"/>
        </w:rPr>
        <w:t>release training and stay overnight under many awards</w:t>
      </w:r>
      <w:r w:rsidR="00512213" w:rsidRPr="003D2659">
        <w:rPr>
          <w:rStyle w:val="normaltextrun"/>
          <w:rFonts w:eastAsiaTheme="minorEastAsia"/>
          <w:vertAlign w:val="superscript"/>
        </w:rPr>
        <w:footnoteReference w:id="74"/>
      </w:r>
      <w:r w:rsidRPr="00F951D7">
        <w:rPr>
          <w:rStyle w:val="normaltextrun"/>
          <w:rFonts w:eastAsiaTheme="minorEastAsia"/>
        </w:rPr>
        <w:t xml:space="preserve">, this may have greater impact on </w:t>
      </w:r>
      <w:r w:rsidR="00C65DF3" w:rsidRPr="00F951D7">
        <w:rPr>
          <w:rStyle w:val="normaltextrun"/>
          <w:rFonts w:eastAsiaTheme="minorEastAsia"/>
        </w:rPr>
        <w:t xml:space="preserve">regional and rural supplier </w:t>
      </w:r>
      <w:r w:rsidR="00AF3567" w:rsidRPr="00F951D7">
        <w:rPr>
          <w:rStyle w:val="normaltextrun"/>
          <w:rFonts w:eastAsiaTheme="minorEastAsia"/>
        </w:rPr>
        <w:t xml:space="preserve">due to </w:t>
      </w:r>
      <w:r w:rsidR="003E6FD0" w:rsidRPr="00F951D7">
        <w:rPr>
          <w:rStyle w:val="normaltextrun"/>
          <w:rFonts w:eastAsiaTheme="minorEastAsia"/>
        </w:rPr>
        <w:t>limited access to local training organisations</w:t>
      </w:r>
      <w:r w:rsidR="00C6503C" w:rsidRPr="00F951D7">
        <w:rPr>
          <w:rStyle w:val="normaltextrun"/>
          <w:rFonts w:eastAsiaTheme="minorEastAsia"/>
        </w:rPr>
        <w:t xml:space="preserve"> and may deter the </w:t>
      </w:r>
      <w:r w:rsidR="00C6503C" w:rsidRPr="00961D8A">
        <w:t xml:space="preserve">engagement of apprentices for financial </w:t>
      </w:r>
      <w:r w:rsidR="002F2CEC" w:rsidRPr="00961D8A">
        <w:t>viability.</w:t>
      </w:r>
    </w:p>
    <w:p w14:paraId="31CF1ECC" w14:textId="14CCDCEB" w:rsidR="003F0DCF" w:rsidRPr="00F951D7" w:rsidRDefault="000210CA" w:rsidP="00CD1E37">
      <w:pPr>
        <w:rPr>
          <w:rStyle w:val="normaltextrun"/>
          <w:rFonts w:eastAsiaTheme="minorEastAsia" w:cstheme="minorHAnsi"/>
        </w:rPr>
      </w:pPr>
      <w:r w:rsidRPr="00961D8A">
        <w:lastRenderedPageBreak/>
        <w:t xml:space="preserve">The department’s approach to compliance is mindful there may be </w:t>
      </w:r>
      <w:r w:rsidR="000E79E8" w:rsidRPr="00961D8A">
        <w:t xml:space="preserve">challenges for </w:t>
      </w:r>
      <w:r w:rsidRPr="00961D8A">
        <w:t xml:space="preserve">regional and rural suppliers </w:t>
      </w:r>
      <w:r w:rsidR="000E79E8" w:rsidRPr="00961D8A">
        <w:t>to</w:t>
      </w:r>
      <w:r w:rsidRPr="00961D8A">
        <w:t xml:space="preserve"> adapt to the Skills Guarantee</w:t>
      </w:r>
      <w:r w:rsidRPr="00F951D7">
        <w:rPr>
          <w:rStyle w:val="normaltextrun"/>
          <w:rFonts w:eastAsiaTheme="minorEastAsia" w:cstheme="minorHAnsi"/>
        </w:rPr>
        <w:t xml:space="preserve"> targets. Regional and rural suppliers will not be penalised for matters which are considered outside of their control and will be provided the opportunity to outline mitigating factors which are preventing them from meeting targets, including skills shortages or limited training opportunities in the area. </w:t>
      </w:r>
    </w:p>
    <w:p w14:paraId="22BAD4D4" w14:textId="2796BBDD" w:rsidR="00365B69" w:rsidRPr="009A73D9" w:rsidRDefault="0049482F" w:rsidP="006E569B">
      <w:pPr>
        <w:pStyle w:val="Heading4"/>
      </w:pPr>
      <w:r w:rsidRPr="009A73D9">
        <w:t>Benefits</w:t>
      </w:r>
    </w:p>
    <w:p w14:paraId="51CEB243" w14:textId="3A93FD07" w:rsidR="003F0DCF" w:rsidRPr="00961D8A" w:rsidRDefault="00545509" w:rsidP="00CD1E37">
      <w:r w:rsidRPr="49AD854B">
        <w:rPr>
          <w:rStyle w:val="normaltextrun"/>
          <w:lang w:eastAsia="en-AU"/>
        </w:rPr>
        <w:t>Most</w:t>
      </w:r>
      <w:r w:rsidR="00D71E95" w:rsidRPr="49AD854B">
        <w:rPr>
          <w:rStyle w:val="normaltextrun"/>
          <w:lang w:eastAsia="en-AU"/>
        </w:rPr>
        <w:t xml:space="preserve"> apprentices </w:t>
      </w:r>
      <w:r w:rsidRPr="49AD854B">
        <w:rPr>
          <w:rStyle w:val="normaltextrun"/>
          <w:lang w:eastAsia="en-AU"/>
        </w:rPr>
        <w:t>are in</w:t>
      </w:r>
      <w:r w:rsidR="00D71E95" w:rsidRPr="49AD854B">
        <w:rPr>
          <w:rStyle w:val="normaltextrun"/>
          <w:lang w:eastAsia="en-AU"/>
        </w:rPr>
        <w:t xml:space="preserve"> major cities, with only 30.3% of construction apprentices in regional areas and 1.8% located remotely.</w:t>
      </w:r>
      <w:r w:rsidR="00D71E95" w:rsidRPr="00D71E95">
        <w:rPr>
          <w:rFonts w:eastAsia="Times New Roman" w:cs="Times New Roman"/>
          <w:vertAlign w:val="superscript"/>
        </w:rPr>
        <w:footnoteReference w:id="75"/>
      </w:r>
      <w:r w:rsidR="00D71E95" w:rsidRPr="00D71E95">
        <w:rPr>
          <w:rFonts w:eastAsia="Times New Roman" w:cs="Times New Roman"/>
          <w:vertAlign w:val="superscript"/>
        </w:rPr>
        <w:t xml:space="preserve"> </w:t>
      </w:r>
      <w:r w:rsidR="00D71E95" w:rsidRPr="49AD854B">
        <w:rPr>
          <w:rStyle w:val="normaltextrun"/>
          <w:lang w:eastAsia="en-AU"/>
        </w:rPr>
        <w:t xml:space="preserve">The Skills Guarantee </w:t>
      </w:r>
      <w:r w:rsidR="007A36BD" w:rsidRPr="49AD854B">
        <w:rPr>
          <w:rStyle w:val="normaltextrun"/>
          <w:lang w:eastAsia="en-AU"/>
        </w:rPr>
        <w:t xml:space="preserve">aims </w:t>
      </w:r>
      <w:r w:rsidR="00942C1F" w:rsidRPr="49AD854B">
        <w:rPr>
          <w:rStyle w:val="normaltextrun"/>
          <w:lang w:eastAsia="en-AU"/>
        </w:rPr>
        <w:t xml:space="preserve">to </w:t>
      </w:r>
      <w:r w:rsidR="00D71E95" w:rsidRPr="49AD854B">
        <w:rPr>
          <w:rStyle w:val="normaltextrun"/>
          <w:lang w:eastAsia="en-AU"/>
        </w:rPr>
        <w:t xml:space="preserve">create secure jobs and increase the demand for apprentices and trainees in regional </w:t>
      </w:r>
      <w:r w:rsidR="00507898" w:rsidRPr="49AD854B">
        <w:rPr>
          <w:rStyle w:val="normaltextrun"/>
          <w:lang w:eastAsia="en-AU"/>
        </w:rPr>
        <w:t xml:space="preserve">and rural </w:t>
      </w:r>
      <w:r w:rsidR="00D71E95" w:rsidRPr="49AD854B">
        <w:rPr>
          <w:rStyle w:val="normaltextrun"/>
          <w:lang w:eastAsia="en-AU"/>
        </w:rPr>
        <w:t xml:space="preserve">areas that often have higher youth </w:t>
      </w:r>
      <w:r w:rsidR="00D71E95" w:rsidRPr="00961D8A">
        <w:t xml:space="preserve">unemployment. </w:t>
      </w:r>
    </w:p>
    <w:p w14:paraId="05CEE4F5" w14:textId="09E458F1" w:rsidR="003F0DCF" w:rsidRPr="00961D8A" w:rsidRDefault="000664F1" w:rsidP="00CD1E37">
      <w:r w:rsidRPr="00961D8A">
        <w:t>To</w:t>
      </w:r>
      <w:r w:rsidR="0099048C" w:rsidRPr="00961D8A">
        <w:t xml:space="preserve"> relieve some of the costs associated, suppliers will have the flexibility to hire apprentices from other areas if needed</w:t>
      </w:r>
      <w:r w:rsidR="0099048C" w:rsidRPr="0099048C">
        <w:rPr>
          <w:rStyle w:val="normaltextrun"/>
          <w:rFonts w:cstheme="minorHAnsi"/>
          <w:lang w:eastAsia="en-AU"/>
        </w:rPr>
        <w:t xml:space="preserve">, whilst still providing more opportunities for local workers. This will also support the flexibility of apprentices and trainees to support projects in cross-border areas, for </w:t>
      </w:r>
      <w:r w:rsidR="0099048C" w:rsidRPr="00961D8A">
        <w:t>example Albury-Wodonga.</w:t>
      </w:r>
    </w:p>
    <w:p w14:paraId="225318B3" w14:textId="13AA498A" w:rsidR="00325EC0" w:rsidRPr="00325EC0" w:rsidRDefault="00D71E95" w:rsidP="00F91BEA">
      <w:pPr>
        <w:rPr>
          <w:kern w:val="2"/>
          <w14:ligatures w14:val="standardContextual"/>
        </w:rPr>
      </w:pPr>
      <w:r w:rsidRPr="00325EC0">
        <w:t xml:space="preserve">The success of </w:t>
      </w:r>
      <w:r w:rsidR="00C6294E" w:rsidRPr="00325EC0">
        <w:rPr>
          <w:kern w:val="2"/>
          <w14:ligatures w14:val="standardContextual"/>
        </w:rPr>
        <w:t>Skills Guarantee</w:t>
      </w:r>
      <w:r w:rsidRPr="00325EC0">
        <w:rPr>
          <w:kern w:val="2"/>
          <w14:ligatures w14:val="standardContextual"/>
        </w:rPr>
        <w:t xml:space="preserve"> will ensure that regional Australia is able to create a long term, sustainable pipeline of skilled workers, address skills shortages and boost digital skills. </w:t>
      </w:r>
      <w:r w:rsidR="00325EC0" w:rsidRPr="00325EC0">
        <w:rPr>
          <w:kern w:val="2"/>
          <w14:ligatures w14:val="standardContextual"/>
        </w:rPr>
        <w:t xml:space="preserve">The Skills Guarantee will broaden the diversity of the workforce on major projects, particularly in industries and sectors </w:t>
      </w:r>
      <w:r w:rsidR="009D2A2E">
        <w:rPr>
          <w:kern w:val="2"/>
          <w14:ligatures w14:val="standardContextual"/>
        </w:rPr>
        <w:t xml:space="preserve">in regional areas </w:t>
      </w:r>
      <w:r w:rsidR="00325EC0" w:rsidRPr="00325EC0">
        <w:rPr>
          <w:kern w:val="2"/>
          <w14:ligatures w14:val="standardContextual"/>
        </w:rPr>
        <w:t>where women's involvement in the workforce is limited. The targets</w:t>
      </w:r>
      <w:r w:rsidR="00E34470">
        <w:rPr>
          <w:kern w:val="2"/>
          <w14:ligatures w14:val="standardContextual"/>
        </w:rPr>
        <w:t xml:space="preserve"> will help</w:t>
      </w:r>
      <w:r w:rsidR="00325EC0" w:rsidRPr="00325EC0">
        <w:rPr>
          <w:kern w:val="2"/>
          <w14:ligatures w14:val="standardContextual"/>
        </w:rPr>
        <w:t xml:space="preserve"> create more opportunities for women in regional areas</w:t>
      </w:r>
      <w:r w:rsidR="00E34470">
        <w:rPr>
          <w:kern w:val="2"/>
          <w14:ligatures w14:val="standardContextual"/>
        </w:rPr>
        <w:t xml:space="preserve">, while the </w:t>
      </w:r>
      <w:r w:rsidR="00B405F4">
        <w:rPr>
          <w:kern w:val="2"/>
          <w14:ligatures w14:val="standardContextual"/>
        </w:rPr>
        <w:t>a</w:t>
      </w:r>
      <w:r w:rsidR="00325EC0" w:rsidRPr="00325EC0">
        <w:rPr>
          <w:kern w:val="2"/>
          <w14:ligatures w14:val="standardContextual"/>
        </w:rPr>
        <w:t xml:space="preserve">nnual </w:t>
      </w:r>
      <w:r w:rsidR="00B405F4">
        <w:rPr>
          <w:kern w:val="2"/>
          <w14:ligatures w14:val="standardContextual"/>
        </w:rPr>
        <w:t xml:space="preserve">target </w:t>
      </w:r>
      <w:r w:rsidR="00325EC0" w:rsidRPr="00325EC0">
        <w:rPr>
          <w:kern w:val="2"/>
          <w14:ligatures w14:val="standardContextual"/>
        </w:rPr>
        <w:t xml:space="preserve">increases for women will help drive changes that will support recruitment and retention. </w:t>
      </w:r>
    </w:p>
    <w:p w14:paraId="59CD3963" w14:textId="68E75BDF" w:rsidR="00642718" w:rsidRPr="00292184" w:rsidRDefault="00D71E95" w:rsidP="00F91BEA">
      <w:pPr>
        <w:rPr>
          <w:lang w:eastAsia="en-AU"/>
        </w:rPr>
      </w:pPr>
      <w:r w:rsidRPr="00D71E95">
        <w:rPr>
          <w:rStyle w:val="normaltextrun"/>
          <w:rFonts w:cstheme="minorHAnsi"/>
          <w:lang w:eastAsia="en-AU"/>
        </w:rPr>
        <w:t xml:space="preserve">The Skills Guarantee will provide opportunities for people from regional and rural Australia to live and work in their community, as well as attract new people to work and train in regional and rural Australia. </w:t>
      </w:r>
    </w:p>
    <w:p w14:paraId="281664C7" w14:textId="4A7529D7" w:rsidR="005C3BAC" w:rsidRPr="009A73D9" w:rsidRDefault="005C3BAC" w:rsidP="00797487">
      <w:pPr>
        <w:pStyle w:val="Heading3"/>
        <w:rPr>
          <w:rStyle w:val="normaltextrun"/>
        </w:rPr>
      </w:pPr>
      <w:r w:rsidRPr="009A73D9">
        <w:rPr>
          <w:rStyle w:val="normaltextrun"/>
        </w:rPr>
        <w:t xml:space="preserve">Smaller suppliers and sub-contractors </w:t>
      </w:r>
    </w:p>
    <w:p w14:paraId="1EB84A00" w14:textId="6783CF4D" w:rsidR="00642718" w:rsidRPr="009A73D9" w:rsidRDefault="00642718" w:rsidP="006E569B">
      <w:pPr>
        <w:pStyle w:val="Heading4"/>
      </w:pPr>
      <w:r w:rsidRPr="009A73D9">
        <w:t xml:space="preserve">Costs </w:t>
      </w:r>
    </w:p>
    <w:p w14:paraId="2DB86D4B" w14:textId="4C6399E0" w:rsidR="00552B28" w:rsidRDefault="00242556" w:rsidP="00CD1E37">
      <w:r>
        <w:t>Smaller suppliers and subcontractors may have less capacity or capability to</w:t>
      </w:r>
      <w:r w:rsidR="0097241C">
        <w:t xml:space="preserve"> meet Skills Guarantee PCP </w:t>
      </w:r>
      <w:r w:rsidR="00ED2DFB">
        <w:t xml:space="preserve">targets </w:t>
      </w:r>
      <w:r w:rsidR="00BB408F">
        <w:t>in comparison to</w:t>
      </w:r>
      <w:r w:rsidR="00ED2DFB">
        <w:t xml:space="preserve"> larger suppliers</w:t>
      </w:r>
      <w:r w:rsidR="006345B9" w:rsidRPr="006345B9">
        <w:t xml:space="preserve"> meaning they may be disadvantaged in tendering for and completing Skills Guarantee projects</w:t>
      </w:r>
      <w:r w:rsidR="00552B28">
        <w:t xml:space="preserve">. </w:t>
      </w:r>
      <w:r w:rsidR="0061407F">
        <w:t xml:space="preserve">To lessen the impact on smaller suppliers, </w:t>
      </w:r>
      <w:r w:rsidR="0061407F" w:rsidRPr="00664E43">
        <w:t xml:space="preserve">the project financial threshold </w:t>
      </w:r>
      <w:r w:rsidR="0061407F">
        <w:t>i</w:t>
      </w:r>
      <w:r w:rsidR="0061407F" w:rsidRPr="00664E43">
        <w:t>s $10 million or higher</w:t>
      </w:r>
      <w:r w:rsidR="0061407F">
        <w:t>,</w:t>
      </w:r>
      <w:r w:rsidR="0061407F" w:rsidRPr="00664E43">
        <w:t xml:space="preserve"> instead of $7.5 million</w:t>
      </w:r>
      <w:r w:rsidR="0061407F">
        <w:t>,</w:t>
      </w:r>
      <w:r w:rsidR="0061407F" w:rsidRPr="00664E43">
        <w:t xml:space="preserve"> which is less likely to capture </w:t>
      </w:r>
      <w:r w:rsidR="0061407F">
        <w:t>smaller suppliers</w:t>
      </w:r>
      <w:r w:rsidR="0061407F" w:rsidRPr="00664E43">
        <w:t>.</w:t>
      </w:r>
    </w:p>
    <w:p w14:paraId="06E68ABB" w14:textId="01BBA23C" w:rsidR="00FD47B3" w:rsidRPr="006F7D73" w:rsidRDefault="00FD47B3" w:rsidP="00CD1E37">
      <w:r w:rsidRPr="49AD854B">
        <w:rPr>
          <w:rStyle w:val="eop"/>
          <w:color w:val="000000" w:themeColor="text1"/>
        </w:rPr>
        <w:t xml:space="preserve">A Productivity Commission review in 2020 </w:t>
      </w:r>
      <w:r w:rsidR="006F7D73" w:rsidRPr="49AD854B">
        <w:rPr>
          <w:rStyle w:val="FootnoteReference"/>
          <w:color w:val="000000" w:themeColor="text1"/>
        </w:rPr>
        <w:footnoteReference w:id="76"/>
      </w:r>
      <w:r w:rsidRPr="49AD854B">
        <w:rPr>
          <w:rStyle w:val="eop"/>
          <w:color w:val="000000" w:themeColor="text1"/>
        </w:rPr>
        <w:t>noted that incentives systems were hard to use, particularly for small and medium sized businesses that may have less capacity to navigate different programs</w:t>
      </w:r>
      <w:r w:rsidR="00346D3D" w:rsidRPr="49AD854B">
        <w:rPr>
          <w:rStyle w:val="eop"/>
          <w:color w:val="000000" w:themeColor="text1"/>
        </w:rPr>
        <w:t>.</w:t>
      </w:r>
      <w:r w:rsidR="00E32C40" w:rsidRPr="49AD854B">
        <w:rPr>
          <w:rStyle w:val="eop"/>
          <w:color w:val="000000" w:themeColor="text1"/>
        </w:rPr>
        <w:t xml:space="preserve"> The</w:t>
      </w:r>
      <w:r w:rsidR="005401DE" w:rsidRPr="49AD854B">
        <w:rPr>
          <w:rStyle w:val="eop"/>
          <w:color w:val="000000" w:themeColor="text1"/>
        </w:rPr>
        <w:t xml:space="preserve"> large administrative </w:t>
      </w:r>
      <w:r w:rsidR="00796721" w:rsidRPr="49AD854B">
        <w:rPr>
          <w:rStyle w:val="eop"/>
          <w:color w:val="000000" w:themeColor="text1"/>
        </w:rPr>
        <w:t xml:space="preserve">burden </w:t>
      </w:r>
      <w:r w:rsidR="00E32C40" w:rsidRPr="49AD854B">
        <w:rPr>
          <w:rStyle w:val="eop"/>
          <w:color w:val="000000" w:themeColor="text1"/>
        </w:rPr>
        <w:t>to digest, understand and apply</w:t>
      </w:r>
      <w:r w:rsidR="001B0236" w:rsidRPr="49AD854B">
        <w:rPr>
          <w:rStyle w:val="eop"/>
          <w:color w:val="000000" w:themeColor="text1"/>
        </w:rPr>
        <w:t xml:space="preserve">ing guidance </w:t>
      </w:r>
      <w:r w:rsidR="002C4F27" w:rsidRPr="49AD854B">
        <w:rPr>
          <w:rStyle w:val="eop"/>
          <w:color w:val="000000" w:themeColor="text1"/>
        </w:rPr>
        <w:t xml:space="preserve">was considered an obstacle to hiring apprentices. </w:t>
      </w:r>
    </w:p>
    <w:p w14:paraId="1E9FE3DE" w14:textId="1ABD0501" w:rsidR="009A2419" w:rsidRPr="009A2419" w:rsidRDefault="00362033" w:rsidP="00CD1E37">
      <w:r>
        <w:t xml:space="preserve">The Skills Guarantee </w:t>
      </w:r>
      <w:r w:rsidR="00732126">
        <w:t>could negatively impact smaller suppliers’ workforce if l</w:t>
      </w:r>
      <w:r w:rsidR="00552B28">
        <w:t xml:space="preserve">arger </w:t>
      </w:r>
      <w:r w:rsidR="008A79D5">
        <w:t xml:space="preserve">suppliers poach </w:t>
      </w:r>
      <w:r w:rsidR="00613888">
        <w:t>employees from small suppliers due to the competitive labour market to meet the targets</w:t>
      </w:r>
      <w:r>
        <w:t xml:space="preserve">. </w:t>
      </w:r>
      <w:r w:rsidR="00CF4FC1">
        <w:t xml:space="preserve">However, </w:t>
      </w:r>
      <w:r w:rsidR="00CF4FC1">
        <w:lastRenderedPageBreak/>
        <w:t>t</w:t>
      </w:r>
      <w:r w:rsidR="00B1006D">
        <w:t>he like</w:t>
      </w:r>
      <w:r w:rsidR="00CB5FED">
        <w:t>lihood of poaching is limited</w:t>
      </w:r>
      <w:r w:rsidR="00877B16">
        <w:t>. T</w:t>
      </w:r>
      <w:r w:rsidR="0061407F">
        <w:t>he</w:t>
      </w:r>
      <w:r w:rsidR="0061407F" w:rsidRPr="0051021B">
        <w:t xml:space="preserve"> Skills Guarantee PCP </w:t>
      </w:r>
      <w:r w:rsidR="0061407F">
        <w:t>targets</w:t>
      </w:r>
      <w:r w:rsidR="001B3010">
        <w:t xml:space="preserve"> are</w:t>
      </w:r>
      <w:r w:rsidR="0061407F">
        <w:t xml:space="preserve"> </w:t>
      </w:r>
      <w:r w:rsidR="0061407F" w:rsidRPr="0051021B">
        <w:t>appl</w:t>
      </w:r>
      <w:r w:rsidR="0061407F">
        <w:t>ied</w:t>
      </w:r>
      <w:r w:rsidR="0061407F" w:rsidRPr="0051021B">
        <w:t xml:space="preserve"> </w:t>
      </w:r>
      <w:r w:rsidR="0061407F">
        <w:t xml:space="preserve">at the project level </w:t>
      </w:r>
      <w:r w:rsidR="0061407F" w:rsidRPr="0051021B">
        <w:t xml:space="preserve">between a contracting agency and a </w:t>
      </w:r>
      <w:r w:rsidR="00DE7D01" w:rsidRPr="0051021B">
        <w:t>supplier,</w:t>
      </w:r>
      <w:r w:rsidR="001B3010">
        <w:t xml:space="preserve"> and the larger suppliers</w:t>
      </w:r>
      <w:r w:rsidR="0061407F">
        <w:t xml:space="preserve"> </w:t>
      </w:r>
      <w:r w:rsidR="003C7162">
        <w:t xml:space="preserve">may utilise </w:t>
      </w:r>
      <w:r w:rsidR="0061407F">
        <w:t xml:space="preserve">small businesses </w:t>
      </w:r>
      <w:r w:rsidR="003C7162">
        <w:t>as sub-contractors</w:t>
      </w:r>
      <w:r w:rsidR="001B3010">
        <w:t>,</w:t>
      </w:r>
      <w:r w:rsidR="003C7162">
        <w:t xml:space="preserve"> </w:t>
      </w:r>
      <w:r w:rsidR="001B3010">
        <w:t xml:space="preserve">therefore </w:t>
      </w:r>
      <w:r w:rsidR="003C7162">
        <w:t>the targets will not apply to the</w:t>
      </w:r>
      <w:r w:rsidR="001B3010">
        <w:t xml:space="preserve"> small business only the larger contracting agency</w:t>
      </w:r>
      <w:r w:rsidR="003C7162">
        <w:t xml:space="preserve">. </w:t>
      </w:r>
    </w:p>
    <w:p w14:paraId="56BDE035" w14:textId="61381430" w:rsidR="00987FBB" w:rsidRPr="009A73D9" w:rsidRDefault="00642718" w:rsidP="006E569B">
      <w:pPr>
        <w:pStyle w:val="Heading4"/>
      </w:pPr>
      <w:r w:rsidRPr="009A73D9">
        <w:t>Benefits</w:t>
      </w:r>
    </w:p>
    <w:p w14:paraId="5FB9049E" w14:textId="29B1C6B1" w:rsidR="005C24D3" w:rsidRPr="00CD5B17" w:rsidRDefault="00987FBB" w:rsidP="00CD1E37">
      <w:pPr>
        <w:rPr>
          <w:rStyle w:val="eop"/>
        </w:rPr>
      </w:pPr>
      <w:r w:rsidRPr="00AA5333">
        <w:t xml:space="preserve">Smaller suppliers and subcontractors </w:t>
      </w:r>
      <w:r w:rsidR="008B5D61" w:rsidRPr="00AA5333">
        <w:t xml:space="preserve">may </w:t>
      </w:r>
      <w:r w:rsidR="00AE35A1" w:rsidRPr="00AA5333">
        <w:t xml:space="preserve">have more opportunities to </w:t>
      </w:r>
      <w:r w:rsidR="0025064F">
        <w:t>work</w:t>
      </w:r>
      <w:r w:rsidR="0025064F" w:rsidRPr="00AA5333">
        <w:t xml:space="preserve"> </w:t>
      </w:r>
      <w:r w:rsidR="00455590" w:rsidRPr="00AA5333">
        <w:t xml:space="preserve">with </w:t>
      </w:r>
      <w:r w:rsidR="000E6AEB" w:rsidRPr="00AA5333">
        <w:t xml:space="preserve">larger suppliers to </w:t>
      </w:r>
      <w:r w:rsidR="00234BC7" w:rsidRPr="00AA5333">
        <w:t>provide</w:t>
      </w:r>
      <w:r w:rsidR="009B73D1" w:rsidRPr="00AA5333">
        <w:t xml:space="preserve"> exposure to</w:t>
      </w:r>
      <w:r w:rsidR="005D0C2D" w:rsidRPr="00AA5333">
        <w:t xml:space="preserve"> a broader range of on-the-job experiences for</w:t>
      </w:r>
      <w:r w:rsidR="009B73D1" w:rsidRPr="00AA5333">
        <w:t xml:space="preserve"> </w:t>
      </w:r>
      <w:r w:rsidR="00BE2988" w:rsidRPr="00AA5333">
        <w:t xml:space="preserve">their apprentices and </w:t>
      </w:r>
      <w:r w:rsidR="00BE2988" w:rsidRPr="006B1105">
        <w:t xml:space="preserve">trainees </w:t>
      </w:r>
      <w:r w:rsidR="00E35A1F" w:rsidRPr="006B1105">
        <w:t xml:space="preserve">from </w:t>
      </w:r>
      <w:r w:rsidR="00646DA5" w:rsidRPr="006B1105">
        <w:t>larger Commonwealth funded projects</w:t>
      </w:r>
      <w:r w:rsidR="00CC16BC" w:rsidRPr="006B1105">
        <w:t xml:space="preserve">. </w:t>
      </w:r>
      <w:r w:rsidR="00D7756D">
        <w:t>While the Skills Guarantee targets will not apply directly to</w:t>
      </w:r>
      <w:r w:rsidR="00A245EC">
        <w:t xml:space="preserve"> subcontractors </w:t>
      </w:r>
      <w:r w:rsidR="00604591">
        <w:t xml:space="preserve">by </w:t>
      </w:r>
      <w:r w:rsidR="00245BB1">
        <w:t>engag</w:t>
      </w:r>
      <w:r w:rsidR="00604591">
        <w:t xml:space="preserve">ing with larger suppliers </w:t>
      </w:r>
      <w:r w:rsidR="00034F45">
        <w:t>with</w:t>
      </w:r>
      <w:r w:rsidR="00604591">
        <w:t xml:space="preserve"> projects </w:t>
      </w:r>
      <w:r w:rsidR="00274E75">
        <w:t xml:space="preserve">in </w:t>
      </w:r>
      <w:r w:rsidR="00245BB1">
        <w:t>the Skills Guarantee</w:t>
      </w:r>
      <w:r w:rsidR="004E0ED6">
        <w:t>, the benefits to the workforce</w:t>
      </w:r>
      <w:r w:rsidR="00CD5B17">
        <w:t xml:space="preserve">, including </w:t>
      </w:r>
      <w:r w:rsidR="00D52B30">
        <w:t xml:space="preserve">the increased participation of </w:t>
      </w:r>
      <w:r w:rsidR="00CD5B17">
        <w:t xml:space="preserve">women </w:t>
      </w:r>
      <w:r w:rsidR="00D52B30">
        <w:t xml:space="preserve">in the workforce </w:t>
      </w:r>
      <w:r w:rsidR="00CD5B17">
        <w:t>are anticipated to flow through because of the increased pool of skilled workers and</w:t>
      </w:r>
      <w:r w:rsidR="008F66FB">
        <w:t xml:space="preserve"> access to a stronger network of support</w:t>
      </w:r>
      <w:r w:rsidR="00CD5B17">
        <w:t xml:space="preserve">. </w:t>
      </w:r>
    </w:p>
    <w:p w14:paraId="793F03F6" w14:textId="44EE6170" w:rsidR="0099423F" w:rsidRDefault="00694AC8" w:rsidP="00CD1E37">
      <w:pPr>
        <w:rPr>
          <w:rFonts w:eastAsiaTheme="minorEastAsia" w:cstheme="minorHAnsi"/>
        </w:rPr>
      </w:pPr>
      <w:r w:rsidRPr="00961D8A">
        <w:rPr>
          <w:rStyle w:val="eop"/>
          <w:color w:val="000000" w:themeColor="text1"/>
        </w:rPr>
        <w:t>In accordance with the CP</w:t>
      </w:r>
      <w:r w:rsidR="00470FC9" w:rsidRPr="00961D8A">
        <w:rPr>
          <w:rStyle w:val="eop"/>
          <w:color w:val="000000" w:themeColor="text1"/>
        </w:rPr>
        <w:t>R’s</w:t>
      </w:r>
      <w:r w:rsidR="00FC291F" w:rsidRPr="00961D8A">
        <w:rPr>
          <w:rStyle w:val="eop"/>
          <w:color w:val="000000" w:themeColor="text1"/>
        </w:rPr>
        <w:t>,</w:t>
      </w:r>
      <w:r w:rsidR="00470FC9" w:rsidRPr="00961D8A">
        <w:rPr>
          <w:rStyle w:val="eop"/>
          <w:color w:val="000000" w:themeColor="text1"/>
        </w:rPr>
        <w:t xml:space="preserve"> the Skills Guarantee </w:t>
      </w:r>
      <w:r w:rsidR="00FC291F" w:rsidRPr="00961D8A">
        <w:rPr>
          <w:rStyle w:val="eop"/>
          <w:color w:val="000000" w:themeColor="text1"/>
        </w:rPr>
        <w:t>guidance</w:t>
      </w:r>
      <w:r w:rsidR="00C3293F" w:rsidRPr="00961D8A">
        <w:rPr>
          <w:rStyle w:val="eop"/>
          <w:color w:val="000000" w:themeColor="text1"/>
        </w:rPr>
        <w:t xml:space="preserve"> to contracting </w:t>
      </w:r>
      <w:r w:rsidR="00DD26D2" w:rsidRPr="00961D8A">
        <w:rPr>
          <w:rStyle w:val="eop"/>
          <w:color w:val="000000" w:themeColor="text1"/>
        </w:rPr>
        <w:t>agencies</w:t>
      </w:r>
      <w:r w:rsidR="00FC291F" w:rsidRPr="00961D8A">
        <w:rPr>
          <w:rStyle w:val="eop"/>
          <w:color w:val="000000" w:themeColor="text1"/>
        </w:rPr>
        <w:t xml:space="preserve"> will reiterate the importan</w:t>
      </w:r>
      <w:r w:rsidR="00DA61F9" w:rsidRPr="00961D8A">
        <w:rPr>
          <w:rStyle w:val="eop"/>
          <w:color w:val="000000" w:themeColor="text1"/>
        </w:rPr>
        <w:t>ce</w:t>
      </w:r>
      <w:r w:rsidR="00FC291F" w:rsidRPr="00961D8A">
        <w:rPr>
          <w:rStyle w:val="eop"/>
          <w:color w:val="000000" w:themeColor="text1"/>
        </w:rPr>
        <w:t xml:space="preserve"> to </w:t>
      </w:r>
      <w:r w:rsidR="00B6024A" w:rsidRPr="00961D8A">
        <w:rPr>
          <w:rStyle w:val="eop"/>
          <w:color w:val="000000" w:themeColor="text1"/>
        </w:rPr>
        <w:t>engage in fair competition</w:t>
      </w:r>
      <w:r w:rsidR="00B6024A">
        <w:rPr>
          <w:rFonts w:eastAsiaTheme="minorEastAsia" w:cstheme="minorHAnsi"/>
        </w:rPr>
        <w:t xml:space="preserve"> </w:t>
      </w:r>
      <w:r w:rsidR="00D1702A">
        <w:rPr>
          <w:rFonts w:eastAsiaTheme="minorEastAsia" w:cstheme="minorHAnsi"/>
        </w:rPr>
        <w:t xml:space="preserve">and not unfairly </w:t>
      </w:r>
      <w:r w:rsidR="000D64B5">
        <w:rPr>
          <w:rFonts w:eastAsiaTheme="minorEastAsia" w:cstheme="minorHAnsi"/>
        </w:rPr>
        <w:t>discriminate</w:t>
      </w:r>
      <w:r w:rsidR="00D1702A">
        <w:rPr>
          <w:rFonts w:eastAsiaTheme="minorEastAsia" w:cstheme="minorHAnsi"/>
        </w:rPr>
        <w:t xml:space="preserve"> against </w:t>
      </w:r>
      <w:r w:rsidR="000D64B5">
        <w:rPr>
          <w:rFonts w:eastAsiaTheme="minorEastAsia" w:cstheme="minorHAnsi"/>
        </w:rPr>
        <w:t xml:space="preserve">small and medium businesses </w:t>
      </w:r>
      <w:r w:rsidR="003F0E5C">
        <w:rPr>
          <w:rFonts w:eastAsiaTheme="minorEastAsia" w:cstheme="minorHAnsi"/>
        </w:rPr>
        <w:t xml:space="preserve">to provide </w:t>
      </w:r>
      <w:r w:rsidR="00ED68E1">
        <w:rPr>
          <w:rFonts w:eastAsiaTheme="minorEastAsia" w:cstheme="minorHAnsi"/>
        </w:rPr>
        <w:t>appropriate opportunities</w:t>
      </w:r>
      <w:r w:rsidR="00AB7DDF">
        <w:rPr>
          <w:rFonts w:eastAsiaTheme="minorEastAsia" w:cstheme="minorHAnsi"/>
        </w:rPr>
        <w:t xml:space="preserve"> during procurement. </w:t>
      </w:r>
      <w:r w:rsidR="00F31BEA" w:rsidRPr="009D574F">
        <w:t xml:space="preserve">Additionally, the size of the business can be considered a mitigating factor when considering a supplier’s compliance with the Skills Guarantee PCP. </w:t>
      </w:r>
    </w:p>
    <w:p w14:paraId="593BE216" w14:textId="2EA330FE" w:rsidR="009F19B9" w:rsidRPr="009A73D9" w:rsidRDefault="009F19B9" w:rsidP="006E569B">
      <w:pPr>
        <w:pStyle w:val="Heading3"/>
        <w:rPr>
          <w:rStyle w:val="normaltextrun"/>
        </w:rPr>
      </w:pPr>
      <w:r w:rsidRPr="009A73D9">
        <w:rPr>
          <w:rStyle w:val="normaltextrun"/>
        </w:rPr>
        <w:t>Flagship construction project</w:t>
      </w:r>
      <w:r w:rsidR="0019398A" w:rsidRPr="009A73D9">
        <w:rPr>
          <w:rStyle w:val="normaltextrun"/>
        </w:rPr>
        <w:t xml:space="preserve"> supplier</w:t>
      </w:r>
      <w:r w:rsidRPr="009A73D9">
        <w:rPr>
          <w:rStyle w:val="normaltextrun"/>
        </w:rPr>
        <w:t>s</w:t>
      </w:r>
    </w:p>
    <w:p w14:paraId="55F5EAEC" w14:textId="7732A250" w:rsidR="00642718" w:rsidRPr="009A73D9" w:rsidRDefault="00642718" w:rsidP="006E569B">
      <w:pPr>
        <w:pStyle w:val="Heading4"/>
      </w:pPr>
      <w:r w:rsidRPr="009A73D9">
        <w:t xml:space="preserve">Costs </w:t>
      </w:r>
    </w:p>
    <w:p w14:paraId="67E31A11" w14:textId="2ED6BE7A" w:rsidR="006A4B08" w:rsidRDefault="00FD5F69" w:rsidP="00CD1E37">
      <w:r>
        <w:t>Suppliers will be required to propose more ambitious targets for women and provide a Gender Equality Action Plan</w:t>
      </w:r>
      <w:r w:rsidR="006A4BCA">
        <w:t xml:space="preserve">. </w:t>
      </w:r>
    </w:p>
    <w:p w14:paraId="269BF850" w14:textId="7E845E49" w:rsidR="005E2865" w:rsidRPr="006A4B08" w:rsidRDefault="005E2865" w:rsidP="00CD1E37">
      <w:r>
        <w:t xml:space="preserve">The </w:t>
      </w:r>
      <w:r w:rsidR="00162A19">
        <w:t xml:space="preserve">provision of the Gender Equality Action Plan </w:t>
      </w:r>
      <w:r w:rsidR="004324D4">
        <w:t>is</w:t>
      </w:r>
      <w:r w:rsidR="00023802">
        <w:t xml:space="preserve"> </w:t>
      </w:r>
      <w:r w:rsidR="0022250D">
        <w:t xml:space="preserve">separate to the </w:t>
      </w:r>
      <w:r w:rsidR="004B1411">
        <w:t xml:space="preserve">requirements under the </w:t>
      </w:r>
      <w:r w:rsidR="004B1411" w:rsidRPr="006E569B">
        <w:rPr>
          <w:i/>
          <w:iCs/>
        </w:rPr>
        <w:t xml:space="preserve">Workplace Gender Equality Act 2012 </w:t>
      </w:r>
      <w:r w:rsidR="004B1411">
        <w:t>(Cth)</w:t>
      </w:r>
      <w:r w:rsidR="00652B71">
        <w:rPr>
          <w:rStyle w:val="FootnoteReference"/>
        </w:rPr>
        <w:footnoteReference w:id="77"/>
      </w:r>
      <w:r w:rsidR="009C6ADE">
        <w:t xml:space="preserve"> </w:t>
      </w:r>
      <w:r w:rsidR="004B1411">
        <w:t xml:space="preserve">and </w:t>
      </w:r>
      <w:r w:rsidR="00C04143">
        <w:t>Workplace Gender Equality Procurement Principles</w:t>
      </w:r>
      <w:r w:rsidR="0035070C">
        <w:rPr>
          <w:rStyle w:val="FootnoteReference"/>
        </w:rPr>
        <w:footnoteReference w:id="78"/>
      </w:r>
      <w:r w:rsidR="00BB3C13">
        <w:t xml:space="preserve">. </w:t>
      </w:r>
    </w:p>
    <w:p w14:paraId="501FF6B2" w14:textId="77777777" w:rsidR="00642718" w:rsidRPr="009A73D9" w:rsidRDefault="00642718" w:rsidP="006E569B">
      <w:pPr>
        <w:pStyle w:val="Heading4"/>
      </w:pPr>
      <w:r w:rsidRPr="009A73D9">
        <w:t>Benefits</w:t>
      </w:r>
    </w:p>
    <w:p w14:paraId="0227CC31" w14:textId="5F463210" w:rsidR="006E00B5" w:rsidRDefault="006A4B08" w:rsidP="00CD1E37">
      <w:r>
        <w:t>A</w:t>
      </w:r>
      <w:r w:rsidRPr="00660CD4">
        <w:t>pplying higher targets to flagship construction projects will help accelerate cultural change within the industry and work towards achieving a critical mass of women on major projects. As the exemplar construction project at Cannon Hill under the Queensland Government’s procurement policy has demonstrated, higher targets for women on select projects can inform the wider adoption of targets for women.</w:t>
      </w:r>
    </w:p>
    <w:p w14:paraId="1D9CC74B" w14:textId="6DD9BDB9" w:rsidR="005B26AD" w:rsidRDefault="005B26AD" w:rsidP="00CD1E37">
      <w:r>
        <w:t xml:space="preserve">The Gender Equality Action Plan will </w:t>
      </w:r>
      <w:r w:rsidR="005578B7">
        <w:t>support</w:t>
      </w:r>
      <w:r w:rsidR="00575006">
        <w:t xml:space="preserve"> increasing the proportion of women working on major </w:t>
      </w:r>
      <w:r w:rsidR="00360702">
        <w:t>construction projects</w:t>
      </w:r>
      <w:r w:rsidR="009A55AC">
        <w:t xml:space="preserve"> driving long term change</w:t>
      </w:r>
      <w:r w:rsidR="00773F30">
        <w:t xml:space="preserve"> and</w:t>
      </w:r>
      <w:r w:rsidR="00360702">
        <w:t xml:space="preserve"> </w:t>
      </w:r>
      <w:r>
        <w:t xml:space="preserve">assist sub-contractors </w:t>
      </w:r>
      <w:r w:rsidR="00952F0C">
        <w:t xml:space="preserve">associated with flagship construction projects </w:t>
      </w:r>
      <w:r w:rsidR="00B632D3">
        <w:t xml:space="preserve">to plan and implement similar recruitment and retention strategies </w:t>
      </w:r>
      <w:r w:rsidR="00F60E83">
        <w:t xml:space="preserve">with the </w:t>
      </w:r>
      <w:r w:rsidR="004D2800">
        <w:t xml:space="preserve">lead supplier. </w:t>
      </w:r>
    </w:p>
    <w:p w14:paraId="7FA4A4AF" w14:textId="0A693BCD" w:rsidR="005B26AD" w:rsidRDefault="006A4B08" w:rsidP="00CD1E37">
      <w:r w:rsidRPr="00660CD4">
        <w:lastRenderedPageBreak/>
        <w:t>The lessons learnt from the experience of flagship construction projects and their experiences with cultural change will inform the development of resources to assist suppliers across the industry as the targets for women increase over time.</w:t>
      </w:r>
    </w:p>
    <w:p w14:paraId="4AD4BDD9" w14:textId="54D33C72" w:rsidR="00D777B7" w:rsidRPr="009A73D9" w:rsidRDefault="00D777B7" w:rsidP="00797487">
      <w:pPr>
        <w:pStyle w:val="Heading3"/>
        <w:rPr>
          <w:rStyle w:val="normaltextrun"/>
        </w:rPr>
      </w:pPr>
      <w:r w:rsidRPr="009A73D9">
        <w:rPr>
          <w:rStyle w:val="normaltextrun"/>
        </w:rPr>
        <w:t>Apprentices, trainees</w:t>
      </w:r>
      <w:r w:rsidR="00561C60" w:rsidRPr="009A73D9">
        <w:rPr>
          <w:rStyle w:val="normaltextrun"/>
        </w:rPr>
        <w:t>,</w:t>
      </w:r>
      <w:r w:rsidRPr="009A73D9">
        <w:rPr>
          <w:rStyle w:val="normaltextrun"/>
        </w:rPr>
        <w:t xml:space="preserve"> and ICT cadets  </w:t>
      </w:r>
    </w:p>
    <w:p w14:paraId="5CA8D23F" w14:textId="494940DD" w:rsidR="00D777B7" w:rsidRPr="009A73D9" w:rsidRDefault="00D777B7" w:rsidP="006E569B">
      <w:pPr>
        <w:pStyle w:val="Heading4"/>
      </w:pPr>
      <w:r w:rsidRPr="009A73D9">
        <w:t xml:space="preserve">Costs </w:t>
      </w:r>
    </w:p>
    <w:p w14:paraId="6EDF28B6" w14:textId="24204A3F" w:rsidR="00025143" w:rsidRDefault="00F213E9" w:rsidP="00CD1E37">
      <w:r>
        <w:t>Financial barriers</w:t>
      </w:r>
      <w:r w:rsidR="00795EEE">
        <w:t xml:space="preserve">, particularly </w:t>
      </w:r>
      <w:r w:rsidR="00745573">
        <w:t xml:space="preserve">in the </w:t>
      </w:r>
      <w:r w:rsidR="00795EEE">
        <w:t xml:space="preserve">early </w:t>
      </w:r>
      <w:r w:rsidR="00745573">
        <w:t xml:space="preserve">stages </w:t>
      </w:r>
      <w:r w:rsidR="00DF6EEC">
        <w:t>o</w:t>
      </w:r>
      <w:r w:rsidR="00745573">
        <w:t>f</w:t>
      </w:r>
      <w:r w:rsidR="0073669C">
        <w:t xml:space="preserve"> commencing employment</w:t>
      </w:r>
      <w:r w:rsidR="00745573">
        <w:t>,</w:t>
      </w:r>
      <w:r w:rsidR="003451D9">
        <w:t xml:space="preserve"> may deter </w:t>
      </w:r>
      <w:r w:rsidR="00E32B90">
        <w:t>individuals from completing</w:t>
      </w:r>
      <w:r w:rsidR="00736358">
        <w:t xml:space="preserve"> qualifications</w:t>
      </w:r>
      <w:r w:rsidR="008F35C2">
        <w:t xml:space="preserve"> in construction or ICT. </w:t>
      </w:r>
      <w:r w:rsidR="00E21E71">
        <w:t>Some a</w:t>
      </w:r>
      <w:r w:rsidR="00000F74">
        <w:t>pprentices, trainees</w:t>
      </w:r>
      <w:r w:rsidR="00561C60">
        <w:t>,</w:t>
      </w:r>
      <w:r w:rsidR="00000F74">
        <w:t xml:space="preserve"> and ICT cadets </w:t>
      </w:r>
      <w:r w:rsidR="004A7C75">
        <w:t xml:space="preserve">may </w:t>
      </w:r>
      <w:r w:rsidR="00CD58B8">
        <w:t xml:space="preserve">need to </w:t>
      </w:r>
      <w:r w:rsidR="008539DF">
        <w:t xml:space="preserve">move out of home or </w:t>
      </w:r>
      <w:r w:rsidR="00CD58B8">
        <w:t xml:space="preserve">relocate </w:t>
      </w:r>
      <w:r w:rsidR="00B328D1">
        <w:t>from a regional or remote part of Australia to work and study</w:t>
      </w:r>
      <w:r w:rsidR="00767604">
        <w:t xml:space="preserve">. </w:t>
      </w:r>
      <w:r w:rsidR="00BE1265">
        <w:t xml:space="preserve">While additional </w:t>
      </w:r>
      <w:r w:rsidR="00291CB8">
        <w:t xml:space="preserve">Commonwealth </w:t>
      </w:r>
      <w:r w:rsidR="00BE1265">
        <w:t>support</w:t>
      </w:r>
      <w:r w:rsidR="001542D6">
        <w:t xml:space="preserve"> may be available</w:t>
      </w:r>
      <w:r w:rsidR="00291CB8">
        <w:t>,</w:t>
      </w:r>
      <w:r w:rsidR="00BE1265">
        <w:t xml:space="preserve"> including living away from home allowances and subsidies</w:t>
      </w:r>
      <w:r w:rsidR="00291CB8">
        <w:t>,</w:t>
      </w:r>
      <w:r w:rsidR="00BE1265">
        <w:t xml:space="preserve"> </w:t>
      </w:r>
      <w:r w:rsidR="00385408">
        <w:t xml:space="preserve">housing </w:t>
      </w:r>
      <w:r w:rsidR="00595FA2">
        <w:t xml:space="preserve">affordability </w:t>
      </w:r>
      <w:r w:rsidR="0048204E">
        <w:t xml:space="preserve">differs </w:t>
      </w:r>
      <w:r w:rsidR="0081669F">
        <w:t xml:space="preserve">in locations </w:t>
      </w:r>
      <w:r w:rsidR="008D200D">
        <w:t xml:space="preserve">and </w:t>
      </w:r>
      <w:r w:rsidR="004826F3">
        <w:t xml:space="preserve">housing types. </w:t>
      </w:r>
      <w:r w:rsidR="00A123F6">
        <w:t xml:space="preserve">The </w:t>
      </w:r>
      <w:r w:rsidR="0021785F">
        <w:t xml:space="preserve">Anglicare Australia </w:t>
      </w:r>
      <w:r w:rsidR="00BA2129">
        <w:t>Rental Affordability Snapshot</w:t>
      </w:r>
      <w:r w:rsidR="005E4876">
        <w:t xml:space="preserve"> </w:t>
      </w:r>
      <w:r w:rsidR="00C8259D">
        <w:t>National Report 2023</w:t>
      </w:r>
      <w:r w:rsidR="005E4876">
        <w:rPr>
          <w:rStyle w:val="FootnoteReference"/>
        </w:rPr>
        <w:footnoteReference w:id="79"/>
      </w:r>
      <w:r w:rsidR="00916F9F">
        <w:t xml:space="preserve">, </w:t>
      </w:r>
      <w:r w:rsidR="00C8524B">
        <w:t>outlines the declining affordability for the minimum wage workforce</w:t>
      </w:r>
      <w:r w:rsidR="00D063DB">
        <w:t xml:space="preserve"> and </w:t>
      </w:r>
      <w:r w:rsidR="00117A9F">
        <w:t xml:space="preserve">supply issues in affordable </w:t>
      </w:r>
      <w:r w:rsidR="007818CD">
        <w:t>rental properties.</w:t>
      </w:r>
      <w:r w:rsidR="001B0482">
        <w:t xml:space="preserve"> The report noted that </w:t>
      </w:r>
      <w:r w:rsidR="00E215C3">
        <w:t>out of 45,895 rental listings</w:t>
      </w:r>
      <w:r w:rsidR="0070378D">
        <w:t xml:space="preserve"> </w:t>
      </w:r>
      <w:r w:rsidR="00CD7E73">
        <w:t xml:space="preserve">about 1.3% (582 rentals) </w:t>
      </w:r>
      <w:r w:rsidR="003F7616">
        <w:t>were affordable for a construction worker</w:t>
      </w:r>
      <w:r w:rsidR="004126A5">
        <w:t>.</w:t>
      </w:r>
      <w:r w:rsidR="007818CD">
        <w:t xml:space="preserve"> </w:t>
      </w:r>
      <w:r w:rsidR="00CB0010">
        <w:t xml:space="preserve">With the average </w:t>
      </w:r>
      <w:r w:rsidR="00DF1AD5">
        <w:t xml:space="preserve">entry level </w:t>
      </w:r>
      <w:r w:rsidR="00CB0010">
        <w:t>apprentice</w:t>
      </w:r>
      <w:r w:rsidR="00FC1E4A">
        <w:t xml:space="preserve"> and trainee</w:t>
      </w:r>
      <w:r w:rsidR="00CB0010">
        <w:t xml:space="preserve"> salary</w:t>
      </w:r>
      <w:r w:rsidR="00FC1E4A">
        <w:t xml:space="preserve"> in 2023</w:t>
      </w:r>
      <w:r w:rsidR="009E0ACE">
        <w:rPr>
          <w:rStyle w:val="FootnoteReference"/>
        </w:rPr>
        <w:footnoteReference w:id="80"/>
      </w:r>
      <w:r w:rsidR="00FC1E4A">
        <w:t xml:space="preserve"> </w:t>
      </w:r>
      <w:r w:rsidR="00040B54">
        <w:t xml:space="preserve">approximately </w:t>
      </w:r>
      <w:r w:rsidR="00AB136D">
        <w:t>$56,942</w:t>
      </w:r>
      <w:r w:rsidR="00757AE5">
        <w:t xml:space="preserve">, varying </w:t>
      </w:r>
      <w:r w:rsidR="00FD39D9">
        <w:t xml:space="preserve">due to </w:t>
      </w:r>
      <w:r w:rsidR="00911744">
        <w:t>several</w:t>
      </w:r>
      <w:r w:rsidR="00FD39D9">
        <w:t xml:space="preserve"> factors including </w:t>
      </w:r>
      <w:r w:rsidR="003A0102">
        <w:t>the amount of time</w:t>
      </w:r>
      <w:r w:rsidR="009F2602">
        <w:t xml:space="preserve"> to complete the qualification</w:t>
      </w:r>
      <w:r w:rsidR="00FD39D9">
        <w:t>, age of worker</w:t>
      </w:r>
      <w:r w:rsidR="003623FA">
        <w:t xml:space="preserve"> and </w:t>
      </w:r>
      <w:r w:rsidR="00D53DCE">
        <w:t xml:space="preserve">the </w:t>
      </w:r>
      <w:r w:rsidR="009F2602">
        <w:t xml:space="preserve">number of </w:t>
      </w:r>
      <w:r w:rsidR="003623FA">
        <w:t>compe</w:t>
      </w:r>
      <w:r w:rsidR="000A20AE">
        <w:t>tencies</w:t>
      </w:r>
      <w:r w:rsidR="00855CFF">
        <w:t xml:space="preserve"> completed, a </w:t>
      </w:r>
      <w:r w:rsidR="008874FE">
        <w:t xml:space="preserve">significant proportion of salary may be </w:t>
      </w:r>
      <w:r w:rsidR="000C37AE">
        <w:t>required for a household budget</w:t>
      </w:r>
      <w:r w:rsidR="006B45C7">
        <w:t xml:space="preserve"> </w:t>
      </w:r>
      <w:r w:rsidR="00F34667">
        <w:t>impacting well-being</w:t>
      </w:r>
      <w:r w:rsidR="001F4704">
        <w:t xml:space="preserve"> and engagement with employment. </w:t>
      </w:r>
      <w:r w:rsidR="00E0643A">
        <w:t xml:space="preserve">As the </w:t>
      </w:r>
      <w:r w:rsidR="00E846DE">
        <w:t xml:space="preserve">cost to apprentices </w:t>
      </w:r>
      <w:r w:rsidR="00C6341C">
        <w:t xml:space="preserve">to relocate </w:t>
      </w:r>
      <w:r w:rsidR="00427FF3">
        <w:t xml:space="preserve">for </w:t>
      </w:r>
      <w:r w:rsidR="001F3633">
        <w:t>work and study is already exp</w:t>
      </w:r>
      <w:r w:rsidR="0032535D">
        <w:t>erienced under the status quo</w:t>
      </w:r>
      <w:r w:rsidR="00BF25CA">
        <w:t xml:space="preserve"> and is</w:t>
      </w:r>
      <w:r w:rsidR="00BF3720">
        <w:t xml:space="preserve"> only applicable to some </w:t>
      </w:r>
      <w:r w:rsidR="006C70A6">
        <w:t>learners</w:t>
      </w:r>
      <w:r w:rsidR="0032535D">
        <w:t xml:space="preserve">, the department </w:t>
      </w:r>
      <w:r w:rsidR="005D4CF5">
        <w:t xml:space="preserve">expects the additional relocation cost resulting from Option 2 to be </w:t>
      </w:r>
      <w:r w:rsidR="006C70A6">
        <w:t>limited and</w:t>
      </w:r>
      <w:r w:rsidR="005D4CF5">
        <w:t xml:space="preserve"> has therefore not included a regulatory burden estimate. </w:t>
      </w:r>
    </w:p>
    <w:p w14:paraId="1FD01201" w14:textId="003228BD" w:rsidR="00707352" w:rsidRDefault="002E4853" w:rsidP="00CD1E37">
      <w:r>
        <w:t xml:space="preserve">Challenges </w:t>
      </w:r>
      <w:r w:rsidR="00F36961">
        <w:t>to sustain</w:t>
      </w:r>
      <w:r>
        <w:t xml:space="preserve"> confidence to </w:t>
      </w:r>
      <w:r w:rsidR="006F61BC">
        <w:t xml:space="preserve">maintain employment </w:t>
      </w:r>
      <w:r w:rsidR="00042C4B">
        <w:t xml:space="preserve">when completion rates </w:t>
      </w:r>
      <w:r w:rsidR="005D369A">
        <w:t xml:space="preserve">are low </w:t>
      </w:r>
      <w:r w:rsidR="00F36961">
        <w:t xml:space="preserve">and </w:t>
      </w:r>
      <w:r w:rsidR="00356FA4">
        <w:t xml:space="preserve">there is a </w:t>
      </w:r>
      <w:r w:rsidR="00F36961">
        <w:t xml:space="preserve">lack of mentors in the industry due to skills shortages. </w:t>
      </w:r>
    </w:p>
    <w:p w14:paraId="01198375" w14:textId="61B46927" w:rsidR="00D777B7" w:rsidRPr="009A73D9" w:rsidRDefault="00D777B7" w:rsidP="006E569B">
      <w:pPr>
        <w:pStyle w:val="Heading4"/>
        <w:rPr>
          <w:rStyle w:val="normaltextrun"/>
        </w:rPr>
      </w:pPr>
      <w:r w:rsidRPr="009A73D9">
        <w:rPr>
          <w:rStyle w:val="normaltextrun"/>
        </w:rPr>
        <w:t>Benefits</w:t>
      </w:r>
    </w:p>
    <w:p w14:paraId="3294FCC2" w14:textId="623BA1B0" w:rsidR="0046668C" w:rsidRPr="0014504A" w:rsidRDefault="00D613A7" w:rsidP="00CD1E37">
      <w:pPr>
        <w:rPr>
          <w:rStyle w:val="normaltextrun"/>
          <w:color w:val="000000" w:themeColor="text1"/>
        </w:rPr>
      </w:pPr>
      <w:r>
        <w:t xml:space="preserve">An apprenticeship, traineeship or ICT cadetship </w:t>
      </w:r>
      <w:r w:rsidR="00081B42">
        <w:t xml:space="preserve">provides the opportunity </w:t>
      </w:r>
      <w:r w:rsidR="008B2240">
        <w:t>to receive training while earning an income</w:t>
      </w:r>
      <w:r w:rsidR="008B2240" w:rsidRPr="0014504A">
        <w:rPr>
          <w:color w:val="000000" w:themeColor="text1"/>
        </w:rPr>
        <w:t xml:space="preserve">. </w:t>
      </w:r>
    </w:p>
    <w:p w14:paraId="2B9B463E" w14:textId="7A8E8B8A" w:rsidR="003617FE" w:rsidRPr="00CD7D31" w:rsidRDefault="003617FE" w:rsidP="00CD1E37">
      <w:pPr>
        <w:rPr>
          <w:rStyle w:val="normaltextrun"/>
          <w:color w:val="000000" w:themeColor="text1"/>
        </w:rPr>
      </w:pPr>
      <w:r>
        <w:rPr>
          <w:rStyle w:val="normaltextrun"/>
          <w:rFonts w:eastAsiaTheme="minorEastAsia" w:cstheme="minorHAnsi"/>
        </w:rPr>
        <w:t>An apprenticeship may be the primary entry pathway in many trade occupations, such as construction, and be mandated as part of licencing requirements for qualified trades people.</w:t>
      </w:r>
      <w:r w:rsidR="00CD7D31">
        <w:rPr>
          <w:rStyle w:val="normaltextrun"/>
          <w:rFonts w:eastAsiaTheme="minorEastAsia" w:cstheme="minorHAnsi"/>
        </w:rPr>
        <w:t xml:space="preserve"> </w:t>
      </w:r>
      <w:r w:rsidR="00CD7D31" w:rsidRPr="0014504A">
        <w:rPr>
          <w:rStyle w:val="normaltextrun"/>
          <w:color w:val="000000" w:themeColor="text1"/>
        </w:rPr>
        <w:t xml:space="preserve">On-the-job training </w:t>
      </w:r>
      <w:r w:rsidR="00CD7D31">
        <w:rPr>
          <w:rStyle w:val="normaltextrun"/>
          <w:color w:val="000000" w:themeColor="text1"/>
        </w:rPr>
        <w:t xml:space="preserve">can </w:t>
      </w:r>
      <w:r w:rsidR="00CD7D31" w:rsidRPr="0014504A">
        <w:rPr>
          <w:rStyle w:val="normaltextrun"/>
          <w:color w:val="000000" w:themeColor="text1"/>
        </w:rPr>
        <w:t xml:space="preserve">facilitate an environment in which people who have not worked before </w:t>
      </w:r>
      <w:r w:rsidR="00CD7D31">
        <w:rPr>
          <w:rStyle w:val="normaltextrun"/>
          <w:color w:val="000000" w:themeColor="text1"/>
        </w:rPr>
        <w:t>a smoother transition into new industries</w:t>
      </w:r>
      <w:r w:rsidR="00CD7D31" w:rsidRPr="0014504A">
        <w:rPr>
          <w:rStyle w:val="normaltextrun"/>
          <w:color w:val="000000" w:themeColor="text1"/>
        </w:rPr>
        <w:t>.</w:t>
      </w:r>
      <w:r w:rsidR="00CD7D31">
        <w:rPr>
          <w:rStyle w:val="normaltextrun"/>
          <w:color w:val="000000" w:themeColor="text1"/>
        </w:rPr>
        <w:t xml:space="preserve"> </w:t>
      </w:r>
      <w:r w:rsidRPr="00344C59">
        <w:rPr>
          <w:rStyle w:val="normaltextrun"/>
          <w:rFonts w:eastAsiaTheme="minorEastAsia" w:cstheme="minorHAnsi"/>
        </w:rPr>
        <w:t>The Skills Guarantee will increase opportunities for prospective apprentices</w:t>
      </w:r>
      <w:r>
        <w:rPr>
          <w:rStyle w:val="normaltextrun"/>
          <w:rFonts w:eastAsiaTheme="minorEastAsia" w:cstheme="minorHAnsi"/>
        </w:rPr>
        <w:t>, trainees, and ICT cadets</w:t>
      </w:r>
      <w:r w:rsidRPr="00344C59">
        <w:rPr>
          <w:rStyle w:val="normaltextrun"/>
          <w:rFonts w:eastAsiaTheme="minorEastAsia" w:cstheme="minorHAnsi"/>
        </w:rPr>
        <w:t xml:space="preserve"> and create demand for commencements in key industries</w:t>
      </w:r>
      <w:r>
        <w:rPr>
          <w:rStyle w:val="normaltextrun"/>
          <w:rFonts w:eastAsiaTheme="minorEastAsia" w:cstheme="minorHAnsi"/>
        </w:rPr>
        <w:t xml:space="preserve"> through targets applied from Commonwealth procurement. </w:t>
      </w:r>
    </w:p>
    <w:p w14:paraId="52558B24" w14:textId="4769DC84" w:rsidR="003617FE" w:rsidRDefault="003617FE" w:rsidP="00CD1E37">
      <w:r w:rsidRPr="00C62B46">
        <w:t>The VET National Data Asset (VNDA) Report</w:t>
      </w:r>
      <w:r w:rsidRPr="00C62B46">
        <w:rPr>
          <w:vertAlign w:val="superscript"/>
        </w:rPr>
        <w:footnoteReference w:id="81"/>
      </w:r>
      <w:r w:rsidRPr="00C62B46">
        <w:t>, released 16 November 2023, identified apprentices and trainees made up 19.69% of participants completing a Certificate III in Information Technology in 2018-2019, for example, and upon completion saw an 18.48% increase in employment rate and $10,851 median increase in income, with a further 12.54% progressing to further higher education or study. The minimum participation requirements will benefit prospective apprentices, trainees</w:t>
      </w:r>
      <w:r w:rsidR="00B85AED">
        <w:t>,</w:t>
      </w:r>
      <w:r w:rsidRPr="00C62B46">
        <w:t xml:space="preserve"> and </w:t>
      </w:r>
      <w:r w:rsidR="00B85AED">
        <w:t xml:space="preserve">ICT </w:t>
      </w:r>
      <w:r w:rsidRPr="00C62B46">
        <w:lastRenderedPageBreak/>
        <w:t xml:space="preserve">cadets by increasing employment opportunities in construction and ICT industries, increasing earning and workforce stability over time. </w:t>
      </w:r>
    </w:p>
    <w:p w14:paraId="29E3E6D7" w14:textId="587C6F5C" w:rsidR="0062207A" w:rsidRDefault="00834003" w:rsidP="0062207A">
      <w:r>
        <w:t xml:space="preserve">The benefit to apprentices and trainees can be demonstrated by </w:t>
      </w:r>
      <w:r w:rsidR="00077EA1">
        <w:t xml:space="preserve">considering the </w:t>
      </w:r>
      <w:r w:rsidR="00B8345C">
        <w:t>Victorian Government’s MPSG</w:t>
      </w:r>
      <w:r w:rsidR="006B7EF7">
        <w:t>, noting that the Skills Guarantee is subject to a different financial threshold</w:t>
      </w:r>
      <w:r w:rsidR="00B8345C">
        <w:t xml:space="preserve">. </w:t>
      </w:r>
      <w:r w:rsidR="006B7EF7">
        <w:t>T</w:t>
      </w:r>
      <w:r w:rsidR="00650FC6">
        <w:t xml:space="preserve">he MPSG is part of the Local Jobs Act and requires contractors to deliver at least 10 per cent of labour hours using apprentices, trainees and cadets to all Victorian Government construction, infrastructure, civil engineering, and capital projects valued at $20 million or above. </w:t>
      </w:r>
      <w:r w:rsidR="00650FC6" w:rsidRPr="00CE6F4D">
        <w:t xml:space="preserve">Since </w:t>
      </w:r>
      <w:r w:rsidR="00650FC6">
        <w:t xml:space="preserve">the introduction of the MPSG in </w:t>
      </w:r>
      <w:r w:rsidR="00650FC6" w:rsidRPr="00CE6F4D">
        <w:t xml:space="preserve">2016 </w:t>
      </w:r>
      <w:r w:rsidR="00650FC6">
        <w:t>until</w:t>
      </w:r>
      <w:r w:rsidR="00650FC6" w:rsidRPr="00CE6F4D">
        <w:t xml:space="preserve"> 30 March 2022, the MPSG has been applied to 265 projects worth $117.4 billion</w:t>
      </w:r>
      <w:r w:rsidR="00650FC6">
        <w:t xml:space="preserve"> of more than 12.6 million contracted hours </w:t>
      </w:r>
      <w:r w:rsidR="00650FC6" w:rsidRPr="00CE6F4D">
        <w:t>and supported 3,716 apprentices, 1,544 trainees, 1,357 cadets across 7.9 million labour hours.</w:t>
      </w:r>
      <w:r w:rsidR="00650FC6">
        <w:rPr>
          <w:rStyle w:val="FootnoteReference"/>
        </w:rPr>
        <w:footnoteReference w:id="82"/>
      </w:r>
      <w:r w:rsidR="00650FC6">
        <w:t xml:space="preserve"> </w:t>
      </w:r>
    </w:p>
    <w:p w14:paraId="50A75E60" w14:textId="10431E06" w:rsidR="0062207A" w:rsidRDefault="0062207A" w:rsidP="0062207A">
      <w:pPr>
        <w:rPr>
          <w:rStyle w:val="eop"/>
          <w:rFonts w:cstheme="minorHAnsi"/>
        </w:rPr>
      </w:pPr>
      <w:r>
        <w:rPr>
          <w:rStyle w:val="normaltextrun"/>
          <w:rFonts w:eastAsiaTheme="minorEastAsia" w:cstheme="minorHAnsi"/>
        </w:rPr>
        <w:t>In addition, i</w:t>
      </w:r>
      <w:r w:rsidRPr="00344C59">
        <w:rPr>
          <w:rStyle w:val="normaltextrun"/>
          <w:rFonts w:eastAsiaTheme="minorEastAsia" w:cstheme="minorHAnsi"/>
        </w:rPr>
        <w:t xml:space="preserve">n the longer term, </w:t>
      </w:r>
      <w:r>
        <w:rPr>
          <w:rStyle w:val="normaltextrun"/>
          <w:rFonts w:eastAsiaTheme="minorEastAsia" w:cstheme="minorHAnsi"/>
        </w:rPr>
        <w:t>the Skills Guarantee</w:t>
      </w:r>
      <w:r w:rsidRPr="00344C59">
        <w:rPr>
          <w:rStyle w:val="normaltextrun"/>
          <w:rFonts w:eastAsiaTheme="minorEastAsia" w:cstheme="minorHAnsi"/>
        </w:rPr>
        <w:t xml:space="preserve"> would help unskilled and semi-skilled workers enter higher paying and secure tra</w:t>
      </w:r>
      <w:r>
        <w:rPr>
          <w:rStyle w:val="normaltextrun"/>
          <w:rFonts w:eastAsiaTheme="minorEastAsia" w:cstheme="minorHAnsi"/>
        </w:rPr>
        <w:t>de or ICT</w:t>
      </w:r>
      <w:r w:rsidRPr="00344C59">
        <w:rPr>
          <w:rStyle w:val="normaltextrun"/>
          <w:rFonts w:eastAsiaTheme="minorEastAsia" w:cstheme="minorHAnsi"/>
        </w:rPr>
        <w:t xml:space="preserve"> roles</w:t>
      </w:r>
      <w:r>
        <w:rPr>
          <w:rStyle w:val="normaltextrun"/>
          <w:rFonts w:eastAsiaTheme="minorEastAsia" w:cstheme="minorHAnsi"/>
        </w:rPr>
        <w:t xml:space="preserve"> with</w:t>
      </w:r>
      <w:r w:rsidRPr="00344C59">
        <w:rPr>
          <w:rStyle w:val="normaltextrun"/>
          <w:rFonts w:eastAsiaTheme="minorEastAsia" w:cstheme="minorHAnsi"/>
        </w:rPr>
        <w:t xml:space="preserve"> </w:t>
      </w:r>
      <w:r>
        <w:rPr>
          <w:rStyle w:val="normaltextrun"/>
          <w:rFonts w:eastAsiaTheme="minorEastAsia" w:cstheme="minorHAnsi"/>
        </w:rPr>
        <w:t>additional benefits, including working unsupervised for the individual and broader economic benefits to</w:t>
      </w:r>
      <w:r w:rsidRPr="00344C59">
        <w:rPr>
          <w:rStyle w:val="normaltextrun"/>
          <w:rFonts w:eastAsiaTheme="minorEastAsia" w:cstheme="minorHAnsi"/>
        </w:rPr>
        <w:t xml:space="preserve"> society. </w:t>
      </w:r>
      <w:r w:rsidRPr="00344C59">
        <w:rPr>
          <w:rStyle w:val="eop"/>
          <w:rFonts w:cstheme="minorHAnsi"/>
        </w:rPr>
        <w:t> </w:t>
      </w:r>
    </w:p>
    <w:p w14:paraId="04BFFE71" w14:textId="56F801B1" w:rsidR="0083147C" w:rsidRPr="0062207A" w:rsidRDefault="009407BF" w:rsidP="00CD1E37">
      <w:pPr>
        <w:rPr>
          <w:rFonts w:cstheme="minorHAnsi"/>
        </w:rPr>
      </w:pPr>
      <w:r>
        <w:t>Apprentices and trainees may also be eligible for Commonwealth support</w:t>
      </w:r>
      <w:r>
        <w:rPr>
          <w:rStyle w:val="FootnoteReference"/>
        </w:rPr>
        <w:footnoteReference w:id="83"/>
      </w:r>
      <w:r>
        <w:t xml:space="preserve"> including </w:t>
      </w:r>
      <w:r w:rsidRPr="192C8392">
        <w:rPr>
          <w:rFonts w:eastAsia="Times New Roman" w:cs="Times New Roman"/>
        </w:rPr>
        <w:t>up to 2 years financial assistance</w:t>
      </w:r>
      <w:r>
        <w:t xml:space="preserve"> through Australian Apprentice Training Support Payment</w:t>
      </w:r>
      <w:r w:rsidRPr="192C8392">
        <w:rPr>
          <w:rFonts w:eastAsia="Times New Roman" w:cs="Times New Roman"/>
        </w:rPr>
        <w:t xml:space="preserve"> if undertaking Cert III and above in an occupation on the </w:t>
      </w:r>
      <w:hyperlink r:id="rId14">
        <w:r>
          <w:t>Australian Apprenticeships Priority List</w:t>
        </w:r>
      </w:hyperlink>
      <w:r>
        <w:t xml:space="preserve"> ($</w:t>
      </w:r>
      <w:r w:rsidRPr="192C8392">
        <w:rPr>
          <w:rFonts w:eastAsia="Times New Roman" w:cs="Times New Roman"/>
        </w:rPr>
        <w:t>1,250 for full-time apprentice and $625 for part-time apprentice every 6 months for first two years)</w:t>
      </w:r>
      <w:r>
        <w:rPr>
          <w:rFonts w:eastAsia="Times New Roman" w:cs="Times New Roman"/>
        </w:rPr>
        <w:t>,</w:t>
      </w:r>
      <w:r w:rsidRPr="192C8392">
        <w:rPr>
          <w:rFonts w:eastAsia="Times New Roman" w:cs="Times New Roman"/>
        </w:rPr>
        <w:t xml:space="preserve"> </w:t>
      </w:r>
      <w:r>
        <w:t>New Energy Apprentice Support Payment</w:t>
      </w:r>
      <w:r w:rsidRPr="192C8392">
        <w:rPr>
          <w:rFonts w:eastAsia="Times New Roman" w:cs="Times New Roman"/>
        </w:rPr>
        <w:t xml:space="preserve"> for eligible apprentices working in the clean energy sector as identified on the Australian Apprenticeships Priority List</w:t>
      </w:r>
      <w:r>
        <w:rPr>
          <w:rFonts w:eastAsia="Times New Roman" w:cs="Times New Roman"/>
        </w:rPr>
        <w:t>,</w:t>
      </w:r>
      <w:r w:rsidRPr="192C8392">
        <w:rPr>
          <w:rFonts w:eastAsia="Times New Roman" w:cs="Times New Roman"/>
        </w:rPr>
        <w:t xml:space="preserve"> Living away from home allowance for eligible apprentices that move away from parents or guardians to start/remain/receive essential supplementary on-the-job training with another employer, </w:t>
      </w:r>
      <w:hyperlink r:id="rId15">
        <w:r w:rsidRPr="192C8392">
          <w:rPr>
            <w:rFonts w:cs="Times New Roman"/>
          </w:rPr>
          <w:t>Trade Support Loans Scheme</w:t>
        </w:r>
      </w:hyperlink>
      <w:r w:rsidRPr="192C8392">
        <w:rPr>
          <w:rFonts w:eastAsia="Times New Roman" w:cs="Times New Roman"/>
        </w:rPr>
        <w:t xml:space="preserve"> receive up to $24,492 over their eligible apprenticeship (including the </w:t>
      </w:r>
      <w:hyperlink r:id="rId16">
        <w:r w:rsidRPr="192C8392">
          <w:rPr>
            <w:rFonts w:cs="Times New Roman"/>
          </w:rPr>
          <w:t>Trade Support Loans Qualifications List</w:t>
        </w:r>
      </w:hyperlink>
      <w:r w:rsidRPr="192C8392">
        <w:rPr>
          <w:rFonts w:eastAsia="Times New Roman" w:cs="Times New Roman"/>
        </w:rPr>
        <w:t xml:space="preserve"> and the </w:t>
      </w:r>
      <w:hyperlink r:id="rId17">
        <w:r w:rsidRPr="192C8392">
          <w:rPr>
            <w:rFonts w:cs="Times New Roman"/>
          </w:rPr>
          <w:t>Trade Support Loans Priority List</w:t>
        </w:r>
      </w:hyperlink>
      <w:r w:rsidRPr="192C8392">
        <w:rPr>
          <w:rFonts w:eastAsia="Times New Roman" w:cs="Times New Roman"/>
        </w:rPr>
        <w:t>) and are interest free but annually indexed with CPI, apprentices can opt in or out over the course of their apprenticeship and there is no waiting period to claim to help with the cost of living and is complementary to the Incentives System.</w:t>
      </w:r>
    </w:p>
    <w:p w14:paraId="2DD5B1C7" w14:textId="7B4A979F" w:rsidR="00BB2685" w:rsidRPr="00224FE9" w:rsidRDefault="003F1793" w:rsidP="00797487">
      <w:pPr>
        <w:pStyle w:val="Heading3"/>
      </w:pPr>
      <w:r w:rsidRPr="00224FE9">
        <w:t xml:space="preserve">Women </w:t>
      </w:r>
      <w:r w:rsidR="00842C7A" w:rsidRPr="00224FE9">
        <w:t>in</w:t>
      </w:r>
      <w:r w:rsidRPr="00224FE9">
        <w:t xml:space="preserve"> the</w:t>
      </w:r>
      <w:r w:rsidR="00BB2685" w:rsidRPr="00224FE9">
        <w:t xml:space="preserve"> construction and ICT</w:t>
      </w:r>
      <w:r w:rsidRPr="00224FE9">
        <w:t xml:space="preserve"> workforces</w:t>
      </w:r>
    </w:p>
    <w:p w14:paraId="763E9017" w14:textId="77777777" w:rsidR="00B15D50" w:rsidRPr="005E1D01" w:rsidRDefault="00B15D50" w:rsidP="00C11106">
      <w:pPr>
        <w:pStyle w:val="Heading4"/>
      </w:pPr>
      <w:r w:rsidRPr="005E1D01">
        <w:t xml:space="preserve">Costs </w:t>
      </w:r>
    </w:p>
    <w:p w14:paraId="6E0E8072" w14:textId="4E493A3C" w:rsidR="00C9084F" w:rsidRDefault="00B4660A" w:rsidP="00CD1E37">
      <w:r>
        <w:t>A</w:t>
      </w:r>
      <w:r w:rsidRPr="000406E3">
        <w:t xml:space="preserve"> number of structural problems underpin occupational gender segregation, and broader cultural and systemic changes are required to tackle this issue.</w:t>
      </w:r>
      <w:r w:rsidR="008D7269">
        <w:t xml:space="preserve"> </w:t>
      </w:r>
      <w:r w:rsidR="00D430B2" w:rsidRPr="00AB10F7">
        <w:t>Women are more likely to observe bullying in the workplace during their training. Around 30.9% per cent of women and 21.6% per cent of men in apprenticeships reported observing bullying in the workplace</w:t>
      </w:r>
      <w:r w:rsidR="00D430B2">
        <w:t>.</w:t>
      </w:r>
      <w:r w:rsidR="00D430B2">
        <w:rPr>
          <w:rStyle w:val="FootnoteReference"/>
        </w:rPr>
        <w:footnoteReference w:id="84"/>
      </w:r>
      <w:r w:rsidR="00D430B2">
        <w:t xml:space="preserve"> A</w:t>
      </w:r>
      <w:r w:rsidR="00D430B2" w:rsidRPr="007D0999">
        <w:t>ccording to the 2018 National Survey on Workplace Sexual Harassment</w:t>
      </w:r>
      <w:r w:rsidR="00D430B2">
        <w:t>,</w:t>
      </w:r>
      <w:r w:rsidR="00D430B2" w:rsidRPr="007D0999">
        <w:t xml:space="preserve"> </w:t>
      </w:r>
      <w:r w:rsidR="00D430B2">
        <w:t xml:space="preserve">it is estimated that </w:t>
      </w:r>
      <w:r w:rsidR="00D430B2" w:rsidRPr="007D0999">
        <w:t>51</w:t>
      </w:r>
      <w:r w:rsidR="00D430B2">
        <w:t xml:space="preserve">% </w:t>
      </w:r>
      <w:r w:rsidR="00D430B2" w:rsidRPr="007D0999">
        <w:t>of women</w:t>
      </w:r>
      <w:r w:rsidR="00D430B2">
        <w:t xml:space="preserve"> (compared to an estimated 12% of men)</w:t>
      </w:r>
      <w:r w:rsidR="00D430B2" w:rsidRPr="007D0999">
        <w:t xml:space="preserve"> working in construction had experienced sexual harassment.</w:t>
      </w:r>
      <w:r w:rsidR="00D430B2">
        <w:rPr>
          <w:rStyle w:val="FootnoteReference"/>
        </w:rPr>
        <w:footnoteReference w:id="85"/>
      </w:r>
      <w:r w:rsidR="00D430B2">
        <w:t xml:space="preserve"> </w:t>
      </w:r>
      <w:r w:rsidR="008D7269">
        <w:t xml:space="preserve">The risks of workplace </w:t>
      </w:r>
      <w:r w:rsidR="00691F1C">
        <w:t>bullying,</w:t>
      </w:r>
      <w:r w:rsidR="008D7269">
        <w:t xml:space="preserve"> and harassment cannot be fully mitigated through the implementation of the Skills Guarantee</w:t>
      </w:r>
      <w:r w:rsidR="00EC0498">
        <w:t xml:space="preserve">. </w:t>
      </w:r>
      <w:r w:rsidR="006F7C06">
        <w:t>Employer bias and</w:t>
      </w:r>
      <w:r w:rsidR="00035363">
        <w:t xml:space="preserve"> cultural fit </w:t>
      </w:r>
      <w:r w:rsidR="00FC2427">
        <w:t xml:space="preserve">with those already in the workforce </w:t>
      </w:r>
      <w:r w:rsidR="005670DC">
        <w:t xml:space="preserve">may impact </w:t>
      </w:r>
      <w:r w:rsidR="00C9084F">
        <w:t xml:space="preserve">supplier conceptions or </w:t>
      </w:r>
      <w:r w:rsidR="00C9084F">
        <w:lastRenderedPageBreak/>
        <w:t>unconscious bias about women’s capabilities to perform in trades creating a deterrent or barrier for women in a construction occupation</w:t>
      </w:r>
      <w:r w:rsidR="00E87304">
        <w:t xml:space="preserve"> or </w:t>
      </w:r>
      <w:r w:rsidR="00D53E3B">
        <w:t>the expectation that women will leave the workforce to have children and that training would be a waste of time and resources</w:t>
      </w:r>
      <w:r w:rsidR="00C9084F">
        <w:t xml:space="preserve">. </w:t>
      </w:r>
    </w:p>
    <w:p w14:paraId="2C0B995F" w14:textId="47EF3CE9" w:rsidR="00FF0837" w:rsidRDefault="00351DDD" w:rsidP="00CD1E37">
      <w:r>
        <w:t>To mitigate this risk, s</w:t>
      </w:r>
      <w:r w:rsidR="00D819D2">
        <w:t xml:space="preserve">uppliers may </w:t>
      </w:r>
      <w:r w:rsidR="00E80BE7">
        <w:t xml:space="preserve">be required to establish </w:t>
      </w:r>
      <w:r w:rsidR="00DA259D">
        <w:t xml:space="preserve">a range of </w:t>
      </w:r>
      <w:r w:rsidR="00E80BE7">
        <w:t xml:space="preserve">additional </w:t>
      </w:r>
      <w:r w:rsidR="00DA259D">
        <w:t xml:space="preserve">practices, processes and </w:t>
      </w:r>
      <w:r w:rsidR="00E80BE7">
        <w:t xml:space="preserve">support networks for </w:t>
      </w:r>
      <w:r w:rsidR="00F638E4">
        <w:t>apprentices, trainees</w:t>
      </w:r>
      <w:r w:rsidR="00ED1FF9">
        <w:t>,</w:t>
      </w:r>
      <w:r w:rsidR="00F638E4">
        <w:t xml:space="preserve"> and ICT cadets, in particular women, that </w:t>
      </w:r>
      <w:r w:rsidR="00D705B8">
        <w:t>may be</w:t>
      </w:r>
      <w:r w:rsidR="00F638E4">
        <w:t xml:space="preserve"> subject to bullying and discrimination in the workplace and at training. </w:t>
      </w:r>
    </w:p>
    <w:p w14:paraId="16FA6691" w14:textId="6439F499" w:rsidR="00B15D50" w:rsidRPr="00224FE9" w:rsidRDefault="00B15D50" w:rsidP="00C11106">
      <w:pPr>
        <w:pStyle w:val="Heading4"/>
      </w:pPr>
      <w:r w:rsidRPr="00224FE9">
        <w:t>Benefits</w:t>
      </w:r>
    </w:p>
    <w:p w14:paraId="01B39271" w14:textId="77777777" w:rsidR="00CA4221" w:rsidRDefault="00CA4221" w:rsidP="00CD1E37">
      <w:r>
        <w:t>Successful implementation of th</w:t>
      </w:r>
      <w:r w:rsidR="00DD2384">
        <w:t xml:space="preserve">e Skills Guarantee </w:t>
      </w:r>
      <w:r w:rsidR="00DC43CF">
        <w:t xml:space="preserve">targets </w:t>
      </w:r>
      <w:r w:rsidR="00DD2384">
        <w:t>will increase female participation in</w:t>
      </w:r>
      <w:r w:rsidR="001D721A">
        <w:t xml:space="preserve"> the</w:t>
      </w:r>
      <w:r w:rsidR="00DD2384">
        <w:t xml:space="preserve"> construction and ICT sectors.</w:t>
      </w:r>
      <w:r>
        <w:t xml:space="preserve"> </w:t>
      </w:r>
    </w:p>
    <w:p w14:paraId="196C8A2E" w14:textId="4A88EB31" w:rsidR="005151FB" w:rsidRPr="00A5093C" w:rsidRDefault="0039711A" w:rsidP="00CD1E37">
      <w:r>
        <w:t xml:space="preserve">The </w:t>
      </w:r>
      <w:r w:rsidR="00957489">
        <w:t xml:space="preserve">initial </w:t>
      </w:r>
      <w:r w:rsidR="008B2762" w:rsidRPr="00A5093C">
        <w:t xml:space="preserve">Skills Guarantee PCP targets for women in eligible projects </w:t>
      </w:r>
      <w:r>
        <w:t xml:space="preserve">from 1 July 2024 </w:t>
      </w:r>
      <w:r w:rsidR="008B2762" w:rsidRPr="00A5093C">
        <w:t xml:space="preserve">have been set less than 1% above the June 2022 rates of participation of women, 5.2 % in apprenticeships and traineeships and 3.3% in trade apprenticeships respectively. </w:t>
      </w:r>
      <w:r w:rsidR="00D73D17" w:rsidRPr="00A5093C">
        <w:t>T</w:t>
      </w:r>
      <w:r w:rsidR="008B2762" w:rsidRPr="00A5093C">
        <w:t xml:space="preserve">hese </w:t>
      </w:r>
      <w:r w:rsidR="003E6553" w:rsidRPr="00A5093C">
        <w:t>t</w:t>
      </w:r>
      <w:r w:rsidR="00D73D17" w:rsidRPr="00A5093C">
        <w:t>argets align with broader initiatives to improve the diversity of workplaces</w:t>
      </w:r>
      <w:r w:rsidR="00830591" w:rsidRPr="00A5093C">
        <w:t>, such as</w:t>
      </w:r>
      <w:r w:rsidR="00BB5BE8" w:rsidRPr="00A5093C">
        <w:t xml:space="preserve"> the implementation of the Respect@Work laws</w:t>
      </w:r>
      <w:r w:rsidR="00327E53" w:rsidRPr="00A5093C">
        <w:t xml:space="preserve"> </w:t>
      </w:r>
      <w:r w:rsidR="00BB5BE8" w:rsidRPr="00A5093C">
        <w:t xml:space="preserve">and </w:t>
      </w:r>
      <w:r w:rsidR="00830591" w:rsidRPr="00A5093C">
        <w:t>recommendation</w:t>
      </w:r>
      <w:r w:rsidR="0090066C" w:rsidRPr="00A5093C">
        <w:t xml:space="preserve"> 3</w:t>
      </w:r>
      <w:r w:rsidR="003D271E" w:rsidRPr="00A5093C">
        <w:t>a</w:t>
      </w:r>
      <w:r w:rsidR="00830591" w:rsidRPr="00A5093C">
        <w:t xml:space="preserve"> from the </w:t>
      </w:r>
      <w:r w:rsidR="00D73D17" w:rsidRPr="00A5093C">
        <w:t xml:space="preserve">2021 Review of the </w:t>
      </w:r>
      <w:r w:rsidR="00D73D17" w:rsidRPr="00717657">
        <w:rPr>
          <w:i/>
          <w:iCs/>
        </w:rPr>
        <w:t>Workplace Gender Equality Act 2012</w:t>
      </w:r>
      <w:r w:rsidR="00790CB7" w:rsidRPr="00A5093C">
        <w:rPr>
          <w:vertAlign w:val="superscript"/>
        </w:rPr>
        <w:footnoteReference w:id="86"/>
      </w:r>
      <w:r w:rsidR="00BB5BE8" w:rsidRPr="00A5093C">
        <w:t>, w</w:t>
      </w:r>
      <w:r w:rsidR="00D73D17" w:rsidRPr="00A5093C">
        <w:t>hich will require individual companies with 500 or more employees to set targets to improve gender equality within their organisations</w:t>
      </w:r>
      <w:r w:rsidR="00F226D0" w:rsidRPr="00A5093C">
        <w:t xml:space="preserve"> to bridge the action gap</w:t>
      </w:r>
      <w:r w:rsidR="003D271E" w:rsidRPr="00A5093C">
        <w:t>.</w:t>
      </w:r>
    </w:p>
    <w:p w14:paraId="22D96DED" w14:textId="46F07EB2" w:rsidR="00AA4ABE" w:rsidRPr="004D3283" w:rsidRDefault="00A57DA0" w:rsidP="00CD1E37">
      <w:r>
        <w:t>Women continue to experience disproportionate levels of gender discrimination, more likely to be in lower-paid occupations and part-time work and more likely to be impacted by having and caring for children. The gender pay gap is particularly prevalent in certain industries including construction, financial and insurance services, and administrative and support services.</w:t>
      </w:r>
      <w:r>
        <w:rPr>
          <w:rStyle w:val="FootnoteReference"/>
        </w:rPr>
        <w:footnoteReference w:id="87"/>
      </w:r>
      <w:r>
        <w:t xml:space="preserve"> </w:t>
      </w:r>
      <w:r w:rsidR="00AA4ABE" w:rsidRPr="00A56C08">
        <w:t>The WGEA reports that Australia’s total renumeration gender pay gap is 22.8%, with every $1 on average a man makes, women earn 77.2 cents adding up over a year to a $25,596 difference</w:t>
      </w:r>
      <w:r w:rsidR="00AA4ABE" w:rsidRPr="00A56C08">
        <w:rPr>
          <w:vertAlign w:val="superscript"/>
        </w:rPr>
        <w:footnoteReference w:id="88"/>
      </w:r>
      <w:r w:rsidR="00AA4ABE" w:rsidRPr="00A56C08">
        <w:t>. The gender pay gap is slowly reducing, however comparison data from WGEA Employer Census Data and Australian Bureau of Statistics (ABS) Survey Data show it has stalled in the last 2 years. The main drivers of gender pay gap identified by WGEA are occupational and industrial segregation; care, family and workforce participation and gender discrimination</w:t>
      </w:r>
      <w:r w:rsidR="00AA4ABE" w:rsidRPr="00A56C08">
        <w:rPr>
          <w:vertAlign w:val="superscript"/>
        </w:rPr>
        <w:footnoteReference w:id="89"/>
      </w:r>
      <w:r w:rsidR="00AA4ABE" w:rsidRPr="00A56C08">
        <w:t>.</w:t>
      </w:r>
      <w:r w:rsidR="00AA4ABE" w:rsidRPr="00FA3191">
        <w:t xml:space="preserve"> </w:t>
      </w:r>
      <w:r w:rsidR="00AB12D1">
        <w:t xml:space="preserve">While the </w:t>
      </w:r>
      <w:r w:rsidR="009961BA">
        <w:t xml:space="preserve">gender pay gap is an economy-wide issue and the </w:t>
      </w:r>
      <w:r w:rsidR="00272EC5">
        <w:t>impact</w:t>
      </w:r>
      <w:r w:rsidR="00514B7D">
        <w:t xml:space="preserve"> </w:t>
      </w:r>
      <w:r w:rsidR="00652F9E">
        <w:t xml:space="preserve">from the Skills Guarantee </w:t>
      </w:r>
      <w:r w:rsidR="00272EC5">
        <w:t xml:space="preserve">may be limited, </w:t>
      </w:r>
      <w:r w:rsidR="00652F9E">
        <w:t>it</w:t>
      </w:r>
      <w:r w:rsidR="00EA5867">
        <w:t xml:space="preserve"> will</w:t>
      </w:r>
      <w:r w:rsidR="00473082">
        <w:t xml:space="preserve"> increase</w:t>
      </w:r>
      <w:r w:rsidR="00EA5867">
        <w:t xml:space="preserve"> the</w:t>
      </w:r>
      <w:r w:rsidR="00473082">
        <w:t xml:space="preserve"> </w:t>
      </w:r>
      <w:r w:rsidR="00847239">
        <w:t>labour force</w:t>
      </w:r>
      <w:r w:rsidR="00473082">
        <w:t xml:space="preserve"> participation </w:t>
      </w:r>
      <w:r w:rsidR="004D5409">
        <w:t xml:space="preserve">and visibility </w:t>
      </w:r>
      <w:r w:rsidR="00473082">
        <w:t>of women in the construction</w:t>
      </w:r>
      <w:r w:rsidR="00126A19">
        <w:t xml:space="preserve"> and ICT</w:t>
      </w:r>
      <w:r w:rsidR="00473082">
        <w:t xml:space="preserve"> workforce</w:t>
      </w:r>
      <w:r w:rsidR="00514B7D">
        <w:t>.</w:t>
      </w:r>
      <w:r w:rsidR="00377312">
        <w:t xml:space="preserve">  </w:t>
      </w:r>
      <w:r w:rsidR="00514B7D">
        <w:t>S</w:t>
      </w:r>
      <w:r w:rsidR="0054671E">
        <w:t xml:space="preserve">uppliers </w:t>
      </w:r>
      <w:r w:rsidR="00377312">
        <w:t>will</w:t>
      </w:r>
      <w:r w:rsidR="0054671E">
        <w:t xml:space="preserve"> ne</w:t>
      </w:r>
      <w:r w:rsidR="0089605D">
        <w:t xml:space="preserve">ed strategies </w:t>
      </w:r>
      <w:r w:rsidR="00C276F4">
        <w:t>to make the workplace more supportive and flexible</w:t>
      </w:r>
      <w:r w:rsidR="000C7F21">
        <w:t xml:space="preserve"> </w:t>
      </w:r>
      <w:r w:rsidR="007F13FA">
        <w:t>which encourages</w:t>
      </w:r>
      <w:r w:rsidR="001C4096">
        <w:t xml:space="preserve">, </w:t>
      </w:r>
      <w:r w:rsidR="00D50838">
        <w:t xml:space="preserve">reducing the high attrition rates by </w:t>
      </w:r>
      <w:r w:rsidR="001C4096">
        <w:t xml:space="preserve">encouraging </w:t>
      </w:r>
      <w:r w:rsidR="00DB06EA">
        <w:t>retention and</w:t>
      </w:r>
      <w:r w:rsidR="001C4096">
        <w:t xml:space="preserve"> career progression</w:t>
      </w:r>
      <w:r w:rsidR="00DB06EA">
        <w:t xml:space="preserve"> </w:t>
      </w:r>
      <w:r w:rsidR="00C17BCA">
        <w:t>for</w:t>
      </w:r>
      <w:r w:rsidR="00DB06EA">
        <w:t xml:space="preserve"> women</w:t>
      </w:r>
      <w:r w:rsidR="007F13FA">
        <w:t xml:space="preserve"> and </w:t>
      </w:r>
      <w:r w:rsidR="00BD111B">
        <w:t>help</w:t>
      </w:r>
      <w:r w:rsidR="007F13FA">
        <w:t>s to</w:t>
      </w:r>
      <w:r w:rsidR="00736D55">
        <w:t>,</w:t>
      </w:r>
      <w:r w:rsidR="004D5409">
        <w:t xml:space="preserve"> which </w:t>
      </w:r>
      <w:r w:rsidR="00D50838">
        <w:t>will</w:t>
      </w:r>
      <w:r w:rsidR="00BD111B">
        <w:t xml:space="preserve"> help</w:t>
      </w:r>
      <w:r w:rsidR="00BD111B" w:rsidDel="004D5409">
        <w:t>ing</w:t>
      </w:r>
      <w:r w:rsidR="00BD111B">
        <w:t xml:space="preserve"> the gender pay gap</w:t>
      </w:r>
      <w:r w:rsidR="0083469B">
        <w:t xml:space="preserve"> over time</w:t>
      </w:r>
      <w:r w:rsidR="00D50838">
        <w:t xml:space="preserve"> and reducing workforce gender segregation</w:t>
      </w:r>
      <w:r w:rsidR="00BD111B">
        <w:t xml:space="preserve">. </w:t>
      </w:r>
    </w:p>
    <w:p w14:paraId="6654AE9B" w14:textId="5CADEBCE" w:rsidR="00497923" w:rsidRPr="00A5093C" w:rsidRDefault="00C36010" w:rsidP="00BA6CC7">
      <w:pPr>
        <w:rPr>
          <w:rStyle w:val="eop"/>
        </w:rPr>
      </w:pPr>
      <w:r w:rsidRPr="00A5093C">
        <w:t>Increasing the number of women on</w:t>
      </w:r>
      <w:r w:rsidR="003F0D03" w:rsidRPr="00A5093C">
        <w:t xml:space="preserve"> construction </w:t>
      </w:r>
      <w:r w:rsidRPr="00A5093C">
        <w:t>site</w:t>
      </w:r>
      <w:r w:rsidR="004E15FB" w:rsidRPr="00A5093C">
        <w:t>s</w:t>
      </w:r>
      <w:r w:rsidRPr="00A5093C">
        <w:t xml:space="preserve"> </w:t>
      </w:r>
      <w:r w:rsidR="00153F71" w:rsidRPr="00A5093C">
        <w:t xml:space="preserve">and working in ICT </w:t>
      </w:r>
      <w:r w:rsidRPr="00A5093C">
        <w:t xml:space="preserve">will </w:t>
      </w:r>
      <w:r w:rsidR="00AF089F">
        <w:t xml:space="preserve">help </w:t>
      </w:r>
      <w:r w:rsidR="006172DA" w:rsidRPr="00A5093C">
        <w:t>build</w:t>
      </w:r>
      <w:r w:rsidRPr="00A5093C">
        <w:t xml:space="preserve"> </w:t>
      </w:r>
      <w:r w:rsidR="00AF089F">
        <w:t>stronger</w:t>
      </w:r>
      <w:r w:rsidRPr="00A5093C">
        <w:t xml:space="preserve"> network</w:t>
      </w:r>
      <w:r w:rsidR="006172DA" w:rsidRPr="00A5093C">
        <w:t>s</w:t>
      </w:r>
      <w:r w:rsidRPr="00A5093C">
        <w:t xml:space="preserve"> and mentor</w:t>
      </w:r>
      <w:r w:rsidR="006172DA" w:rsidRPr="00A5093C">
        <w:t>ing</w:t>
      </w:r>
      <w:r w:rsidRPr="00A5093C">
        <w:t xml:space="preserve"> opportunities </w:t>
      </w:r>
      <w:r w:rsidR="00153F71" w:rsidRPr="00A5093C">
        <w:t>to encourage</w:t>
      </w:r>
      <w:r w:rsidRPr="00A5093C">
        <w:t xml:space="preserve"> </w:t>
      </w:r>
      <w:r w:rsidR="00153F71" w:rsidRPr="00A5093C">
        <w:t xml:space="preserve">more </w:t>
      </w:r>
      <w:r w:rsidRPr="00A5093C">
        <w:t>women in</w:t>
      </w:r>
      <w:r w:rsidR="00464A9D" w:rsidRPr="00A5093C">
        <w:t>to</w:t>
      </w:r>
      <w:r w:rsidRPr="00A5093C">
        <w:t xml:space="preserve"> </w:t>
      </w:r>
      <w:r w:rsidR="006B1CD9">
        <w:t>male-dominated</w:t>
      </w:r>
      <w:r w:rsidRPr="00A5093C">
        <w:t xml:space="preserve"> roles. </w:t>
      </w:r>
      <w:r w:rsidR="00DA4F7F" w:rsidRPr="00A5093C">
        <w:t xml:space="preserve">It will </w:t>
      </w:r>
      <w:r w:rsidR="00DA4F7F" w:rsidRPr="00A5093C">
        <w:lastRenderedPageBreak/>
        <w:t xml:space="preserve">build a </w:t>
      </w:r>
      <w:r w:rsidR="00A44B97" w:rsidRPr="00A5093C">
        <w:t>sense of pride</w:t>
      </w:r>
      <w:r w:rsidR="008D6CB8" w:rsidRPr="00A5093C">
        <w:t xml:space="preserve"> and satisfaction </w:t>
      </w:r>
      <w:r w:rsidR="00A37BF1" w:rsidRPr="00A5093C">
        <w:t>from completing projects</w:t>
      </w:r>
      <w:r w:rsidR="004B4C50" w:rsidRPr="00A5093C">
        <w:t xml:space="preserve"> while</w:t>
      </w:r>
      <w:r w:rsidR="00F92CC7" w:rsidRPr="00A5093C">
        <w:t xml:space="preserve"> building skills, increasing confidence and morale in women engaging in construction and ICT. </w:t>
      </w:r>
    </w:p>
    <w:p w14:paraId="423DC0A1" w14:textId="6ABD27BE" w:rsidR="00607356" w:rsidRPr="00C95A00" w:rsidRDefault="00C95A00" w:rsidP="00CD1E37">
      <w:r w:rsidRPr="00A5093C">
        <w:t>The Skills Guarantee is supplemented by support that is available for women who start an apprenticeship in an eligible trade occupation and provides access to comprehensive wrap-around support (non-financial) through the Australian Apprenticeships Support Network, including personalised advice and information on career options and apprenticeship pathways, pastoral care, career and industry mentoring, access to</w:t>
      </w:r>
      <w:r w:rsidRPr="00A5093C">
        <w:rPr>
          <w:rFonts w:eastAsia="Times New Roman"/>
        </w:rPr>
        <w:t xml:space="preserve"> professional networks and</w:t>
      </w:r>
      <w:r w:rsidR="00174E4C" w:rsidRPr="00A5093C">
        <w:rPr>
          <w:rFonts w:eastAsia="Times New Roman"/>
        </w:rPr>
        <w:t xml:space="preserve"> entrepreneurship training</w:t>
      </w:r>
      <w:r w:rsidR="00174E4C" w:rsidRPr="00A5093C">
        <w:rPr>
          <w:rFonts w:eastAsia="Times New Roman"/>
          <w:vertAlign w:val="superscript"/>
        </w:rPr>
        <w:footnoteReference w:id="90"/>
      </w:r>
      <w:r w:rsidR="00174E4C" w:rsidRPr="00A5093C">
        <w:rPr>
          <w:rFonts w:eastAsia="Times New Roman"/>
        </w:rPr>
        <w:t>.</w:t>
      </w:r>
    </w:p>
    <w:p w14:paraId="71CE92A6" w14:textId="23286026" w:rsidR="006C6A8B" w:rsidRPr="00224FE9" w:rsidRDefault="00CC3F27" w:rsidP="00797487">
      <w:pPr>
        <w:pStyle w:val="Heading3"/>
        <w:rPr>
          <w:rStyle w:val="normaltextrun"/>
        </w:rPr>
      </w:pPr>
      <w:r w:rsidRPr="00224FE9">
        <w:rPr>
          <w:rStyle w:val="normaltextrun"/>
        </w:rPr>
        <w:t>Apprenticeship support</w:t>
      </w:r>
      <w:r w:rsidR="00AF709D" w:rsidRPr="00224FE9">
        <w:rPr>
          <w:rStyle w:val="normaltextrun"/>
        </w:rPr>
        <w:t xml:space="preserve"> providers</w:t>
      </w:r>
    </w:p>
    <w:p w14:paraId="4E5028D6" w14:textId="77777777" w:rsidR="006C6A8B" w:rsidRPr="00224FE9" w:rsidRDefault="006C6A8B" w:rsidP="00C11106">
      <w:pPr>
        <w:pStyle w:val="Heading4"/>
      </w:pPr>
      <w:r w:rsidRPr="00224FE9">
        <w:t xml:space="preserve">Costs </w:t>
      </w:r>
    </w:p>
    <w:p w14:paraId="1F9A61CF" w14:textId="42290C11" w:rsidR="0064152D" w:rsidRDefault="00360748" w:rsidP="00CD1E37">
      <w:r w:rsidRPr="00B06124">
        <w:t>The Skills Guarantee PCP targets may have a</w:t>
      </w:r>
      <w:r w:rsidR="00037F0D" w:rsidRPr="00B06124">
        <w:t xml:space="preserve"> m</w:t>
      </w:r>
      <w:r w:rsidR="00D637F1" w:rsidRPr="00B06124">
        <w:t xml:space="preserve">inimal </w:t>
      </w:r>
      <w:r w:rsidR="001C2274" w:rsidRPr="00B06124">
        <w:t>workload</w:t>
      </w:r>
      <w:r w:rsidR="00D637F1" w:rsidRPr="00B06124">
        <w:t xml:space="preserve"> </w:t>
      </w:r>
      <w:r w:rsidR="00037F0D" w:rsidRPr="00B06124">
        <w:t xml:space="preserve">impact </w:t>
      </w:r>
      <w:r w:rsidR="00D637F1" w:rsidRPr="00B06124">
        <w:t xml:space="preserve">with </w:t>
      </w:r>
      <w:r w:rsidR="005C4936" w:rsidRPr="00B06124">
        <w:t>increased numbers of apprentices and trainees</w:t>
      </w:r>
      <w:r w:rsidR="00037F0D" w:rsidRPr="00B06124">
        <w:t>, and suppliers seeking advice and support</w:t>
      </w:r>
      <w:r w:rsidR="00A705A1" w:rsidRPr="00B06124">
        <w:t xml:space="preserve">. </w:t>
      </w:r>
      <w:r w:rsidR="00D8358E" w:rsidRPr="00B06124">
        <w:t xml:space="preserve">AASN’s for example, </w:t>
      </w:r>
      <w:r w:rsidR="0082712A">
        <w:t xml:space="preserve">provide a free national service </w:t>
      </w:r>
      <w:r w:rsidR="00F4030F">
        <w:t xml:space="preserve">for apprentices and employers </w:t>
      </w:r>
      <w:r w:rsidR="003B6935">
        <w:t xml:space="preserve">contracted with the Australian Government. </w:t>
      </w:r>
    </w:p>
    <w:p w14:paraId="5FD47418" w14:textId="77777777" w:rsidR="006C6A8B" w:rsidRPr="005E1D01" w:rsidRDefault="006C6A8B" w:rsidP="00C11106">
      <w:pPr>
        <w:pStyle w:val="Heading4"/>
      </w:pPr>
      <w:r w:rsidRPr="005E1D01">
        <w:t>Benefits</w:t>
      </w:r>
    </w:p>
    <w:p w14:paraId="6E47187F" w14:textId="13571A61" w:rsidR="009A1B68" w:rsidRPr="009A1B68" w:rsidRDefault="00F621DB" w:rsidP="00CD1E37">
      <w:r>
        <w:rPr>
          <w:iCs/>
        </w:rPr>
        <w:t>Providers are a</w:t>
      </w:r>
      <w:r w:rsidR="00CA1A84" w:rsidRPr="00B06124">
        <w:t xml:space="preserve">nother point of contact to </w:t>
      </w:r>
      <w:r w:rsidR="00B137E6" w:rsidRPr="00B06124">
        <w:t xml:space="preserve">provide consistent </w:t>
      </w:r>
      <w:r w:rsidR="00A439ED" w:rsidRPr="00B06124">
        <w:t>information to support stakeholders seeking guidance</w:t>
      </w:r>
      <w:r w:rsidR="00CA1A84" w:rsidRPr="00B06124">
        <w:t xml:space="preserve">, including </w:t>
      </w:r>
      <w:r w:rsidR="006A095B" w:rsidRPr="00B06124">
        <w:t>suppliers new to employing apprentices, trainees</w:t>
      </w:r>
      <w:r w:rsidR="00ED1FF9">
        <w:t>,</w:t>
      </w:r>
      <w:r w:rsidR="006A095B" w:rsidRPr="00B06124">
        <w:t xml:space="preserve"> or ICT cadets to </w:t>
      </w:r>
      <w:r w:rsidR="003D5227" w:rsidRPr="00B06124">
        <w:t>understand the established support networks.</w:t>
      </w:r>
      <w:r w:rsidR="003D5227">
        <w:t xml:space="preserve"> </w:t>
      </w:r>
    </w:p>
    <w:p w14:paraId="7C4C55DF" w14:textId="77777777" w:rsidR="001A3A8B" w:rsidRDefault="009A1B68" w:rsidP="00CD1E37">
      <w:r>
        <w:t xml:space="preserve">There are many established state and territory based providers to help oversee and coordinate employment opportunities across all industries. Supporting participants in the Skills Guarantee would form part of business as usual </w:t>
      </w:r>
      <w:r w:rsidR="002D4971">
        <w:t xml:space="preserve">support </w:t>
      </w:r>
      <w:r>
        <w:t xml:space="preserve">to assist the broader economies in the relevant states and territories. </w:t>
      </w:r>
    </w:p>
    <w:p w14:paraId="50658E57" w14:textId="5A39D28F" w:rsidR="00B9265B" w:rsidRDefault="00B9265B" w:rsidP="00CD1E37">
      <w:pPr>
        <w:rPr>
          <w:rStyle w:val="normaltextrun"/>
          <w:rFonts w:ascii="Calibri" w:eastAsia="Calibri" w:hAnsi="Calibri" w:cstheme="majorBidi"/>
          <w:b/>
          <w:color w:val="404246"/>
          <w:sz w:val="32"/>
          <w:szCs w:val="32"/>
        </w:rPr>
      </w:pPr>
      <w:r>
        <w:rPr>
          <w:rStyle w:val="normaltextrun"/>
        </w:rPr>
        <w:br w:type="page"/>
      </w:r>
    </w:p>
    <w:p w14:paraId="6670F22C" w14:textId="3C2E1EEF" w:rsidR="00632CC1" w:rsidRPr="00C11106" w:rsidRDefault="0073125A" w:rsidP="00C11106">
      <w:pPr>
        <w:pStyle w:val="Heading1"/>
        <w:rPr>
          <w:rStyle w:val="normaltextrun"/>
        </w:rPr>
      </w:pPr>
      <w:bookmarkStart w:id="26" w:name="_Toc159246228"/>
      <w:r w:rsidRPr="00C11106">
        <w:rPr>
          <w:rStyle w:val="normaltextrun"/>
        </w:rPr>
        <w:lastRenderedPageBreak/>
        <w:t xml:space="preserve">Question 5: </w:t>
      </w:r>
      <w:r w:rsidR="00632CC1" w:rsidRPr="00C11106">
        <w:rPr>
          <w:rStyle w:val="normaltextrun"/>
        </w:rPr>
        <w:t xml:space="preserve">Consultation </w:t>
      </w:r>
      <w:r w:rsidRPr="00C11106">
        <w:rPr>
          <w:rStyle w:val="normaltextrun"/>
        </w:rPr>
        <w:t>and incorporating feedback</w:t>
      </w:r>
      <w:bookmarkEnd w:id="26"/>
    </w:p>
    <w:p w14:paraId="007A7E65" w14:textId="771F1B92" w:rsidR="00750EDE" w:rsidRPr="0081783E" w:rsidRDefault="00750EDE" w:rsidP="00C11106">
      <w:pPr>
        <w:pStyle w:val="Heading2"/>
        <w:rPr>
          <w:rStyle w:val="normaltextrun"/>
        </w:rPr>
      </w:pPr>
      <w:bookmarkStart w:id="27" w:name="_Toc159246229"/>
      <w:r w:rsidRPr="0081783E">
        <w:rPr>
          <w:rStyle w:val="normaltextrun"/>
        </w:rPr>
        <w:t>Overview</w:t>
      </w:r>
      <w:bookmarkEnd w:id="27"/>
    </w:p>
    <w:p w14:paraId="160760B2" w14:textId="3629BBAD" w:rsidR="00632CC1" w:rsidRPr="00344C59" w:rsidRDefault="00632CC1" w:rsidP="00CE76C8">
      <w:r w:rsidRPr="00344C59">
        <w:rPr>
          <w:rStyle w:val="normaltextrun"/>
          <w:rFonts w:eastAsiaTheme="minorEastAsia" w:cstheme="minorHAnsi"/>
        </w:rPr>
        <w:t>The department has consulted widely and publicly on the design and implementation of the Skills Guarantee. Getting the policy design right is critical to ensuring the Skills Guarantee is successful and delivers on the promise of supporting opportunities for apprentices, trainees</w:t>
      </w:r>
      <w:r w:rsidR="008E10C6">
        <w:rPr>
          <w:rStyle w:val="normaltextrun"/>
          <w:rFonts w:eastAsiaTheme="minorEastAsia" w:cstheme="minorHAnsi"/>
        </w:rPr>
        <w:t>,</w:t>
      </w:r>
      <w:r w:rsidRPr="00344C59">
        <w:rPr>
          <w:rStyle w:val="normaltextrun"/>
          <w:rFonts w:eastAsiaTheme="minorEastAsia" w:cstheme="minorHAnsi"/>
        </w:rPr>
        <w:t xml:space="preserve"> and </w:t>
      </w:r>
      <w:r w:rsidR="00DD5941">
        <w:rPr>
          <w:rStyle w:val="normaltextrun"/>
          <w:rFonts w:eastAsiaTheme="minorEastAsia" w:cstheme="minorHAnsi"/>
        </w:rPr>
        <w:t xml:space="preserve">ICT </w:t>
      </w:r>
      <w:r w:rsidRPr="00344C59">
        <w:rPr>
          <w:rStyle w:val="normaltextrun"/>
          <w:rFonts w:eastAsiaTheme="minorEastAsia" w:cstheme="minorHAnsi"/>
        </w:rPr>
        <w:t>cadets. A consultation process was needed to ensure that the department understood the needs of industry and that the Skills Guarantee supports businesses to increase their investment in training and address skills shortages rather than creating unnecessary burden or duplication. </w:t>
      </w:r>
      <w:r w:rsidRPr="00344C59">
        <w:rPr>
          <w:rStyle w:val="eop"/>
          <w:rFonts w:cstheme="minorHAnsi"/>
        </w:rPr>
        <w:t> </w:t>
      </w:r>
    </w:p>
    <w:p w14:paraId="341556EB" w14:textId="3EA275B9" w:rsidR="00632CC1" w:rsidRDefault="00632CC1" w:rsidP="00CE76C8">
      <w:pPr>
        <w:rPr>
          <w:rStyle w:val="eop"/>
          <w:rFonts w:cstheme="minorHAnsi"/>
        </w:rPr>
      </w:pPr>
      <w:r w:rsidRPr="00344C59">
        <w:rPr>
          <w:rStyle w:val="normaltextrun"/>
          <w:rFonts w:eastAsiaTheme="minorEastAsia" w:cstheme="minorHAnsi"/>
        </w:rPr>
        <w:t>The department took an iterative approach to developing the Skills Guarantee and adjusted its approach and design based on stakeholder feedback. Consultation played a key role in determining the scope of the Guarantee, the targets and implementation approach. A broad range of views on the key policy elements of the Guarantee were presented, and all stakeholder views were considered as a part of the policy development process. </w:t>
      </w:r>
      <w:r w:rsidR="006707A2">
        <w:rPr>
          <w:rStyle w:val="eop"/>
          <w:rFonts w:cstheme="minorHAnsi"/>
        </w:rPr>
        <w:t>Key milestones for</w:t>
      </w:r>
      <w:r w:rsidR="00FA1D68">
        <w:rPr>
          <w:rStyle w:val="eop"/>
          <w:rFonts w:cstheme="minorHAnsi"/>
        </w:rPr>
        <w:t xml:space="preserve"> the design and</w:t>
      </w:r>
      <w:r w:rsidR="006707A2">
        <w:rPr>
          <w:rStyle w:val="eop"/>
          <w:rFonts w:cstheme="minorHAnsi"/>
        </w:rPr>
        <w:t xml:space="preserve"> </w:t>
      </w:r>
      <w:r w:rsidR="00294A75">
        <w:rPr>
          <w:rStyle w:val="eop"/>
          <w:rFonts w:cstheme="minorHAnsi"/>
        </w:rPr>
        <w:t xml:space="preserve">implementation </w:t>
      </w:r>
      <w:r w:rsidR="00A74E56">
        <w:rPr>
          <w:rStyle w:val="eop"/>
          <w:rFonts w:cstheme="minorHAnsi"/>
        </w:rPr>
        <w:t xml:space="preserve">process </w:t>
      </w:r>
      <w:r w:rsidR="00294A75">
        <w:rPr>
          <w:rStyle w:val="eop"/>
          <w:rFonts w:cstheme="minorHAnsi"/>
        </w:rPr>
        <w:t xml:space="preserve">are </w:t>
      </w:r>
      <w:r w:rsidR="00FA1D68">
        <w:rPr>
          <w:rStyle w:val="eop"/>
          <w:rFonts w:cstheme="minorHAnsi"/>
        </w:rPr>
        <w:t>provided</w:t>
      </w:r>
      <w:r w:rsidR="00294A75">
        <w:rPr>
          <w:rStyle w:val="eop"/>
          <w:rFonts w:cstheme="minorHAnsi"/>
        </w:rPr>
        <w:t xml:space="preserve"> in</w:t>
      </w:r>
      <w:r w:rsidR="00203223">
        <w:rPr>
          <w:rStyle w:val="eop"/>
          <w:rFonts w:cstheme="minorHAnsi"/>
        </w:rPr>
        <w:t xml:space="preserve"> </w:t>
      </w:r>
      <w:r w:rsidR="00203223" w:rsidRPr="005B0DEA">
        <w:rPr>
          <w:rStyle w:val="eop"/>
          <w:rFonts w:cstheme="minorHAnsi"/>
          <w:b/>
        </w:rPr>
        <w:t>T</w:t>
      </w:r>
      <w:r w:rsidR="00294A75" w:rsidRPr="005B0DEA">
        <w:rPr>
          <w:rStyle w:val="eop"/>
          <w:rFonts w:cstheme="minorHAnsi"/>
          <w:b/>
        </w:rPr>
        <w:t xml:space="preserve">able </w:t>
      </w:r>
      <w:r w:rsidR="00EA79A5" w:rsidRPr="005B0DEA">
        <w:rPr>
          <w:rStyle w:val="eop"/>
          <w:rFonts w:cstheme="minorHAnsi"/>
          <w:b/>
        </w:rPr>
        <w:t>8</w:t>
      </w:r>
      <w:r w:rsidR="00203223">
        <w:rPr>
          <w:rStyle w:val="eop"/>
          <w:rFonts w:cstheme="minorHAnsi"/>
        </w:rPr>
        <w:t xml:space="preserve"> </w:t>
      </w:r>
      <w:r w:rsidR="00294A75">
        <w:rPr>
          <w:rStyle w:val="eop"/>
          <w:rFonts w:cstheme="minorHAnsi"/>
        </w:rPr>
        <w:t xml:space="preserve">below. </w:t>
      </w:r>
    </w:p>
    <w:p w14:paraId="5D09235D" w14:textId="687B774C" w:rsidR="00203223" w:rsidRPr="00203223" w:rsidRDefault="00203223" w:rsidP="00C11106">
      <w:pPr>
        <w:pStyle w:val="Caption"/>
        <w:rPr>
          <w:rStyle w:val="eop"/>
          <w:rFonts w:cstheme="minorHAnsi"/>
          <w:b w:val="0"/>
        </w:rPr>
      </w:pPr>
      <w:r w:rsidRPr="00C11106">
        <w:rPr>
          <w:rStyle w:val="Strong"/>
          <w:b/>
          <w:bCs w:val="0"/>
        </w:rPr>
        <w:t xml:space="preserve">Table </w:t>
      </w:r>
      <w:r w:rsidR="00EA79A5">
        <w:rPr>
          <w:rStyle w:val="Strong"/>
          <w:b/>
          <w:bCs w:val="0"/>
        </w:rPr>
        <w:t>8</w:t>
      </w:r>
      <w:r w:rsidRPr="001764A0">
        <w:rPr>
          <w:rStyle w:val="eop"/>
          <w:rFonts w:cstheme="minorHAnsi"/>
        </w:rPr>
        <w:t xml:space="preserve">: </w:t>
      </w:r>
      <w:r>
        <w:rPr>
          <w:rStyle w:val="eop"/>
          <w:rFonts w:cstheme="minorHAnsi"/>
        </w:rPr>
        <w:t xml:space="preserve">Key milestones for the Skills Guarantee </w:t>
      </w:r>
      <w:r w:rsidR="00020722">
        <w:rPr>
          <w:rStyle w:val="eop"/>
          <w:rFonts w:cstheme="minorHAnsi"/>
        </w:rPr>
        <w:t xml:space="preserve">consultation </w:t>
      </w:r>
    </w:p>
    <w:tbl>
      <w:tblPr>
        <w:tblStyle w:val="TableGrid"/>
        <w:tblW w:w="0" w:type="auto"/>
        <w:tblLook w:val="04A0" w:firstRow="1" w:lastRow="0" w:firstColumn="1" w:lastColumn="0" w:noHBand="0" w:noVBand="1"/>
      </w:tblPr>
      <w:tblGrid>
        <w:gridCol w:w="9016"/>
      </w:tblGrid>
      <w:tr w:rsidR="00294A75" w14:paraId="5E7978C9" w14:textId="77777777" w:rsidTr="00294A75">
        <w:tc>
          <w:tcPr>
            <w:tcW w:w="9016" w:type="dxa"/>
            <w:shd w:val="clear" w:color="auto" w:fill="404246"/>
          </w:tcPr>
          <w:p w14:paraId="6ABC8CFB" w14:textId="7944D792" w:rsidR="00294A75" w:rsidRPr="00780BC4" w:rsidRDefault="00294A75" w:rsidP="00294F4F">
            <w:pPr>
              <w:pStyle w:val="ListBullet"/>
              <w:numPr>
                <w:ilvl w:val="0"/>
                <w:numId w:val="0"/>
              </w:numPr>
              <w:spacing w:before="120" w:after="120" w:line="240" w:lineRule="auto"/>
              <w:rPr>
                <w:rStyle w:val="normaltextrun"/>
                <w:rFonts w:eastAsiaTheme="minorEastAsia" w:cstheme="minorHAnsi"/>
                <w:b/>
                <w:bCs/>
                <w:iCs/>
                <w:szCs w:val="18"/>
              </w:rPr>
            </w:pPr>
            <w:r>
              <w:rPr>
                <w:rStyle w:val="normaltextrun"/>
                <w:rFonts w:eastAsiaTheme="minorEastAsia" w:cstheme="minorHAnsi"/>
                <w:b/>
                <w:bCs/>
                <w:color w:val="FFFFFF" w:themeColor="background1"/>
              </w:rPr>
              <w:t xml:space="preserve">Key milestones </w:t>
            </w:r>
          </w:p>
        </w:tc>
      </w:tr>
      <w:tr w:rsidR="00294A75" w14:paraId="1DBBE2EC" w14:textId="77777777" w:rsidTr="00294A75">
        <w:tc>
          <w:tcPr>
            <w:tcW w:w="9016" w:type="dxa"/>
          </w:tcPr>
          <w:p w14:paraId="751B9DAB" w14:textId="77777777" w:rsidR="00294A75" w:rsidRPr="00AF79DC" w:rsidRDefault="00294A75" w:rsidP="00294F4F">
            <w:pPr>
              <w:pStyle w:val="Dot-pointlist"/>
              <w:rPr>
                <w:rStyle w:val="normaltextrun"/>
                <w:rFonts w:eastAsiaTheme="minorEastAsia" w:cstheme="minorHAnsi"/>
                <w:b/>
                <w:bCs/>
              </w:rPr>
            </w:pPr>
            <w:r w:rsidRPr="79EBCD5C">
              <w:rPr>
                <w:rStyle w:val="normaltextrun"/>
                <w:rFonts w:eastAsiaTheme="minorEastAsia"/>
                <w:b/>
              </w:rPr>
              <w:t xml:space="preserve">March 2021: </w:t>
            </w:r>
            <w:r w:rsidRPr="79EBCD5C">
              <w:rPr>
                <w:rStyle w:val="normaltextrun"/>
                <w:rFonts w:eastAsiaTheme="minorEastAsia"/>
              </w:rPr>
              <w:t>Initial announcement of Skills Guarantee election commitment</w:t>
            </w:r>
          </w:p>
          <w:p w14:paraId="3F7CA37B" w14:textId="77777777" w:rsidR="00294A75" w:rsidRPr="00AF79DC" w:rsidRDefault="00294A75" w:rsidP="00294F4F">
            <w:pPr>
              <w:pStyle w:val="Dot-pointlist"/>
              <w:rPr>
                <w:rStyle w:val="normaltextrun"/>
                <w:rFonts w:eastAsiaTheme="minorEastAsia" w:cstheme="minorHAnsi"/>
                <w:b/>
                <w:bCs/>
              </w:rPr>
            </w:pPr>
            <w:r w:rsidRPr="79EBCD5C">
              <w:rPr>
                <w:rStyle w:val="normaltextrun"/>
                <w:rFonts w:eastAsiaTheme="minorEastAsia"/>
                <w:b/>
              </w:rPr>
              <w:t xml:space="preserve">September 2022: </w:t>
            </w:r>
            <w:r w:rsidRPr="79EBCD5C">
              <w:rPr>
                <w:rStyle w:val="normaltextrun"/>
                <w:rFonts w:eastAsiaTheme="minorEastAsia"/>
              </w:rPr>
              <w:t>Jobs &amp; Skills Summit announcement of targets for women and focus on digital skills</w:t>
            </w:r>
          </w:p>
          <w:p w14:paraId="2B9870FD" w14:textId="77777777" w:rsidR="00294A75" w:rsidRPr="00BF24FF" w:rsidRDefault="00294A75" w:rsidP="00294F4F">
            <w:pPr>
              <w:pStyle w:val="Dot-pointlist"/>
              <w:rPr>
                <w:rStyle w:val="normaltextrun"/>
                <w:rFonts w:eastAsiaTheme="minorEastAsia" w:cstheme="minorHAnsi"/>
                <w:b/>
                <w:bCs/>
              </w:rPr>
            </w:pPr>
            <w:r w:rsidRPr="79EBCD5C">
              <w:rPr>
                <w:rStyle w:val="normaltextrun"/>
                <w:rFonts w:eastAsiaTheme="minorEastAsia"/>
                <w:b/>
              </w:rPr>
              <w:t xml:space="preserve">November/December 2022: </w:t>
            </w:r>
            <w:r w:rsidRPr="79EBCD5C">
              <w:rPr>
                <w:rStyle w:val="normaltextrun"/>
                <w:rFonts w:eastAsiaTheme="minorEastAsia"/>
              </w:rPr>
              <w:t>Consultation on Skills Guarantee via discussion paper and series of targeted meetings</w:t>
            </w:r>
          </w:p>
          <w:p w14:paraId="12336272" w14:textId="77777777" w:rsidR="00294A75" w:rsidRPr="00D54D92" w:rsidRDefault="00294A75" w:rsidP="00294F4F">
            <w:pPr>
              <w:pStyle w:val="Dot-pointlist"/>
              <w:rPr>
                <w:rStyle w:val="normaltextrun"/>
                <w:rFonts w:eastAsiaTheme="minorEastAsia" w:cstheme="minorHAnsi"/>
                <w:b/>
                <w:bCs/>
              </w:rPr>
            </w:pPr>
            <w:r w:rsidRPr="79EBCD5C">
              <w:rPr>
                <w:rStyle w:val="normaltextrun"/>
                <w:rFonts w:eastAsiaTheme="minorEastAsia"/>
                <w:b/>
              </w:rPr>
              <w:t xml:space="preserve">2023–24 Budget: </w:t>
            </w:r>
            <w:r w:rsidRPr="79EBCD5C">
              <w:rPr>
                <w:rStyle w:val="normaltextrun"/>
                <w:rFonts w:eastAsiaTheme="minorEastAsia"/>
              </w:rPr>
              <w:t>Announcement of full policy settings and funding</w:t>
            </w:r>
          </w:p>
          <w:p w14:paraId="3765A1E2" w14:textId="77777777" w:rsidR="00294A75" w:rsidRDefault="00294A75" w:rsidP="00294F4F">
            <w:pPr>
              <w:pStyle w:val="Dot-pointlist"/>
            </w:pPr>
            <w:r w:rsidRPr="002A4FC1">
              <w:rPr>
                <w:b/>
                <w:bCs/>
              </w:rPr>
              <w:t>October 2023 – January 2024:</w:t>
            </w:r>
            <w:r w:rsidRPr="00C3332F">
              <w:t xml:space="preserve"> </w:t>
            </w:r>
            <w:r>
              <w:t>C</w:t>
            </w:r>
            <w:r w:rsidRPr="00C3332F">
              <w:t xml:space="preserve">onsultation on draft Skills Guarantee </w:t>
            </w:r>
            <w:r>
              <w:t>PCP</w:t>
            </w:r>
            <w:r w:rsidRPr="00C3332F">
              <w:t xml:space="preserve"> guidelines</w:t>
            </w:r>
            <w:r>
              <w:t xml:space="preserve"> via release of draft guidelines and series of target meetings</w:t>
            </w:r>
          </w:p>
          <w:p w14:paraId="3393585C" w14:textId="737A45D4" w:rsidR="00403AA3" w:rsidRDefault="00B760EA" w:rsidP="00294F4F">
            <w:pPr>
              <w:pStyle w:val="Dot-pointlist"/>
            </w:pPr>
            <w:r w:rsidRPr="00B760EA">
              <w:rPr>
                <w:b/>
                <w:bCs/>
              </w:rPr>
              <w:t>March – April 2024</w:t>
            </w:r>
            <w:r>
              <w:t xml:space="preserve">: </w:t>
            </w:r>
            <w:r w:rsidR="00DB7689">
              <w:t>Development</w:t>
            </w:r>
            <w:r>
              <w:t xml:space="preserve"> of additional guidance materials</w:t>
            </w:r>
          </w:p>
          <w:p w14:paraId="51001F83" w14:textId="492A0747" w:rsidR="00294A75" w:rsidRPr="00C3332F" w:rsidRDefault="00294A75" w:rsidP="00294F4F">
            <w:pPr>
              <w:pStyle w:val="Dot-pointlist"/>
            </w:pPr>
            <w:r w:rsidRPr="00622B11">
              <w:rPr>
                <w:b/>
                <w:bCs/>
              </w:rPr>
              <w:t>2024–25 Budget:</w:t>
            </w:r>
            <w:r>
              <w:t xml:space="preserve"> C</w:t>
            </w:r>
            <w:r w:rsidRPr="00622B11">
              <w:t>onsider</w:t>
            </w:r>
            <w:r>
              <w:t>ation of</w:t>
            </w:r>
            <w:r w:rsidRPr="00622B11">
              <w:t xml:space="preserve"> </w:t>
            </w:r>
            <w:r w:rsidRPr="00202310">
              <w:t xml:space="preserve">reporting </w:t>
            </w:r>
            <w:r>
              <w:t xml:space="preserve">and PCP guidelines </w:t>
            </w:r>
            <w:r w:rsidRPr="00202310">
              <w:t>for the Skills Guarantee</w:t>
            </w:r>
          </w:p>
          <w:p w14:paraId="524AF38F" w14:textId="2296B2D1" w:rsidR="0017429D" w:rsidRDefault="00294A75" w:rsidP="00294F4F">
            <w:pPr>
              <w:pStyle w:val="Dot-pointlist"/>
              <w:rPr>
                <w:rStyle w:val="CommentReference"/>
                <w:rFonts w:eastAsiaTheme="minorEastAsia" w:cstheme="minorHAnsi"/>
                <w:sz w:val="22"/>
                <w:szCs w:val="22"/>
              </w:rPr>
            </w:pPr>
            <w:r w:rsidRPr="00272CCD">
              <w:rPr>
                <w:b/>
                <w:bCs/>
              </w:rPr>
              <w:t>1 July 2024 onwards:</w:t>
            </w:r>
            <w:r w:rsidRPr="00C3332F">
              <w:t xml:space="preserve"> Targets will apply to tender processes for Commonwealth projects via the </w:t>
            </w:r>
            <w:r w:rsidR="00944A6C">
              <w:t xml:space="preserve">Skills Guarantee </w:t>
            </w:r>
            <w:r w:rsidRPr="00C3332F">
              <w:t>PCP</w:t>
            </w:r>
            <w:r w:rsidR="00944A6C">
              <w:t xml:space="preserve"> </w:t>
            </w:r>
          </w:p>
          <w:p w14:paraId="1838BE5F" w14:textId="4B6E6835" w:rsidR="00294A75" w:rsidRDefault="00294A75" w:rsidP="00294F4F">
            <w:pPr>
              <w:pStyle w:val="Dot-pointlist"/>
              <w:rPr>
                <w:rStyle w:val="normaltextrun"/>
                <w:rFonts w:eastAsiaTheme="minorEastAsia" w:cstheme="minorHAnsi"/>
              </w:rPr>
            </w:pPr>
            <w:r w:rsidRPr="79EBCD5C">
              <w:rPr>
                <w:rStyle w:val="normaltextrun"/>
                <w:rFonts w:eastAsiaTheme="minorEastAsia"/>
                <w:b/>
              </w:rPr>
              <w:t>June 2025:</w:t>
            </w:r>
            <w:r w:rsidRPr="79EBCD5C">
              <w:rPr>
                <w:rStyle w:val="normaltextrun"/>
                <w:rFonts w:eastAsiaTheme="minorEastAsia"/>
              </w:rPr>
              <w:t xml:space="preserve"> </w:t>
            </w:r>
            <w:r w:rsidR="005D25A6">
              <w:rPr>
                <w:rStyle w:val="normaltextrun"/>
                <w:rFonts w:eastAsiaTheme="minorEastAsia"/>
              </w:rPr>
              <w:t>commencement of f</w:t>
            </w:r>
            <w:r w:rsidRPr="79EBCD5C">
              <w:rPr>
                <w:rStyle w:val="normaltextrun"/>
                <w:rFonts w:eastAsiaTheme="minorEastAsia"/>
              </w:rPr>
              <w:t>irst annual review of Skills Guarantee PCP (to be review every year)</w:t>
            </w:r>
          </w:p>
          <w:p w14:paraId="53EBF251" w14:textId="66EF900F" w:rsidR="008D76D3" w:rsidRPr="00F123E4" w:rsidRDefault="00294A75" w:rsidP="00294F4F">
            <w:pPr>
              <w:pStyle w:val="Dot-pointlist"/>
              <w:rPr>
                <w:rStyle w:val="normaltextrun"/>
                <w:rFonts w:eastAsiaTheme="minorEastAsia" w:cstheme="minorHAnsi"/>
              </w:rPr>
            </w:pPr>
            <w:r w:rsidRPr="79EBCD5C">
              <w:rPr>
                <w:rStyle w:val="normaltextrun"/>
                <w:rFonts w:eastAsiaTheme="minorEastAsia"/>
                <w:b/>
              </w:rPr>
              <w:t>1 Jul</w:t>
            </w:r>
            <w:r w:rsidR="00D41DAE" w:rsidRPr="79EBCD5C">
              <w:rPr>
                <w:rStyle w:val="normaltextrun"/>
                <w:rFonts w:eastAsiaTheme="minorEastAsia"/>
                <w:b/>
              </w:rPr>
              <w:t>y</w:t>
            </w:r>
            <w:r w:rsidRPr="79EBCD5C">
              <w:rPr>
                <w:rStyle w:val="normaltextrun"/>
                <w:rFonts w:eastAsiaTheme="minorEastAsia"/>
                <w:b/>
              </w:rPr>
              <w:t xml:space="preserve"> 2025:</w:t>
            </w:r>
            <w:r w:rsidRPr="79EBCD5C">
              <w:rPr>
                <w:rStyle w:val="normaltextrun"/>
                <w:rFonts w:eastAsiaTheme="minorEastAsia"/>
              </w:rPr>
              <w:t xml:space="preserve"> First increase to targets for women in construction projects </w:t>
            </w:r>
          </w:p>
        </w:tc>
      </w:tr>
    </w:tbl>
    <w:p w14:paraId="6E9E1904" w14:textId="1DFEDAF7" w:rsidR="00CC36CC" w:rsidRPr="00A873DD" w:rsidRDefault="00CC36CC" w:rsidP="00C11106">
      <w:pPr>
        <w:pStyle w:val="Heading2"/>
        <w:rPr>
          <w:rStyle w:val="normaltextrun"/>
        </w:rPr>
      </w:pPr>
      <w:bookmarkStart w:id="28" w:name="_Toc159246230"/>
      <w:r w:rsidRPr="00314B32">
        <w:rPr>
          <w:rStyle w:val="normaltextrun"/>
        </w:rPr>
        <w:lastRenderedPageBreak/>
        <w:t>Consultation</w:t>
      </w:r>
      <w:bookmarkEnd w:id="28"/>
      <w:r w:rsidRPr="00A873DD">
        <w:rPr>
          <w:rStyle w:val="normaltextrun"/>
        </w:rPr>
        <w:t xml:space="preserve"> </w:t>
      </w:r>
    </w:p>
    <w:p w14:paraId="31B44F70" w14:textId="7804E3A5" w:rsidR="00B670E5" w:rsidRPr="0081783E" w:rsidRDefault="00632CC1" w:rsidP="00C11106">
      <w:pPr>
        <w:pStyle w:val="Heading3"/>
      </w:pPr>
      <w:r w:rsidRPr="0081783E">
        <w:rPr>
          <w:rStyle w:val="normaltextrun"/>
        </w:rPr>
        <w:t>Early consultation with government agencies focused on lessons learnt from existing policies</w:t>
      </w:r>
      <w:r w:rsidRPr="0081783E">
        <w:rPr>
          <w:rStyle w:val="eop"/>
        </w:rPr>
        <w:t> </w:t>
      </w:r>
    </w:p>
    <w:p w14:paraId="6D583BE6" w14:textId="77777777" w:rsidR="00632CC1" w:rsidRPr="00344C59" w:rsidRDefault="00632CC1" w:rsidP="00CD1E37">
      <w:r w:rsidRPr="00344C59">
        <w:rPr>
          <w:rStyle w:val="normaltextrun"/>
          <w:rFonts w:eastAsiaTheme="minorEastAsia" w:cstheme="minorHAnsi"/>
        </w:rPr>
        <w:t>The department engaged in early consultation with other Australian Government agencies as well as state and territory governments to understand the approach to existing procurement policies and lay a solid foundation for further consultation. </w:t>
      </w:r>
      <w:r w:rsidRPr="00344C59">
        <w:rPr>
          <w:rStyle w:val="eop"/>
          <w:rFonts w:cstheme="minorHAnsi"/>
        </w:rPr>
        <w:t> </w:t>
      </w:r>
    </w:p>
    <w:p w14:paraId="6CFED9F1" w14:textId="77777777" w:rsidR="00632CC1" w:rsidRPr="00344C59" w:rsidRDefault="00632CC1" w:rsidP="00CD1E37">
      <w:r w:rsidRPr="00344C59">
        <w:rPr>
          <w:rStyle w:val="normaltextrun"/>
          <w:rFonts w:eastAsiaTheme="minorEastAsia" w:cstheme="minorHAnsi"/>
        </w:rPr>
        <w:t>Discussions with the states provided an opportunity to understand how the existing state policies are currently operating and how they might interact with the Skills Guarantee. States also provided valuable insight on policy lessons learned designing and implementing state workforce targets through procurement policy. Most states emphasised the importance of having a robust and easy to use reporting tool to assist with monitoring progress, managing compliance and data collection. </w:t>
      </w:r>
      <w:r w:rsidRPr="00344C59">
        <w:rPr>
          <w:rStyle w:val="eop"/>
          <w:rFonts w:cstheme="minorHAnsi"/>
        </w:rPr>
        <w:t> </w:t>
      </w:r>
    </w:p>
    <w:p w14:paraId="07FBE844" w14:textId="77777777" w:rsidR="00632CC1" w:rsidRDefault="00632CC1" w:rsidP="00CD1E37">
      <w:pPr>
        <w:rPr>
          <w:rStyle w:val="eop"/>
          <w:rFonts w:cstheme="minorHAnsi"/>
        </w:rPr>
      </w:pPr>
      <w:r w:rsidRPr="00344C59">
        <w:rPr>
          <w:rStyle w:val="normaltextrun"/>
          <w:rFonts w:eastAsiaTheme="minorEastAsia" w:cstheme="minorHAnsi"/>
        </w:rPr>
        <w:t>Meetings with other Australian Government agencies deepened understanding of intersecting work across government. The department was also able to gain insight from other Australian Government agencies that have designed procurement connected policies and learn from their approaches to implementation, reporting and compliance. </w:t>
      </w:r>
      <w:r w:rsidRPr="00344C59">
        <w:rPr>
          <w:rStyle w:val="eop"/>
          <w:rFonts w:cstheme="minorHAnsi"/>
        </w:rPr>
        <w:t> </w:t>
      </w:r>
    </w:p>
    <w:p w14:paraId="660A39F7" w14:textId="5A89E631" w:rsidR="00B670E5" w:rsidRPr="00ED1F99" w:rsidRDefault="004E303F" w:rsidP="007A1975">
      <w:pPr>
        <w:pStyle w:val="Heading3"/>
      </w:pPr>
      <w:r w:rsidRPr="00ED1F99">
        <w:rPr>
          <w:rStyle w:val="normaltextrun"/>
        </w:rPr>
        <w:t>2022</w:t>
      </w:r>
      <w:r w:rsidR="00632CC1" w:rsidRPr="00ED1F99">
        <w:rPr>
          <w:rStyle w:val="normaltextrun"/>
        </w:rPr>
        <w:t xml:space="preserve"> public discussion paper and targeted consultation </w:t>
      </w:r>
    </w:p>
    <w:p w14:paraId="315E9A97" w14:textId="4DA87FDB" w:rsidR="00632CC1" w:rsidRPr="00344C59" w:rsidRDefault="00632CC1" w:rsidP="00CD1E37">
      <w:r w:rsidRPr="00344C59">
        <w:rPr>
          <w:rStyle w:val="normaltextrun"/>
          <w:rFonts w:eastAsiaTheme="minorEastAsia" w:cstheme="minorHAnsi"/>
        </w:rPr>
        <w:t>The department released a public discussion paper on the Skills Guarantee</w:t>
      </w:r>
      <w:r w:rsidR="00ED0A37">
        <w:rPr>
          <w:rStyle w:val="normaltextrun"/>
          <w:rFonts w:eastAsiaTheme="minorEastAsia" w:cstheme="minorHAnsi"/>
        </w:rPr>
        <w:t xml:space="preserve"> in 2022</w:t>
      </w:r>
      <w:r w:rsidRPr="00344C59">
        <w:rPr>
          <w:rStyle w:val="normaltextrun"/>
          <w:rFonts w:eastAsiaTheme="minorEastAsia" w:cstheme="minorHAnsi"/>
        </w:rPr>
        <w:t>.</w:t>
      </w:r>
      <w:r w:rsidRPr="00344C59">
        <w:rPr>
          <w:rStyle w:val="normaltextrun"/>
          <w:rFonts w:eastAsiaTheme="minorEastAsia" w:cstheme="minorHAnsi"/>
          <w:b/>
        </w:rPr>
        <w:t> </w:t>
      </w:r>
      <w:r w:rsidR="0085767C" w:rsidRPr="0085767C">
        <w:rPr>
          <w:rStyle w:val="eop"/>
          <w:rFonts w:cstheme="minorHAnsi"/>
        </w:rPr>
        <w:t>This consultation played a key role in determining the scope of the Skills Guarantee, the targets and implementation approach.</w:t>
      </w:r>
    </w:p>
    <w:p w14:paraId="155D4EE0" w14:textId="77777777" w:rsidR="00632CC1" w:rsidRPr="00344C59" w:rsidRDefault="00632CC1" w:rsidP="00CD1E37">
      <w:r w:rsidRPr="00344C59">
        <w:rPr>
          <w:rStyle w:val="normaltextrun"/>
          <w:rFonts w:eastAsiaTheme="minorEastAsia" w:cstheme="minorHAnsi"/>
        </w:rPr>
        <w:t>The consultation paper presented several different policy options and sought views on key design questions for the Skills Guarantee. Submissions opened on 23 November 2022 and closed on 22 December 2022, with several extensions granted until mid-January 2023. The department received a total of 49 written submissions.</w:t>
      </w:r>
      <w:r w:rsidRPr="00344C59">
        <w:rPr>
          <w:rStyle w:val="eop"/>
          <w:rFonts w:cstheme="minorHAnsi"/>
        </w:rPr>
        <w:t> </w:t>
      </w:r>
    </w:p>
    <w:p w14:paraId="3F91F1DE" w14:textId="6C2D7F73" w:rsidR="00DC5A85" w:rsidRPr="00DC5A85" w:rsidRDefault="00632CC1" w:rsidP="00CD1E37">
      <w:r w:rsidRPr="00344C59">
        <w:rPr>
          <w:rStyle w:val="normaltextrun"/>
          <w:rFonts w:eastAsiaTheme="minorEastAsia" w:cstheme="minorHAnsi"/>
        </w:rPr>
        <w:t>Following the release of the discussion paper, the department held a series of roundtables and bilateral meetings with</w:t>
      </w:r>
      <w:r w:rsidR="00BE7C6A" w:rsidRPr="00BE7C6A">
        <w:rPr>
          <w:rStyle w:val="normaltextrun"/>
          <w:rFonts w:eastAsiaTheme="minorEastAsia" w:cstheme="minorHAnsi"/>
        </w:rPr>
        <w:t xml:space="preserve"> over 100 organisations and professionals</w:t>
      </w:r>
      <w:r w:rsidR="00BE7C6A">
        <w:rPr>
          <w:rStyle w:val="normaltextrun"/>
          <w:rFonts w:eastAsiaTheme="minorEastAsia" w:cstheme="minorHAnsi"/>
        </w:rPr>
        <w:t xml:space="preserve"> including</w:t>
      </w:r>
      <w:r w:rsidRPr="00344C59">
        <w:rPr>
          <w:rStyle w:val="normaltextrun"/>
          <w:rFonts w:eastAsiaTheme="minorEastAsia" w:cstheme="minorHAnsi"/>
        </w:rPr>
        <w:t xml:space="preserve"> industry</w:t>
      </w:r>
      <w:r w:rsidR="003D7A15">
        <w:rPr>
          <w:rStyle w:val="normaltextrun"/>
          <w:rFonts w:eastAsiaTheme="minorEastAsia" w:cstheme="minorHAnsi"/>
        </w:rPr>
        <w:t xml:space="preserve"> </w:t>
      </w:r>
      <w:r w:rsidR="003D7A15" w:rsidRPr="003D7A15">
        <w:rPr>
          <w:rStyle w:val="normaltextrun"/>
          <w:rFonts w:eastAsiaTheme="minorEastAsia" w:cstheme="minorHAnsi"/>
        </w:rPr>
        <w:t>representatives</w:t>
      </w:r>
      <w:r w:rsidRPr="00344C59">
        <w:rPr>
          <w:rStyle w:val="normaltextrun"/>
          <w:rFonts w:eastAsiaTheme="minorEastAsia" w:cstheme="minorHAnsi"/>
        </w:rPr>
        <w:t xml:space="preserve">, unions, peak bodies, employers, training organisations, </w:t>
      </w:r>
      <w:r w:rsidR="00693F56">
        <w:rPr>
          <w:rStyle w:val="normaltextrun"/>
          <w:rFonts w:eastAsiaTheme="minorEastAsia" w:cstheme="minorHAnsi"/>
        </w:rPr>
        <w:t xml:space="preserve">women’s advocacy groups, </w:t>
      </w:r>
      <w:r w:rsidRPr="00344C59">
        <w:rPr>
          <w:rStyle w:val="normaltextrun"/>
          <w:rFonts w:eastAsiaTheme="minorEastAsia" w:cstheme="minorHAnsi"/>
        </w:rPr>
        <w:t>academics, state and territory governments and Commonwealth agencies. </w:t>
      </w:r>
      <w:r w:rsidR="00ED0A37">
        <w:rPr>
          <w:rStyle w:val="eop"/>
          <w:rFonts w:cstheme="minorHAnsi"/>
        </w:rPr>
        <w:t xml:space="preserve">These stakeholder groups were selected as the primary </w:t>
      </w:r>
      <w:r w:rsidR="005F5A80">
        <w:rPr>
          <w:rStyle w:val="eop"/>
          <w:rFonts w:cstheme="minorHAnsi"/>
        </w:rPr>
        <w:t xml:space="preserve">stakeholders impacted by the Skills Guarantee. </w:t>
      </w:r>
      <w:r w:rsidR="00116033" w:rsidRPr="00116033">
        <w:rPr>
          <w:rStyle w:val="eop"/>
          <w:rFonts w:cstheme="minorHAnsi"/>
        </w:rPr>
        <w:t>Understanding the perspectives of those engaged in government funded projects, from the organisations tendering for contracts through to those delivering works on the ground, is critical to the success of the Skills Guarantee.</w:t>
      </w:r>
    </w:p>
    <w:p w14:paraId="36C3AE26" w14:textId="639C7B4B" w:rsidR="00632CC1" w:rsidRPr="000F7DEF" w:rsidRDefault="00632CC1" w:rsidP="00CD1E37">
      <w:r w:rsidRPr="00344C59">
        <w:rPr>
          <w:rStyle w:val="normaltextrun"/>
          <w:rFonts w:eastAsiaTheme="minorEastAsia" w:cstheme="minorHAnsi"/>
        </w:rPr>
        <w:t xml:space="preserve">The feedback </w:t>
      </w:r>
      <w:r w:rsidRPr="000F7DEF">
        <w:rPr>
          <w:rStyle w:val="normaltextrun"/>
          <w:rFonts w:eastAsiaTheme="minorEastAsia" w:cstheme="minorHAnsi"/>
        </w:rPr>
        <w:t xml:space="preserve">from the consultation process has informed the development of the policy settings for the Skills Guarantee. The key findings from the consultation process </w:t>
      </w:r>
      <w:r w:rsidR="002D0511">
        <w:rPr>
          <w:rStyle w:val="normaltextrun"/>
          <w:rFonts w:eastAsiaTheme="minorEastAsia" w:cstheme="minorHAnsi"/>
        </w:rPr>
        <w:t xml:space="preserve">are </w:t>
      </w:r>
      <w:r w:rsidR="008B67F3">
        <w:rPr>
          <w:rStyle w:val="normaltextrun"/>
          <w:rFonts w:eastAsiaTheme="minorEastAsia" w:cstheme="minorHAnsi"/>
        </w:rPr>
        <w:t xml:space="preserve">provided </w:t>
      </w:r>
      <w:r w:rsidR="002D0511">
        <w:rPr>
          <w:rStyle w:val="normaltextrun"/>
          <w:rFonts w:eastAsiaTheme="minorEastAsia" w:cstheme="minorHAnsi"/>
        </w:rPr>
        <w:t>below</w:t>
      </w:r>
      <w:r w:rsidRPr="000F7DEF">
        <w:rPr>
          <w:rStyle w:val="normaltextrun"/>
          <w:rFonts w:eastAsiaTheme="minorEastAsia" w:cstheme="minorHAnsi"/>
        </w:rPr>
        <w:t>:</w:t>
      </w:r>
      <w:r w:rsidRPr="00344C59">
        <w:rPr>
          <w:rStyle w:val="eop"/>
          <w:rFonts w:cstheme="minorHAnsi"/>
        </w:rPr>
        <w:t> </w:t>
      </w:r>
    </w:p>
    <w:p w14:paraId="0BFCBA61" w14:textId="6ADBDFF5" w:rsidR="00632CC1" w:rsidRPr="00CC408E" w:rsidRDefault="00C72BC9" w:rsidP="00CC408E">
      <w:pPr>
        <w:pStyle w:val="ListNumber"/>
        <w:numPr>
          <w:ilvl w:val="0"/>
          <w:numId w:val="20"/>
        </w:numPr>
        <w:rPr>
          <w:rStyle w:val="normaltextrun"/>
          <w:rFonts w:eastAsiaTheme="minorEastAsia"/>
        </w:rPr>
      </w:pPr>
      <w:r w:rsidRPr="00CC408E">
        <w:rPr>
          <w:rStyle w:val="normaltextrun"/>
          <w:rFonts w:eastAsiaTheme="minorEastAsia" w:cstheme="minorHAnsi"/>
          <w:b/>
          <w:bCs/>
        </w:rPr>
        <w:t>Finding:</w:t>
      </w:r>
      <w:r w:rsidRPr="00CC408E">
        <w:rPr>
          <w:rStyle w:val="normaltextrun"/>
          <w:rFonts w:eastAsiaTheme="minorEastAsia" w:cstheme="minorHAnsi"/>
        </w:rPr>
        <w:t xml:space="preserve"> </w:t>
      </w:r>
      <w:r w:rsidR="00632CC1" w:rsidRPr="00CC408E">
        <w:rPr>
          <w:rStyle w:val="normaltextrun"/>
          <w:rFonts w:eastAsiaTheme="minorEastAsia" w:cstheme="minorHAnsi"/>
        </w:rPr>
        <w:t>The construction industry is familiar with and has the capacity to respond to workforce targets, while these policies are new for the ICT sector. </w:t>
      </w:r>
      <w:r w:rsidR="00632CC1" w:rsidRPr="00CC408E">
        <w:rPr>
          <w:rStyle w:val="normaltextrun"/>
          <w:rFonts w:eastAsiaTheme="minorEastAsia"/>
        </w:rPr>
        <w:t> </w:t>
      </w:r>
    </w:p>
    <w:p w14:paraId="7408E96E" w14:textId="3D84E82C" w:rsidR="00C72BC9" w:rsidRPr="00651236" w:rsidRDefault="00442B45" w:rsidP="008712C6">
      <w:pPr>
        <w:pStyle w:val="ListBullet"/>
        <w:numPr>
          <w:ilvl w:val="0"/>
          <w:numId w:val="0"/>
        </w:numPr>
        <w:ind w:left="357"/>
        <w:rPr>
          <w:rStyle w:val="normaltextrun"/>
          <w:rFonts w:eastAsiaTheme="minorEastAsia" w:cstheme="minorHAnsi"/>
          <w:b/>
          <w:bCs/>
        </w:rPr>
      </w:pPr>
      <w:r w:rsidRPr="00865827">
        <w:rPr>
          <w:rStyle w:val="normaltextrun"/>
          <w:rFonts w:eastAsiaTheme="minorEastAsia" w:cstheme="minorHAnsi"/>
          <w:b/>
          <w:bCs/>
          <w:i/>
          <w:iCs/>
        </w:rPr>
        <w:t>Outcome</w:t>
      </w:r>
      <w:r w:rsidR="003677A0" w:rsidRPr="00865827">
        <w:rPr>
          <w:rStyle w:val="normaltextrun"/>
          <w:rFonts w:eastAsiaTheme="minorEastAsia" w:cstheme="minorHAnsi"/>
          <w:b/>
          <w:bCs/>
          <w:i/>
          <w:iCs/>
        </w:rPr>
        <w:t>:</w:t>
      </w:r>
      <w:r w:rsidR="003677A0" w:rsidRPr="00651236">
        <w:rPr>
          <w:rStyle w:val="normaltextrun"/>
          <w:rFonts w:eastAsiaTheme="minorEastAsia" w:cstheme="minorHAnsi"/>
          <w:b/>
          <w:bCs/>
        </w:rPr>
        <w:t xml:space="preserve"> </w:t>
      </w:r>
      <w:r w:rsidR="00671818" w:rsidRPr="00651236">
        <w:rPr>
          <w:rStyle w:val="normaltextrun"/>
          <w:rFonts w:eastAsiaTheme="minorEastAsia" w:cstheme="minorHAnsi"/>
        </w:rPr>
        <w:t>Given the industry’s familiarity, t</w:t>
      </w:r>
      <w:r w:rsidR="003677A0" w:rsidRPr="0065151C">
        <w:rPr>
          <w:rStyle w:val="normaltextrun"/>
          <w:rFonts w:eastAsiaTheme="minorEastAsia" w:cstheme="minorHAnsi"/>
        </w:rPr>
        <w:t xml:space="preserve">he department </w:t>
      </w:r>
      <w:r w:rsidR="00CC50DA" w:rsidRPr="0065151C">
        <w:rPr>
          <w:rStyle w:val="normaltextrun"/>
          <w:rFonts w:eastAsiaTheme="minorEastAsia" w:cstheme="minorHAnsi"/>
        </w:rPr>
        <w:t xml:space="preserve">was confident in </w:t>
      </w:r>
      <w:r w:rsidR="00CC04E0" w:rsidRPr="0065151C">
        <w:rPr>
          <w:rStyle w:val="normaltextrun"/>
          <w:rFonts w:eastAsiaTheme="minorEastAsia" w:cstheme="minorHAnsi"/>
        </w:rPr>
        <w:t>setting workforce targets for major construction projects</w:t>
      </w:r>
      <w:r w:rsidR="00ED5A35">
        <w:rPr>
          <w:rStyle w:val="normaltextrun"/>
          <w:rFonts w:eastAsiaTheme="minorEastAsia" w:cstheme="minorHAnsi"/>
        </w:rPr>
        <w:t xml:space="preserve"> </w:t>
      </w:r>
      <w:r w:rsidR="00CC04E0" w:rsidRPr="0065151C">
        <w:rPr>
          <w:rStyle w:val="normaltextrun"/>
          <w:rFonts w:eastAsiaTheme="minorEastAsia" w:cstheme="minorHAnsi"/>
        </w:rPr>
        <w:t xml:space="preserve">based on current workforce </w:t>
      </w:r>
      <w:r w:rsidR="005A77DC">
        <w:rPr>
          <w:rStyle w:val="normaltextrun"/>
          <w:rFonts w:eastAsiaTheme="minorEastAsia" w:cstheme="minorHAnsi"/>
        </w:rPr>
        <w:t>information</w:t>
      </w:r>
      <w:r w:rsidR="00CC04E0" w:rsidRPr="0065151C">
        <w:rPr>
          <w:rStyle w:val="normaltextrun"/>
          <w:rFonts w:eastAsiaTheme="minorEastAsia" w:cstheme="minorHAnsi"/>
        </w:rPr>
        <w:t xml:space="preserve">. </w:t>
      </w:r>
      <w:r w:rsidR="00A751D4" w:rsidRPr="0065151C">
        <w:rPr>
          <w:rStyle w:val="normaltextrun"/>
          <w:rFonts w:eastAsiaTheme="minorEastAsia" w:cstheme="minorHAnsi"/>
        </w:rPr>
        <w:t xml:space="preserve">For </w:t>
      </w:r>
      <w:r w:rsidR="00485246" w:rsidRPr="0065151C">
        <w:rPr>
          <w:rStyle w:val="normaltextrun"/>
          <w:rFonts w:eastAsiaTheme="minorEastAsia" w:cstheme="minorHAnsi"/>
        </w:rPr>
        <w:t xml:space="preserve">major </w:t>
      </w:r>
      <w:r w:rsidR="00A751D4" w:rsidRPr="0065151C">
        <w:rPr>
          <w:rStyle w:val="normaltextrun"/>
          <w:rFonts w:eastAsiaTheme="minorEastAsia" w:cstheme="minorHAnsi"/>
        </w:rPr>
        <w:t>ICT</w:t>
      </w:r>
      <w:r w:rsidR="00485246" w:rsidRPr="0065151C">
        <w:rPr>
          <w:rStyle w:val="normaltextrun"/>
          <w:rFonts w:eastAsiaTheme="minorEastAsia" w:cstheme="minorHAnsi"/>
        </w:rPr>
        <w:t xml:space="preserve"> </w:t>
      </w:r>
      <w:r w:rsidR="00485246" w:rsidRPr="0065151C">
        <w:rPr>
          <w:rStyle w:val="normaltextrun"/>
          <w:rFonts w:eastAsiaTheme="minorEastAsia" w:cstheme="minorHAnsi"/>
        </w:rPr>
        <w:lastRenderedPageBreak/>
        <w:t>projects</w:t>
      </w:r>
      <w:r w:rsidR="00A751D4" w:rsidRPr="0065151C">
        <w:rPr>
          <w:rStyle w:val="normaltextrun"/>
          <w:rFonts w:eastAsiaTheme="minorEastAsia" w:cstheme="minorHAnsi"/>
        </w:rPr>
        <w:t xml:space="preserve">, the department decided </w:t>
      </w:r>
      <w:r w:rsidR="00DA55AA" w:rsidRPr="0065151C">
        <w:rPr>
          <w:rStyle w:val="normaltextrun"/>
          <w:rFonts w:eastAsiaTheme="minorEastAsia" w:cstheme="minorHAnsi"/>
        </w:rPr>
        <w:t>that targets will initially be negotiated with suppliers on a project-by-project basis</w:t>
      </w:r>
      <w:r w:rsidR="0065151C" w:rsidRPr="0065151C">
        <w:rPr>
          <w:rStyle w:val="normaltextrun"/>
          <w:rFonts w:eastAsiaTheme="minorEastAsia" w:cstheme="minorHAnsi"/>
        </w:rPr>
        <w:t xml:space="preserve">, based on </w:t>
      </w:r>
      <w:r w:rsidR="00DA55AA" w:rsidRPr="0065151C">
        <w:rPr>
          <w:rStyle w:val="normaltextrun"/>
          <w:rFonts w:eastAsiaTheme="minorEastAsia" w:cstheme="minorHAnsi"/>
        </w:rPr>
        <w:t>workforce information provided by suppliers during the tender process. This approach will support the collection of data on entry-level pathways in the ICT sector to enable potential future development of targets for all major ICT projects.</w:t>
      </w:r>
    </w:p>
    <w:p w14:paraId="7986D528" w14:textId="4EB21CA4" w:rsidR="00632CC1" w:rsidRDefault="00FE6D7E" w:rsidP="009327F4">
      <w:pPr>
        <w:pStyle w:val="ListNumber"/>
        <w:rPr>
          <w:rStyle w:val="normaltextrun"/>
          <w:rFonts w:eastAsiaTheme="minorEastAsia"/>
        </w:rPr>
      </w:pPr>
      <w:r w:rsidRPr="00651236">
        <w:rPr>
          <w:rStyle w:val="normaltextrun"/>
          <w:rFonts w:eastAsiaTheme="minorEastAsia" w:cstheme="minorHAnsi"/>
          <w:b/>
          <w:bCs/>
        </w:rPr>
        <w:t>Finding:</w:t>
      </w:r>
      <w:r>
        <w:rPr>
          <w:rStyle w:val="normaltextrun"/>
          <w:rFonts w:eastAsiaTheme="minorEastAsia" w:cstheme="minorHAnsi"/>
        </w:rPr>
        <w:t xml:space="preserve"> </w:t>
      </w:r>
      <w:r w:rsidR="00632CC1" w:rsidRPr="00344C59">
        <w:rPr>
          <w:rStyle w:val="normaltextrun"/>
          <w:rFonts w:eastAsiaTheme="minorEastAsia" w:cstheme="minorHAnsi"/>
        </w:rPr>
        <w:t>Target settings should consider the capacity of the current labour market as well as the training system to deliver enough apprentices and trainees.</w:t>
      </w:r>
      <w:r w:rsidR="00632CC1" w:rsidRPr="000F7DEF">
        <w:rPr>
          <w:rStyle w:val="normaltextrun"/>
          <w:rFonts w:eastAsiaTheme="minorEastAsia"/>
        </w:rPr>
        <w:t> </w:t>
      </w:r>
    </w:p>
    <w:p w14:paraId="52EEE3A4" w14:textId="6E4050C3" w:rsidR="0065151C" w:rsidRPr="000F7DEF" w:rsidRDefault="00442B45" w:rsidP="008712C6">
      <w:pPr>
        <w:pStyle w:val="ListBullet"/>
        <w:numPr>
          <w:ilvl w:val="0"/>
          <w:numId w:val="0"/>
        </w:numPr>
        <w:ind w:left="357"/>
        <w:rPr>
          <w:rStyle w:val="normaltextrun"/>
          <w:rFonts w:eastAsiaTheme="minorEastAsia"/>
        </w:rPr>
      </w:pPr>
      <w:r w:rsidRPr="00865827">
        <w:rPr>
          <w:rStyle w:val="normaltextrun"/>
          <w:rFonts w:eastAsiaTheme="minorEastAsia"/>
          <w:b/>
          <w:bCs/>
          <w:i/>
          <w:iCs/>
        </w:rPr>
        <w:t>Outcome</w:t>
      </w:r>
      <w:r w:rsidR="00FE6D7E" w:rsidRPr="00865827">
        <w:rPr>
          <w:rStyle w:val="normaltextrun"/>
          <w:rFonts w:eastAsiaTheme="minorEastAsia"/>
          <w:b/>
          <w:bCs/>
          <w:i/>
          <w:iCs/>
        </w:rPr>
        <w:t>:</w:t>
      </w:r>
      <w:r w:rsidR="00FE6D7E">
        <w:rPr>
          <w:rStyle w:val="normaltextrun"/>
          <w:rFonts w:eastAsiaTheme="minorEastAsia"/>
        </w:rPr>
        <w:t xml:space="preserve"> The department used current labour market information to set </w:t>
      </w:r>
      <w:r w:rsidR="003C19EB">
        <w:rPr>
          <w:rStyle w:val="normaltextrun"/>
          <w:rFonts w:eastAsiaTheme="minorEastAsia"/>
        </w:rPr>
        <w:t xml:space="preserve">targets only slightly above current rates of participation. </w:t>
      </w:r>
    </w:p>
    <w:p w14:paraId="44AC4908" w14:textId="7E2B2C80" w:rsidR="00632CC1" w:rsidRDefault="003C19EB" w:rsidP="009327F4">
      <w:pPr>
        <w:pStyle w:val="ListNumber"/>
        <w:rPr>
          <w:rStyle w:val="normaltextrun"/>
          <w:rFonts w:eastAsiaTheme="minorEastAsia"/>
        </w:rPr>
      </w:pPr>
      <w:r w:rsidRPr="00651236">
        <w:rPr>
          <w:rStyle w:val="normaltextrun"/>
          <w:rFonts w:eastAsiaTheme="minorEastAsia" w:cstheme="minorHAnsi"/>
          <w:b/>
          <w:bCs/>
        </w:rPr>
        <w:t>Finding:</w:t>
      </w:r>
      <w:r>
        <w:rPr>
          <w:rStyle w:val="normaltextrun"/>
          <w:rFonts w:eastAsiaTheme="minorEastAsia" w:cstheme="minorHAnsi"/>
        </w:rPr>
        <w:t xml:space="preserve"> </w:t>
      </w:r>
      <w:r w:rsidR="00632CC1" w:rsidRPr="00344C59">
        <w:rPr>
          <w:rStyle w:val="normaltextrun"/>
          <w:rFonts w:eastAsiaTheme="minorEastAsia" w:cstheme="minorHAnsi"/>
        </w:rPr>
        <w:t>Many stakeholders supported targets for women aimed at different cohorts in the workforce – such as specific targets for women in trade roles combined with broader targets for apprentices and trainees. </w:t>
      </w:r>
      <w:r w:rsidR="00632CC1" w:rsidRPr="000F7DEF">
        <w:rPr>
          <w:rStyle w:val="normaltextrun"/>
          <w:rFonts w:eastAsiaTheme="minorEastAsia"/>
        </w:rPr>
        <w:t> </w:t>
      </w:r>
    </w:p>
    <w:p w14:paraId="5F5229D7" w14:textId="41CC5B58" w:rsidR="00C348A1" w:rsidRPr="00651236" w:rsidRDefault="00447582" w:rsidP="008712C6">
      <w:pPr>
        <w:pStyle w:val="ListBullet"/>
        <w:numPr>
          <w:ilvl w:val="0"/>
          <w:numId w:val="0"/>
        </w:numPr>
        <w:ind w:left="357"/>
        <w:rPr>
          <w:rStyle w:val="normaltextrun"/>
          <w:rFonts w:eastAsiaTheme="minorEastAsia"/>
        </w:rPr>
      </w:pPr>
      <w:r w:rsidRPr="00447582">
        <w:rPr>
          <w:rStyle w:val="normaltextrun"/>
          <w:rFonts w:eastAsiaTheme="minorEastAsia" w:cstheme="minorHAnsi"/>
          <w:b/>
          <w:bCs/>
          <w:i/>
          <w:iCs/>
        </w:rPr>
        <w:t>Outcome</w:t>
      </w:r>
      <w:r w:rsidR="00C348A1" w:rsidRPr="00447582">
        <w:rPr>
          <w:rStyle w:val="normaltextrun"/>
          <w:rFonts w:eastAsiaTheme="minorEastAsia" w:cstheme="minorHAnsi"/>
          <w:b/>
          <w:bCs/>
          <w:i/>
          <w:iCs/>
        </w:rPr>
        <w:t>:</w:t>
      </w:r>
      <w:r w:rsidR="00C348A1">
        <w:rPr>
          <w:rStyle w:val="normaltextrun"/>
          <w:rFonts w:eastAsiaTheme="minorEastAsia"/>
        </w:rPr>
        <w:t xml:space="preserve"> </w:t>
      </w:r>
      <w:r w:rsidR="00C348A1" w:rsidRPr="00651236">
        <w:rPr>
          <w:rStyle w:val="normaltextrun"/>
          <w:rFonts w:eastAsiaTheme="minorEastAsia"/>
        </w:rPr>
        <w:t xml:space="preserve">The department included specific targets for women in trade roles as well as broader targets for apprentices and trainees.  </w:t>
      </w:r>
    </w:p>
    <w:p w14:paraId="207A8828" w14:textId="2279F9F4" w:rsidR="00632CC1" w:rsidRPr="00FE780C" w:rsidRDefault="00447666" w:rsidP="009327F4">
      <w:pPr>
        <w:pStyle w:val="ListNumber"/>
        <w:rPr>
          <w:rStyle w:val="normaltextrun"/>
          <w:rFonts w:eastAsiaTheme="minorEastAsia"/>
        </w:rPr>
      </w:pPr>
      <w:r w:rsidRPr="00651236">
        <w:rPr>
          <w:rStyle w:val="normaltextrun"/>
          <w:rFonts w:eastAsiaTheme="minorEastAsia" w:cstheme="minorHAnsi"/>
          <w:b/>
          <w:bCs/>
        </w:rPr>
        <w:t>Finding:</w:t>
      </w:r>
      <w:r>
        <w:rPr>
          <w:rStyle w:val="normaltextrun"/>
          <w:rFonts w:eastAsiaTheme="minorEastAsia" w:cstheme="minorHAnsi"/>
        </w:rPr>
        <w:t xml:space="preserve"> </w:t>
      </w:r>
      <w:r w:rsidR="00632CC1" w:rsidRPr="00344C59">
        <w:rPr>
          <w:rStyle w:val="normaltextrun"/>
          <w:rFonts w:eastAsiaTheme="minorEastAsia" w:cstheme="minorHAnsi"/>
        </w:rPr>
        <w:t>There was strong support among women’s organisations for initial targets that are achievable based on current participation data, but which could be scaled up over time to drive sustainable change</w:t>
      </w:r>
      <w:r w:rsidR="00632CC1" w:rsidRPr="00FE780C">
        <w:rPr>
          <w:rStyle w:val="normaltextrun"/>
          <w:rFonts w:eastAsiaTheme="minorEastAsia" w:cstheme="minorHAnsi"/>
        </w:rPr>
        <w:t>.</w:t>
      </w:r>
      <w:r w:rsidR="00632CC1" w:rsidRPr="00FE780C">
        <w:rPr>
          <w:rStyle w:val="normaltextrun"/>
          <w:rFonts w:eastAsiaTheme="minorEastAsia"/>
        </w:rPr>
        <w:t> </w:t>
      </w:r>
    </w:p>
    <w:p w14:paraId="6BBD1E29" w14:textId="45C1AF39" w:rsidR="00EB32EE" w:rsidRPr="000F7DEF" w:rsidRDefault="00447582" w:rsidP="008712C6">
      <w:pPr>
        <w:pStyle w:val="ListBullet"/>
        <w:numPr>
          <w:ilvl w:val="0"/>
          <w:numId w:val="0"/>
        </w:numPr>
        <w:ind w:left="357"/>
        <w:rPr>
          <w:rStyle w:val="normaltextrun"/>
          <w:rFonts w:eastAsiaTheme="minorEastAsia"/>
        </w:rPr>
      </w:pPr>
      <w:r w:rsidRPr="00447582">
        <w:rPr>
          <w:rStyle w:val="normaltextrun"/>
          <w:rFonts w:eastAsiaTheme="minorEastAsia"/>
          <w:b/>
          <w:bCs/>
          <w:i/>
          <w:iCs/>
        </w:rPr>
        <w:t>Outcome</w:t>
      </w:r>
      <w:r w:rsidR="00F7491E" w:rsidRPr="00447582">
        <w:rPr>
          <w:rStyle w:val="normaltextrun"/>
          <w:rFonts w:eastAsiaTheme="minorEastAsia"/>
          <w:b/>
          <w:bCs/>
          <w:i/>
          <w:iCs/>
        </w:rPr>
        <w:t>:</w:t>
      </w:r>
      <w:r w:rsidR="00F7491E">
        <w:rPr>
          <w:rStyle w:val="normaltextrun"/>
          <w:rFonts w:eastAsiaTheme="minorEastAsia"/>
        </w:rPr>
        <w:t xml:space="preserve"> </w:t>
      </w:r>
      <w:r w:rsidR="00F7491E" w:rsidRPr="00F7491E">
        <w:rPr>
          <w:rStyle w:val="normaltextrun"/>
          <w:rFonts w:eastAsiaTheme="minorEastAsia"/>
        </w:rPr>
        <w:t xml:space="preserve">The department used current labour market information to set </w:t>
      </w:r>
      <w:r w:rsidR="00757971">
        <w:rPr>
          <w:rStyle w:val="normaltextrun"/>
          <w:rFonts w:eastAsiaTheme="minorEastAsia"/>
        </w:rPr>
        <w:t xml:space="preserve">the initial </w:t>
      </w:r>
      <w:r w:rsidR="00F7491E" w:rsidRPr="00F7491E">
        <w:rPr>
          <w:rStyle w:val="normaltextrun"/>
          <w:rFonts w:eastAsiaTheme="minorEastAsia"/>
        </w:rPr>
        <w:t xml:space="preserve">targets </w:t>
      </w:r>
      <w:r w:rsidR="009E327C">
        <w:rPr>
          <w:rStyle w:val="normaltextrun"/>
          <w:rFonts w:eastAsiaTheme="minorEastAsia"/>
        </w:rPr>
        <w:t xml:space="preserve">for women </w:t>
      </w:r>
      <w:r w:rsidR="00F7491E" w:rsidRPr="00F7491E">
        <w:rPr>
          <w:rStyle w:val="normaltextrun"/>
          <w:rFonts w:eastAsiaTheme="minorEastAsia"/>
        </w:rPr>
        <w:t>only slightly above current rates of participation</w:t>
      </w:r>
      <w:r w:rsidR="00757971">
        <w:rPr>
          <w:rStyle w:val="normaltextrun"/>
          <w:rFonts w:eastAsiaTheme="minorEastAsia"/>
        </w:rPr>
        <w:t xml:space="preserve">, with targets </w:t>
      </w:r>
      <w:r w:rsidR="003A0D4B">
        <w:rPr>
          <w:rStyle w:val="normaltextrun"/>
          <w:rFonts w:eastAsiaTheme="minorEastAsia"/>
        </w:rPr>
        <w:t xml:space="preserve">increasing </w:t>
      </w:r>
      <w:r w:rsidR="00DB574D">
        <w:rPr>
          <w:rStyle w:val="normaltextrun"/>
          <w:rFonts w:eastAsiaTheme="minorEastAsia"/>
        </w:rPr>
        <w:t>by one percentage point each financial year</w:t>
      </w:r>
      <w:r w:rsidR="00086CAF">
        <w:rPr>
          <w:rStyle w:val="normaltextrun"/>
          <w:rFonts w:eastAsiaTheme="minorEastAsia"/>
        </w:rPr>
        <w:t xml:space="preserve"> to drive sustainable change</w:t>
      </w:r>
      <w:r w:rsidR="00DB574D">
        <w:rPr>
          <w:rStyle w:val="normaltextrun"/>
          <w:rFonts w:eastAsiaTheme="minorEastAsia"/>
        </w:rPr>
        <w:t xml:space="preserve">. </w:t>
      </w:r>
    </w:p>
    <w:p w14:paraId="17C62E9D" w14:textId="5D678943" w:rsidR="00632CC1" w:rsidRDefault="004B16F2" w:rsidP="009327F4">
      <w:pPr>
        <w:pStyle w:val="ListNumber"/>
        <w:rPr>
          <w:rStyle w:val="normaltextrun"/>
          <w:rFonts w:eastAsiaTheme="minorEastAsia"/>
        </w:rPr>
      </w:pPr>
      <w:r w:rsidRPr="00651236">
        <w:rPr>
          <w:rStyle w:val="normaltextrun"/>
          <w:rFonts w:eastAsiaTheme="minorEastAsia" w:cstheme="minorHAnsi"/>
          <w:b/>
          <w:bCs/>
        </w:rPr>
        <w:t>Finding:</w:t>
      </w:r>
      <w:r>
        <w:rPr>
          <w:rStyle w:val="normaltextrun"/>
          <w:rFonts w:eastAsiaTheme="minorEastAsia" w:cstheme="minorHAnsi"/>
        </w:rPr>
        <w:t xml:space="preserve"> </w:t>
      </w:r>
      <w:r w:rsidR="00632CC1" w:rsidRPr="00344C59">
        <w:rPr>
          <w:rStyle w:val="normaltextrun"/>
          <w:rFonts w:eastAsiaTheme="minorEastAsia" w:cstheme="minorHAnsi"/>
        </w:rPr>
        <w:t>The tight labour market is driving employers to diversify their workforce and think differently about ways of working to recruit and retain women. </w:t>
      </w:r>
      <w:r w:rsidR="00632CC1" w:rsidRPr="000F7DEF">
        <w:rPr>
          <w:rStyle w:val="normaltextrun"/>
          <w:rFonts w:eastAsiaTheme="minorEastAsia"/>
        </w:rPr>
        <w:t> </w:t>
      </w:r>
    </w:p>
    <w:p w14:paraId="4AB3EAF0" w14:textId="4A8AFAAC" w:rsidR="004B4336" w:rsidRDefault="00447582" w:rsidP="008712C6">
      <w:pPr>
        <w:pStyle w:val="ListBullet"/>
        <w:numPr>
          <w:ilvl w:val="0"/>
          <w:numId w:val="0"/>
        </w:numPr>
        <w:ind w:left="357"/>
        <w:rPr>
          <w:rStyle w:val="normaltextrun"/>
          <w:rFonts w:eastAsiaTheme="minorEastAsia"/>
        </w:rPr>
      </w:pPr>
      <w:r w:rsidRPr="00447582">
        <w:rPr>
          <w:rStyle w:val="normaltextrun"/>
          <w:rFonts w:eastAsiaTheme="minorEastAsia" w:cstheme="minorHAnsi"/>
          <w:b/>
          <w:bCs/>
          <w:i/>
          <w:iCs/>
        </w:rPr>
        <w:t>Outcome</w:t>
      </w:r>
      <w:r w:rsidR="004B4336" w:rsidRPr="00447582">
        <w:rPr>
          <w:rStyle w:val="normaltextrun"/>
          <w:rFonts w:eastAsiaTheme="minorEastAsia" w:cstheme="minorHAnsi"/>
          <w:b/>
          <w:bCs/>
          <w:i/>
          <w:iCs/>
        </w:rPr>
        <w:t>:</w:t>
      </w:r>
      <w:r w:rsidR="004B4336">
        <w:rPr>
          <w:rStyle w:val="normaltextrun"/>
          <w:rFonts w:eastAsiaTheme="minorEastAsia"/>
        </w:rPr>
        <w:t xml:space="preserve"> </w:t>
      </w:r>
      <w:r w:rsidR="004B4336" w:rsidRPr="00651236">
        <w:rPr>
          <w:rStyle w:val="normaltextrun"/>
          <w:rFonts w:eastAsiaTheme="minorEastAsia"/>
        </w:rPr>
        <w:t>The depar</w:t>
      </w:r>
      <w:r w:rsidR="0065718F" w:rsidRPr="00651236">
        <w:rPr>
          <w:rStyle w:val="normaltextrun"/>
          <w:rFonts w:eastAsiaTheme="minorEastAsia"/>
        </w:rPr>
        <w:t xml:space="preserve">tment was given confidence there is </w:t>
      </w:r>
      <w:r w:rsidR="00FE780C">
        <w:rPr>
          <w:rStyle w:val="normaltextrun"/>
          <w:rFonts w:eastAsiaTheme="minorEastAsia"/>
        </w:rPr>
        <w:t xml:space="preserve">an </w:t>
      </w:r>
      <w:r w:rsidR="0065718F" w:rsidRPr="00651236">
        <w:rPr>
          <w:rStyle w:val="normaltextrun"/>
          <w:rFonts w:eastAsiaTheme="minorEastAsia"/>
        </w:rPr>
        <w:t xml:space="preserve">appetite from </w:t>
      </w:r>
      <w:r w:rsidR="00FE780C">
        <w:rPr>
          <w:rStyle w:val="normaltextrun"/>
          <w:rFonts w:eastAsiaTheme="minorEastAsia"/>
        </w:rPr>
        <w:t xml:space="preserve">employers </w:t>
      </w:r>
      <w:r w:rsidR="0065718F" w:rsidRPr="00651236">
        <w:rPr>
          <w:rStyle w:val="normaltextrun"/>
          <w:rFonts w:eastAsiaTheme="minorEastAsia"/>
        </w:rPr>
        <w:t>to increase the number of women</w:t>
      </w:r>
      <w:r w:rsidR="00FE780C">
        <w:rPr>
          <w:rStyle w:val="normaltextrun"/>
          <w:rFonts w:eastAsiaTheme="minorEastAsia"/>
        </w:rPr>
        <w:t xml:space="preserve"> working in the construction and ICT industries</w:t>
      </w:r>
      <w:r w:rsidR="00FE780C" w:rsidRPr="00651236">
        <w:rPr>
          <w:rStyle w:val="normaltextrun"/>
          <w:rFonts w:eastAsiaTheme="minorEastAsia"/>
        </w:rPr>
        <w:t xml:space="preserve">. </w:t>
      </w:r>
    </w:p>
    <w:p w14:paraId="6034B1A0" w14:textId="7631838C" w:rsidR="00876FA3" w:rsidRDefault="006C5E35" w:rsidP="009327F4">
      <w:pPr>
        <w:pStyle w:val="ListNumber"/>
        <w:rPr>
          <w:rStyle w:val="normaltextrun"/>
          <w:rFonts w:eastAsiaTheme="minorEastAsia" w:cstheme="minorHAnsi"/>
        </w:rPr>
      </w:pPr>
      <w:r w:rsidRPr="006C5E35">
        <w:rPr>
          <w:rStyle w:val="normaltextrun"/>
          <w:rFonts w:eastAsiaTheme="minorEastAsia" w:cstheme="minorHAnsi"/>
          <w:b/>
          <w:bCs/>
        </w:rPr>
        <w:t>Finding:</w:t>
      </w:r>
      <w:r>
        <w:rPr>
          <w:rStyle w:val="normaltextrun"/>
          <w:rFonts w:eastAsiaTheme="minorEastAsia" w:cstheme="minorHAnsi"/>
        </w:rPr>
        <w:t xml:space="preserve"> </w:t>
      </w:r>
      <w:r w:rsidR="00876FA3" w:rsidRPr="00100791">
        <w:rPr>
          <w:rStyle w:val="normaltextrun"/>
          <w:rFonts w:eastAsiaTheme="minorEastAsia" w:cstheme="minorHAnsi"/>
        </w:rPr>
        <w:t xml:space="preserve">Planning and drafting tender applications often </w:t>
      </w:r>
      <w:r w:rsidR="00100791" w:rsidRPr="00100791">
        <w:rPr>
          <w:rStyle w:val="normaltextrun"/>
          <w:rFonts w:eastAsiaTheme="minorEastAsia" w:cstheme="minorHAnsi"/>
        </w:rPr>
        <w:t>commence</w:t>
      </w:r>
      <w:r w:rsidR="00876FA3" w:rsidRPr="00100791">
        <w:rPr>
          <w:rStyle w:val="normaltextrun"/>
          <w:rFonts w:eastAsiaTheme="minorEastAsia" w:cstheme="minorHAnsi"/>
        </w:rPr>
        <w:t xml:space="preserve"> 12 months prior</w:t>
      </w:r>
      <w:r w:rsidR="008601E5" w:rsidRPr="00100791">
        <w:rPr>
          <w:rStyle w:val="normaltextrun"/>
          <w:rFonts w:eastAsiaTheme="minorEastAsia" w:cstheme="minorHAnsi"/>
        </w:rPr>
        <w:t xml:space="preserve">, a staged implementation </w:t>
      </w:r>
      <w:r w:rsidR="00D40BD7" w:rsidRPr="00100791">
        <w:rPr>
          <w:rStyle w:val="normaltextrun"/>
          <w:rFonts w:eastAsiaTheme="minorEastAsia" w:cstheme="minorHAnsi"/>
        </w:rPr>
        <w:t xml:space="preserve">would allow </w:t>
      </w:r>
      <w:r w:rsidR="00100791" w:rsidRPr="00100791">
        <w:rPr>
          <w:rStyle w:val="normaltextrun"/>
          <w:rFonts w:eastAsiaTheme="minorEastAsia" w:cstheme="minorHAnsi"/>
        </w:rPr>
        <w:t xml:space="preserve">suppliers more time to adjust policies, purchasing procedures and recruitment processes. </w:t>
      </w:r>
    </w:p>
    <w:p w14:paraId="69548C02" w14:textId="6171FB22" w:rsidR="0042377A" w:rsidRPr="00100791" w:rsidRDefault="00C34008" w:rsidP="008712C6">
      <w:pPr>
        <w:pStyle w:val="ListBullet"/>
        <w:numPr>
          <w:ilvl w:val="0"/>
          <w:numId w:val="0"/>
        </w:numPr>
        <w:ind w:left="357"/>
        <w:rPr>
          <w:rStyle w:val="normaltextrun"/>
          <w:rFonts w:eastAsiaTheme="minorEastAsia" w:cstheme="minorHAnsi"/>
        </w:rPr>
      </w:pPr>
      <w:r w:rsidRPr="00C34008">
        <w:rPr>
          <w:rStyle w:val="normaltextrun"/>
          <w:rFonts w:eastAsiaTheme="minorEastAsia" w:cstheme="minorHAnsi"/>
          <w:b/>
          <w:bCs/>
          <w:i/>
          <w:iCs/>
        </w:rPr>
        <w:t>Outcome</w:t>
      </w:r>
      <w:r w:rsidR="006C5E35" w:rsidRPr="00C34008">
        <w:rPr>
          <w:rStyle w:val="normaltextrun"/>
          <w:rFonts w:eastAsiaTheme="minorEastAsia" w:cstheme="minorHAnsi"/>
          <w:b/>
          <w:bCs/>
          <w:i/>
          <w:iCs/>
        </w:rPr>
        <w:t>:</w:t>
      </w:r>
      <w:r w:rsidR="006C5E35" w:rsidRPr="00C34008">
        <w:rPr>
          <w:rStyle w:val="normaltextrun"/>
          <w:rFonts w:eastAsiaTheme="minorEastAsia" w:cstheme="minorHAnsi"/>
        </w:rPr>
        <w:t xml:space="preserve"> </w:t>
      </w:r>
      <w:r w:rsidR="0042377A" w:rsidRPr="00C34008">
        <w:rPr>
          <w:rStyle w:val="normaltextrun"/>
          <w:rFonts w:eastAsiaTheme="minorEastAsia" w:cstheme="minorHAnsi"/>
        </w:rPr>
        <w:t xml:space="preserve">The department has </w:t>
      </w:r>
      <w:r w:rsidR="00FC7A19">
        <w:rPr>
          <w:rStyle w:val="normaltextrun"/>
          <w:rFonts w:eastAsiaTheme="minorEastAsia" w:cstheme="minorHAnsi"/>
        </w:rPr>
        <w:t>taken a</w:t>
      </w:r>
      <w:r w:rsidR="001A6CEA" w:rsidRPr="00C34008">
        <w:rPr>
          <w:rStyle w:val="normaltextrun"/>
          <w:rFonts w:eastAsiaTheme="minorEastAsia" w:cstheme="minorHAnsi"/>
        </w:rPr>
        <w:t xml:space="preserve"> </w:t>
      </w:r>
      <w:r w:rsidR="0042377A" w:rsidRPr="00C34008">
        <w:rPr>
          <w:rStyle w:val="normaltextrun"/>
          <w:rFonts w:eastAsiaTheme="minorEastAsia" w:cstheme="minorHAnsi"/>
        </w:rPr>
        <w:t xml:space="preserve">staged implementation </w:t>
      </w:r>
      <w:r w:rsidR="00FC7A19">
        <w:rPr>
          <w:rStyle w:val="normaltextrun"/>
          <w:rFonts w:eastAsiaTheme="minorEastAsia" w:cstheme="minorHAnsi"/>
        </w:rPr>
        <w:t xml:space="preserve">of the </w:t>
      </w:r>
      <w:r w:rsidR="0042377A" w:rsidRPr="00C34008">
        <w:rPr>
          <w:rStyle w:val="normaltextrun"/>
          <w:rFonts w:eastAsiaTheme="minorEastAsia" w:cstheme="minorHAnsi"/>
        </w:rPr>
        <w:t xml:space="preserve">Skills Guarantee </w:t>
      </w:r>
      <w:r w:rsidR="00776FF9" w:rsidRPr="00C34008">
        <w:rPr>
          <w:rStyle w:val="normaltextrun"/>
          <w:rFonts w:eastAsiaTheme="minorEastAsia" w:cstheme="minorHAnsi"/>
        </w:rPr>
        <w:t xml:space="preserve">to </w:t>
      </w:r>
      <w:r w:rsidR="0042377A" w:rsidRPr="00C34008">
        <w:rPr>
          <w:rStyle w:val="normaltextrun"/>
          <w:rFonts w:eastAsiaTheme="minorEastAsia" w:cstheme="minorHAnsi"/>
        </w:rPr>
        <w:t xml:space="preserve">allow the necessary lead time for businesses to adjust their policies, purchasing procedures and recruitment processes ahead of the mandatory apprentice and trainee targets coming into force in </w:t>
      </w:r>
      <w:r w:rsidR="00564CE7" w:rsidRPr="00C34008">
        <w:rPr>
          <w:rStyle w:val="normaltextrun"/>
          <w:rFonts w:eastAsiaTheme="minorEastAsia" w:cstheme="minorHAnsi"/>
        </w:rPr>
        <w:t xml:space="preserve">July </w:t>
      </w:r>
      <w:r w:rsidR="0042377A" w:rsidRPr="00C34008">
        <w:rPr>
          <w:rStyle w:val="normaltextrun"/>
          <w:rFonts w:eastAsiaTheme="minorEastAsia" w:cstheme="minorHAnsi"/>
        </w:rPr>
        <w:t>2024</w:t>
      </w:r>
      <w:r w:rsidR="00FC7A19">
        <w:rPr>
          <w:rStyle w:val="normaltextrun"/>
          <w:rFonts w:eastAsiaTheme="minorEastAsia" w:cstheme="minorHAnsi"/>
        </w:rPr>
        <w:t xml:space="preserve"> (more than 12 months from the 2023</w:t>
      </w:r>
      <w:r w:rsidR="00102C28">
        <w:rPr>
          <w:rStyle w:val="normaltextrun"/>
          <w:rFonts w:eastAsiaTheme="minorEastAsia" w:cstheme="minorHAnsi"/>
        </w:rPr>
        <w:t>–</w:t>
      </w:r>
      <w:r w:rsidR="00FC7A19">
        <w:rPr>
          <w:rStyle w:val="normaltextrun"/>
          <w:rFonts w:eastAsiaTheme="minorEastAsia" w:cstheme="minorHAnsi"/>
        </w:rPr>
        <w:t xml:space="preserve">24 </w:t>
      </w:r>
      <w:r w:rsidR="00102C28">
        <w:rPr>
          <w:rStyle w:val="normaltextrun"/>
          <w:rFonts w:eastAsiaTheme="minorEastAsia" w:cstheme="minorHAnsi"/>
        </w:rPr>
        <w:t>B</w:t>
      </w:r>
      <w:r w:rsidR="00FC7A19">
        <w:rPr>
          <w:rStyle w:val="normaltextrun"/>
          <w:rFonts w:eastAsiaTheme="minorEastAsia" w:cstheme="minorHAnsi"/>
        </w:rPr>
        <w:t>udget announcement)</w:t>
      </w:r>
      <w:r w:rsidR="0042377A" w:rsidRPr="00C34008">
        <w:rPr>
          <w:rStyle w:val="normaltextrun"/>
          <w:rFonts w:eastAsiaTheme="minorEastAsia" w:cstheme="minorHAnsi"/>
        </w:rPr>
        <w:t>.</w:t>
      </w:r>
      <w:r w:rsidR="00FC7A19">
        <w:rPr>
          <w:rStyle w:val="normaltextrun"/>
          <w:rFonts w:eastAsiaTheme="minorEastAsia" w:cstheme="minorHAnsi"/>
        </w:rPr>
        <w:t xml:space="preserve"> In addition, the department has </w:t>
      </w:r>
      <w:r w:rsidR="00FC7A19">
        <w:rPr>
          <w:rStyle w:val="normaltextrun"/>
          <w:rFonts w:eastAsiaTheme="minorEastAsia" w:cstheme="minorHAnsi"/>
        </w:rPr>
        <w:lastRenderedPageBreak/>
        <w:t xml:space="preserve">also undertaken </w:t>
      </w:r>
      <w:r w:rsidR="00245CBC">
        <w:rPr>
          <w:rStyle w:val="normaltextrun"/>
          <w:rFonts w:eastAsiaTheme="minorEastAsia" w:cstheme="minorHAnsi"/>
        </w:rPr>
        <w:t>2</w:t>
      </w:r>
      <w:r w:rsidR="00FC7A19">
        <w:rPr>
          <w:rStyle w:val="normaltextrun"/>
          <w:rFonts w:eastAsiaTheme="minorEastAsia" w:cstheme="minorHAnsi"/>
        </w:rPr>
        <w:t xml:space="preserve"> rounds of public consultation on the PCP guidelines to ensure that suppliers </w:t>
      </w:r>
      <w:r w:rsidR="00AE5DBC">
        <w:rPr>
          <w:rStyle w:val="normaltextrun"/>
          <w:rFonts w:eastAsiaTheme="minorEastAsia" w:cstheme="minorHAnsi"/>
        </w:rPr>
        <w:t xml:space="preserve">gain an early understanding of key requirements, including reporting and compliance, and adjust their businesses practices accordingly. </w:t>
      </w:r>
    </w:p>
    <w:p w14:paraId="28F70CD6" w14:textId="5CEFE562" w:rsidR="00632CC1" w:rsidRDefault="006C5E35" w:rsidP="009327F4">
      <w:pPr>
        <w:pStyle w:val="ListNumber"/>
        <w:rPr>
          <w:rStyle w:val="normaltextrun"/>
          <w:rFonts w:eastAsiaTheme="minorEastAsia"/>
        </w:rPr>
      </w:pPr>
      <w:r w:rsidRPr="00612CA5">
        <w:rPr>
          <w:rStyle w:val="normaltextrun"/>
          <w:rFonts w:eastAsiaTheme="minorEastAsia" w:cstheme="minorHAnsi"/>
          <w:b/>
          <w:bCs/>
        </w:rPr>
        <w:t>Finding:</w:t>
      </w:r>
      <w:r>
        <w:rPr>
          <w:rStyle w:val="normaltextrun"/>
          <w:rFonts w:eastAsiaTheme="minorEastAsia" w:cstheme="minorHAnsi"/>
        </w:rPr>
        <w:t xml:space="preserve"> </w:t>
      </w:r>
      <w:r w:rsidR="00632CC1" w:rsidRPr="00344C59">
        <w:rPr>
          <w:rStyle w:val="normaltextrun"/>
          <w:rFonts w:eastAsiaTheme="minorEastAsia" w:cstheme="minorHAnsi"/>
        </w:rPr>
        <w:t>Engagement will need to be ongoing, with education and support important for implementation, including guidance material. </w:t>
      </w:r>
      <w:r w:rsidR="00632CC1" w:rsidRPr="000F7DEF">
        <w:rPr>
          <w:rStyle w:val="normaltextrun"/>
          <w:rFonts w:eastAsiaTheme="minorEastAsia"/>
        </w:rPr>
        <w:t> </w:t>
      </w:r>
    </w:p>
    <w:p w14:paraId="1F51220B" w14:textId="7CA96291" w:rsidR="006C5E35" w:rsidRPr="000F7DEF" w:rsidRDefault="0035092F" w:rsidP="008712C6">
      <w:pPr>
        <w:pStyle w:val="ListBullet"/>
        <w:numPr>
          <w:ilvl w:val="0"/>
          <w:numId w:val="0"/>
        </w:numPr>
        <w:ind w:left="357"/>
        <w:rPr>
          <w:rStyle w:val="normaltextrun"/>
          <w:rFonts w:eastAsiaTheme="minorEastAsia"/>
        </w:rPr>
      </w:pPr>
      <w:r w:rsidRPr="0035092F">
        <w:rPr>
          <w:rStyle w:val="normaltextrun"/>
          <w:rFonts w:eastAsiaTheme="minorEastAsia" w:cstheme="minorHAnsi"/>
          <w:b/>
          <w:bCs/>
          <w:i/>
          <w:iCs/>
        </w:rPr>
        <w:t>Outcome</w:t>
      </w:r>
      <w:r w:rsidR="006C5E35" w:rsidRPr="0035092F">
        <w:rPr>
          <w:rStyle w:val="normaltextrun"/>
          <w:rFonts w:eastAsiaTheme="minorEastAsia" w:cstheme="minorHAnsi"/>
          <w:b/>
          <w:bCs/>
          <w:i/>
          <w:iCs/>
        </w:rPr>
        <w:t>:</w:t>
      </w:r>
      <w:r w:rsidR="00C036F3">
        <w:rPr>
          <w:rStyle w:val="normaltextrun"/>
          <w:rFonts w:eastAsiaTheme="minorEastAsia" w:cstheme="minorHAnsi"/>
        </w:rPr>
        <w:t xml:space="preserve"> </w:t>
      </w:r>
      <w:r w:rsidR="00663EE8" w:rsidRPr="00663EE8">
        <w:rPr>
          <w:rStyle w:val="normaltextrun"/>
          <w:rFonts w:eastAsiaTheme="minorEastAsia" w:cstheme="minorHAnsi"/>
        </w:rPr>
        <w:t xml:space="preserve">The </w:t>
      </w:r>
      <w:r w:rsidR="00663EE8">
        <w:rPr>
          <w:rStyle w:val="normaltextrun"/>
          <w:rFonts w:eastAsiaTheme="minorEastAsia" w:cstheme="minorHAnsi"/>
        </w:rPr>
        <w:t>d</w:t>
      </w:r>
      <w:r w:rsidR="00663EE8" w:rsidRPr="00663EE8">
        <w:rPr>
          <w:rStyle w:val="normaltextrun"/>
          <w:rFonts w:eastAsiaTheme="minorEastAsia" w:cstheme="minorHAnsi"/>
        </w:rPr>
        <w:t xml:space="preserve">epartment </w:t>
      </w:r>
      <w:r w:rsidR="007B11C9">
        <w:rPr>
          <w:rStyle w:val="normaltextrun"/>
          <w:rFonts w:eastAsiaTheme="minorEastAsia" w:cstheme="minorHAnsi"/>
        </w:rPr>
        <w:t>committed to</w:t>
      </w:r>
      <w:r w:rsidR="00663EE8" w:rsidRPr="00663EE8">
        <w:rPr>
          <w:rStyle w:val="normaltextrun"/>
          <w:rFonts w:eastAsiaTheme="minorEastAsia" w:cstheme="minorHAnsi"/>
        </w:rPr>
        <w:t xml:space="preserve"> develop</w:t>
      </w:r>
      <w:r w:rsidR="007B11C9">
        <w:rPr>
          <w:rStyle w:val="normaltextrun"/>
          <w:rFonts w:eastAsiaTheme="minorEastAsia" w:cstheme="minorHAnsi"/>
        </w:rPr>
        <w:t>ing</w:t>
      </w:r>
      <w:r w:rsidR="00663EE8" w:rsidRPr="00663EE8">
        <w:rPr>
          <w:rStyle w:val="normaltextrun"/>
          <w:rFonts w:eastAsiaTheme="minorEastAsia" w:cstheme="minorHAnsi"/>
        </w:rPr>
        <w:t xml:space="preserve"> resources and engag</w:t>
      </w:r>
      <w:r w:rsidR="007B11C9">
        <w:rPr>
          <w:rStyle w:val="normaltextrun"/>
          <w:rFonts w:eastAsiaTheme="minorEastAsia" w:cstheme="minorHAnsi"/>
        </w:rPr>
        <w:t>ing</w:t>
      </w:r>
      <w:r w:rsidR="00663EE8" w:rsidRPr="00663EE8">
        <w:rPr>
          <w:rStyle w:val="normaltextrun"/>
          <w:rFonts w:eastAsiaTheme="minorEastAsia" w:cstheme="minorHAnsi"/>
        </w:rPr>
        <w:t xml:space="preserve"> in </w:t>
      </w:r>
      <w:r w:rsidR="00031C9E">
        <w:rPr>
          <w:rStyle w:val="normaltextrun"/>
          <w:rFonts w:eastAsiaTheme="minorEastAsia" w:cstheme="minorHAnsi"/>
        </w:rPr>
        <w:t xml:space="preserve">the </w:t>
      </w:r>
      <w:r w:rsidR="00663EE8" w:rsidRPr="00663EE8">
        <w:rPr>
          <w:rStyle w:val="normaltextrun"/>
          <w:rFonts w:eastAsiaTheme="minorEastAsia" w:cstheme="minorHAnsi"/>
        </w:rPr>
        <w:t xml:space="preserve">education of tenderers, suppliers and state and territory </w:t>
      </w:r>
      <w:r w:rsidR="00DA1959">
        <w:rPr>
          <w:rStyle w:val="normaltextrun"/>
          <w:rFonts w:eastAsiaTheme="minorEastAsia" w:cstheme="minorHAnsi"/>
        </w:rPr>
        <w:t xml:space="preserve">governments </w:t>
      </w:r>
      <w:r w:rsidR="00663EE8" w:rsidRPr="00663EE8">
        <w:rPr>
          <w:rStyle w:val="normaltextrun"/>
          <w:rFonts w:eastAsiaTheme="minorEastAsia" w:cstheme="minorHAnsi"/>
        </w:rPr>
        <w:t>and Commonwealth contracting agencies to</w:t>
      </w:r>
      <w:r w:rsidR="00E63FF7">
        <w:rPr>
          <w:rStyle w:val="normaltextrun"/>
          <w:rFonts w:eastAsiaTheme="minorEastAsia" w:cstheme="minorHAnsi"/>
        </w:rPr>
        <w:t xml:space="preserve"> provide support and</w:t>
      </w:r>
      <w:r w:rsidR="00663EE8" w:rsidRPr="00663EE8">
        <w:rPr>
          <w:rStyle w:val="normaltextrun"/>
          <w:rFonts w:eastAsiaTheme="minorEastAsia" w:cstheme="minorHAnsi"/>
        </w:rPr>
        <w:t xml:space="preserve"> ensure there is a consistent understanding of the obligations under the Skills Guarantee.</w:t>
      </w:r>
    </w:p>
    <w:p w14:paraId="28B43261" w14:textId="4CF9C1D4" w:rsidR="00632CC1" w:rsidRPr="001E7EA0" w:rsidRDefault="006C5E35" w:rsidP="009327F4">
      <w:pPr>
        <w:pStyle w:val="ListNumber"/>
        <w:rPr>
          <w:rStyle w:val="normaltextrun"/>
          <w:rFonts w:eastAsiaTheme="minorEastAsia"/>
        </w:rPr>
      </w:pPr>
      <w:r w:rsidRPr="00126DAF">
        <w:rPr>
          <w:rStyle w:val="normaltextrun"/>
          <w:rFonts w:eastAsiaTheme="minorEastAsia" w:cstheme="minorHAnsi"/>
          <w:b/>
          <w:bCs/>
        </w:rPr>
        <w:t>Finding:</w:t>
      </w:r>
      <w:r>
        <w:rPr>
          <w:rStyle w:val="normaltextrun"/>
          <w:rFonts w:eastAsiaTheme="minorEastAsia" w:cstheme="minorHAnsi"/>
        </w:rPr>
        <w:t xml:space="preserve"> </w:t>
      </w:r>
      <w:r w:rsidR="00632CC1" w:rsidRPr="00B50590">
        <w:rPr>
          <w:rStyle w:val="normaltextrun"/>
          <w:rFonts w:eastAsiaTheme="minorEastAsia" w:cstheme="minorHAnsi"/>
        </w:rPr>
        <w:t xml:space="preserve">Streamlined and easy-to-use reporting will be </w:t>
      </w:r>
      <w:r w:rsidR="00632CC1" w:rsidRPr="00344C59">
        <w:rPr>
          <w:rStyle w:val="normaltextrun"/>
          <w:rFonts w:eastAsiaTheme="minorEastAsia" w:cstheme="minorHAnsi"/>
        </w:rPr>
        <w:t xml:space="preserve">critical to successful implementation and </w:t>
      </w:r>
      <w:r w:rsidR="00632CC1" w:rsidRPr="001E7EA0">
        <w:rPr>
          <w:rStyle w:val="normaltextrun"/>
          <w:rFonts w:eastAsiaTheme="minorEastAsia" w:cstheme="minorHAnsi"/>
        </w:rPr>
        <w:t>performance monitoring.</w:t>
      </w:r>
      <w:r w:rsidR="00632CC1" w:rsidRPr="001E7EA0">
        <w:rPr>
          <w:rStyle w:val="normaltextrun"/>
          <w:rFonts w:eastAsiaTheme="minorEastAsia"/>
        </w:rPr>
        <w:t> </w:t>
      </w:r>
    </w:p>
    <w:p w14:paraId="6646FE13" w14:textId="2578A681" w:rsidR="006C5E35" w:rsidRPr="001E7EA0" w:rsidRDefault="0035092F" w:rsidP="008712C6">
      <w:pPr>
        <w:pStyle w:val="ListBullet"/>
        <w:numPr>
          <w:ilvl w:val="0"/>
          <w:numId w:val="0"/>
        </w:numPr>
        <w:ind w:left="357"/>
        <w:rPr>
          <w:rStyle w:val="normaltextrun"/>
          <w:rFonts w:eastAsiaTheme="minorEastAsia"/>
        </w:rPr>
      </w:pPr>
      <w:r w:rsidRPr="001E7EA0">
        <w:rPr>
          <w:rStyle w:val="normaltextrun"/>
          <w:rFonts w:eastAsiaTheme="minorEastAsia" w:cstheme="minorHAnsi"/>
          <w:b/>
          <w:bCs/>
          <w:i/>
          <w:iCs/>
        </w:rPr>
        <w:t>Outcome</w:t>
      </w:r>
      <w:r w:rsidR="006C5E35" w:rsidRPr="001E7EA0">
        <w:rPr>
          <w:rStyle w:val="normaltextrun"/>
          <w:rFonts w:eastAsiaTheme="minorEastAsia" w:cstheme="minorHAnsi"/>
          <w:b/>
          <w:bCs/>
          <w:i/>
          <w:iCs/>
        </w:rPr>
        <w:t>:</w:t>
      </w:r>
      <w:r w:rsidR="008B67F3" w:rsidRPr="001E7EA0">
        <w:rPr>
          <w:rStyle w:val="normaltextrun"/>
          <w:rFonts w:eastAsiaTheme="minorEastAsia" w:cstheme="minorHAnsi"/>
        </w:rPr>
        <w:t xml:space="preserve"> </w:t>
      </w:r>
      <w:r w:rsidR="003445F1" w:rsidRPr="001E7EA0">
        <w:rPr>
          <w:rStyle w:val="normaltextrun"/>
          <w:rFonts w:eastAsiaTheme="minorEastAsia" w:cstheme="minorHAnsi"/>
        </w:rPr>
        <w:t xml:space="preserve">The department undertook to consult with stakeholders further </w:t>
      </w:r>
      <w:r w:rsidR="00F458DB" w:rsidRPr="001E7EA0">
        <w:rPr>
          <w:rStyle w:val="normaltextrun"/>
          <w:rFonts w:eastAsiaTheme="minorEastAsia" w:cstheme="minorHAnsi"/>
        </w:rPr>
        <w:t xml:space="preserve">about </w:t>
      </w:r>
      <w:r w:rsidR="003445F1" w:rsidRPr="001E7EA0">
        <w:rPr>
          <w:rStyle w:val="normaltextrun"/>
          <w:rFonts w:eastAsiaTheme="minorEastAsia" w:cstheme="minorHAnsi"/>
        </w:rPr>
        <w:t xml:space="preserve">reporting </w:t>
      </w:r>
      <w:r w:rsidR="00F458DB" w:rsidRPr="001E7EA0">
        <w:rPr>
          <w:rStyle w:val="normaltextrun"/>
          <w:rFonts w:eastAsiaTheme="minorEastAsia" w:cstheme="minorHAnsi"/>
        </w:rPr>
        <w:t>under</w:t>
      </w:r>
      <w:r w:rsidR="003445F1" w:rsidRPr="001E7EA0">
        <w:rPr>
          <w:rStyle w:val="normaltextrun"/>
          <w:rFonts w:eastAsiaTheme="minorEastAsia" w:cstheme="minorHAnsi"/>
        </w:rPr>
        <w:t xml:space="preserve"> the Skills Guarantee</w:t>
      </w:r>
      <w:r w:rsidR="00F458DB" w:rsidRPr="001E7EA0">
        <w:rPr>
          <w:rStyle w:val="normaltextrun"/>
          <w:rFonts w:eastAsiaTheme="minorEastAsia" w:cstheme="minorHAnsi"/>
        </w:rPr>
        <w:t xml:space="preserve"> to ensure </w:t>
      </w:r>
      <w:r w:rsidR="00126DAF" w:rsidRPr="001E7EA0">
        <w:rPr>
          <w:rStyle w:val="normaltextrun"/>
          <w:rFonts w:eastAsiaTheme="minorEastAsia" w:cstheme="minorHAnsi"/>
        </w:rPr>
        <w:t>reporting is streamlined and easy to use</w:t>
      </w:r>
      <w:r w:rsidR="003445F1" w:rsidRPr="001E7EA0">
        <w:rPr>
          <w:rStyle w:val="normaltextrun"/>
          <w:rFonts w:eastAsiaTheme="minorEastAsia" w:cstheme="minorHAnsi"/>
        </w:rPr>
        <w:t xml:space="preserve">. </w:t>
      </w:r>
    </w:p>
    <w:p w14:paraId="6EA3013D" w14:textId="7BFD3FE8" w:rsidR="006D7EF3" w:rsidRPr="00750EDE" w:rsidRDefault="006D7EF3" w:rsidP="00CD1E37">
      <w:pPr>
        <w:pStyle w:val="paragraph"/>
        <w:rPr>
          <w:rStyle w:val="normaltextrun"/>
          <w:rFonts w:asciiTheme="minorHAnsi" w:eastAsiaTheme="minorEastAsia" w:hAnsiTheme="minorHAnsi" w:cstheme="minorHAnsi"/>
          <w:sz w:val="22"/>
          <w:szCs w:val="22"/>
        </w:rPr>
      </w:pPr>
      <w:r w:rsidRPr="49AD854B">
        <w:rPr>
          <w:rStyle w:val="normaltextrun"/>
          <w:rFonts w:asciiTheme="minorHAnsi" w:eastAsiaTheme="minorEastAsia" w:hAnsiTheme="minorHAnsi" w:cstheme="minorBidi"/>
          <w:sz w:val="22"/>
          <w:szCs w:val="22"/>
        </w:rPr>
        <w:t>Following consultation, the department released its findings in the Australian Skills Guarantee Consultation Summary, available on th</w:t>
      </w:r>
      <w:r w:rsidR="009F00EE" w:rsidRPr="49AD854B">
        <w:rPr>
          <w:rStyle w:val="normaltextrun"/>
          <w:rFonts w:asciiTheme="minorHAnsi" w:eastAsiaTheme="minorEastAsia" w:hAnsiTheme="minorHAnsi" w:cstheme="minorBidi"/>
          <w:sz w:val="22"/>
          <w:szCs w:val="22"/>
        </w:rPr>
        <w:t>e department’s website</w:t>
      </w:r>
      <w:r w:rsidR="00E17C75" w:rsidRPr="49AD854B">
        <w:rPr>
          <w:rStyle w:val="normaltextrun"/>
          <w:rFonts w:asciiTheme="minorHAnsi" w:eastAsiaTheme="minorEastAsia" w:hAnsiTheme="minorHAnsi" w:cstheme="minorBidi"/>
          <w:sz w:val="22"/>
          <w:szCs w:val="22"/>
        </w:rPr>
        <w:t>.</w:t>
      </w:r>
      <w:r w:rsidR="00E17C75" w:rsidRPr="49AD854B">
        <w:rPr>
          <w:rStyle w:val="FootnoteReference"/>
          <w:rFonts w:asciiTheme="minorHAnsi" w:eastAsiaTheme="minorEastAsia" w:hAnsiTheme="minorHAnsi" w:cstheme="minorBidi"/>
          <w:sz w:val="22"/>
          <w:szCs w:val="22"/>
        </w:rPr>
        <w:t xml:space="preserve"> </w:t>
      </w:r>
      <w:r w:rsidR="00E17C75" w:rsidRPr="49AD854B">
        <w:rPr>
          <w:rStyle w:val="FootnoteReference"/>
          <w:rFonts w:asciiTheme="minorHAnsi" w:eastAsiaTheme="minorEastAsia" w:hAnsiTheme="minorHAnsi" w:cstheme="minorBidi"/>
          <w:sz w:val="22"/>
          <w:szCs w:val="22"/>
        </w:rPr>
        <w:footnoteReference w:id="91"/>
      </w:r>
      <w:r w:rsidR="00E17C75" w:rsidRPr="49AD854B">
        <w:rPr>
          <w:rStyle w:val="normaltextrun"/>
          <w:rFonts w:asciiTheme="minorHAnsi" w:eastAsiaTheme="minorEastAsia" w:hAnsiTheme="minorHAnsi" w:cstheme="minorBidi"/>
          <w:sz w:val="22"/>
          <w:szCs w:val="22"/>
        </w:rPr>
        <w:t xml:space="preserve"> </w:t>
      </w:r>
    </w:p>
    <w:p w14:paraId="13C74D74" w14:textId="2C4E14DF" w:rsidR="007322C7" w:rsidRPr="0081783E" w:rsidRDefault="006E676B" w:rsidP="007A1975">
      <w:pPr>
        <w:pStyle w:val="Heading3"/>
        <w:rPr>
          <w:rStyle w:val="normaltextrun"/>
        </w:rPr>
      </w:pPr>
      <w:r w:rsidRPr="0081783E">
        <w:rPr>
          <w:rStyle w:val="normaltextrun"/>
        </w:rPr>
        <w:t>P</w:t>
      </w:r>
      <w:r w:rsidR="007322C7" w:rsidRPr="0081783E">
        <w:rPr>
          <w:rStyle w:val="normaltextrun"/>
        </w:rPr>
        <w:t>ublic consultation on the PCP guidelines</w:t>
      </w:r>
    </w:p>
    <w:p w14:paraId="66FE60F7" w14:textId="45FC3051" w:rsidR="006E676B" w:rsidRDefault="006E676B" w:rsidP="00CD1E37">
      <w:pPr>
        <w:rPr>
          <w:rStyle w:val="normaltextrun"/>
          <w:rFonts w:eastAsiaTheme="minorEastAsia" w:cstheme="minorHAnsi"/>
        </w:rPr>
      </w:pPr>
      <w:r>
        <w:rPr>
          <w:rStyle w:val="normaltextrun"/>
          <w:rFonts w:eastAsiaTheme="minorEastAsia" w:cstheme="minorHAnsi"/>
        </w:rPr>
        <w:t>The Skills Guarantee PCP has been tested and refined with a range of stakeholder</w:t>
      </w:r>
      <w:r w:rsidR="001B331E">
        <w:rPr>
          <w:rStyle w:val="normaltextrun"/>
          <w:rFonts w:eastAsiaTheme="minorEastAsia" w:cstheme="minorHAnsi"/>
        </w:rPr>
        <w:t>s</w:t>
      </w:r>
      <w:r>
        <w:rPr>
          <w:rStyle w:val="normaltextrun"/>
          <w:rFonts w:eastAsiaTheme="minorEastAsia" w:cstheme="minorHAnsi"/>
        </w:rPr>
        <w:t xml:space="preserve"> through a public consultation process to ensure it is clear, concise and user-friendly.</w:t>
      </w:r>
    </w:p>
    <w:p w14:paraId="7CD8CC7F" w14:textId="52C980A9" w:rsidR="004A6537" w:rsidRPr="0081783E" w:rsidRDefault="006E676B" w:rsidP="007A1975">
      <w:pPr>
        <w:pStyle w:val="Heading4"/>
        <w:rPr>
          <w:rStyle w:val="normaltextrun"/>
        </w:rPr>
      </w:pPr>
      <w:r w:rsidRPr="0081783E">
        <w:rPr>
          <w:rStyle w:val="normaltextrun"/>
        </w:rPr>
        <w:t>Round 1: September 2023 – October 2023</w:t>
      </w:r>
    </w:p>
    <w:p w14:paraId="01499202" w14:textId="77777777" w:rsidR="004839BE" w:rsidRDefault="00AF0A0C" w:rsidP="00CD1E37">
      <w:pPr>
        <w:rPr>
          <w:rStyle w:val="normaltextrun"/>
          <w:rFonts w:eastAsiaTheme="minorEastAsia" w:cstheme="minorHAnsi"/>
        </w:rPr>
      </w:pPr>
      <w:r w:rsidRPr="00AF0A0C">
        <w:rPr>
          <w:rStyle w:val="normaltextrun"/>
          <w:rFonts w:eastAsiaTheme="minorEastAsia" w:cstheme="minorHAnsi"/>
        </w:rPr>
        <w:t>The first round of the public consultation on the PCP guidelines commenced on 29 September 2023 and closed on 20 October 2023. The department received 28 written submissions and met with 60 organisations including representatives from</w:t>
      </w:r>
      <w:r w:rsidR="000619FA">
        <w:rPr>
          <w:rStyle w:val="normaltextrun"/>
          <w:rFonts w:eastAsiaTheme="minorEastAsia" w:cstheme="minorHAnsi"/>
        </w:rPr>
        <w:t xml:space="preserve"> key stakeholder groups impacted by the Skills Guarantee. This included</w:t>
      </w:r>
      <w:r w:rsidRPr="00AF0A0C">
        <w:rPr>
          <w:rStyle w:val="normaltextrun"/>
          <w:rFonts w:eastAsiaTheme="minorEastAsia" w:cstheme="minorHAnsi"/>
        </w:rPr>
        <w:t xml:space="preserve"> </w:t>
      </w:r>
      <w:r w:rsidR="000619FA">
        <w:rPr>
          <w:rStyle w:val="normaltextrun"/>
          <w:rFonts w:eastAsiaTheme="minorEastAsia" w:cstheme="minorHAnsi"/>
        </w:rPr>
        <w:t xml:space="preserve">representatives from </w:t>
      </w:r>
      <w:r w:rsidRPr="00AF0A0C">
        <w:rPr>
          <w:rStyle w:val="normaltextrun"/>
          <w:rFonts w:eastAsiaTheme="minorEastAsia" w:cstheme="minorHAnsi"/>
        </w:rPr>
        <w:t xml:space="preserve">industry, unions, employers, peak bodies, state and territory governments, women’s organisations, and academics. </w:t>
      </w:r>
    </w:p>
    <w:p w14:paraId="67BB740E" w14:textId="287F5F0E" w:rsidR="00AF0A0C" w:rsidRDefault="00AF0A0C" w:rsidP="00CD1E37">
      <w:pPr>
        <w:rPr>
          <w:rStyle w:val="normaltextrun"/>
          <w:rFonts w:eastAsiaTheme="minorEastAsia" w:cstheme="minorHAnsi"/>
        </w:rPr>
      </w:pPr>
      <w:r w:rsidRPr="00AF0A0C">
        <w:rPr>
          <w:rStyle w:val="normaltextrun"/>
          <w:rFonts w:eastAsiaTheme="minorEastAsia" w:cstheme="minorHAnsi"/>
        </w:rPr>
        <w:t xml:space="preserve">Overall, the majority of the submissions were supportive of the Skills Guarantee, in line with the feedback received from stakeholders in roundtables and bilateral meetings. Stakeholders noted that the Skills Guarantee PCP guidelines were clear, concise and easy to understand. </w:t>
      </w:r>
      <w:r w:rsidR="004839BE">
        <w:rPr>
          <w:rStyle w:val="normaltextrun"/>
          <w:rFonts w:eastAsiaTheme="minorEastAsia" w:cstheme="minorHAnsi"/>
        </w:rPr>
        <w:t>The</w:t>
      </w:r>
      <w:r w:rsidR="002E11B1" w:rsidRPr="002E11B1">
        <w:rPr>
          <w:rStyle w:val="normaltextrun"/>
          <w:rFonts w:eastAsiaTheme="minorEastAsia" w:cstheme="minorHAnsi"/>
        </w:rPr>
        <w:t xml:space="preserve"> department revised the PCP guidelines in line with feedback received from stakeholders following each round of public consultation. Revisions included providing greater detail on the proposed reporting requirements and compliance framework and refining and including additional examples in the PCP guidelines further clarifying how to calculate targets for women. In addition, as part of the consultation, </w:t>
      </w:r>
      <w:r w:rsidR="00A9493B">
        <w:rPr>
          <w:rStyle w:val="normaltextrun"/>
          <w:rFonts w:eastAsiaTheme="minorEastAsia" w:cstheme="minorHAnsi"/>
        </w:rPr>
        <w:t>the</w:t>
      </w:r>
      <w:r w:rsidR="002E11B1" w:rsidRPr="002E11B1">
        <w:rPr>
          <w:rStyle w:val="normaltextrun"/>
          <w:rFonts w:eastAsiaTheme="minorEastAsia" w:cstheme="minorHAnsi"/>
        </w:rPr>
        <w:t xml:space="preserve"> department specifically tested its proposed approach to negotiation of ICT targets, </w:t>
      </w:r>
      <w:r w:rsidR="002E11B1" w:rsidRPr="002E11B1">
        <w:rPr>
          <w:rStyle w:val="normaltextrun"/>
          <w:rFonts w:eastAsiaTheme="minorEastAsia" w:cstheme="minorHAnsi"/>
        </w:rPr>
        <w:lastRenderedPageBreak/>
        <w:t>contract variations, reporting frequency and approach, and compliance, and shaped the PCP guidelines accordingly.</w:t>
      </w:r>
    </w:p>
    <w:p w14:paraId="24D5178E" w14:textId="7E2EE56F" w:rsidR="00D41954" w:rsidRPr="00D41954" w:rsidRDefault="00D41954" w:rsidP="00CD1E37">
      <w:pPr>
        <w:rPr>
          <w:rStyle w:val="normaltextrun"/>
          <w:rFonts w:eastAsiaTheme="minorEastAsia" w:cstheme="minorHAnsi"/>
        </w:rPr>
      </w:pPr>
      <w:r w:rsidRPr="00D41954">
        <w:rPr>
          <w:rStyle w:val="normaltextrun"/>
          <w:rFonts w:eastAsiaTheme="minorEastAsia" w:cstheme="minorHAnsi"/>
        </w:rPr>
        <w:t xml:space="preserve">During consultation stakeholders </w:t>
      </w:r>
      <w:r w:rsidR="00FA653B">
        <w:rPr>
          <w:rStyle w:val="normaltextrun"/>
          <w:rFonts w:eastAsiaTheme="minorEastAsia" w:cstheme="minorHAnsi"/>
        </w:rPr>
        <w:t xml:space="preserve">also </w:t>
      </w:r>
      <w:r w:rsidRPr="00D41954">
        <w:rPr>
          <w:rStyle w:val="normaltextrun"/>
          <w:rFonts w:eastAsiaTheme="minorEastAsia" w:cstheme="minorHAnsi"/>
        </w:rPr>
        <w:t xml:space="preserve">highlighted the need for additional supports to ensure women are supported and remain in the construction industry. The department advised stakeholders that the implementation of the Skills Guarantee will be supported by projects to better support apprentices, including women apprentices, and is aligned to broader efforts across the Government to deliver safe, secure and equitable workplaces such as the implementation of the Respect@Work laws and the 2021 Review of the </w:t>
      </w:r>
      <w:r w:rsidRPr="001D1295">
        <w:rPr>
          <w:rStyle w:val="normaltextrun"/>
          <w:rFonts w:eastAsiaTheme="minorEastAsia" w:cstheme="minorHAnsi"/>
          <w:i/>
          <w:iCs/>
        </w:rPr>
        <w:t>Workplace Gender Equality Act 2012</w:t>
      </w:r>
      <w:r w:rsidRPr="00D41954">
        <w:rPr>
          <w:rStyle w:val="normaltextrun"/>
          <w:rFonts w:eastAsiaTheme="minorEastAsia" w:cstheme="minorHAnsi"/>
        </w:rPr>
        <w:t>. The Skills Guarantee will also work in conjunction with the targeted support for apprentices led by the Department, particularly the $5 million investment to support women in apprenticeships in male dominated trades which would support organisations to provide advice on culturally safe and inclusive workplaces such as major and flagship construction projects; and the work currently</w:t>
      </w:r>
      <w:r w:rsidRPr="00D41954">
        <w:rPr>
          <w:rStyle w:val="normaltextrun"/>
          <w:rFonts w:eastAsiaTheme="minorEastAsia" w:cstheme="minorHAnsi"/>
          <w:b/>
        </w:rPr>
        <w:t xml:space="preserve"> </w:t>
      </w:r>
      <w:r w:rsidRPr="00D41954">
        <w:rPr>
          <w:rStyle w:val="normaltextrun"/>
          <w:rFonts w:eastAsiaTheme="minorEastAsia" w:cstheme="minorHAnsi"/>
        </w:rPr>
        <w:t xml:space="preserve">underway to support Women Achieve higher paid careers through </w:t>
      </w:r>
      <w:r w:rsidR="00AB6A45">
        <w:rPr>
          <w:rStyle w:val="normaltextrun"/>
          <w:rFonts w:eastAsiaTheme="minorEastAsia" w:cstheme="minorHAnsi"/>
        </w:rPr>
        <w:t>vocational education and training (</w:t>
      </w:r>
      <w:r w:rsidRPr="00D41954">
        <w:rPr>
          <w:rStyle w:val="normaltextrun"/>
          <w:rFonts w:eastAsiaTheme="minorEastAsia" w:cstheme="minorHAnsi"/>
        </w:rPr>
        <w:t>VET</w:t>
      </w:r>
      <w:r w:rsidR="00AB6A45">
        <w:rPr>
          <w:rStyle w:val="normaltextrun"/>
          <w:rFonts w:eastAsiaTheme="minorEastAsia" w:cstheme="minorHAnsi"/>
        </w:rPr>
        <w:t>)</w:t>
      </w:r>
      <w:r w:rsidRPr="00D41954">
        <w:rPr>
          <w:rStyle w:val="normaltextrun"/>
          <w:rFonts w:eastAsiaTheme="minorEastAsia" w:cstheme="minorHAnsi"/>
        </w:rPr>
        <w:t>.</w:t>
      </w:r>
    </w:p>
    <w:p w14:paraId="280D25C2" w14:textId="77777777" w:rsidR="005C5426" w:rsidRPr="005C5426" w:rsidRDefault="005C5426" w:rsidP="00CD1E37">
      <w:pPr>
        <w:rPr>
          <w:rStyle w:val="normaltextrun"/>
          <w:rFonts w:eastAsiaTheme="minorEastAsia" w:cstheme="minorHAnsi"/>
        </w:rPr>
      </w:pPr>
      <w:r w:rsidRPr="005C5426">
        <w:rPr>
          <w:rStyle w:val="normaltextrun"/>
          <w:rFonts w:eastAsiaTheme="minorEastAsia" w:cstheme="minorHAnsi"/>
        </w:rPr>
        <w:t>Stakeholders noted the need for detailed guidance on operational matters. Once the PCP guidelines are finalised, the department intends to consult with stakeholders to develop supplementary operational guidance material for contracting agencies and suppliers to help them further understand their obligations under the Skills Guarantee, including minimum reporting requirements and providing guidance on how to develop a Gender Equality Action Plan.</w:t>
      </w:r>
    </w:p>
    <w:p w14:paraId="5EA2A96F" w14:textId="3EDD77CB" w:rsidR="005C5426" w:rsidRPr="00D41954" w:rsidRDefault="005C5426" w:rsidP="00CD1E37">
      <w:pPr>
        <w:rPr>
          <w:rStyle w:val="normaltextrun"/>
          <w:rFonts w:eastAsiaTheme="minorEastAsia" w:cstheme="minorHAnsi"/>
        </w:rPr>
      </w:pPr>
      <w:r w:rsidRPr="005C5426">
        <w:rPr>
          <w:rStyle w:val="normaltextrun"/>
          <w:rFonts w:eastAsiaTheme="minorEastAsia" w:cstheme="minorHAnsi"/>
        </w:rPr>
        <w:t xml:space="preserve">Feedback also noted the importance of a streamlined and easy-to-use reporting </w:t>
      </w:r>
      <w:r w:rsidR="00331952">
        <w:rPr>
          <w:rStyle w:val="normaltextrun"/>
          <w:rFonts w:eastAsiaTheme="minorEastAsia" w:cstheme="minorHAnsi"/>
        </w:rPr>
        <w:t xml:space="preserve">mechanism </w:t>
      </w:r>
      <w:r w:rsidRPr="005C5426">
        <w:rPr>
          <w:rStyle w:val="normaltextrun"/>
          <w:rFonts w:eastAsiaTheme="minorEastAsia" w:cstheme="minorHAnsi"/>
        </w:rPr>
        <w:t>for suppliers to track and report on Skills Guarantee targets. Where possible, suppliers would like to see existing systems utilised to minimise duplication of reporting requirements.</w:t>
      </w:r>
      <w:r w:rsidR="009F6722">
        <w:rPr>
          <w:rStyle w:val="normaltextrun"/>
          <w:rFonts w:eastAsiaTheme="minorEastAsia" w:cstheme="minorHAnsi"/>
        </w:rPr>
        <w:t xml:space="preserve"> </w:t>
      </w:r>
    </w:p>
    <w:p w14:paraId="0091EF20" w14:textId="36704D00" w:rsidR="006E676B" w:rsidRPr="0081783E" w:rsidRDefault="006E676B" w:rsidP="00011778">
      <w:pPr>
        <w:pStyle w:val="Heading4"/>
        <w:rPr>
          <w:rStyle w:val="normaltextrun"/>
        </w:rPr>
      </w:pPr>
      <w:r w:rsidRPr="0081783E">
        <w:rPr>
          <w:rStyle w:val="normaltextrun"/>
        </w:rPr>
        <w:t xml:space="preserve">Round </w:t>
      </w:r>
      <w:r w:rsidR="00911689" w:rsidRPr="0081783E">
        <w:rPr>
          <w:rStyle w:val="normaltextrun"/>
        </w:rPr>
        <w:t>2</w:t>
      </w:r>
      <w:r w:rsidRPr="0081783E">
        <w:rPr>
          <w:rStyle w:val="normaltextrun"/>
        </w:rPr>
        <w:t xml:space="preserve">: </w:t>
      </w:r>
      <w:r w:rsidR="00911689" w:rsidRPr="0081783E">
        <w:rPr>
          <w:rStyle w:val="normaltextrun"/>
        </w:rPr>
        <w:t>December</w:t>
      </w:r>
      <w:r w:rsidRPr="0081783E">
        <w:rPr>
          <w:rStyle w:val="normaltextrun"/>
        </w:rPr>
        <w:t xml:space="preserve"> 2023 – </w:t>
      </w:r>
      <w:r w:rsidR="00911689" w:rsidRPr="0081783E">
        <w:rPr>
          <w:rStyle w:val="normaltextrun"/>
        </w:rPr>
        <w:t>January</w:t>
      </w:r>
      <w:r w:rsidRPr="0081783E">
        <w:rPr>
          <w:rStyle w:val="normaltextrun"/>
        </w:rPr>
        <w:t xml:space="preserve"> 202</w:t>
      </w:r>
      <w:r w:rsidR="00911689" w:rsidRPr="0081783E">
        <w:rPr>
          <w:rStyle w:val="normaltextrun"/>
        </w:rPr>
        <w:t>4</w:t>
      </w:r>
    </w:p>
    <w:p w14:paraId="10A81508" w14:textId="77777777" w:rsidR="001E7EA0" w:rsidRDefault="004A6537" w:rsidP="00CD1E37">
      <w:pPr>
        <w:rPr>
          <w:rStyle w:val="normaltextrun"/>
          <w:rFonts w:eastAsiaTheme="minorEastAsia" w:cstheme="minorHAnsi"/>
        </w:rPr>
      </w:pPr>
      <w:r w:rsidRPr="008E10C6">
        <w:rPr>
          <w:rStyle w:val="normaltextrun"/>
          <w:rFonts w:eastAsiaTheme="minorEastAsia" w:cstheme="minorHAnsi"/>
        </w:rPr>
        <w:t xml:space="preserve">The second round of public consultation </w:t>
      </w:r>
      <w:r w:rsidR="00421339" w:rsidRPr="008E10C6">
        <w:rPr>
          <w:rStyle w:val="normaltextrun"/>
          <w:rFonts w:eastAsiaTheme="minorEastAsia" w:cstheme="minorHAnsi"/>
        </w:rPr>
        <w:t xml:space="preserve">was held from 14 to </w:t>
      </w:r>
      <w:r w:rsidR="0023410F" w:rsidRPr="008E10C6">
        <w:rPr>
          <w:rStyle w:val="normaltextrun"/>
          <w:rFonts w:eastAsiaTheme="minorEastAsia" w:cstheme="minorHAnsi"/>
        </w:rPr>
        <w:t>19 December 2023 with</w:t>
      </w:r>
      <w:r w:rsidR="001546A7" w:rsidRPr="008E10C6">
        <w:rPr>
          <w:rStyle w:val="normaltextrun"/>
          <w:rFonts w:eastAsiaTheme="minorEastAsia" w:cstheme="minorHAnsi"/>
        </w:rPr>
        <w:t xml:space="preserve"> 20 external attendees across 18 organisations</w:t>
      </w:r>
      <w:r w:rsidR="00AE60BE" w:rsidRPr="008E10C6">
        <w:rPr>
          <w:rStyle w:val="normaltextrun"/>
          <w:rFonts w:eastAsiaTheme="minorEastAsia" w:cstheme="minorHAnsi"/>
        </w:rPr>
        <w:t xml:space="preserve"> including </w:t>
      </w:r>
      <w:r w:rsidR="00DE4C74" w:rsidRPr="008E10C6">
        <w:rPr>
          <w:rStyle w:val="normaltextrun"/>
          <w:rFonts w:eastAsiaTheme="minorEastAsia" w:cstheme="minorHAnsi"/>
        </w:rPr>
        <w:t>AASN providers, state government entities, Jobs and Skills Councils, employers, unions</w:t>
      </w:r>
      <w:r w:rsidR="008E10C6">
        <w:rPr>
          <w:rStyle w:val="normaltextrun"/>
          <w:rFonts w:eastAsiaTheme="minorEastAsia" w:cstheme="minorHAnsi"/>
        </w:rPr>
        <w:t>,</w:t>
      </w:r>
      <w:r w:rsidR="00DE4C74" w:rsidRPr="008E10C6">
        <w:rPr>
          <w:rStyle w:val="normaltextrun"/>
          <w:rFonts w:eastAsiaTheme="minorEastAsia" w:cstheme="minorHAnsi"/>
        </w:rPr>
        <w:t xml:space="preserve"> and women’s</w:t>
      </w:r>
      <w:r w:rsidR="00CA1EAF" w:rsidRPr="008E10C6">
        <w:rPr>
          <w:rStyle w:val="normaltextrun"/>
          <w:rFonts w:eastAsiaTheme="minorEastAsia" w:cstheme="minorHAnsi"/>
        </w:rPr>
        <w:t xml:space="preserve"> </w:t>
      </w:r>
      <w:r w:rsidR="00DE4C74" w:rsidRPr="008E10C6">
        <w:rPr>
          <w:rStyle w:val="normaltextrun"/>
          <w:rFonts w:eastAsiaTheme="minorEastAsia" w:cstheme="minorHAnsi"/>
        </w:rPr>
        <w:t>groups</w:t>
      </w:r>
      <w:r w:rsidR="0023410F" w:rsidRPr="008E10C6">
        <w:rPr>
          <w:rStyle w:val="normaltextrun"/>
          <w:rFonts w:eastAsiaTheme="minorEastAsia" w:cstheme="minorHAnsi"/>
        </w:rPr>
        <w:t xml:space="preserve">. </w:t>
      </w:r>
      <w:r w:rsidR="00C74952" w:rsidRPr="008E10C6">
        <w:rPr>
          <w:rStyle w:val="normaltextrun"/>
          <w:rFonts w:eastAsiaTheme="minorEastAsia" w:cstheme="minorHAnsi"/>
        </w:rPr>
        <w:t>Submissions will close on</w:t>
      </w:r>
      <w:r w:rsidR="00194336" w:rsidRPr="008E10C6">
        <w:rPr>
          <w:rStyle w:val="normaltextrun"/>
          <w:rFonts w:eastAsiaTheme="minorEastAsia" w:cstheme="minorHAnsi"/>
        </w:rPr>
        <w:t xml:space="preserve"> 19 January 2024</w:t>
      </w:r>
      <w:r w:rsidR="008E10C6">
        <w:rPr>
          <w:rStyle w:val="normaltextrun"/>
          <w:rFonts w:eastAsiaTheme="minorEastAsia" w:cstheme="minorHAnsi"/>
        </w:rPr>
        <w:t xml:space="preserve">. </w:t>
      </w:r>
      <w:r w:rsidR="00CA1EAF" w:rsidRPr="008E10C6">
        <w:rPr>
          <w:rStyle w:val="normaltextrun"/>
          <w:rFonts w:eastAsiaTheme="minorEastAsia" w:cstheme="minorHAnsi"/>
        </w:rPr>
        <w:t xml:space="preserve">The </w:t>
      </w:r>
      <w:r w:rsidR="00D44A69" w:rsidRPr="008E10C6">
        <w:rPr>
          <w:rStyle w:val="normaltextrun"/>
          <w:rFonts w:eastAsiaTheme="minorEastAsia" w:cstheme="minorHAnsi"/>
        </w:rPr>
        <w:t xml:space="preserve">consultation </w:t>
      </w:r>
      <w:r w:rsidR="007E23FB" w:rsidRPr="008E10C6">
        <w:rPr>
          <w:rStyle w:val="normaltextrun"/>
          <w:rFonts w:eastAsiaTheme="minorEastAsia" w:cstheme="minorHAnsi"/>
        </w:rPr>
        <w:t>session focused on the</w:t>
      </w:r>
      <w:r w:rsidR="00D44A69" w:rsidRPr="008E10C6">
        <w:rPr>
          <w:rStyle w:val="normaltextrun"/>
          <w:rFonts w:eastAsiaTheme="minorEastAsia" w:cstheme="minorHAnsi"/>
        </w:rPr>
        <w:t xml:space="preserve"> </w:t>
      </w:r>
      <w:r w:rsidR="00810EBE" w:rsidRPr="008E10C6">
        <w:rPr>
          <w:rStyle w:val="normaltextrun"/>
          <w:rFonts w:eastAsiaTheme="minorEastAsia" w:cstheme="minorHAnsi"/>
        </w:rPr>
        <w:t xml:space="preserve">changes made to the </w:t>
      </w:r>
      <w:r w:rsidR="0097330F" w:rsidRPr="008E10C6">
        <w:rPr>
          <w:rStyle w:val="normaltextrun"/>
          <w:rFonts w:eastAsiaTheme="minorEastAsia" w:cstheme="minorHAnsi"/>
        </w:rPr>
        <w:t xml:space="preserve">Skills Guarantee PCP </w:t>
      </w:r>
      <w:r w:rsidR="00810EBE" w:rsidRPr="008E10C6">
        <w:rPr>
          <w:rStyle w:val="normaltextrun"/>
          <w:rFonts w:eastAsiaTheme="minorEastAsia" w:cstheme="minorHAnsi"/>
        </w:rPr>
        <w:t>guidelines, particularly new guidance on reporting, compliance, contract variations and approach to setting targets for major ICT projects.</w:t>
      </w:r>
      <w:r w:rsidR="00F543A2" w:rsidRPr="008E10C6">
        <w:rPr>
          <w:rStyle w:val="normaltextrun"/>
          <w:rFonts w:eastAsiaTheme="minorEastAsia" w:cstheme="minorHAnsi"/>
        </w:rPr>
        <w:t xml:space="preserve"> </w:t>
      </w:r>
      <w:r w:rsidR="00F64570" w:rsidRPr="008E10C6">
        <w:rPr>
          <w:rStyle w:val="normaltextrun"/>
          <w:rFonts w:eastAsiaTheme="minorEastAsia" w:cstheme="minorHAnsi"/>
        </w:rPr>
        <w:t xml:space="preserve">The </w:t>
      </w:r>
      <w:r w:rsidR="00E9073C">
        <w:rPr>
          <w:rStyle w:val="normaltextrun"/>
          <w:rFonts w:eastAsiaTheme="minorEastAsia" w:cstheme="minorHAnsi"/>
        </w:rPr>
        <w:t xml:space="preserve">Skills Guarantee </w:t>
      </w:r>
      <w:r w:rsidR="00F64570" w:rsidRPr="008E10C6">
        <w:rPr>
          <w:rStyle w:val="normaltextrun"/>
          <w:rFonts w:eastAsiaTheme="minorEastAsia" w:cstheme="minorHAnsi"/>
        </w:rPr>
        <w:t xml:space="preserve">PCP guidelines will </w:t>
      </w:r>
      <w:r w:rsidR="0036134C">
        <w:rPr>
          <w:rStyle w:val="normaltextrun"/>
          <w:rFonts w:eastAsiaTheme="minorEastAsia" w:cstheme="minorHAnsi"/>
        </w:rPr>
        <w:t xml:space="preserve">reflect any </w:t>
      </w:r>
      <w:r w:rsidR="002D044A">
        <w:rPr>
          <w:rStyle w:val="normaltextrun"/>
          <w:rFonts w:eastAsiaTheme="minorEastAsia" w:cstheme="minorHAnsi"/>
        </w:rPr>
        <w:t xml:space="preserve">further </w:t>
      </w:r>
      <w:r w:rsidR="0036134C">
        <w:rPr>
          <w:rStyle w:val="normaltextrun"/>
          <w:rFonts w:eastAsiaTheme="minorEastAsia" w:cstheme="minorHAnsi"/>
        </w:rPr>
        <w:t>changes</w:t>
      </w:r>
      <w:r w:rsidR="002D044A">
        <w:rPr>
          <w:rStyle w:val="normaltextrun"/>
          <w:rFonts w:eastAsiaTheme="minorEastAsia" w:cstheme="minorHAnsi"/>
        </w:rPr>
        <w:t xml:space="preserve">, as required. </w:t>
      </w:r>
    </w:p>
    <w:p w14:paraId="5787A608" w14:textId="77777777" w:rsidR="00100110" w:rsidRPr="00011778" w:rsidRDefault="00100110" w:rsidP="00011778">
      <w:pPr>
        <w:pStyle w:val="Heading3"/>
        <w:rPr>
          <w:rStyle w:val="normaltextrun"/>
        </w:rPr>
      </w:pPr>
      <w:r w:rsidRPr="00011778">
        <w:rPr>
          <w:rStyle w:val="normaltextrun"/>
        </w:rPr>
        <w:t>Limitations to consultation</w:t>
      </w:r>
    </w:p>
    <w:p w14:paraId="09F9786C" w14:textId="32FC1B00" w:rsidR="00100110" w:rsidRPr="00100110" w:rsidRDefault="00100110" w:rsidP="00100110">
      <w:pPr>
        <w:rPr>
          <w:rStyle w:val="normaltextrun"/>
          <w:rFonts w:eastAsiaTheme="minorEastAsia" w:cstheme="minorHAnsi"/>
        </w:rPr>
      </w:pPr>
      <w:r w:rsidRPr="00100110">
        <w:rPr>
          <w:rStyle w:val="normaltextrun"/>
          <w:rFonts w:eastAsiaTheme="minorEastAsia" w:cstheme="minorHAnsi"/>
        </w:rPr>
        <w:t xml:space="preserve">Given the limited data on ICT pathways (see </w:t>
      </w:r>
      <w:r w:rsidRPr="00011778">
        <w:rPr>
          <w:rStyle w:val="normaltextrun"/>
          <w:rFonts w:eastAsiaTheme="minorEastAsia" w:cstheme="minorHAnsi"/>
          <w:b/>
          <w:bCs/>
        </w:rPr>
        <w:t>Question 1</w:t>
      </w:r>
      <w:r w:rsidRPr="00100110">
        <w:rPr>
          <w:rStyle w:val="normaltextrun"/>
          <w:rFonts w:eastAsiaTheme="minorEastAsia" w:cstheme="minorHAnsi"/>
        </w:rPr>
        <w:t xml:space="preserve">), the department was not able to test targets for the ICT sector during consultation. </w:t>
      </w:r>
      <w:r w:rsidR="00F14CD5">
        <w:rPr>
          <w:rStyle w:val="normaltextrun"/>
          <w:rFonts w:eastAsiaTheme="minorEastAsia" w:cstheme="minorHAnsi"/>
        </w:rPr>
        <w:t>Should</w:t>
      </w:r>
      <w:r w:rsidR="00B612A9">
        <w:rPr>
          <w:rStyle w:val="normaltextrun"/>
          <w:rFonts w:eastAsiaTheme="minorEastAsia" w:cstheme="minorHAnsi"/>
        </w:rPr>
        <w:t xml:space="preserve"> </w:t>
      </w:r>
      <w:r w:rsidRPr="00100110">
        <w:rPr>
          <w:rStyle w:val="normaltextrun"/>
          <w:rFonts w:eastAsiaTheme="minorEastAsia" w:cstheme="minorHAnsi"/>
        </w:rPr>
        <w:t xml:space="preserve">targets </w:t>
      </w:r>
      <w:r w:rsidR="00B612A9">
        <w:rPr>
          <w:rStyle w:val="normaltextrun"/>
          <w:rFonts w:eastAsiaTheme="minorEastAsia" w:cstheme="minorHAnsi"/>
        </w:rPr>
        <w:t xml:space="preserve">for </w:t>
      </w:r>
      <w:r w:rsidRPr="00100110">
        <w:rPr>
          <w:rStyle w:val="normaltextrun"/>
          <w:rFonts w:eastAsiaTheme="minorEastAsia" w:cstheme="minorHAnsi"/>
        </w:rPr>
        <w:t>major ICT projects</w:t>
      </w:r>
      <w:r w:rsidR="00F14CD5">
        <w:rPr>
          <w:rStyle w:val="normaltextrun"/>
          <w:rFonts w:eastAsiaTheme="minorEastAsia" w:cstheme="minorHAnsi"/>
        </w:rPr>
        <w:t xml:space="preserve"> be developed</w:t>
      </w:r>
      <w:r w:rsidRPr="00100110">
        <w:rPr>
          <w:rStyle w:val="normaltextrun"/>
          <w:rFonts w:eastAsiaTheme="minorEastAsia" w:cstheme="minorHAnsi"/>
        </w:rPr>
        <w:t xml:space="preserve"> in the future</w:t>
      </w:r>
      <w:r w:rsidR="00F14CD5">
        <w:rPr>
          <w:rStyle w:val="normaltextrun"/>
          <w:rFonts w:eastAsiaTheme="minorEastAsia" w:cstheme="minorHAnsi"/>
        </w:rPr>
        <w:t>, the department</w:t>
      </w:r>
      <w:r w:rsidRPr="00100110">
        <w:rPr>
          <w:rStyle w:val="normaltextrun"/>
          <w:rFonts w:eastAsiaTheme="minorEastAsia" w:cstheme="minorHAnsi"/>
        </w:rPr>
        <w:t xml:space="preserve"> will engage with relevant stakeholders</w:t>
      </w:r>
      <w:r w:rsidR="00F14CD5">
        <w:rPr>
          <w:rStyle w:val="normaltextrun"/>
          <w:rFonts w:eastAsiaTheme="minorEastAsia" w:cstheme="minorHAnsi"/>
        </w:rPr>
        <w:t xml:space="preserve"> to test their appropriateness</w:t>
      </w:r>
      <w:r w:rsidRPr="00100110">
        <w:rPr>
          <w:rStyle w:val="normaltextrun"/>
          <w:rFonts w:eastAsiaTheme="minorEastAsia" w:cstheme="minorHAnsi"/>
        </w:rPr>
        <w:t xml:space="preserve">. </w:t>
      </w:r>
    </w:p>
    <w:p w14:paraId="6347C87F" w14:textId="30FA9B41" w:rsidR="001E7EA0" w:rsidRDefault="00100110" w:rsidP="00100110">
      <w:pPr>
        <w:rPr>
          <w:rStyle w:val="normaltextrun"/>
          <w:rFonts w:eastAsiaTheme="minorEastAsia" w:cstheme="minorHAnsi"/>
        </w:rPr>
      </w:pPr>
      <w:r w:rsidRPr="00100110">
        <w:rPr>
          <w:rStyle w:val="normaltextrun"/>
          <w:rFonts w:eastAsiaTheme="minorEastAsia" w:cstheme="minorHAnsi"/>
        </w:rPr>
        <w:t xml:space="preserve">There were queries </w:t>
      </w:r>
      <w:r w:rsidR="00BE1963">
        <w:rPr>
          <w:rStyle w:val="normaltextrun"/>
          <w:rFonts w:eastAsiaTheme="minorEastAsia" w:cstheme="minorHAnsi"/>
        </w:rPr>
        <w:t xml:space="preserve">during consultation </w:t>
      </w:r>
      <w:r w:rsidR="00546F1B">
        <w:rPr>
          <w:rStyle w:val="normaltextrun"/>
          <w:rFonts w:eastAsiaTheme="minorEastAsia" w:cstheme="minorHAnsi"/>
        </w:rPr>
        <w:t xml:space="preserve">which sought </w:t>
      </w:r>
      <w:r w:rsidRPr="00100110">
        <w:rPr>
          <w:rStyle w:val="normaltextrun"/>
          <w:rFonts w:eastAsiaTheme="minorEastAsia" w:cstheme="minorHAnsi"/>
        </w:rPr>
        <w:t xml:space="preserve">more </w:t>
      </w:r>
      <w:r w:rsidR="00546F1B">
        <w:rPr>
          <w:rStyle w:val="normaltextrun"/>
          <w:rFonts w:eastAsiaTheme="minorEastAsia" w:cstheme="minorHAnsi"/>
        </w:rPr>
        <w:t xml:space="preserve">detail </w:t>
      </w:r>
      <w:r w:rsidRPr="00100110">
        <w:rPr>
          <w:rStyle w:val="normaltextrun"/>
          <w:rFonts w:eastAsiaTheme="minorEastAsia" w:cstheme="minorHAnsi"/>
        </w:rPr>
        <w:t>on aspects</w:t>
      </w:r>
      <w:r w:rsidR="00BE1963">
        <w:rPr>
          <w:rStyle w:val="normaltextrun"/>
          <w:rFonts w:eastAsiaTheme="minorEastAsia" w:cstheme="minorHAnsi"/>
        </w:rPr>
        <w:t xml:space="preserve"> of the Skills Guarantee</w:t>
      </w:r>
      <w:r w:rsidRPr="00100110">
        <w:rPr>
          <w:rStyle w:val="normaltextrun"/>
          <w:rFonts w:eastAsiaTheme="minorEastAsia" w:cstheme="minorHAnsi"/>
        </w:rPr>
        <w:t xml:space="preserve"> that </w:t>
      </w:r>
      <w:r w:rsidR="00E14BC8">
        <w:rPr>
          <w:rStyle w:val="normaltextrun"/>
          <w:rFonts w:eastAsiaTheme="minorEastAsia" w:cstheme="minorHAnsi"/>
        </w:rPr>
        <w:t>were</w:t>
      </w:r>
      <w:r w:rsidRPr="00100110">
        <w:rPr>
          <w:rStyle w:val="normaltextrun"/>
          <w:rFonts w:eastAsiaTheme="minorEastAsia" w:cstheme="minorHAnsi"/>
        </w:rPr>
        <w:t xml:space="preserve"> still to be determined by </w:t>
      </w:r>
      <w:r w:rsidR="00E14BC8">
        <w:rPr>
          <w:rStyle w:val="normaltextrun"/>
          <w:rFonts w:eastAsiaTheme="minorEastAsia" w:cstheme="minorHAnsi"/>
        </w:rPr>
        <w:t>g</w:t>
      </w:r>
      <w:r w:rsidRPr="00100110">
        <w:rPr>
          <w:rStyle w:val="normaltextrun"/>
          <w:rFonts w:eastAsiaTheme="minorEastAsia" w:cstheme="minorHAnsi"/>
        </w:rPr>
        <w:t>overnment at the time of consultations. Further guidance will be shared</w:t>
      </w:r>
      <w:r w:rsidR="00351DDD">
        <w:rPr>
          <w:rStyle w:val="normaltextrun"/>
          <w:rFonts w:eastAsiaTheme="minorEastAsia" w:cstheme="minorHAnsi"/>
        </w:rPr>
        <w:t xml:space="preserve"> with relevant stakeholders</w:t>
      </w:r>
      <w:r w:rsidRPr="00100110">
        <w:rPr>
          <w:rStyle w:val="normaltextrun"/>
          <w:rFonts w:eastAsiaTheme="minorEastAsia" w:cstheme="minorHAnsi"/>
        </w:rPr>
        <w:t xml:space="preserve"> once all elements are finalised.</w:t>
      </w:r>
      <w:r w:rsidR="00E14BC8">
        <w:rPr>
          <w:rStyle w:val="normaltextrun"/>
          <w:rFonts w:eastAsiaTheme="minorEastAsia" w:cstheme="minorHAnsi"/>
        </w:rPr>
        <w:t xml:space="preserve"> </w:t>
      </w:r>
    </w:p>
    <w:p w14:paraId="39B18636" w14:textId="45A34206" w:rsidR="008A3104" w:rsidRPr="008A3104" w:rsidRDefault="008A3104" w:rsidP="00011778">
      <w:pPr>
        <w:pStyle w:val="Heading3"/>
        <w:rPr>
          <w:rStyle w:val="normaltextrun"/>
          <w:rFonts w:eastAsiaTheme="minorEastAsia" w:cstheme="minorHAnsi"/>
        </w:rPr>
      </w:pPr>
      <w:r w:rsidRPr="008A3104">
        <w:rPr>
          <w:rStyle w:val="normaltextrun"/>
          <w:rFonts w:eastAsiaTheme="minorEastAsia" w:cstheme="minorHAnsi"/>
        </w:rPr>
        <w:t>Future stakeholder engagement to support implementation</w:t>
      </w:r>
    </w:p>
    <w:p w14:paraId="295B3742" w14:textId="2E72558E" w:rsidR="008A3104" w:rsidRDefault="008A3104" w:rsidP="008A3104">
      <w:pPr>
        <w:rPr>
          <w:rStyle w:val="normaltextrun"/>
          <w:rFonts w:eastAsiaTheme="minorEastAsia" w:cstheme="minorHAnsi"/>
        </w:rPr>
      </w:pPr>
      <w:r w:rsidRPr="008A3104">
        <w:rPr>
          <w:rStyle w:val="normaltextrun"/>
          <w:rFonts w:eastAsiaTheme="minorEastAsia" w:cstheme="minorHAnsi"/>
        </w:rPr>
        <w:t xml:space="preserve">The department continues to engage with key stakeholders to </w:t>
      </w:r>
      <w:r w:rsidR="007A1975">
        <w:rPr>
          <w:rStyle w:val="normaltextrun"/>
          <w:rFonts w:eastAsiaTheme="minorEastAsia" w:cstheme="minorHAnsi"/>
        </w:rPr>
        <w:t>support the</w:t>
      </w:r>
      <w:r w:rsidRPr="008A3104">
        <w:rPr>
          <w:rStyle w:val="normaltextrun"/>
          <w:rFonts w:eastAsiaTheme="minorEastAsia" w:cstheme="minorHAnsi"/>
        </w:rPr>
        <w:t xml:space="preserve"> implementation of the Skills Guarantee. The department will be working closely with contracting agencies in the lead up to – and after – the commencement of the Skills Guarantee PCP to ensure agencies understand their </w:t>
      </w:r>
      <w:r w:rsidRPr="008A3104">
        <w:rPr>
          <w:rStyle w:val="normaltextrun"/>
          <w:rFonts w:eastAsiaTheme="minorEastAsia" w:cstheme="minorHAnsi"/>
        </w:rPr>
        <w:lastRenderedPageBreak/>
        <w:t>obligations.</w:t>
      </w:r>
      <w:r w:rsidR="00011778">
        <w:rPr>
          <w:rStyle w:val="normaltextrun"/>
          <w:rFonts w:eastAsiaTheme="minorEastAsia" w:cstheme="minorHAnsi"/>
        </w:rPr>
        <w:t xml:space="preserve"> </w:t>
      </w:r>
      <w:r w:rsidR="00033D9A" w:rsidRPr="00033D9A">
        <w:rPr>
          <w:rStyle w:val="normaltextrun"/>
          <w:rFonts w:eastAsiaTheme="minorEastAsia" w:cstheme="minorHAnsi"/>
        </w:rPr>
        <w:t>This includes engaging with contracting agencies through the ASG Intergovernmental Committee (IGC) with the purpose of monitoring and overseeing the implementation of the Skills Guarantee</w:t>
      </w:r>
      <w:r w:rsidR="00351DDD">
        <w:rPr>
          <w:rStyle w:val="normaltextrun"/>
          <w:rFonts w:eastAsiaTheme="minorEastAsia" w:cstheme="minorHAnsi"/>
        </w:rPr>
        <w:t>,</w:t>
      </w:r>
      <w:r w:rsidR="00033D9A" w:rsidRPr="00033D9A">
        <w:rPr>
          <w:rStyle w:val="normaltextrun"/>
          <w:rFonts w:eastAsiaTheme="minorEastAsia" w:cstheme="minorHAnsi"/>
        </w:rPr>
        <w:t xml:space="preserve"> with member</w:t>
      </w:r>
      <w:r w:rsidR="00351DDD">
        <w:rPr>
          <w:rStyle w:val="normaltextrun"/>
          <w:rFonts w:eastAsiaTheme="minorEastAsia" w:cstheme="minorHAnsi"/>
        </w:rPr>
        <w:t xml:space="preserve">s representing key </w:t>
      </w:r>
      <w:r w:rsidR="00033D9A" w:rsidRPr="00033D9A">
        <w:rPr>
          <w:rStyle w:val="normaltextrun"/>
          <w:rFonts w:eastAsiaTheme="minorEastAsia" w:cstheme="minorHAnsi"/>
        </w:rPr>
        <w:t>Commonwealth departments</w:t>
      </w:r>
      <w:r w:rsidR="00351DDD">
        <w:rPr>
          <w:rStyle w:val="normaltextrun"/>
          <w:rFonts w:eastAsiaTheme="minorEastAsia" w:cstheme="minorHAnsi"/>
        </w:rPr>
        <w:t xml:space="preserve"> that will be impacted. </w:t>
      </w:r>
    </w:p>
    <w:p w14:paraId="6EB51DF7" w14:textId="6B136CF4" w:rsidR="00CD2753" w:rsidRDefault="00CD2753" w:rsidP="00CD1E37">
      <w:pPr>
        <w:rPr>
          <w:rStyle w:val="normaltextrun"/>
          <w:rFonts w:ascii="Calibri" w:eastAsia="Calibri" w:hAnsi="Calibri" w:cstheme="majorBidi"/>
          <w:b/>
          <w:color w:val="404246"/>
          <w:sz w:val="32"/>
          <w:szCs w:val="32"/>
        </w:rPr>
      </w:pPr>
      <w:r>
        <w:rPr>
          <w:rStyle w:val="normaltextrun"/>
        </w:rPr>
        <w:br w:type="page"/>
      </w:r>
    </w:p>
    <w:p w14:paraId="4536F8B9" w14:textId="4BC7B39F" w:rsidR="00617EDC" w:rsidRPr="00C11106" w:rsidRDefault="000653BA" w:rsidP="00C11106">
      <w:pPr>
        <w:pStyle w:val="Heading1"/>
      </w:pPr>
      <w:bookmarkStart w:id="29" w:name="_Toc159246231"/>
      <w:r w:rsidRPr="00C11106">
        <w:rPr>
          <w:rStyle w:val="normaltextrun"/>
        </w:rPr>
        <w:lastRenderedPageBreak/>
        <w:t xml:space="preserve">Question 6: </w:t>
      </w:r>
      <w:r w:rsidR="00617EDC" w:rsidRPr="00C11106">
        <w:rPr>
          <w:rStyle w:val="normaltextrun"/>
        </w:rPr>
        <w:t>The best option</w:t>
      </w:r>
      <w:r w:rsidR="002943E1" w:rsidRPr="00C11106">
        <w:rPr>
          <w:rStyle w:val="normaltextrun"/>
        </w:rPr>
        <w:t xml:space="preserve"> and implementation</w:t>
      </w:r>
      <w:bookmarkEnd w:id="29"/>
      <w:r w:rsidR="002943E1" w:rsidRPr="00C11106">
        <w:rPr>
          <w:rStyle w:val="normaltextrun"/>
        </w:rPr>
        <w:t xml:space="preserve"> </w:t>
      </w:r>
    </w:p>
    <w:p w14:paraId="28412B83" w14:textId="21AADBC3" w:rsidR="008F03EA" w:rsidRPr="0081783E" w:rsidRDefault="008F03EA" w:rsidP="00C11106">
      <w:pPr>
        <w:pStyle w:val="Heading2"/>
      </w:pPr>
      <w:bookmarkStart w:id="30" w:name="_Toc159246232"/>
      <w:r w:rsidRPr="0081783E">
        <w:t>Selecting the best option</w:t>
      </w:r>
      <w:bookmarkEnd w:id="30"/>
    </w:p>
    <w:p w14:paraId="28536F82" w14:textId="059E2159" w:rsidR="008F03EA" w:rsidRPr="00235042" w:rsidRDefault="008F03EA" w:rsidP="00CD1E37">
      <w:r w:rsidRPr="00235042">
        <w:t xml:space="preserve">The department </w:t>
      </w:r>
      <w:r w:rsidR="00054523">
        <w:t xml:space="preserve">has </w:t>
      </w:r>
      <w:r w:rsidRPr="00235042">
        <w:t xml:space="preserve">considered the </w:t>
      </w:r>
      <w:r w:rsidR="00973C87" w:rsidRPr="00235042">
        <w:t>2</w:t>
      </w:r>
      <w:r w:rsidRPr="00235042">
        <w:t xml:space="preserve"> options presented </w:t>
      </w:r>
      <w:r w:rsidR="00973C87" w:rsidRPr="00235042">
        <w:t>in this IA:</w:t>
      </w:r>
    </w:p>
    <w:p w14:paraId="0CBC48C5" w14:textId="7348E19B" w:rsidR="00CB3370" w:rsidRPr="002F4E5E" w:rsidRDefault="00F87BF3" w:rsidP="00F07C72">
      <w:pPr>
        <w:pStyle w:val="Dot-pointlist"/>
      </w:pPr>
      <w:r w:rsidRPr="002F4E5E">
        <w:rPr>
          <w:b/>
          <w:bCs/>
        </w:rPr>
        <w:t>Option 1:</w:t>
      </w:r>
      <w:r w:rsidRPr="002F4E5E">
        <w:t xml:space="preserve"> No action, status quo</w:t>
      </w:r>
      <w:r w:rsidR="00CB3370" w:rsidRPr="002F4E5E">
        <w:t xml:space="preserve">. No targets for apprentices, trainees and </w:t>
      </w:r>
      <w:r w:rsidR="00DA1959">
        <w:t>ICT</w:t>
      </w:r>
      <w:r w:rsidR="00DA1959" w:rsidRPr="00235042">
        <w:t xml:space="preserve"> </w:t>
      </w:r>
      <w:r w:rsidR="00CB3370" w:rsidRPr="002F4E5E">
        <w:t xml:space="preserve">cadets applied to major projects that are funded exclusively by the Australian Government. </w:t>
      </w:r>
    </w:p>
    <w:p w14:paraId="500109E9" w14:textId="3E071C25" w:rsidR="00CB3370" w:rsidRPr="002F4E5E" w:rsidRDefault="00F87BF3" w:rsidP="00F07C72">
      <w:pPr>
        <w:pStyle w:val="Dot-pointlist"/>
      </w:pPr>
      <w:r w:rsidRPr="002F4E5E">
        <w:rPr>
          <w:b/>
          <w:bCs/>
        </w:rPr>
        <w:t>Option 2:</w:t>
      </w:r>
      <w:r w:rsidRPr="002F4E5E">
        <w:t xml:space="preserve"> Australian Skills Guarantee PCP and reporting</w:t>
      </w:r>
      <w:r w:rsidR="008168C6" w:rsidRPr="002F4E5E">
        <w:t xml:space="preserve">. </w:t>
      </w:r>
      <w:r w:rsidR="00CB3370" w:rsidRPr="002F4E5E">
        <w:t xml:space="preserve">The Skills Guarantee </w:t>
      </w:r>
      <w:r w:rsidR="000D7AAF" w:rsidRPr="002F4E5E">
        <w:t xml:space="preserve">PCP </w:t>
      </w:r>
      <w:r w:rsidR="00CB3370" w:rsidRPr="002F4E5E">
        <w:t>will use Commonwealth investment in major projects to help train the next generation of skilled workers by introducing new national targets for apprentices, trainees, and ICT cadets working on eligible Australian Government funded major projects.</w:t>
      </w:r>
      <w:r w:rsidR="00392DA7" w:rsidRPr="002F4E5E">
        <w:t xml:space="preserve"> </w:t>
      </w:r>
      <w:r w:rsidR="00CB3370" w:rsidRPr="002F4E5E">
        <w:t xml:space="preserve">The Skills Guarantee will also introduce national targets for women </w:t>
      </w:r>
      <w:r w:rsidR="002E4C4A" w:rsidRPr="002F4E5E">
        <w:t xml:space="preserve">apprentices </w:t>
      </w:r>
      <w:r w:rsidR="00CB3370" w:rsidRPr="002F4E5E">
        <w:t>to increase the proportion of women working on major projects.</w:t>
      </w:r>
    </w:p>
    <w:p w14:paraId="3B3EF98F" w14:textId="703AB40F" w:rsidR="00CB3370" w:rsidRPr="00235042" w:rsidRDefault="00972110" w:rsidP="00CD1E37">
      <w:r>
        <w:t xml:space="preserve">The department has weighed these 2 options against the problems and objectives </w:t>
      </w:r>
      <w:r w:rsidR="00D8210F">
        <w:t xml:space="preserve">outlined in </w:t>
      </w:r>
      <w:r w:rsidR="00D8210F" w:rsidRPr="00A235C1">
        <w:rPr>
          <w:b/>
        </w:rPr>
        <w:t>Question 1</w:t>
      </w:r>
      <w:r w:rsidR="00D8210F">
        <w:t xml:space="preserve"> and </w:t>
      </w:r>
      <w:r w:rsidR="00D8210F" w:rsidRPr="00A235C1">
        <w:rPr>
          <w:b/>
        </w:rPr>
        <w:t>Question 2</w:t>
      </w:r>
      <w:r w:rsidR="00D8210F">
        <w:t xml:space="preserve">. </w:t>
      </w:r>
      <w:r w:rsidR="009120D7">
        <w:t>These are summarised below</w:t>
      </w:r>
      <w:r w:rsidR="00D8210F">
        <w:t xml:space="preserve">: </w:t>
      </w:r>
    </w:p>
    <w:p w14:paraId="5C31FB71" w14:textId="06B2ABB8" w:rsidR="002C05F5" w:rsidRPr="002F4E5E" w:rsidRDefault="002C05F5" w:rsidP="00F07C72">
      <w:pPr>
        <w:pStyle w:val="Dot-pointlist"/>
      </w:pPr>
      <w:r w:rsidRPr="002F4E5E">
        <w:rPr>
          <w:b/>
          <w:bCs/>
        </w:rPr>
        <w:t>Problem:</w:t>
      </w:r>
      <w:r w:rsidRPr="002F4E5E">
        <w:t xml:space="preserve"> Australia is currently experiencing persistent and critical skills shortages in many key sectors caused by high demand growth and a weak flow of skilled workers into occupations. </w:t>
      </w:r>
      <w:r w:rsidR="0049648E" w:rsidRPr="002F4E5E">
        <w:t xml:space="preserve">VET pathways </w:t>
      </w:r>
      <w:r w:rsidR="004C7A4D" w:rsidRPr="002F4E5E">
        <w:t xml:space="preserve">have an integral part to play in alleviating </w:t>
      </w:r>
      <w:r w:rsidR="009D5D40" w:rsidRPr="002F4E5E">
        <w:t xml:space="preserve">these </w:t>
      </w:r>
      <w:r w:rsidR="00FC7C9F" w:rsidRPr="002F4E5E">
        <w:t xml:space="preserve">shortage pressures. </w:t>
      </w:r>
    </w:p>
    <w:p w14:paraId="199A002B" w14:textId="29DAC6E5" w:rsidR="00EF0CA1" w:rsidRPr="00F07C72" w:rsidRDefault="00FC7C9F" w:rsidP="00F07C72">
      <w:pPr>
        <w:pStyle w:val="Dot-pointlist"/>
        <w:numPr>
          <w:ilvl w:val="0"/>
          <w:numId w:val="0"/>
        </w:numPr>
        <w:ind w:left="357"/>
        <w:rPr>
          <w:b/>
          <w:bCs/>
          <w:i/>
          <w:iCs/>
        </w:rPr>
      </w:pPr>
      <w:r w:rsidRPr="00F07C72">
        <w:rPr>
          <w:b/>
          <w:bCs/>
          <w:i/>
          <w:iCs/>
        </w:rPr>
        <w:t>Objective</w:t>
      </w:r>
      <w:r w:rsidR="00E06238" w:rsidRPr="00F07C72">
        <w:rPr>
          <w:b/>
          <w:bCs/>
          <w:i/>
          <w:iCs/>
        </w:rPr>
        <w:t>s</w:t>
      </w:r>
      <w:r w:rsidRPr="00F07C72">
        <w:rPr>
          <w:b/>
          <w:bCs/>
          <w:i/>
          <w:iCs/>
        </w:rPr>
        <w:t xml:space="preserve">: </w:t>
      </w:r>
    </w:p>
    <w:p w14:paraId="554BCAA2" w14:textId="77777777" w:rsidR="00EF7472" w:rsidRDefault="00EF7472" w:rsidP="00F07C72">
      <w:pPr>
        <w:pStyle w:val="Dot-pointlist"/>
        <w:numPr>
          <w:ilvl w:val="1"/>
          <w:numId w:val="2"/>
        </w:numPr>
      </w:pPr>
      <w:r>
        <w:t>Increase entry level pathways in construction and ICT sectors</w:t>
      </w:r>
    </w:p>
    <w:p w14:paraId="57A9975F" w14:textId="77777777" w:rsidR="00EF7472" w:rsidRDefault="00EF7472" w:rsidP="00F07C72">
      <w:pPr>
        <w:pStyle w:val="Dot-pointlist"/>
        <w:numPr>
          <w:ilvl w:val="1"/>
          <w:numId w:val="2"/>
        </w:numPr>
      </w:pPr>
      <w:r>
        <w:t>Increase commencement rates for apprentices, trainees and ICT cadets</w:t>
      </w:r>
    </w:p>
    <w:p w14:paraId="32CA50DC" w14:textId="2020EE48" w:rsidR="000774F4" w:rsidRDefault="00EF7472" w:rsidP="00F07C72">
      <w:pPr>
        <w:pStyle w:val="Dot-pointlist"/>
        <w:numPr>
          <w:ilvl w:val="1"/>
          <w:numId w:val="2"/>
        </w:numPr>
      </w:pPr>
      <w:r>
        <w:t>Reduce the current and future skills shortages in the construction and ICT sectors, including drawing on the underutilised female labour force</w:t>
      </w:r>
    </w:p>
    <w:p w14:paraId="0CE5DB94" w14:textId="15E7CEB4" w:rsidR="00112F49" w:rsidRPr="002F4E5E" w:rsidRDefault="00002B77" w:rsidP="00F07C72">
      <w:pPr>
        <w:pStyle w:val="Dot-pointlist"/>
      </w:pPr>
      <w:r w:rsidRPr="002F4E5E">
        <w:rPr>
          <w:b/>
          <w:bCs/>
        </w:rPr>
        <w:t>Sub-problem:</w:t>
      </w:r>
      <w:r w:rsidRPr="002F4E5E">
        <w:t xml:space="preserve"> </w:t>
      </w:r>
      <w:r w:rsidR="004F099D" w:rsidRPr="002F4E5E">
        <w:t>A</w:t>
      </w:r>
      <w:r w:rsidR="00B037C3" w:rsidRPr="002F4E5E">
        <w:t xml:space="preserve"> more segregated workforce </w:t>
      </w:r>
      <w:r w:rsidR="00B93462" w:rsidRPr="002F4E5E">
        <w:t xml:space="preserve">can contribute to skills shortages as it </w:t>
      </w:r>
      <w:r w:rsidR="00B037C3" w:rsidRPr="002F4E5E">
        <w:t>limits job mobility, stifles labour market flexibility</w:t>
      </w:r>
      <w:r w:rsidR="00D40A99" w:rsidRPr="002F4E5E">
        <w:t>,</w:t>
      </w:r>
      <w:r w:rsidR="00B037C3" w:rsidRPr="002F4E5E">
        <w:t xml:space="preserve"> </w:t>
      </w:r>
      <w:r w:rsidR="00B93462" w:rsidRPr="002F4E5E">
        <w:t>and</w:t>
      </w:r>
      <w:r w:rsidR="00B037C3" w:rsidRPr="002F4E5E">
        <w:t xml:space="preserve"> impacts productivity. </w:t>
      </w:r>
      <w:r w:rsidR="00112F49" w:rsidRPr="002F4E5E">
        <w:t xml:space="preserve">The gendered nature of the construction and ICT industries means women apprentices, trainees and cadets are underrepresented in these sectors. </w:t>
      </w:r>
    </w:p>
    <w:p w14:paraId="4275E785" w14:textId="64F51786" w:rsidR="00566AA6" w:rsidRDefault="00002B77" w:rsidP="00F07C72">
      <w:pPr>
        <w:pStyle w:val="Dot-pointlist"/>
        <w:numPr>
          <w:ilvl w:val="0"/>
          <w:numId w:val="0"/>
        </w:numPr>
        <w:ind w:left="357"/>
      </w:pPr>
      <w:r w:rsidRPr="00D353A8">
        <w:rPr>
          <w:b/>
          <w:i/>
          <w:iCs/>
        </w:rPr>
        <w:t>Objective</w:t>
      </w:r>
      <w:r w:rsidR="00E06238" w:rsidRPr="00D353A8">
        <w:rPr>
          <w:b/>
          <w:i/>
          <w:iCs/>
        </w:rPr>
        <w:t>s</w:t>
      </w:r>
      <w:r w:rsidRPr="00D353A8">
        <w:rPr>
          <w:b/>
          <w:i/>
          <w:iCs/>
        </w:rPr>
        <w:t>:</w:t>
      </w:r>
      <w:r>
        <w:t xml:space="preserve"> </w:t>
      </w:r>
    </w:p>
    <w:p w14:paraId="3E0CBC7B" w14:textId="77777777" w:rsidR="007B4680" w:rsidRDefault="007B4680" w:rsidP="00F07C72">
      <w:pPr>
        <w:pStyle w:val="Dot-pointlist"/>
        <w:numPr>
          <w:ilvl w:val="1"/>
          <w:numId w:val="2"/>
        </w:numPr>
      </w:pPr>
      <w:r>
        <w:t>Reduce gender segregation by increasing female participation in construction and ICT sectors</w:t>
      </w:r>
    </w:p>
    <w:p w14:paraId="49478D11" w14:textId="3917B731" w:rsidR="007B4680" w:rsidRPr="00566AA6" w:rsidRDefault="007B4680" w:rsidP="00F07C72">
      <w:pPr>
        <w:pStyle w:val="Dot-pointlist"/>
        <w:numPr>
          <w:ilvl w:val="1"/>
          <w:numId w:val="2"/>
        </w:numPr>
      </w:pPr>
      <w:r>
        <w:t>Reduce female unemployment rates and increase female labour force participation</w:t>
      </w:r>
    </w:p>
    <w:p w14:paraId="3E5591DC" w14:textId="3EC2D324" w:rsidR="00FC7C9F" w:rsidRDefault="002B2175" w:rsidP="00E86FB8">
      <w:r>
        <w:t>The department has determine</w:t>
      </w:r>
      <w:r w:rsidR="005475BC">
        <w:t>d</w:t>
      </w:r>
      <w:r>
        <w:t xml:space="preserve"> that Option 2: </w:t>
      </w:r>
      <w:r w:rsidRPr="002B2175">
        <w:t xml:space="preserve">Australian Skills Guarantee PCP </w:t>
      </w:r>
      <w:r>
        <w:t xml:space="preserve">is the best option </w:t>
      </w:r>
      <w:r w:rsidR="002920EE">
        <w:t>to</w:t>
      </w:r>
      <w:r w:rsidR="009F4E20">
        <w:t xml:space="preserve"> achieve the </w:t>
      </w:r>
      <w:r w:rsidR="00623AE7">
        <w:t xml:space="preserve">objectives and address the problems outlined above. </w:t>
      </w:r>
      <w:r w:rsidR="005475BC">
        <w:t>The</w:t>
      </w:r>
      <w:r w:rsidR="004240F0">
        <w:t xml:space="preserve"> net benefit of the</w:t>
      </w:r>
      <w:r w:rsidR="005475BC">
        <w:t xml:space="preserve"> Skills Guarantee will help </w:t>
      </w:r>
      <w:r w:rsidR="00C92300">
        <w:t xml:space="preserve">strengthen </w:t>
      </w:r>
      <w:r w:rsidR="005475BC">
        <w:t xml:space="preserve">the </w:t>
      </w:r>
      <w:r w:rsidR="00C92300">
        <w:t xml:space="preserve">workforce pipeline for the </w:t>
      </w:r>
      <w:r w:rsidR="005475BC">
        <w:t xml:space="preserve">next generation of skilled workers </w:t>
      </w:r>
      <w:r w:rsidR="00C92300">
        <w:t>in</w:t>
      </w:r>
      <w:r w:rsidR="004240F0">
        <w:t xml:space="preserve"> the construction and ICT industries </w:t>
      </w:r>
      <w:r w:rsidR="005475BC">
        <w:t>and will increase the proportion of women working to reduce gender segregation.</w:t>
      </w:r>
    </w:p>
    <w:p w14:paraId="26EF98A1" w14:textId="51A10466" w:rsidR="009120D7" w:rsidRDefault="00737D6C" w:rsidP="00E86FB8">
      <w:r>
        <w:lastRenderedPageBreak/>
        <w:t xml:space="preserve">The Skills Guarantee represents the </w:t>
      </w:r>
      <w:r w:rsidR="007C79B8">
        <w:t>greatest</w:t>
      </w:r>
      <w:r>
        <w:t xml:space="preserve"> net benefit of the 2 options outlined</w:t>
      </w:r>
      <w:r w:rsidR="00DA4F14">
        <w:t xml:space="preserve">. </w:t>
      </w:r>
      <w:r>
        <w:t>Option 1</w:t>
      </w:r>
      <w:r w:rsidR="00EC6A92">
        <w:t xml:space="preserve"> provides limited benefits and </w:t>
      </w:r>
      <w:r w:rsidR="0091370C">
        <w:t>does not address</w:t>
      </w:r>
      <w:r w:rsidR="00EC6A92">
        <w:t xml:space="preserve"> the issues outlined under </w:t>
      </w:r>
      <w:r w:rsidR="00EC6A92" w:rsidRPr="00B930EB">
        <w:rPr>
          <w:b/>
        </w:rPr>
        <w:t>Question 1</w:t>
      </w:r>
      <w:r w:rsidR="007511B4">
        <w:t xml:space="preserve">. Option 1 </w:t>
      </w:r>
      <w:r w:rsidR="00182E18">
        <w:t xml:space="preserve">would </w:t>
      </w:r>
      <w:r w:rsidR="00182E18" w:rsidRPr="00182E18">
        <w:t>miss</w:t>
      </w:r>
      <w:r w:rsidR="00BE69A0">
        <w:t xml:space="preserve"> the</w:t>
      </w:r>
      <w:r w:rsidR="00182E18" w:rsidRPr="00182E18">
        <w:t xml:space="preserve"> opportun</w:t>
      </w:r>
      <w:r w:rsidR="00BE69A0">
        <w:t>ity</w:t>
      </w:r>
      <w:r w:rsidR="00EC6A92">
        <w:t xml:space="preserve"> to </w:t>
      </w:r>
      <w:r w:rsidR="00182E18" w:rsidRPr="00182E18">
        <w:t>address Australia’s skills shortages and gender segregation in the construction and ICT industries</w:t>
      </w:r>
      <w:r w:rsidR="00182E18">
        <w:t>.</w:t>
      </w:r>
      <w:r w:rsidR="00EC6A92">
        <w:t xml:space="preserve"> Option 2, while imposing some regulatory cost</w:t>
      </w:r>
      <w:r w:rsidR="009F6B0B">
        <w:t xml:space="preserve"> (as outlined under </w:t>
      </w:r>
      <w:r w:rsidR="009F6B0B" w:rsidRPr="00B930EB">
        <w:rPr>
          <w:b/>
        </w:rPr>
        <w:t>Question 4</w:t>
      </w:r>
      <w:r w:rsidR="009F6B0B">
        <w:t>)</w:t>
      </w:r>
      <w:r w:rsidR="00EC6A92">
        <w:t xml:space="preserve">, </w:t>
      </w:r>
      <w:r w:rsidR="00182E18">
        <w:t xml:space="preserve">will provide </w:t>
      </w:r>
      <w:r w:rsidR="00182E18" w:rsidRPr="00182E18">
        <w:t>more employment opportunities to Australians</w:t>
      </w:r>
      <w:r w:rsidR="00182E18">
        <w:t xml:space="preserve">, will support </w:t>
      </w:r>
      <w:r w:rsidR="009F6B0B">
        <w:t xml:space="preserve">women working in the construction and ICT sectors, </w:t>
      </w:r>
      <w:r w:rsidR="00182E18">
        <w:t>will support businesses to complete projects, and</w:t>
      </w:r>
      <w:r w:rsidR="00182E18" w:rsidRPr="00182E18">
        <w:t xml:space="preserve"> </w:t>
      </w:r>
      <w:r w:rsidR="00182E18">
        <w:t xml:space="preserve">will ultimately </w:t>
      </w:r>
      <w:r w:rsidR="00182E18" w:rsidRPr="00182E18">
        <w:t>support a stronger economy with a more skilled workforce for future needs.</w:t>
      </w:r>
      <w:r w:rsidR="00EB5C62">
        <w:t xml:space="preserve"> Option 2 </w:t>
      </w:r>
      <w:r w:rsidR="0000381F">
        <w:t xml:space="preserve">will </w:t>
      </w:r>
      <w:r w:rsidR="003353DF">
        <w:t>benefit</w:t>
      </w:r>
      <w:r w:rsidR="0023744B">
        <w:t xml:space="preserve"> prospective apprentices, trainees</w:t>
      </w:r>
      <w:r w:rsidR="007F4EF6">
        <w:t>,</w:t>
      </w:r>
      <w:r w:rsidR="004C0792">
        <w:t xml:space="preserve"> and ICT cadets </w:t>
      </w:r>
      <w:r w:rsidR="003353DF">
        <w:t>by providing</w:t>
      </w:r>
      <w:r w:rsidR="004C0792">
        <w:t xml:space="preserve"> </w:t>
      </w:r>
      <w:r w:rsidR="00DE371D">
        <w:t xml:space="preserve">more opportunities to </w:t>
      </w:r>
      <w:r w:rsidR="001D0C37">
        <w:t>receive training while earning an income</w:t>
      </w:r>
      <w:r w:rsidR="00746EF0">
        <w:t xml:space="preserve"> and </w:t>
      </w:r>
      <w:r w:rsidR="00516297" w:rsidRPr="00516297">
        <w:t xml:space="preserve">will </w:t>
      </w:r>
      <w:r w:rsidR="005E3885">
        <w:t xml:space="preserve">also </w:t>
      </w:r>
      <w:r w:rsidR="00516297" w:rsidRPr="00516297">
        <w:t>build networks and mentoring opportunities to encourage more women into male-dominated roles</w:t>
      </w:r>
      <w:r w:rsidR="00746EF0">
        <w:t xml:space="preserve"> by i</w:t>
      </w:r>
      <w:r w:rsidR="00746EF0" w:rsidRPr="00746EF0">
        <w:t>ncreasing the number of women on construction sites and working in ICT</w:t>
      </w:r>
      <w:r w:rsidR="005E3885">
        <w:t>.</w:t>
      </w:r>
      <w:r w:rsidR="00746EF0">
        <w:t xml:space="preserve"> </w:t>
      </w:r>
    </w:p>
    <w:p w14:paraId="443C28FE" w14:textId="32FEE306" w:rsidR="00D97A29" w:rsidRPr="0081783E" w:rsidRDefault="001F69AA" w:rsidP="00A66FA7">
      <w:pPr>
        <w:pStyle w:val="Heading2"/>
      </w:pPr>
      <w:bookmarkStart w:id="31" w:name="_Toc159246233"/>
      <w:r w:rsidRPr="0081783E">
        <w:t>I</w:t>
      </w:r>
      <w:r w:rsidR="004E3E94" w:rsidRPr="0081783E">
        <w:t>mplementing the policy via a</w:t>
      </w:r>
      <w:r w:rsidR="00D97A29" w:rsidRPr="0081783E">
        <w:t xml:space="preserve"> </w:t>
      </w:r>
      <w:r w:rsidR="00C06332" w:rsidRPr="0081783E">
        <w:t xml:space="preserve">Skills Guarantee </w:t>
      </w:r>
      <w:r w:rsidR="00D97A29" w:rsidRPr="0081783E">
        <w:t>PCP</w:t>
      </w:r>
      <w:bookmarkEnd w:id="31"/>
    </w:p>
    <w:p w14:paraId="52FD7EC6" w14:textId="2AE19729" w:rsidR="00D97A29" w:rsidRPr="00F22BEC" w:rsidRDefault="00D97A29" w:rsidP="00CD1E37">
      <w:r w:rsidRPr="00F22BEC">
        <w:t>As the Skills Guarantee sets targets for direct major Commonwealth procurements in construction and ICT, the best and key mechanism to implement the Skills Guarantee and assist with the achievement of the intended outcomes will be through the introduction of a Whole of Australian Government PCP.</w:t>
      </w:r>
    </w:p>
    <w:p w14:paraId="23C82E30" w14:textId="532AE9F6" w:rsidR="00D97A29" w:rsidRDefault="00D97A29" w:rsidP="00CD1E37">
      <w:r w:rsidRPr="00F22BEC">
        <w:t>By leveraging the significant purchasing power of the Australian Government, the Skills Guarantee PCP will ensure a proportion of all labour hours worked on eligible major projects must be undertaken by apprentices and trainees. This will drive sustained, long-term demand for apprentices and trainees and create a greater pool of skilled workers. Experience implementing similar targets – for example, through the</w:t>
      </w:r>
      <w:r w:rsidR="004E36C4">
        <w:t xml:space="preserve"> IPP</w:t>
      </w:r>
      <w:r w:rsidRPr="00F22BEC">
        <w:t>– has shown that</w:t>
      </w:r>
      <w:r w:rsidRPr="0084367D">
        <w:t xml:space="preserve"> a progressively increasing value target can drive change in business practices.  </w:t>
      </w:r>
    </w:p>
    <w:p w14:paraId="46EEE833" w14:textId="576CB4F9" w:rsidR="00AB6453" w:rsidRDefault="00D97A29" w:rsidP="00CD1E37">
      <w:r>
        <w:t xml:space="preserve">From 1 July 2024, </w:t>
      </w:r>
      <w:r w:rsidR="0020557B">
        <w:t xml:space="preserve">requirements of the Skills Guarantee PCP </w:t>
      </w:r>
      <w:r>
        <w:t xml:space="preserve">will come into force and be considered as part of procurement processes. </w:t>
      </w:r>
      <w:r w:rsidR="00AB6453">
        <w:t>The PCP guidelines will be the key mechanism through which the Skills Guarantee will be implemented, providing</w:t>
      </w:r>
      <w:r w:rsidR="00AB6453" w:rsidRPr="00870194">
        <w:t xml:space="preserve"> instructions </w:t>
      </w:r>
      <w:r w:rsidR="00AB6453">
        <w:t>to</w:t>
      </w:r>
      <w:r w:rsidR="00AB6453" w:rsidRPr="00870194">
        <w:t xml:space="preserve"> parties engaging in </w:t>
      </w:r>
      <w:r w:rsidR="00AB6453">
        <w:t>major</w:t>
      </w:r>
      <w:r w:rsidR="00AB6453" w:rsidRPr="00870194">
        <w:t xml:space="preserve"> Australian Government-funded </w:t>
      </w:r>
      <w:bookmarkStart w:id="32" w:name="_Hlk155873873"/>
      <w:r w:rsidR="00AB6453" w:rsidRPr="00870194">
        <w:t>construction and ICT projects</w:t>
      </w:r>
      <w:bookmarkEnd w:id="32"/>
      <w:r w:rsidR="00AB6453">
        <w:t xml:space="preserve"> on key obligations. The PCP guidelines implement the key policy settings </w:t>
      </w:r>
      <w:r w:rsidR="00D95340">
        <w:t xml:space="preserve">announced at the </w:t>
      </w:r>
      <w:r w:rsidR="00AB6453">
        <w:t xml:space="preserve">2023–24 Budget, including: </w:t>
      </w:r>
    </w:p>
    <w:p w14:paraId="3A7645BC" w14:textId="5C412F64" w:rsidR="002F4188" w:rsidRPr="00BD0F03" w:rsidRDefault="005F319F" w:rsidP="00F07C72">
      <w:pPr>
        <w:pStyle w:val="Dot-pointlist"/>
      </w:pPr>
      <w:r w:rsidRPr="00BD0F03">
        <w:t>The Skills Guarantee will apply to major projects over $10 million</w:t>
      </w:r>
    </w:p>
    <w:p w14:paraId="15563EF9" w14:textId="481CA413" w:rsidR="001A195B" w:rsidRPr="00BD0F03" w:rsidRDefault="00AB6453" w:rsidP="00F07C72">
      <w:pPr>
        <w:pStyle w:val="Dot-pointlist"/>
      </w:pPr>
      <w:r w:rsidRPr="00BD0F03">
        <w:t>Major construction projects must ensure 10% of all labour hours are undertaken by apprentices, 6% of all apprentice labour hours and 4% of trade apprentice labour hours are undertaken by women</w:t>
      </w:r>
    </w:p>
    <w:p w14:paraId="2830C968" w14:textId="0F9E3D92" w:rsidR="00AB6453" w:rsidRPr="00BD0F03" w:rsidRDefault="00AB6453" w:rsidP="00F07C72">
      <w:pPr>
        <w:pStyle w:val="Dot-pointlist"/>
      </w:pPr>
      <w:r w:rsidRPr="00BD0F03">
        <w:t xml:space="preserve">Flagship construction projects (contract value of $100 million or more) must propose higher targets for women and complete a Gender Equality Action Plan </w:t>
      </w:r>
    </w:p>
    <w:p w14:paraId="72AB682E" w14:textId="77777777" w:rsidR="00AB6453" w:rsidRPr="00BD0F03" w:rsidRDefault="00AB6453" w:rsidP="00F07C72">
      <w:pPr>
        <w:pStyle w:val="Dot-pointlist"/>
      </w:pPr>
      <w:r w:rsidRPr="00BD0F03">
        <w:t>Major ICT projects (contract value of $10 million or more) will be required to negotiate targets for apprentices and ICT cadets, and targets for women, with suppliers on a project-by-project basis.</w:t>
      </w:r>
    </w:p>
    <w:p w14:paraId="6EC24EFD" w14:textId="77777777" w:rsidR="0020043C" w:rsidRPr="0081783E" w:rsidRDefault="0020043C" w:rsidP="00797487">
      <w:pPr>
        <w:pStyle w:val="Heading3"/>
        <w:rPr>
          <w:rStyle w:val="normaltextrun"/>
        </w:rPr>
      </w:pPr>
      <w:r w:rsidRPr="0081783E">
        <w:rPr>
          <w:rStyle w:val="normaltextrun"/>
        </w:rPr>
        <w:t xml:space="preserve">Reporting </w:t>
      </w:r>
    </w:p>
    <w:p w14:paraId="2F5D2956" w14:textId="77777777" w:rsidR="0020043C" w:rsidRDefault="0020043C" w:rsidP="00CD1E37">
      <w:pPr>
        <w:rPr>
          <w:rStyle w:val="eop"/>
          <w:rFonts w:cstheme="minorHAnsi"/>
        </w:rPr>
      </w:pPr>
      <w:r w:rsidRPr="00344C59">
        <w:rPr>
          <w:rStyle w:val="normaltextrun"/>
          <w:rFonts w:eastAsiaTheme="minorEastAsia" w:cstheme="minorHAnsi"/>
        </w:rPr>
        <w:t xml:space="preserve">The experience of the states and territories in implementing workforce targets has shown that real change requires substantial investment in performance monitoring and compliance. </w:t>
      </w:r>
    </w:p>
    <w:p w14:paraId="24079199" w14:textId="5349F489" w:rsidR="0020043C" w:rsidRPr="00D66DFC" w:rsidRDefault="00775E62" w:rsidP="00CD1E37">
      <w:pPr>
        <w:rPr>
          <w:rStyle w:val="normaltextrun"/>
          <w:rFonts w:cstheme="minorHAnsi"/>
        </w:rPr>
      </w:pPr>
      <w:r>
        <w:rPr>
          <w:rStyle w:val="eop"/>
        </w:rPr>
        <w:lastRenderedPageBreak/>
        <w:t>Effective</w:t>
      </w:r>
      <w:r w:rsidR="0020043C" w:rsidRPr="398AB777">
        <w:rPr>
          <w:rStyle w:val="eop"/>
        </w:rPr>
        <w:t xml:space="preserve"> reporting is critical to the successful implementation of the Skills Guarantee. It is the basis for </w:t>
      </w:r>
      <w:r>
        <w:rPr>
          <w:rStyle w:val="eop"/>
        </w:rPr>
        <w:t>successful</w:t>
      </w:r>
      <w:r w:rsidRPr="398AB777">
        <w:rPr>
          <w:rStyle w:val="eop"/>
        </w:rPr>
        <w:t xml:space="preserve"> </w:t>
      </w:r>
      <w:r w:rsidR="0020043C" w:rsidRPr="398AB777">
        <w:rPr>
          <w:rStyle w:val="eop"/>
        </w:rPr>
        <w:t xml:space="preserve">monitoring and the assessment of performance. It is also critical to understanding if the intent of the policy is being delivered. </w:t>
      </w:r>
      <w:r w:rsidR="0020043C" w:rsidRPr="398AB777">
        <w:rPr>
          <w:rStyle w:val="normaltextrun"/>
          <w:rFonts w:eastAsiaTheme="minorEastAsia"/>
        </w:rPr>
        <w:t>The Committee for Economic Development of Australia (CEDA) 2023 Occupational Gender Segregation Report</w:t>
      </w:r>
      <w:r w:rsidR="0020043C">
        <w:rPr>
          <w:rStyle w:val="FootnoteReference"/>
          <w:rFonts w:eastAsiaTheme="minorEastAsia" w:cstheme="minorHAnsi"/>
        </w:rPr>
        <w:footnoteReference w:id="92"/>
      </w:r>
      <w:r w:rsidR="0020043C" w:rsidRPr="398AB777">
        <w:rPr>
          <w:rStyle w:val="normaltextrun"/>
          <w:rFonts w:eastAsiaTheme="minorEastAsia"/>
        </w:rPr>
        <w:t xml:space="preserve"> recommends that ‘</w:t>
      </w:r>
      <w:r w:rsidR="0020043C">
        <w:t>Government policy should also make it easier for employers to comply with reporting requirements by assisting with digital solutions and allowing reuse of data already provided.’</w:t>
      </w:r>
    </w:p>
    <w:p w14:paraId="51696DC0" w14:textId="65B6594D" w:rsidR="0020043C" w:rsidRDefault="0020043C" w:rsidP="00CD1E37">
      <w:pPr>
        <w:rPr>
          <w:rStyle w:val="eop"/>
          <w:rFonts w:cstheme="minorHAnsi"/>
        </w:rPr>
      </w:pPr>
      <w:r>
        <w:rPr>
          <w:rStyle w:val="eop"/>
          <w:rFonts w:cstheme="minorHAnsi"/>
        </w:rPr>
        <w:t>S</w:t>
      </w:r>
      <w:r w:rsidRPr="006B30D1">
        <w:rPr>
          <w:rStyle w:val="eop"/>
          <w:rFonts w:cstheme="minorHAnsi"/>
        </w:rPr>
        <w:t xml:space="preserve">uppliers </w:t>
      </w:r>
      <w:r>
        <w:rPr>
          <w:rStyle w:val="eop"/>
          <w:rFonts w:cstheme="minorHAnsi"/>
        </w:rPr>
        <w:t>will</w:t>
      </w:r>
      <w:r w:rsidRPr="006B30D1">
        <w:rPr>
          <w:rStyle w:val="eop"/>
          <w:rFonts w:cstheme="minorHAnsi"/>
        </w:rPr>
        <w:t xml:space="preserve"> be required to report quarterly and at the end of their contract with the contracting agency. These reporting requirements will be specified in the approach to market and the contract. In </w:t>
      </w:r>
      <w:r w:rsidR="00775E62">
        <w:rPr>
          <w:rStyle w:val="eop"/>
          <w:rFonts w:cstheme="minorHAnsi"/>
        </w:rPr>
        <w:t xml:space="preserve"> </w:t>
      </w:r>
      <w:r w:rsidRPr="006B30D1">
        <w:rPr>
          <w:rStyle w:val="eop"/>
          <w:rFonts w:cstheme="minorHAnsi"/>
        </w:rPr>
        <w:t>addition, to enable contracting agencies to monitor suppliers’ progress and compliance with the Skills Guarantee targets, the department proposes contracting agencies collect a range of data from suppliers.</w:t>
      </w:r>
      <w:r>
        <w:rPr>
          <w:rStyle w:val="eop"/>
          <w:rFonts w:cstheme="minorHAnsi"/>
        </w:rPr>
        <w:t xml:space="preserve"> </w:t>
      </w:r>
    </w:p>
    <w:p w14:paraId="24FC46A2" w14:textId="0F6267C5" w:rsidR="00375B68" w:rsidRPr="0081783E" w:rsidRDefault="006D5EFB" w:rsidP="007F1699">
      <w:pPr>
        <w:pStyle w:val="Heading2"/>
        <w:rPr>
          <w:rStyle w:val="normaltextrun"/>
        </w:rPr>
      </w:pPr>
      <w:bookmarkStart w:id="33" w:name="_Toc159246234"/>
      <w:r w:rsidRPr="0081783E">
        <w:rPr>
          <w:rStyle w:val="normaltextrun"/>
        </w:rPr>
        <w:t>R</w:t>
      </w:r>
      <w:r w:rsidR="00375B68" w:rsidRPr="0081783E">
        <w:rPr>
          <w:rStyle w:val="normaltextrun"/>
        </w:rPr>
        <w:t>oles and responsibilities</w:t>
      </w:r>
      <w:bookmarkEnd w:id="33"/>
    </w:p>
    <w:p w14:paraId="7D2E8BC4" w14:textId="54B52E90" w:rsidR="00375B68" w:rsidRPr="0081783E" w:rsidRDefault="00375B68" w:rsidP="00797487">
      <w:pPr>
        <w:pStyle w:val="Heading3"/>
        <w:rPr>
          <w:rStyle w:val="normaltextrun"/>
        </w:rPr>
      </w:pPr>
      <w:r w:rsidRPr="0081783E">
        <w:rPr>
          <w:rStyle w:val="normaltextrun"/>
        </w:rPr>
        <w:t xml:space="preserve">Department of Employment and Workplace Relations </w:t>
      </w:r>
      <w:r w:rsidR="00ED1F99" w:rsidRPr="0081783E">
        <w:rPr>
          <w:rStyle w:val="normaltextrun"/>
        </w:rPr>
        <w:t>(the department)</w:t>
      </w:r>
    </w:p>
    <w:p w14:paraId="7DB4D303" w14:textId="7FE97F8F" w:rsidR="00375B68" w:rsidRDefault="006276DE" w:rsidP="00CD1E37">
      <w:r>
        <w:t>The department</w:t>
      </w:r>
      <w:r w:rsidR="00375B68">
        <w:t xml:space="preserve"> administers the Skills Guarantee policy, including:</w:t>
      </w:r>
    </w:p>
    <w:p w14:paraId="1D102130" w14:textId="57370888" w:rsidR="00375B68" w:rsidRPr="00286AA6" w:rsidRDefault="00997B8E" w:rsidP="00F07C72">
      <w:pPr>
        <w:pStyle w:val="Dot-pointlist"/>
      </w:pPr>
      <w:r>
        <w:t>P</w:t>
      </w:r>
      <w:r w:rsidR="00375B68" w:rsidRPr="00286AA6">
        <w:t xml:space="preserve">roviding subject matter expertise on the Skills Guarantee to contracting agencies </w:t>
      </w:r>
    </w:p>
    <w:p w14:paraId="0ED5F519" w14:textId="754F1E4C" w:rsidR="00375B68" w:rsidRPr="00286AA6" w:rsidRDefault="00997B8E" w:rsidP="00F07C72">
      <w:pPr>
        <w:pStyle w:val="Dot-pointlist"/>
      </w:pPr>
      <w:r>
        <w:t>P</w:t>
      </w:r>
      <w:r w:rsidR="00375B68" w:rsidRPr="00286AA6">
        <w:t xml:space="preserve">romoting the Skills Guarantee </w:t>
      </w:r>
    </w:p>
    <w:p w14:paraId="41287E93" w14:textId="774A4217" w:rsidR="00375B68" w:rsidRPr="00286AA6" w:rsidRDefault="00997B8E" w:rsidP="00F07C72">
      <w:pPr>
        <w:pStyle w:val="Dot-pointlist"/>
      </w:pPr>
      <w:r>
        <w:t>O</w:t>
      </w:r>
      <w:r w:rsidR="00375B68" w:rsidRPr="00286AA6">
        <w:t>ngoing management of the Skills Guarantee</w:t>
      </w:r>
    </w:p>
    <w:p w14:paraId="498C939C" w14:textId="76D66F8D" w:rsidR="00375B68" w:rsidRPr="00286AA6" w:rsidRDefault="00997B8E" w:rsidP="00F07C72">
      <w:pPr>
        <w:pStyle w:val="Dot-pointlist"/>
      </w:pPr>
      <w:r>
        <w:t>A</w:t>
      </w:r>
      <w:r w:rsidR="00375B68" w:rsidRPr="00286AA6">
        <w:t>dvising Government regarding the policy and the performance of suppliers and relevant entities in meeting their obligations under the Skills Guarantee PCP</w:t>
      </w:r>
    </w:p>
    <w:p w14:paraId="3107A914" w14:textId="1B827687" w:rsidR="00375B68" w:rsidRPr="00286AA6" w:rsidRDefault="00997B8E" w:rsidP="00F07C72">
      <w:pPr>
        <w:pStyle w:val="Dot-pointlist"/>
      </w:pPr>
      <w:r>
        <w:t>I</w:t>
      </w:r>
      <w:r w:rsidR="00375B68" w:rsidRPr="00286AA6">
        <w:t>mplementing and managing the Skills Guarantee reporting</w:t>
      </w:r>
      <w:r w:rsidR="007F4537">
        <w:t>.</w:t>
      </w:r>
      <w:r w:rsidR="00375B68" w:rsidRPr="00286AA6">
        <w:t xml:space="preserve"> </w:t>
      </w:r>
    </w:p>
    <w:p w14:paraId="0DEE4334" w14:textId="74BC0A2F" w:rsidR="00375B68" w:rsidRDefault="006276DE" w:rsidP="00CD1E37">
      <w:r>
        <w:t>The department</w:t>
      </w:r>
      <w:r w:rsidR="00375B68" w:rsidRPr="00A56589">
        <w:t xml:space="preserve"> will</w:t>
      </w:r>
      <w:r w:rsidR="00375B68">
        <w:t xml:space="preserve"> also</w:t>
      </w:r>
      <w:r w:rsidR="00375B68" w:rsidRPr="00A56589">
        <w:t xml:space="preserve"> continue to work closely with contracting agencies to </w:t>
      </w:r>
      <w:r w:rsidR="00375B68">
        <w:t xml:space="preserve">ensure </w:t>
      </w:r>
      <w:r w:rsidR="00375B68" w:rsidRPr="00A56589">
        <w:t xml:space="preserve">agencies understand their obligations. </w:t>
      </w:r>
    </w:p>
    <w:p w14:paraId="0894DAB1" w14:textId="77777777" w:rsidR="00375B68" w:rsidRPr="0081783E" w:rsidRDefault="00375B68" w:rsidP="00797487">
      <w:pPr>
        <w:pStyle w:val="Heading3"/>
        <w:rPr>
          <w:rStyle w:val="normaltextrun"/>
        </w:rPr>
      </w:pPr>
      <w:r w:rsidRPr="0081783E">
        <w:rPr>
          <w:rStyle w:val="normaltextrun"/>
        </w:rPr>
        <w:t>Contracting agencies</w:t>
      </w:r>
    </w:p>
    <w:p w14:paraId="3B231FCE" w14:textId="3C970FF4" w:rsidR="00C06C8E" w:rsidRDefault="00375B68" w:rsidP="00CD1E37">
      <w:pPr>
        <w:rPr>
          <w:u w:val="single"/>
        </w:rPr>
      </w:pPr>
      <w:r>
        <w:t xml:space="preserve">The contracting agency for a Skills Guarantee project </w:t>
      </w:r>
      <w:r w:rsidR="00DE5BD9">
        <w:t>is</w:t>
      </w:r>
      <w:r>
        <w:t xml:space="preserve"> responsible for managing the following areas of the Skills Guarantee.</w:t>
      </w:r>
    </w:p>
    <w:p w14:paraId="10DFD7EB" w14:textId="359EB22E" w:rsidR="00375B68" w:rsidRPr="00E86FB8" w:rsidRDefault="00375B68" w:rsidP="00A66FA7">
      <w:pPr>
        <w:pStyle w:val="Heading4"/>
      </w:pPr>
      <w:r w:rsidRPr="00E86FB8">
        <w:t>Submission preparation</w:t>
      </w:r>
    </w:p>
    <w:p w14:paraId="766B14D4" w14:textId="6BB45C18" w:rsidR="00375B68" w:rsidRPr="00286AA6" w:rsidRDefault="00375B68" w:rsidP="00F07C72">
      <w:pPr>
        <w:pStyle w:val="Dot-pointlist"/>
      </w:pPr>
      <w:r w:rsidRPr="00286AA6">
        <w:t xml:space="preserve">Determine whether the Skills Guarantee PCP applies to a procurement. For any clarification, agencies should contact </w:t>
      </w:r>
      <w:r w:rsidR="00763D1A" w:rsidRPr="00286AA6">
        <w:t>the department</w:t>
      </w:r>
      <w:r w:rsidRPr="00286AA6">
        <w:t xml:space="preserve">. </w:t>
      </w:r>
    </w:p>
    <w:p w14:paraId="050B0DA5" w14:textId="376FF037" w:rsidR="00375B68" w:rsidRPr="00286AA6" w:rsidRDefault="00375B68" w:rsidP="00F07C72">
      <w:pPr>
        <w:pStyle w:val="Dot-pointlist"/>
      </w:pPr>
      <w:r w:rsidRPr="00286AA6">
        <w:t>Support potential suppliers and suppliers to understand the Skills Guarantee PCP requirements.</w:t>
      </w:r>
    </w:p>
    <w:p w14:paraId="1417138A" w14:textId="42CD8792" w:rsidR="00375B68" w:rsidRPr="00E86FB8" w:rsidRDefault="00375B68" w:rsidP="00A66FA7">
      <w:pPr>
        <w:pStyle w:val="Heading4"/>
      </w:pPr>
      <w:r w:rsidRPr="00E86FB8">
        <w:lastRenderedPageBreak/>
        <w:t>Proposal</w:t>
      </w:r>
    </w:p>
    <w:p w14:paraId="54554922" w14:textId="77777777" w:rsidR="00375B68" w:rsidRPr="00286AA6" w:rsidRDefault="00375B68" w:rsidP="00F07C72">
      <w:pPr>
        <w:pStyle w:val="Dot-pointlist"/>
      </w:pPr>
      <w:r w:rsidRPr="00286AA6">
        <w:t>Incorporate the current Skills Guarantee model clauses for the applicable project type into the approach to market documentation.</w:t>
      </w:r>
    </w:p>
    <w:p w14:paraId="66E37970" w14:textId="77777777" w:rsidR="00375B68" w:rsidRPr="00E86FB8" w:rsidRDefault="00375B68" w:rsidP="00A66FA7">
      <w:pPr>
        <w:pStyle w:val="Heading4"/>
      </w:pPr>
      <w:r w:rsidRPr="00E86FB8">
        <w:t>Submission evaluation process</w:t>
      </w:r>
    </w:p>
    <w:p w14:paraId="3FB6A098" w14:textId="77777777" w:rsidR="00375B68" w:rsidRPr="00286AA6" w:rsidRDefault="00375B68" w:rsidP="00F07C72">
      <w:pPr>
        <w:pStyle w:val="Dot-pointlist"/>
      </w:pPr>
      <w:r w:rsidRPr="00286AA6">
        <w:t xml:space="preserve">Review responses to determine whether submissions meet the requirements outlined in the Skills Guarantee PCP.  </w:t>
      </w:r>
    </w:p>
    <w:p w14:paraId="5C3BB811" w14:textId="77777777" w:rsidR="00375B68" w:rsidRPr="00E86FB8" w:rsidRDefault="00375B68" w:rsidP="00A66FA7">
      <w:pPr>
        <w:pStyle w:val="Heading4"/>
      </w:pPr>
      <w:r w:rsidRPr="00E86FB8">
        <w:t>Contract negotiation</w:t>
      </w:r>
    </w:p>
    <w:p w14:paraId="7A113DA3" w14:textId="7FD448BA" w:rsidR="00375B68" w:rsidRPr="00286AA6" w:rsidRDefault="00375B68" w:rsidP="00F07C72">
      <w:pPr>
        <w:pStyle w:val="Dot-pointlist"/>
      </w:pPr>
      <w:r w:rsidRPr="00286AA6">
        <w:t xml:space="preserve">Negotiation of </w:t>
      </w:r>
      <w:r w:rsidR="00636290" w:rsidRPr="00286AA6">
        <w:t xml:space="preserve">Skills Guarantee PCP </w:t>
      </w:r>
      <w:r w:rsidRPr="00286AA6">
        <w:t>targets for major ICT projects/flagship construction projects.</w:t>
      </w:r>
    </w:p>
    <w:p w14:paraId="027691C7" w14:textId="77777777" w:rsidR="00375B68" w:rsidRPr="00286AA6" w:rsidRDefault="00375B68" w:rsidP="00F07C72">
      <w:pPr>
        <w:pStyle w:val="Dot-pointlist"/>
      </w:pPr>
      <w:r w:rsidRPr="00286AA6">
        <w:t xml:space="preserve">Include model clauses in the contract.  </w:t>
      </w:r>
    </w:p>
    <w:p w14:paraId="19C320A4" w14:textId="77777777" w:rsidR="00375B68" w:rsidRPr="00E86FB8" w:rsidRDefault="00375B68" w:rsidP="00A66FA7">
      <w:pPr>
        <w:pStyle w:val="Heading4"/>
      </w:pPr>
      <w:r w:rsidRPr="00E86FB8">
        <w:t>Contract Management</w:t>
      </w:r>
    </w:p>
    <w:p w14:paraId="6DC7E089" w14:textId="77777777" w:rsidR="00375B68" w:rsidRPr="00286AA6" w:rsidRDefault="00375B68" w:rsidP="00F07C72">
      <w:pPr>
        <w:pStyle w:val="Dot-pointlist"/>
      </w:pPr>
      <w:r w:rsidRPr="00286AA6">
        <w:t>Manage compliance with the Skills Guarantee PCP throughout each stage of the procurement process and make assessments as to whether the supplier is accurate in their reporting against the Skills Guarantee targets.</w:t>
      </w:r>
    </w:p>
    <w:p w14:paraId="27FDD804" w14:textId="77777777" w:rsidR="00375B68" w:rsidRPr="00286AA6" w:rsidRDefault="00375B68" w:rsidP="00F07C72">
      <w:pPr>
        <w:pStyle w:val="Dot-pointlist"/>
      </w:pPr>
      <w:r w:rsidRPr="00286AA6">
        <w:t>Undertake annual and final compliance assessments against Skills Guarantee targets.</w:t>
      </w:r>
    </w:p>
    <w:p w14:paraId="5054C8D3" w14:textId="77777777" w:rsidR="00375B68" w:rsidRPr="00286AA6" w:rsidRDefault="00375B68" w:rsidP="00F07C72">
      <w:pPr>
        <w:pStyle w:val="Dot-pointlist"/>
      </w:pPr>
      <w:r w:rsidRPr="00286AA6">
        <w:t>Support suppliers to meet their obligations under the Skills Guarantee.</w:t>
      </w:r>
    </w:p>
    <w:p w14:paraId="3D36009A" w14:textId="21D0CB78" w:rsidR="00527FF4" w:rsidRPr="0081783E" w:rsidRDefault="00527FF4" w:rsidP="00797487">
      <w:pPr>
        <w:pStyle w:val="Heading3"/>
        <w:rPr>
          <w:rStyle w:val="normaltextrun"/>
        </w:rPr>
      </w:pPr>
      <w:r w:rsidRPr="0081783E">
        <w:rPr>
          <w:rStyle w:val="normaltextrun"/>
        </w:rPr>
        <w:t>Suppliers</w:t>
      </w:r>
    </w:p>
    <w:p w14:paraId="580DB38D" w14:textId="64D0FE39" w:rsidR="00A21240" w:rsidRDefault="008561E3" w:rsidP="00F07C72">
      <w:r>
        <w:t>S</w:t>
      </w:r>
      <w:r w:rsidR="00A21240">
        <w:t>upplier</w:t>
      </w:r>
      <w:r>
        <w:t>s</w:t>
      </w:r>
      <w:r w:rsidR="00A21240">
        <w:t xml:space="preserve"> report to the relevant </w:t>
      </w:r>
      <w:r>
        <w:t>contracting agency</w:t>
      </w:r>
      <w:r w:rsidR="00A21240">
        <w:t xml:space="preserve"> and </w:t>
      </w:r>
      <w:r>
        <w:t>are</w:t>
      </w:r>
      <w:r w:rsidR="00A21240">
        <w:t xml:space="preserve"> responsible for:</w:t>
      </w:r>
    </w:p>
    <w:p w14:paraId="20AE0759" w14:textId="7709C7B8" w:rsidR="00A21240" w:rsidRDefault="00D70993" w:rsidP="00F07C72">
      <w:pPr>
        <w:pStyle w:val="Dot-pointlist"/>
      </w:pPr>
      <w:r>
        <w:t>C</w:t>
      </w:r>
      <w:r w:rsidR="00A21240">
        <w:t>ompleting submission response</w:t>
      </w:r>
      <w:r w:rsidR="008561E3">
        <w:t>s</w:t>
      </w:r>
      <w:r w:rsidR="00A21240">
        <w:t xml:space="preserve"> and, should </w:t>
      </w:r>
      <w:r w:rsidR="008561E3">
        <w:t>they</w:t>
      </w:r>
      <w:r w:rsidR="00A21240">
        <w:t xml:space="preserve"> be successful, ensuring </w:t>
      </w:r>
      <w:r w:rsidR="008561E3">
        <w:t xml:space="preserve">they </w:t>
      </w:r>
      <w:r w:rsidR="00A21240">
        <w:t>fulfill the requirements of the contract</w:t>
      </w:r>
    </w:p>
    <w:p w14:paraId="4F5C9854" w14:textId="4D3FE444" w:rsidR="00A21240" w:rsidRDefault="00D70993" w:rsidP="00F07C72">
      <w:pPr>
        <w:pStyle w:val="Dot-pointlist"/>
      </w:pPr>
      <w:r>
        <w:t>M</w:t>
      </w:r>
      <w:r w:rsidR="00A21240">
        <w:t>anaging all aspects of sub-contractor engagement and performance in relation to the Skills Guarantee PCP</w:t>
      </w:r>
    </w:p>
    <w:p w14:paraId="2E4CB4CB" w14:textId="2724D973" w:rsidR="00A21240" w:rsidRDefault="00D70993" w:rsidP="00F07C72">
      <w:pPr>
        <w:pStyle w:val="Dot-pointlist"/>
      </w:pPr>
      <w:r>
        <w:t>M</w:t>
      </w:r>
      <w:r w:rsidR="00A21240">
        <w:t>ajor construction projects, meeting overarching apprentice target and both targets for women</w:t>
      </w:r>
    </w:p>
    <w:p w14:paraId="4FC0A743" w14:textId="4BB6D4F6" w:rsidR="00A21240" w:rsidRDefault="00D70993" w:rsidP="00F07C72">
      <w:pPr>
        <w:pStyle w:val="Dot-pointlist"/>
      </w:pPr>
      <w:r>
        <w:t>F</w:t>
      </w:r>
      <w:r w:rsidR="00A21240">
        <w:t xml:space="preserve">lagship construction projects, meeting overarching apprentice target, meeting proposed higher targets for women and submitting a Gender Equality Action Plan </w:t>
      </w:r>
    </w:p>
    <w:p w14:paraId="2CDD952D" w14:textId="4014C672" w:rsidR="00A21240" w:rsidRDefault="00D70993" w:rsidP="00F07C72">
      <w:pPr>
        <w:pStyle w:val="Dot-pointlist"/>
      </w:pPr>
      <w:r>
        <w:t>M</w:t>
      </w:r>
      <w:r w:rsidR="00A21240">
        <w:t>ajor ICT projects, meeting agreed overarching apprentice and ICT cadet target and target for women</w:t>
      </w:r>
    </w:p>
    <w:p w14:paraId="4BB09F09" w14:textId="780DDE86" w:rsidR="00A21240" w:rsidRDefault="00D70993" w:rsidP="00F07C72">
      <w:pPr>
        <w:pStyle w:val="Dot-pointlist"/>
      </w:pPr>
      <w:r>
        <w:t>R</w:t>
      </w:r>
      <w:r w:rsidR="00A21240">
        <w:t xml:space="preserve">esponding in a timely manner to the relevant </w:t>
      </w:r>
      <w:r w:rsidR="00227AEC">
        <w:t>contracting agency</w:t>
      </w:r>
      <w:r w:rsidR="00A21240">
        <w:t xml:space="preserve"> and/or DEWR for all requests, including for compliance reports or other information</w:t>
      </w:r>
    </w:p>
    <w:p w14:paraId="521A26EB" w14:textId="471EB616" w:rsidR="00527FF4" w:rsidRPr="005F2B32" w:rsidRDefault="00D70993" w:rsidP="00F07C72">
      <w:pPr>
        <w:pStyle w:val="Dot-pointlist"/>
      </w:pPr>
      <w:r>
        <w:t>P</w:t>
      </w:r>
      <w:r w:rsidR="00A21240">
        <w:t>roviding accurate and complete reporting against applicable targets, in accordance with the requirements outlined in the contract.</w:t>
      </w:r>
    </w:p>
    <w:p w14:paraId="6EE1AD5F" w14:textId="1825B743" w:rsidR="006D5EFB" w:rsidRPr="0081783E" w:rsidRDefault="006D5EFB" w:rsidP="00797487">
      <w:pPr>
        <w:pStyle w:val="Heading3"/>
      </w:pPr>
      <w:r w:rsidRPr="0081783E">
        <w:lastRenderedPageBreak/>
        <w:t>Other implementation approaches</w:t>
      </w:r>
    </w:p>
    <w:p w14:paraId="62C51689" w14:textId="77777777" w:rsidR="006D5EFB" w:rsidRDefault="006D5EFB" w:rsidP="00CD1E37">
      <w:r>
        <w:t>In addition to the PCP, the design of the Skills Guarantee in this proposal will be used as the basis for negotiations with state and territory governments for other implementation approaches:</w:t>
      </w:r>
    </w:p>
    <w:p w14:paraId="3DFE7DE1" w14:textId="003C4A21" w:rsidR="006D5EFB" w:rsidRPr="00286AA6" w:rsidRDefault="00D70993" w:rsidP="00F07C72">
      <w:pPr>
        <w:pStyle w:val="Dot-pointlist"/>
      </w:pPr>
      <w:r>
        <w:t>M</w:t>
      </w:r>
      <w:r w:rsidR="006D5EFB" w:rsidRPr="00286AA6">
        <w:t>ajor social and affordable housing projects under the National Housing Accord, as announced in the October 2023–24 Budget</w:t>
      </w:r>
      <w:r w:rsidR="0016079B" w:rsidRPr="00286AA6">
        <w:t>.</w:t>
      </w:r>
    </w:p>
    <w:p w14:paraId="67300118" w14:textId="23F48930" w:rsidR="006D5EFB" w:rsidRPr="00286AA6" w:rsidRDefault="00D70993" w:rsidP="00F07C72">
      <w:pPr>
        <w:pStyle w:val="Dot-pointlist"/>
      </w:pPr>
      <w:r>
        <w:t>M</w:t>
      </w:r>
      <w:r w:rsidR="006D5EFB" w:rsidRPr="00286AA6">
        <w:t>ajor road and rail projects under the next National Partnership Agreement (Land Transport NPA) on Land Transport Infrastructure Projects</w:t>
      </w:r>
      <w:r w:rsidR="0016079B" w:rsidRPr="00286AA6">
        <w:t>.</w:t>
      </w:r>
    </w:p>
    <w:p w14:paraId="37A6E630" w14:textId="773FCEED" w:rsidR="006D5EFB" w:rsidRPr="00315403" w:rsidRDefault="00D70993" w:rsidP="00F07C72">
      <w:pPr>
        <w:pStyle w:val="Dot-pointlist"/>
      </w:pPr>
      <w:r>
        <w:t>V</w:t>
      </w:r>
      <w:r w:rsidR="006D5EFB" w:rsidRPr="00286AA6">
        <w:t xml:space="preserve">enue infrastructure investment for the Brisbane 2032 Olympic and Paralympic Games (2032 Games), noting the Intergovernmental Agreement on the 2032 Games committed to utilising </w:t>
      </w:r>
      <w:r w:rsidR="006D5EFB" w:rsidRPr="00315403">
        <w:t xml:space="preserve">implementation of national training, skills and workforce development plans and agreements, including the Skills Guarantee and its successors on projects. </w:t>
      </w:r>
    </w:p>
    <w:p w14:paraId="7D1D374C" w14:textId="27596EDC" w:rsidR="00375B68" w:rsidRPr="00315403" w:rsidRDefault="00375B68" w:rsidP="007F1699">
      <w:pPr>
        <w:pStyle w:val="Heading2"/>
      </w:pPr>
      <w:bookmarkStart w:id="34" w:name="_Toc159246235"/>
      <w:r w:rsidRPr="00315403">
        <w:t xml:space="preserve">Risks </w:t>
      </w:r>
      <w:r w:rsidR="004E7453" w:rsidRPr="00315403">
        <w:t>for implementation</w:t>
      </w:r>
      <w:bookmarkEnd w:id="34"/>
    </w:p>
    <w:p w14:paraId="778318CE" w14:textId="77777777" w:rsidR="00695475" w:rsidRPr="0081783E" w:rsidRDefault="00695475" w:rsidP="00797487">
      <w:pPr>
        <w:pStyle w:val="Heading3"/>
        <w:rPr>
          <w:rStyle w:val="normaltextrun"/>
        </w:rPr>
      </w:pPr>
      <w:r w:rsidRPr="00315403">
        <w:rPr>
          <w:rStyle w:val="normaltextrun"/>
        </w:rPr>
        <w:t>Impact on regional and rural suppliers</w:t>
      </w:r>
    </w:p>
    <w:p w14:paraId="7B5B9550" w14:textId="75859497" w:rsidR="00695475" w:rsidRDefault="00695475" w:rsidP="00CD1E37">
      <w:r>
        <w:t xml:space="preserve">There may be impacts on regional suppliers who do not have access to a ready pool of </w:t>
      </w:r>
      <w:r w:rsidR="00E234D9">
        <w:t xml:space="preserve">workers willing to undertake an </w:t>
      </w:r>
      <w:r>
        <w:t>apprentices</w:t>
      </w:r>
      <w:r w:rsidR="00E234D9">
        <w:t>hip</w:t>
      </w:r>
      <w:r>
        <w:t xml:space="preserve"> to meet the Skills Guarantee targets. The department acknowledges that regional and rural suppliers may find it harder to meet the targets due to</w:t>
      </w:r>
      <w:r w:rsidR="00E234D9">
        <w:t xml:space="preserve"> general workforce </w:t>
      </w:r>
      <w:r>
        <w:t xml:space="preserve">shortages and limited local training opportunities resulting in additional travel for off-the-job training. </w:t>
      </w:r>
    </w:p>
    <w:p w14:paraId="43FAF64C" w14:textId="7E86EBF3" w:rsidR="003775AC" w:rsidRPr="0081783E" w:rsidRDefault="003775AC" w:rsidP="00797487">
      <w:pPr>
        <w:pStyle w:val="Heading3"/>
        <w:rPr>
          <w:rStyle w:val="normaltextrun"/>
        </w:rPr>
      </w:pPr>
      <w:r w:rsidRPr="0081783E">
        <w:rPr>
          <w:rStyle w:val="normaltextrun"/>
        </w:rPr>
        <w:t xml:space="preserve">Impact on smaller suppliers and sub-contractors </w:t>
      </w:r>
    </w:p>
    <w:p w14:paraId="14A8E581" w14:textId="2F1A9095" w:rsidR="00695475" w:rsidRDefault="003775AC" w:rsidP="00CD1E37">
      <w:r>
        <w:t xml:space="preserve">Smaller suppliers and subcontractors may have less capacity or capability to meet Skills Guarantee PCP targets </w:t>
      </w:r>
      <w:r w:rsidR="00E234D9">
        <w:t>than</w:t>
      </w:r>
      <w:r>
        <w:t xml:space="preserve"> larger suppliers, meaning they are disadvantaged in tendering for and completing Skills Guarantee projects.</w:t>
      </w:r>
      <w:r w:rsidR="00F34296">
        <w:t xml:space="preserve"> </w:t>
      </w:r>
    </w:p>
    <w:p w14:paraId="7D377DA7" w14:textId="6DA7F0EE" w:rsidR="00695475" w:rsidRDefault="00780ADC" w:rsidP="00CD1E37">
      <w:r w:rsidRPr="00780ADC">
        <w:t xml:space="preserve">Larger companies may also poach employees from small businesses due to the competitive labour market to meet the targets, meaning the Skills Guarantee could negatively affect the smaller business’s workforce.   </w:t>
      </w:r>
    </w:p>
    <w:p w14:paraId="7C0620A3" w14:textId="77777777" w:rsidR="005B24C6" w:rsidRPr="0081783E" w:rsidRDefault="005B24C6" w:rsidP="00797487">
      <w:pPr>
        <w:pStyle w:val="Heading3"/>
      </w:pPr>
      <w:r w:rsidRPr="0081783E">
        <w:t>Risk mitigation</w:t>
      </w:r>
    </w:p>
    <w:p w14:paraId="2193B50B" w14:textId="41793076" w:rsidR="00D57DB9" w:rsidRDefault="005B24C6" w:rsidP="00A66FA7">
      <w:r>
        <w:t>To mitigate the risks outlined above, targets set in the Skills Guarantee PCP have considered the capacity of the current system to</w:t>
      </w:r>
      <w:r w:rsidR="00E234D9">
        <w:t xml:space="preserve"> attract and</w:t>
      </w:r>
      <w:r>
        <w:t xml:space="preserve"> produce apprentices and trainees. The targets that have been set for 2024–25 FY are only slightly above the current participation rates for apprentices and women.</w:t>
      </w:r>
    </w:p>
    <w:p w14:paraId="5AD1182D" w14:textId="186A9A62" w:rsidR="005B24C6" w:rsidRDefault="0099091A" w:rsidP="00A66FA7">
      <w:pPr>
        <w:rPr>
          <w:rFonts w:ascii="Calibri" w:eastAsia="Calibri" w:hAnsi="Calibri" w:cs="Arial"/>
        </w:rPr>
      </w:pPr>
      <w:r w:rsidRPr="0099091A">
        <w:lastRenderedPageBreak/>
        <w:t xml:space="preserve">Around one in 10 workers may already be an apprentice or trainee in the construction industry (based on </w:t>
      </w:r>
      <w:r w:rsidR="006B3488">
        <w:t>May</w:t>
      </w:r>
      <w:r w:rsidRPr="0099091A">
        <w:t xml:space="preserve"> 202</w:t>
      </w:r>
      <w:r w:rsidR="00B27E24">
        <w:t>3</w:t>
      </w:r>
      <w:r w:rsidRPr="0099091A">
        <w:t xml:space="preserve"> ABS Labour Force information)</w:t>
      </w:r>
      <w:r w:rsidR="00890718" w:rsidRPr="00890718">
        <w:rPr>
          <w:rFonts w:ascii="Calibri" w:eastAsia="Calibri" w:hAnsi="Calibri" w:cs="Arial"/>
          <w:vertAlign w:val="superscript"/>
        </w:rPr>
        <w:t xml:space="preserve"> </w:t>
      </w:r>
      <w:r w:rsidR="00890718" w:rsidRPr="00F83772">
        <w:rPr>
          <w:rFonts w:ascii="Calibri" w:eastAsia="Calibri" w:hAnsi="Calibri" w:cs="Arial"/>
          <w:vertAlign w:val="superscript"/>
        </w:rPr>
        <w:footnoteReference w:id="93"/>
      </w:r>
      <w:r w:rsidR="00890718">
        <w:rPr>
          <w:rFonts w:ascii="Calibri" w:eastAsia="Calibri" w:hAnsi="Calibri" w:cs="Arial"/>
        </w:rPr>
        <w:t>.</w:t>
      </w:r>
      <w:r w:rsidR="00C85EC7">
        <w:rPr>
          <w:rFonts w:ascii="Calibri" w:eastAsia="Calibri" w:hAnsi="Calibri" w:cs="Arial"/>
        </w:rPr>
        <w:t xml:space="preserve"> </w:t>
      </w:r>
      <w:r w:rsidR="00C85EC7" w:rsidRPr="00C85EC7">
        <w:rPr>
          <w:rFonts w:ascii="Calibri" w:eastAsia="Calibri" w:hAnsi="Calibri" w:cs="Arial"/>
        </w:rPr>
        <w:t>As such, it would only require a slight uplift from suppliers to meet the targets.</w:t>
      </w:r>
    </w:p>
    <w:p w14:paraId="37E202B4" w14:textId="3F73E8A5" w:rsidR="002F76C6" w:rsidRDefault="00F138C0" w:rsidP="00CD1E37">
      <w:pPr>
        <w:pStyle w:val="BodyText"/>
        <w:rPr>
          <w:rFonts w:ascii="Calibri" w:eastAsia="Calibri" w:hAnsi="Calibri" w:cs="Arial"/>
        </w:rPr>
      </w:pPr>
      <w:r w:rsidRPr="00F138C0">
        <w:t>Similarly, participation rates for women in apprenticeships/traineeships and women in trade apprenticeships/traineeships in June 2022 were 5.2% and 3.3% respectively, meaning the initial targets for women have only been set 0.8 and 0.7 percentage points above the June 2022 rates of participation. These targets will increase each year to drive change while still being achievable and minimising the risks outlined above.</w:t>
      </w:r>
      <w:r w:rsidR="002F76C6" w:rsidRPr="002F76C6">
        <w:rPr>
          <w:rFonts w:ascii="Calibri" w:eastAsia="Calibri" w:hAnsi="Calibri" w:cs="Arial"/>
        </w:rPr>
        <w:t xml:space="preserve"> In June 2023, these percentages have changed to 4.9% (for apprentices and trainees in construction who were women) and 3.5% (for women in trade apprenticeships). Target levels will be reviewed by the department annually and refined if required.  </w:t>
      </w:r>
    </w:p>
    <w:p w14:paraId="689D149E" w14:textId="4ADB7435" w:rsidR="00BB07C8" w:rsidRPr="002F76C6" w:rsidRDefault="00145661" w:rsidP="00CD1E37">
      <w:pPr>
        <w:pStyle w:val="BodyText"/>
      </w:pPr>
      <w:r>
        <w:t xml:space="preserve">By </w:t>
      </w:r>
      <w:r w:rsidR="008D3F97">
        <w:t xml:space="preserve">requiring a slight uplift from suppliers </w:t>
      </w:r>
      <w:r w:rsidR="00504D6E">
        <w:t xml:space="preserve">the department is mitigating the risk of suppliers ‘poaching’ apprentices from other suppliers, </w:t>
      </w:r>
      <w:r w:rsidR="00482336">
        <w:t xml:space="preserve">which </w:t>
      </w:r>
      <w:r w:rsidR="008051D5">
        <w:t>mean</w:t>
      </w:r>
      <w:r w:rsidR="00482336">
        <w:t>s</w:t>
      </w:r>
      <w:r w:rsidR="008051D5">
        <w:t xml:space="preserve"> the risk that l</w:t>
      </w:r>
      <w:r w:rsidR="008051D5" w:rsidRPr="00DE6F79">
        <w:t>arger companies may poach employees from small businesses</w:t>
      </w:r>
      <w:r w:rsidR="008051D5">
        <w:t xml:space="preserve"> is low</w:t>
      </w:r>
      <w:r w:rsidR="00F34296">
        <w:t xml:space="preserve">. </w:t>
      </w:r>
    </w:p>
    <w:p w14:paraId="01BC9D53" w14:textId="0D634F8B" w:rsidR="00C85EC7" w:rsidRDefault="002F76C6" w:rsidP="00CD1E37">
      <w:r w:rsidRPr="002F76C6">
        <w:t xml:space="preserve">The department has also been working with stakeholders to </w:t>
      </w:r>
      <w:r w:rsidR="00D7510F" w:rsidRPr="00D7510F">
        <w:t>lower the risk that small businesses are disadvantaged in tendering for and completing Skills Guarantee projects</w:t>
      </w:r>
      <w:r w:rsidRPr="002F76C6">
        <w:t xml:space="preserve">, including </w:t>
      </w:r>
      <w:r w:rsidR="001E5758">
        <w:t xml:space="preserve">by </w:t>
      </w:r>
      <w:r w:rsidRPr="002F76C6">
        <w:t>setting the project financial threshold as $10 million or higher instead of $7.5 million which is less likely to capture smaller suppliers. This is important as the Skills Guarantee PCP applies at the project level between a contracting agency and a supplier. A supplier on a Skills Guarantee project is responsible for ensuring that the labour hour requirements are met in line with the PCP, including those of</w:t>
      </w:r>
      <w:r w:rsidR="00E234D9">
        <w:t xml:space="preserve"> their</w:t>
      </w:r>
      <w:r w:rsidRPr="002F76C6">
        <w:t xml:space="preserve"> subcontractors. This means that smaller suppliers</w:t>
      </w:r>
      <w:r w:rsidR="00FA3A06">
        <w:t xml:space="preserve"> </w:t>
      </w:r>
      <w:r w:rsidR="0091557E">
        <w:t>who may not have the</w:t>
      </w:r>
      <w:r w:rsidR="0091557E" w:rsidRPr="004C5086">
        <w:t xml:space="preserve"> capacity or capability to meet targets</w:t>
      </w:r>
      <w:r w:rsidR="0091557E" w:rsidRPr="002F76C6">
        <w:t xml:space="preserve"> </w:t>
      </w:r>
      <w:r w:rsidRPr="002F76C6">
        <w:t xml:space="preserve">will be less likely to be disadvantaged by the Skills Guarantee, including because of consequences for non-compliance. In accordance with the Commonwealth Procurement Rules, the Skills Guarantee guidance to contracting agencies will </w:t>
      </w:r>
      <w:r w:rsidR="009B3015">
        <w:t xml:space="preserve">also </w:t>
      </w:r>
      <w:r w:rsidRPr="002F76C6">
        <w:t xml:space="preserve">reiterate the importance to engage in fair competition and not unfairly discriminating against small and medium businesses to provide appropriate opportunities during procurement. Additionally, the size of the business can be considered a mitigating factor when considering a supplier’s compliance with the Skills Guarantee PCP. </w:t>
      </w:r>
    </w:p>
    <w:p w14:paraId="02AB1F95" w14:textId="5CA4FC1B" w:rsidR="002D44D6" w:rsidRDefault="002D44D6" w:rsidP="00CD1E37">
      <w:r>
        <w:t xml:space="preserve">The department’s approach to compliance is </w:t>
      </w:r>
      <w:r w:rsidR="00B828EC">
        <w:t xml:space="preserve">also </w:t>
      </w:r>
      <w:r>
        <w:t xml:space="preserve">mindful of </w:t>
      </w:r>
      <w:r w:rsidR="00D361C2">
        <w:t>the i</w:t>
      </w:r>
      <w:r w:rsidR="00D361C2" w:rsidRPr="00D361C2">
        <w:t>mpact on regional and rural suppliers</w:t>
      </w:r>
      <w:r>
        <w:t>. Regional and rural suppliers will be provided the opportunity to outline mitigating factors which are preventing them from meeting targets, including skills shortages or limited training opportunities in the area. Suppliers will not be penalised for matters which are considered outside of their control.</w:t>
      </w:r>
    </w:p>
    <w:p w14:paraId="403F477F" w14:textId="40688474" w:rsidR="009105B4" w:rsidRPr="005617CE" w:rsidRDefault="00AA44D2" w:rsidP="00CD1E37">
      <w:pPr>
        <w:rPr>
          <w:rStyle w:val="eop"/>
          <w:rFonts w:cs="Times New Roman"/>
        </w:rPr>
      </w:pPr>
      <w:r>
        <w:t xml:space="preserve">Moreover, the staged implementation of the Skills Guarantee </w:t>
      </w:r>
      <w:r w:rsidR="00DC1BBF">
        <w:t xml:space="preserve">has </w:t>
      </w:r>
      <w:r>
        <w:t>allow</w:t>
      </w:r>
      <w:r w:rsidR="00DC1BBF">
        <w:t>ed</w:t>
      </w:r>
      <w:r>
        <w:t xml:space="preserve"> the necessary lead time for businesses to adjust their policies, purchasing procedures and recruitment processes ahead of the mandatory apprentice and trainee targets coming into force in </w:t>
      </w:r>
      <w:r w:rsidR="00CB11FA">
        <w:t xml:space="preserve">July </w:t>
      </w:r>
      <w:r>
        <w:t>2024.</w:t>
      </w:r>
      <w:r w:rsidR="00425A37">
        <w:rPr>
          <w:rFonts w:cs="Times New Roman"/>
        </w:rPr>
        <w:t xml:space="preserve"> </w:t>
      </w:r>
      <w:r w:rsidR="009105B4" w:rsidRPr="009105B4">
        <w:rPr>
          <w:rFonts w:cs="Times New Roman"/>
        </w:rPr>
        <w:t xml:space="preserve">In addition, the department is also developing supplementary operational guidance material for contracting agencies and suppliers to help them further understand their obligations under the Skills Guarantee, including checklists for contracting agencies to determine project eligibility, minimum reporting requirements, a template and </w:t>
      </w:r>
      <w:r w:rsidR="009105B4" w:rsidRPr="009105B4">
        <w:rPr>
          <w:rFonts w:cs="Times New Roman"/>
        </w:rPr>
        <w:lastRenderedPageBreak/>
        <w:t>guidance on how to develop a Gender Equality Action Plan</w:t>
      </w:r>
      <w:r w:rsidR="009105B4">
        <w:rPr>
          <w:rFonts w:cs="Times New Roman"/>
        </w:rPr>
        <w:t xml:space="preserve"> and</w:t>
      </w:r>
      <w:r w:rsidR="009105B4" w:rsidRPr="009105B4">
        <w:rPr>
          <w:rFonts w:cs="Times New Roman"/>
        </w:rPr>
        <w:t xml:space="preserve"> frequently asked questions. The supplementary operational guidance material will be published on my department’s website ahead of 1 July 2024 to assist suppliers and contracting agencies plan for tenders.</w:t>
      </w:r>
    </w:p>
    <w:p w14:paraId="1093919B" w14:textId="702AE82D" w:rsidR="00B838CB" w:rsidRPr="00FA3191" w:rsidRDefault="00B838CB" w:rsidP="00CD1E37">
      <w:pPr>
        <w:rPr>
          <w:rFonts w:eastAsia="Times New Roman" w:cs="Times New Roman"/>
        </w:rPr>
      </w:pPr>
      <w:r>
        <w:t>Suppliers</w:t>
      </w:r>
      <w:r w:rsidRPr="00FA3191">
        <w:t xml:space="preserve"> </w:t>
      </w:r>
      <w:r>
        <w:t xml:space="preserve">may </w:t>
      </w:r>
      <w:r w:rsidRPr="00FA3191">
        <w:t>be able to access support networks</w:t>
      </w:r>
      <w:r w:rsidR="00E234D9">
        <w:t xml:space="preserve"> to assist with the recruitment and retention of their apprenticeship workforce</w:t>
      </w:r>
      <w:r w:rsidRPr="00FA3191">
        <w:t xml:space="preserve">, including Group Training Organisations and the Australian Apprenticeship </w:t>
      </w:r>
      <w:r w:rsidR="00E234D9">
        <w:t xml:space="preserve">Support </w:t>
      </w:r>
      <w:r w:rsidRPr="00FA3191">
        <w:t>Network Providers</w:t>
      </w:r>
      <w:r w:rsidRPr="00FA3191">
        <w:rPr>
          <w:vertAlign w:val="superscript"/>
        </w:rPr>
        <w:footnoteReference w:id="94"/>
      </w:r>
      <w:r w:rsidRPr="00FA3191">
        <w:t xml:space="preserve">. </w:t>
      </w:r>
      <w:r>
        <w:rPr>
          <w:rFonts w:cs="Times New Roman"/>
        </w:rPr>
        <w:t>Suppliers</w:t>
      </w:r>
      <w:r w:rsidRPr="00FA3191">
        <w:rPr>
          <w:rFonts w:cs="Times New Roman"/>
        </w:rPr>
        <w:t xml:space="preserve"> may also be eligible for Commonwealth </w:t>
      </w:r>
      <w:r w:rsidR="00173AF8">
        <w:rPr>
          <w:rFonts w:cs="Times New Roman"/>
        </w:rPr>
        <w:t xml:space="preserve">apprenticeship </w:t>
      </w:r>
      <w:r w:rsidRPr="00FA3191">
        <w:rPr>
          <w:rFonts w:cs="Times New Roman"/>
        </w:rPr>
        <w:t>financial incentives</w:t>
      </w:r>
      <w:r>
        <w:rPr>
          <w:rStyle w:val="FootnoteReference"/>
          <w:rFonts w:cs="Times New Roman"/>
        </w:rPr>
        <w:footnoteReference w:id="95"/>
      </w:r>
      <w:r w:rsidRPr="00FA3191">
        <w:rPr>
          <w:rFonts w:cs="Times New Roman"/>
        </w:rPr>
        <w:t>, such as a Priority Wage Subsidy reimbursing part of paid wages up to 3 years for occupations listed in the</w:t>
      </w:r>
      <w:r w:rsidRPr="5BE90D1F">
        <w:rPr>
          <w:rFonts w:ascii="Arial" w:eastAsia="Times New Roman" w:hAnsi="Arial" w:cs="Times New Roman"/>
        </w:rPr>
        <w:t xml:space="preserve"> </w:t>
      </w:r>
      <w:r w:rsidRPr="00FA3191">
        <w:rPr>
          <w:rFonts w:cs="Times New Roman"/>
        </w:rPr>
        <w:t>Australian Apprenticeships Priority List</w:t>
      </w:r>
      <w:r w:rsidRPr="5BE90D1F">
        <w:rPr>
          <w:rFonts w:ascii="Arial" w:eastAsia="Times New Roman" w:hAnsi="Arial" w:cs="Times New Roman"/>
          <w:vertAlign w:val="superscript"/>
        </w:rPr>
        <w:footnoteReference w:id="96"/>
      </w:r>
      <w:r>
        <w:rPr>
          <w:rFonts w:ascii="Arial" w:eastAsia="Times New Roman" w:hAnsi="Arial" w:cs="Times New Roman"/>
        </w:rPr>
        <w:t>,</w:t>
      </w:r>
      <w:r w:rsidRPr="00FA3191">
        <w:rPr>
          <w:rFonts w:cs="Times New Roman"/>
        </w:rPr>
        <w:t xml:space="preserve"> Hiring Incentive of two instalments at 6 and 12 months after commencement for eligible employers of apprentices undertaking Cert II or above in occupations not on the priority list; and Disability Australian Apprentice Wage Support providing 12 months of support for full-time apprentices and pro-rate for part-time apprentices for hours worked, who are undertaking Cert II or higher qualification. Additional off-the-job training is also available to support suppliers, such as mentoring, translation and tutorial services. </w:t>
      </w:r>
    </w:p>
    <w:p w14:paraId="0845A846" w14:textId="253B6591" w:rsidR="00B838CB" w:rsidRPr="00FA3191" w:rsidRDefault="00B838CB" w:rsidP="00CD1E37">
      <w:r w:rsidRPr="52549B6B">
        <w:t xml:space="preserve">Apprentices, trainees or </w:t>
      </w:r>
      <w:r w:rsidR="006E491C">
        <w:t xml:space="preserve">ICT </w:t>
      </w:r>
      <w:r w:rsidRPr="52549B6B">
        <w:t>cadets may</w:t>
      </w:r>
      <w:r>
        <w:t xml:space="preserve"> also be</w:t>
      </w:r>
      <w:r w:rsidRPr="52549B6B">
        <w:t xml:space="preserve"> eligible for fee-free training</w:t>
      </w:r>
      <w:r w:rsidRPr="52549B6B">
        <w:rPr>
          <w:vertAlign w:val="superscript"/>
        </w:rPr>
        <w:footnoteReference w:id="97"/>
      </w:r>
      <w:r w:rsidRPr="52549B6B">
        <w:t xml:space="preserve"> working in construction or ICT and this may assist with ongoing costs to </w:t>
      </w:r>
      <w:r>
        <w:t>suppliers</w:t>
      </w:r>
      <w:r w:rsidRPr="52549B6B">
        <w:t>.</w:t>
      </w:r>
    </w:p>
    <w:p w14:paraId="7748C26C" w14:textId="60A5C6BC" w:rsidR="00993A55" w:rsidRDefault="00B838CB" w:rsidP="00CD1E37">
      <w:r w:rsidRPr="00D436BA">
        <w:t xml:space="preserve">Recognising the numerous entry-level pathways into </w:t>
      </w:r>
      <w:r>
        <w:t xml:space="preserve">ICT </w:t>
      </w:r>
      <w:r w:rsidRPr="00D436BA">
        <w:t xml:space="preserve">roles, and that apprenticeship pathways are less common, targets for </w:t>
      </w:r>
      <w:r w:rsidRPr="004712B0">
        <w:t>major ICT projects</w:t>
      </w:r>
      <w:r w:rsidRPr="00D436BA">
        <w:t xml:space="preserve"> will be negotiated </w:t>
      </w:r>
      <w:r>
        <w:t xml:space="preserve">with contracting agencies </w:t>
      </w:r>
      <w:r w:rsidRPr="00D436BA">
        <w:t xml:space="preserve">on a project-by-project basis, based on workforce information provided by </w:t>
      </w:r>
      <w:r w:rsidRPr="004712B0">
        <w:t>potential suppliers</w:t>
      </w:r>
      <w:r w:rsidRPr="00D436BA">
        <w:t xml:space="preserve"> during the procurement process. </w:t>
      </w:r>
      <w:r>
        <w:t>This approach will support the collection of data on entry-level pathways in the ICT sector, including for paid cadets, and enable the development of apprentice/trainee/paid cadet targets and targets for women for all major ICT projects. The data collection will also support potential future development of targets for women for all major ICT projects.</w:t>
      </w:r>
    </w:p>
    <w:p w14:paraId="4B04B523" w14:textId="1CAB2712" w:rsidR="00EF56E6" w:rsidRPr="00F67442" w:rsidRDefault="0087030E" w:rsidP="00A66FA7">
      <w:pPr>
        <w:pStyle w:val="Heading2"/>
      </w:pPr>
      <w:bookmarkStart w:id="35" w:name="_Toc159246236"/>
      <w:r w:rsidRPr="00F67442">
        <w:t>Constraints for implementation</w:t>
      </w:r>
      <w:bookmarkEnd w:id="35"/>
    </w:p>
    <w:p w14:paraId="497D2312" w14:textId="77777777" w:rsidR="00C457DD" w:rsidRPr="00F67442" w:rsidRDefault="00C457DD" w:rsidP="00A66FA7">
      <w:pPr>
        <w:pStyle w:val="Heading3"/>
        <w:rPr>
          <w:rStyle w:val="normaltextrun"/>
          <w:rFonts w:asciiTheme="majorHAnsi" w:hAnsiTheme="majorHAnsi"/>
          <w:b/>
          <w:color w:val="2F5496" w:themeColor="accent1" w:themeShade="BF"/>
          <w:kern w:val="2"/>
          <w:sz w:val="22"/>
          <w:szCs w:val="22"/>
          <w14:ligatures w14:val="standardContextual"/>
        </w:rPr>
      </w:pPr>
      <w:r w:rsidRPr="0081783E">
        <w:rPr>
          <w:rStyle w:val="normaltextrun"/>
        </w:rPr>
        <w:t>Visibility of ICT cadetships is low</w:t>
      </w:r>
    </w:p>
    <w:p w14:paraId="17293CE8" w14:textId="6B4135B5" w:rsidR="004A716D" w:rsidRPr="00721E62" w:rsidRDefault="00C457DD" w:rsidP="00CD1E37">
      <w:r>
        <w:t xml:space="preserve">Apprenticeships and traineeships are a regulated employment arrangement, delivered through the VET system and based on a Training Contract. Cadetships are not regulated or reported in the same way as apprenticeships and traineeships, and there is no single definition or legal arrangement used </w:t>
      </w:r>
      <w:r w:rsidRPr="00721E62">
        <w:t>when employers take on a cadet.</w:t>
      </w:r>
    </w:p>
    <w:p w14:paraId="2AD09CB3" w14:textId="11A8E04D" w:rsidR="008A2A55" w:rsidRDefault="00F93131" w:rsidP="00CD1E37">
      <w:r w:rsidRPr="00721E62">
        <w:t>Recognising the numerous entry-level pathways into digital roles, and that apprenticeship pathways are less common in the ICT sector, targets for ICT projects will be negotiated on a project-by-project basis, based on workforce information provided by potential suppliers during the procurement process.</w:t>
      </w:r>
      <w:r w:rsidR="00403AB1" w:rsidRPr="00721E62">
        <w:t xml:space="preserve"> </w:t>
      </w:r>
    </w:p>
    <w:p w14:paraId="25CEB20D" w14:textId="77777777" w:rsidR="006632E0" w:rsidRPr="0081783E" w:rsidRDefault="006632E0" w:rsidP="00797487">
      <w:pPr>
        <w:pStyle w:val="Heading3"/>
        <w:rPr>
          <w:rStyle w:val="normaltextrun"/>
        </w:rPr>
      </w:pPr>
      <w:r w:rsidRPr="0081783E">
        <w:rPr>
          <w:rStyle w:val="normaltextrun"/>
        </w:rPr>
        <w:lastRenderedPageBreak/>
        <w:t>Women may face barriers working on major projects</w:t>
      </w:r>
    </w:p>
    <w:p w14:paraId="05915C1E" w14:textId="77777777" w:rsidR="006632E0" w:rsidRDefault="006632E0" w:rsidP="00CD1E37">
      <w:r>
        <w:t xml:space="preserve">While targets for women under the Skills Guarantee will provide incentives for employers to make changes to their recruitment and retention policies, changes to workplace culture and practices take time and commitment to fully implement. Consequently, some women may still face barriers accessing and staying in training on major projects. </w:t>
      </w:r>
    </w:p>
    <w:p w14:paraId="658DE6C9" w14:textId="3919F205" w:rsidR="00F93131" w:rsidRDefault="006632E0" w:rsidP="00CD1E37">
      <w:r>
        <w:t xml:space="preserve">The Skills Guarantee will work in conjunction with the proposed targeted support for apprentices, particularly the $5 million </w:t>
      </w:r>
      <w:r w:rsidR="00B3742F">
        <w:t>program due to commence from 1 July 2024</w:t>
      </w:r>
      <w:r>
        <w:t xml:space="preserve"> to support women in apprenticeships which would support organisations to provide advice on culturally safe and inclusive workplaces such as major and flagship construction projects. This proposed support builds on the support available to women through the Women in Trades Programs for women undertaking trade apprenticeships.</w:t>
      </w:r>
    </w:p>
    <w:p w14:paraId="43053023" w14:textId="129AAD34" w:rsidR="00422920" w:rsidRDefault="00422920" w:rsidP="00CD1E37">
      <w:r>
        <w:t>T</w:t>
      </w:r>
      <w:r w:rsidRPr="00422920">
        <w:t>he risk of workplace bullying</w:t>
      </w:r>
      <w:r w:rsidR="00C92300">
        <w:t>,</w:t>
      </w:r>
      <w:r w:rsidRPr="00422920">
        <w:t xml:space="preserve"> and harassment cannot be fully mitigated through the implementation of the Skills Guarantee and other initiatives. These issues are broader, structural concerns that require a multi</w:t>
      </w:r>
      <w:r w:rsidR="00C92300">
        <w:t>-</w:t>
      </w:r>
      <w:r w:rsidRPr="00422920">
        <w:t>pronged approach by government and industries.</w:t>
      </w:r>
      <w:r w:rsidR="00243BFB">
        <w:t xml:space="preserve"> </w:t>
      </w:r>
      <w:r w:rsidR="00243BFB" w:rsidRPr="00243BFB">
        <w:t xml:space="preserve">The Respect@Work laws will apply to employers, including the positive duty on employers to take reasonable and proportionate measures to eliminate workplace sexual harassment, victimisation and </w:t>
      </w:r>
      <w:r w:rsidR="00DE37AA">
        <w:t>gender</w:t>
      </w:r>
      <w:r w:rsidR="00243BFB" w:rsidRPr="00243BFB">
        <w:t xml:space="preserve"> discrimination, and the prohibition on any conduct that results in a hostile workplace environment on the basis of </w:t>
      </w:r>
      <w:r w:rsidR="00DE37AA">
        <w:t>gender</w:t>
      </w:r>
      <w:r w:rsidR="00243BFB" w:rsidRPr="00243BFB">
        <w:t>.</w:t>
      </w:r>
    </w:p>
    <w:p w14:paraId="762C0284" w14:textId="2457E3F6" w:rsidR="00617EDC" w:rsidRDefault="00617EDC" w:rsidP="00CD1E37">
      <w:r>
        <w:br w:type="page"/>
      </w:r>
    </w:p>
    <w:p w14:paraId="17822C8E" w14:textId="5D4CD968" w:rsidR="00617EDC" w:rsidRPr="00A66FA7" w:rsidRDefault="0EC40351" w:rsidP="00A66FA7">
      <w:pPr>
        <w:pStyle w:val="Heading1"/>
        <w:rPr>
          <w:rStyle w:val="normaltextrun"/>
        </w:rPr>
      </w:pPr>
      <w:bookmarkStart w:id="36" w:name="_Toc159246237"/>
      <w:r w:rsidRPr="00A66FA7">
        <w:rPr>
          <w:rStyle w:val="normaltextrun"/>
        </w:rPr>
        <w:lastRenderedPageBreak/>
        <w:t xml:space="preserve">Question 7: </w:t>
      </w:r>
      <w:r w:rsidR="6D1693C3" w:rsidRPr="00A66FA7">
        <w:rPr>
          <w:rStyle w:val="normaltextrun"/>
        </w:rPr>
        <w:t>E</w:t>
      </w:r>
      <w:r w:rsidR="388AB9A8" w:rsidRPr="00A66FA7">
        <w:rPr>
          <w:rStyle w:val="normaltextrun"/>
        </w:rPr>
        <w:t>valuation</w:t>
      </w:r>
      <w:bookmarkEnd w:id="36"/>
    </w:p>
    <w:p w14:paraId="2567453E" w14:textId="4AF10A5A" w:rsidR="00955D33" w:rsidRDefault="00955D33" w:rsidP="00A66FA7">
      <w:pPr>
        <w:pStyle w:val="Heading2"/>
      </w:pPr>
      <w:bookmarkStart w:id="37" w:name="_Toc159246238"/>
      <w:r>
        <w:t>Monitoring</w:t>
      </w:r>
      <w:bookmarkEnd w:id="37"/>
    </w:p>
    <w:p w14:paraId="29C30A2B" w14:textId="319D16B0" w:rsidR="00955D33" w:rsidRDefault="00955D33" w:rsidP="00CD1E37">
      <w:r>
        <w:t xml:space="preserve">The department will actively manage, monitor, and evaluate the Skills Guarantee to ensure the objectives are being achieved. This </w:t>
      </w:r>
      <w:r w:rsidR="00EE14EE">
        <w:t>monitoring will include</w:t>
      </w:r>
      <w:r w:rsidR="00B3742F">
        <w:t xml:space="preserve"> working with relevant Commonwealth agencies to</w:t>
      </w:r>
      <w:r w:rsidR="00EE14EE">
        <w:t xml:space="preserve"> troubleshoot any emerging issues and develop recommended implementation actions to address these. It will also</w:t>
      </w:r>
      <w:r>
        <w:t xml:space="preserve"> include reviewing the effectiveness of the PCP annually and notifying the Department of Finance of the outcome, as per the PCP requirements.</w:t>
      </w:r>
    </w:p>
    <w:p w14:paraId="73B030B6" w14:textId="2897FE70" w:rsidR="00955D33" w:rsidRDefault="00955D33" w:rsidP="00CD1E37">
      <w:r w:rsidRPr="00365705">
        <w:t>Contracting government agencies will be required to monitor and manage performance of suppliers against targets in the Skills Guarantee</w:t>
      </w:r>
      <w:r w:rsidR="00B431BD">
        <w:t xml:space="preserve"> PCP</w:t>
      </w:r>
      <w:r w:rsidRPr="00365705">
        <w:t>. In addition, they will also need to revise their approach-to-market and tender evaluation documentation to ensure that Skills Guarantee requirements are adequately reflected. This approach is in line with the approach taken for other procurement connected policies</w:t>
      </w:r>
      <w:r>
        <w:t xml:space="preserve"> and will enable </w:t>
      </w:r>
      <w:r w:rsidR="003A1AF1">
        <w:t>the department</w:t>
      </w:r>
      <w:r w:rsidRPr="000A7652">
        <w:t xml:space="preserve"> to conduct annual reviews of the PCP’s effectiveness.</w:t>
      </w:r>
      <w:r>
        <w:t xml:space="preserve"> </w:t>
      </w:r>
    </w:p>
    <w:p w14:paraId="06D880F6" w14:textId="165AC225" w:rsidR="00DD616B" w:rsidRDefault="00DD616B" w:rsidP="00CD1E37">
      <w:r>
        <w:t xml:space="preserve">The reporting requirements for the Skills Guarantee PCP have been canvassed with stakeholders </w:t>
      </w:r>
      <w:r w:rsidR="00353399">
        <w:t xml:space="preserve">to </w:t>
      </w:r>
      <w:r>
        <w:t xml:space="preserve">ensure the requirements balance the need to monitor implementation of the Skills Guarantee and performance of suppliers while minimising administrative burden for stakeholders. </w:t>
      </w:r>
    </w:p>
    <w:p w14:paraId="533D9DE8" w14:textId="01A686DC" w:rsidR="00E973A6" w:rsidRDefault="00E973A6" w:rsidP="00CD1E37">
      <w:r>
        <w:t xml:space="preserve">The </w:t>
      </w:r>
      <w:r w:rsidRPr="00E973A6">
        <w:t xml:space="preserve">Skills Guarantee PCP </w:t>
      </w:r>
      <w:r w:rsidR="009C3EB8">
        <w:t xml:space="preserve">reporting </w:t>
      </w:r>
      <w:r w:rsidRPr="00E973A6">
        <w:t xml:space="preserve">will </w:t>
      </w:r>
      <w:r>
        <w:t xml:space="preserve">be the key mechanism for the department and contracting government agencies to </w:t>
      </w:r>
      <w:r w:rsidR="00BC70E7">
        <w:t>monitor, manage and evaluate the Skills Guarantee.</w:t>
      </w:r>
    </w:p>
    <w:p w14:paraId="13BA0E69" w14:textId="3B7A31D5" w:rsidR="00101A1F" w:rsidRPr="00F67442" w:rsidRDefault="00101A1F" w:rsidP="00A66FA7">
      <w:pPr>
        <w:pStyle w:val="Heading2"/>
      </w:pPr>
      <w:bookmarkStart w:id="38" w:name="_Toc159246239"/>
      <w:r w:rsidRPr="00F67442">
        <w:t>Evaluation</w:t>
      </w:r>
      <w:bookmarkEnd w:id="38"/>
    </w:p>
    <w:p w14:paraId="1C73E5C4" w14:textId="573473BA" w:rsidR="00C94F35" w:rsidRDefault="00C94F35" w:rsidP="00C94F35">
      <w:pPr>
        <w:pStyle w:val="Heading3"/>
      </w:pPr>
      <w:r>
        <w:t>Annual reviews</w:t>
      </w:r>
    </w:p>
    <w:p w14:paraId="3268549B" w14:textId="6036414C" w:rsidR="0059258C" w:rsidRDefault="793AD5B4" w:rsidP="00CD1E37">
      <w:r>
        <w:t>The department</w:t>
      </w:r>
      <w:r w:rsidR="009D3152">
        <w:t xml:space="preserve"> will conduct annual reviews of the Skills Guarantee PCP’s effectiveness</w:t>
      </w:r>
      <w:r w:rsidR="005817E0">
        <w:t>, commencing 1 July 2025</w:t>
      </w:r>
      <w:r w:rsidR="009D3152">
        <w:t xml:space="preserve">. </w:t>
      </w:r>
      <w:r w:rsidR="00A06F0B">
        <w:t xml:space="preserve">These reviews will use data provided by suppliers to contracting agencies and will be done in consultation with contracting agencies. </w:t>
      </w:r>
    </w:p>
    <w:p w14:paraId="0D3B4FF0" w14:textId="3F349E02" w:rsidR="00265EC6" w:rsidRDefault="0014499C" w:rsidP="00CD1E37">
      <w:r>
        <w:t xml:space="preserve">The </w:t>
      </w:r>
      <w:r w:rsidR="00403E90">
        <w:t>annual review</w:t>
      </w:r>
      <w:r w:rsidR="006E5182">
        <w:t>s</w:t>
      </w:r>
      <w:r w:rsidR="00BE0447">
        <w:t xml:space="preserve"> will assist to </w:t>
      </w:r>
      <w:r w:rsidR="00A5721F">
        <w:t xml:space="preserve">assess the overall success of eligible projects in meeting the Skills Guarantee </w:t>
      </w:r>
      <w:r w:rsidR="00451378">
        <w:t>targets</w:t>
      </w:r>
      <w:r w:rsidR="00AA7696">
        <w:t xml:space="preserve">, </w:t>
      </w:r>
      <w:r w:rsidR="009C4F35">
        <w:t xml:space="preserve">the appropriateness of </w:t>
      </w:r>
      <w:r w:rsidR="00AE1C58">
        <w:t xml:space="preserve">the </w:t>
      </w:r>
      <w:r w:rsidR="00A06C4C">
        <w:t>$10 million and $100 million thresholds</w:t>
      </w:r>
      <w:r w:rsidR="00D50857">
        <w:t xml:space="preserve">, </w:t>
      </w:r>
      <w:r w:rsidR="00706D6B">
        <w:t xml:space="preserve">and help determine if </w:t>
      </w:r>
      <w:r w:rsidR="002A42D6">
        <w:t>changes are required to the Skills Guarantee PCP guidelines</w:t>
      </w:r>
      <w:r w:rsidR="00CC1A3A">
        <w:t xml:space="preserve"> to achieve the best outcomes</w:t>
      </w:r>
      <w:r w:rsidR="002A42D6">
        <w:t xml:space="preserve">. </w:t>
      </w:r>
    </w:p>
    <w:p w14:paraId="198AA7EF" w14:textId="33C36371" w:rsidR="00A06F0B" w:rsidRDefault="00E34FE4" w:rsidP="00CD1E37">
      <w:pPr>
        <w:rPr>
          <w:rStyle w:val="eop"/>
          <w:rFonts w:cstheme="minorHAnsi"/>
          <w:color w:val="000000"/>
          <w:shd w:val="clear" w:color="auto" w:fill="FFFFFF"/>
        </w:rPr>
      </w:pPr>
      <w:r w:rsidRPr="00590C1B">
        <w:rPr>
          <w:rStyle w:val="normaltextrun"/>
          <w:rFonts w:cstheme="minorHAnsi"/>
          <w:color w:val="000000"/>
          <w:shd w:val="clear" w:color="auto" w:fill="FFFFFF"/>
        </w:rPr>
        <w:t xml:space="preserve">The Department of Finance will </w:t>
      </w:r>
      <w:r w:rsidR="00265EC6">
        <w:rPr>
          <w:rStyle w:val="normaltextrun"/>
          <w:rFonts w:cstheme="minorHAnsi"/>
          <w:color w:val="000000"/>
          <w:shd w:val="clear" w:color="auto" w:fill="FFFFFF"/>
        </w:rPr>
        <w:t xml:space="preserve">also </w:t>
      </w:r>
      <w:r w:rsidRPr="00590C1B">
        <w:rPr>
          <w:rStyle w:val="normaltextrun"/>
          <w:rFonts w:cstheme="minorHAnsi"/>
          <w:color w:val="000000"/>
          <w:shd w:val="clear" w:color="auto" w:fill="FFFFFF"/>
        </w:rPr>
        <w:t xml:space="preserve">be notified of the </w:t>
      </w:r>
      <w:r w:rsidR="00265EC6">
        <w:rPr>
          <w:rStyle w:val="normaltextrun"/>
          <w:rFonts w:cstheme="minorHAnsi"/>
          <w:color w:val="000000"/>
          <w:shd w:val="clear" w:color="auto" w:fill="FFFFFF"/>
        </w:rPr>
        <w:t xml:space="preserve">Skills Guarantee annual review </w:t>
      </w:r>
      <w:r w:rsidRPr="00590C1B">
        <w:rPr>
          <w:rStyle w:val="normaltextrun"/>
          <w:rFonts w:cstheme="minorHAnsi"/>
          <w:color w:val="000000"/>
          <w:shd w:val="clear" w:color="auto" w:fill="FFFFFF"/>
        </w:rPr>
        <w:t>outcome</w:t>
      </w:r>
      <w:r w:rsidR="00265EC6">
        <w:rPr>
          <w:rStyle w:val="normaltextrun"/>
          <w:rFonts w:cstheme="minorHAnsi"/>
          <w:color w:val="000000"/>
          <w:shd w:val="clear" w:color="auto" w:fill="FFFFFF"/>
        </w:rPr>
        <w:t>s</w:t>
      </w:r>
      <w:r w:rsidRPr="00590C1B">
        <w:rPr>
          <w:rStyle w:val="normaltextrun"/>
          <w:rFonts w:cstheme="minorHAnsi"/>
          <w:color w:val="000000"/>
          <w:shd w:val="clear" w:color="auto" w:fill="FFFFFF"/>
        </w:rPr>
        <w:t xml:space="preserve">, per the requirements under the </w:t>
      </w:r>
      <w:r w:rsidRPr="00590C1B">
        <w:rPr>
          <w:rStyle w:val="normaltextrun"/>
          <w:rFonts w:cstheme="minorHAnsi"/>
          <w:i/>
          <w:iCs/>
          <w:color w:val="000000"/>
          <w:shd w:val="clear" w:color="auto" w:fill="FFFFFF"/>
        </w:rPr>
        <w:t>Commonwealth Grants and Procurement Connected Policies (RMG 415)</w:t>
      </w:r>
      <w:r w:rsidRPr="00590C1B">
        <w:rPr>
          <w:rStyle w:val="normaltextrun"/>
          <w:rFonts w:cstheme="minorHAnsi"/>
          <w:color w:val="000000"/>
          <w:shd w:val="clear" w:color="auto" w:fill="FFFFFF"/>
        </w:rPr>
        <w:t>.</w:t>
      </w:r>
      <w:r w:rsidRPr="00590C1B">
        <w:rPr>
          <w:rStyle w:val="eop"/>
          <w:rFonts w:cstheme="minorHAnsi"/>
          <w:color w:val="000000"/>
          <w:shd w:val="clear" w:color="auto" w:fill="FFFFFF"/>
        </w:rPr>
        <w:t> </w:t>
      </w:r>
    </w:p>
    <w:p w14:paraId="6B6D1336" w14:textId="77777777" w:rsidR="009F4393" w:rsidRPr="00B9546A" w:rsidRDefault="009F4393" w:rsidP="009F4393">
      <w:r>
        <w:t xml:space="preserve">Annual reviews will consider how the policy has met the Government’s objectives outlined under </w:t>
      </w:r>
      <w:r>
        <w:rPr>
          <w:b/>
          <w:bCs/>
        </w:rPr>
        <w:t>Question 2:</w:t>
      </w:r>
    </w:p>
    <w:p w14:paraId="5286F06F" w14:textId="77777777" w:rsidR="009F4393" w:rsidRPr="00B67761" w:rsidRDefault="009F4393" w:rsidP="00C94F35">
      <w:pPr>
        <w:pStyle w:val="Heading4"/>
      </w:pPr>
      <w:r w:rsidRPr="00B67761">
        <w:t>Primary problem objectives</w:t>
      </w:r>
    </w:p>
    <w:p w14:paraId="1DC2A8DE" w14:textId="77777777" w:rsidR="009F4393" w:rsidRDefault="009F4393" w:rsidP="009F4393">
      <w:pPr>
        <w:pStyle w:val="Dot-pointlist"/>
      </w:pPr>
      <w:r>
        <w:t>Increase entry level pathways in construction and ICT sectors</w:t>
      </w:r>
    </w:p>
    <w:p w14:paraId="4FD51E9F" w14:textId="77777777" w:rsidR="009F4393" w:rsidRDefault="009F4393" w:rsidP="009F4393">
      <w:pPr>
        <w:pStyle w:val="Dot-pointlist"/>
      </w:pPr>
      <w:r>
        <w:t>Increase commencement rates for apprentices, trainees and ICT cadets</w:t>
      </w:r>
    </w:p>
    <w:p w14:paraId="3E0488A9" w14:textId="77777777" w:rsidR="009F4393" w:rsidRDefault="009F4393" w:rsidP="009F4393">
      <w:pPr>
        <w:pStyle w:val="Dot-pointlist"/>
      </w:pPr>
      <w:r>
        <w:lastRenderedPageBreak/>
        <w:t xml:space="preserve">Reduce the current and future skills shortages in the construction and ICT sectors, including drawing on the underutilised female labour force </w:t>
      </w:r>
    </w:p>
    <w:p w14:paraId="4EFB9F80" w14:textId="77777777" w:rsidR="009F4393" w:rsidRPr="00B67761" w:rsidRDefault="009F4393" w:rsidP="00C94F35">
      <w:pPr>
        <w:pStyle w:val="Heading4"/>
      </w:pPr>
      <w:r w:rsidRPr="00B67761">
        <w:t>Sub-problem objectives</w:t>
      </w:r>
    </w:p>
    <w:p w14:paraId="2622BEC1" w14:textId="77777777" w:rsidR="009F4393" w:rsidRPr="00286AA6" w:rsidRDefault="009F4393" w:rsidP="009F4393">
      <w:pPr>
        <w:pStyle w:val="Dot-pointlist"/>
      </w:pPr>
      <w:r w:rsidRPr="00286AA6">
        <w:t>Reduce gender segregation by increasing female participation in construction and ICT sectors</w:t>
      </w:r>
    </w:p>
    <w:p w14:paraId="16325014" w14:textId="233D72D4" w:rsidR="009B6DA1" w:rsidRDefault="009F4393" w:rsidP="00BA24D7">
      <w:pPr>
        <w:pStyle w:val="Dot-pointlist"/>
      </w:pPr>
      <w:r w:rsidRPr="00286AA6">
        <w:t>Reduce female unemployment rates and increase female labour force participation</w:t>
      </w:r>
    </w:p>
    <w:p w14:paraId="7CAC8A92" w14:textId="41349080" w:rsidR="009B6DA1" w:rsidRDefault="009B6DA1" w:rsidP="003B1BD7">
      <w:pPr>
        <w:pStyle w:val="Heading4"/>
      </w:pPr>
      <w:r>
        <w:t>Evaluation expectations</w:t>
      </w:r>
    </w:p>
    <w:p w14:paraId="681C3B8A" w14:textId="22EA680E" w:rsidR="009B6DA1" w:rsidRPr="009B6DA1" w:rsidRDefault="009B6DA1" w:rsidP="009B6DA1">
      <w:r w:rsidRPr="003B1BD7">
        <w:t xml:space="preserve">Targets for major construction project targets have been set based on current participation rates for apprentices/trainees and targets for women have been set only slightly above current rates of participation for women in apprenticeships/traineeships and trade apprenticeships/traineeships. Therefore, the uplift required by suppliers to meet the targets is less than one percentage point above June 2022 rates of participation for women in apprenticeships/traineeships and trade apprenticeships/traineeships. </w:t>
      </w:r>
      <w:r w:rsidRPr="009B6DA1">
        <w:t>As flagship construction projects will be required to propose more ambitious targets for women that may require changes to a suppliers’ hiring practises, there may be a lower rate of compliance.</w:t>
      </w:r>
    </w:p>
    <w:p w14:paraId="5CDBF6E6" w14:textId="0A618087" w:rsidR="009B6DA1" w:rsidRPr="00286AA6" w:rsidRDefault="009B6DA1" w:rsidP="003B1BD7">
      <w:r w:rsidRPr="009B6DA1">
        <w:t xml:space="preserve">Major ICT project targets will be proposed by suppliers on a project-by-project basis, </w:t>
      </w:r>
      <w:r>
        <w:t xml:space="preserve">the department expects suppliers to propose achievable targets. </w:t>
      </w:r>
    </w:p>
    <w:p w14:paraId="4BF96C42" w14:textId="3EDF4C6B" w:rsidR="00205DE5" w:rsidRPr="00F67442" w:rsidRDefault="00205DE5" w:rsidP="00797487">
      <w:pPr>
        <w:pStyle w:val="Heading3"/>
      </w:pPr>
      <w:r w:rsidRPr="00F67442">
        <w:t xml:space="preserve">Implementation </w:t>
      </w:r>
      <w:r w:rsidR="00C7619A" w:rsidRPr="00F67442">
        <w:t>evaluation</w:t>
      </w:r>
      <w:r w:rsidRPr="00F67442">
        <w:t xml:space="preserve"> </w:t>
      </w:r>
    </w:p>
    <w:p w14:paraId="2F56F14B" w14:textId="12370A94" w:rsidR="009D3152" w:rsidRDefault="009D3152" w:rsidP="00A66FA7">
      <w:r>
        <w:t xml:space="preserve">The </w:t>
      </w:r>
      <w:r w:rsidR="00C94F35">
        <w:t xml:space="preserve">implementation evaluation </w:t>
      </w:r>
      <w:r>
        <w:t xml:space="preserve">will </w:t>
      </w:r>
      <w:r w:rsidR="00CB225C">
        <w:t xml:space="preserve">also </w:t>
      </w:r>
      <w:r w:rsidR="00ED19B9">
        <w:t>consider</w:t>
      </w:r>
      <w:r w:rsidR="00E62F72">
        <w:t xml:space="preserve"> the following</w:t>
      </w:r>
      <w:r w:rsidR="000C077C">
        <w:t xml:space="preserve"> questions related to the policy’s implementation</w:t>
      </w:r>
      <w:r w:rsidR="002736F5">
        <w:t>:</w:t>
      </w:r>
    </w:p>
    <w:p w14:paraId="7C52CBB7" w14:textId="17C4FD8B" w:rsidR="00BC2C18" w:rsidRPr="00286AA6" w:rsidRDefault="00CB225C" w:rsidP="00F07C72">
      <w:pPr>
        <w:pStyle w:val="Dot-pointlist"/>
      </w:pPr>
      <w:r w:rsidRPr="00286AA6">
        <w:t>Has the policy been fully implemented?</w:t>
      </w:r>
    </w:p>
    <w:p w14:paraId="5EFF4414" w14:textId="281CE245" w:rsidR="00ED19B9" w:rsidRPr="00286AA6" w:rsidRDefault="00CB225C" w:rsidP="00F07C72">
      <w:pPr>
        <w:pStyle w:val="Dot-pointlist"/>
      </w:pPr>
      <w:r w:rsidRPr="00286AA6">
        <w:t>Are</w:t>
      </w:r>
      <w:r w:rsidR="00F70789" w:rsidRPr="00286AA6">
        <w:t xml:space="preserve"> the Skills Guarantee PCP targets </w:t>
      </w:r>
      <w:r w:rsidR="000162CC" w:rsidRPr="00286AA6">
        <w:t xml:space="preserve">set at </w:t>
      </w:r>
      <w:r w:rsidR="007C749D" w:rsidRPr="00286AA6">
        <w:t xml:space="preserve">an </w:t>
      </w:r>
      <w:r w:rsidR="00F70789" w:rsidRPr="00286AA6">
        <w:t xml:space="preserve">appropriate </w:t>
      </w:r>
      <w:r w:rsidR="007C749D" w:rsidRPr="00286AA6">
        <w:t xml:space="preserve">level </w:t>
      </w:r>
      <w:r w:rsidR="00F70789" w:rsidRPr="00286AA6">
        <w:t xml:space="preserve">and </w:t>
      </w:r>
      <w:r w:rsidR="007C749D" w:rsidRPr="00286AA6">
        <w:t xml:space="preserve">are they </w:t>
      </w:r>
      <w:r w:rsidR="00F70789" w:rsidRPr="00286AA6">
        <w:t>effective</w:t>
      </w:r>
      <w:r w:rsidRPr="00286AA6">
        <w:t>?</w:t>
      </w:r>
    </w:p>
    <w:p w14:paraId="157B4647" w14:textId="649D7D2C" w:rsidR="00F70789" w:rsidRPr="00286AA6" w:rsidRDefault="00CB225C" w:rsidP="00F07C72">
      <w:pPr>
        <w:pStyle w:val="Dot-pointlist"/>
      </w:pPr>
      <w:r w:rsidRPr="00286AA6">
        <w:t xml:space="preserve">Is </w:t>
      </w:r>
      <w:r w:rsidR="00031AAD" w:rsidRPr="00286AA6">
        <w:t xml:space="preserve">the </w:t>
      </w:r>
      <w:r w:rsidRPr="00286AA6">
        <w:t xml:space="preserve">reporting </w:t>
      </w:r>
      <w:r w:rsidR="00532B60">
        <w:t>solution</w:t>
      </w:r>
      <w:r w:rsidR="00532B60" w:rsidRPr="00286AA6">
        <w:t xml:space="preserve"> </w:t>
      </w:r>
      <w:r w:rsidRPr="00286AA6">
        <w:t>effective and easy to use for stakeholders?</w:t>
      </w:r>
    </w:p>
    <w:p w14:paraId="37F9D462" w14:textId="4EDA580E" w:rsidR="00607448" w:rsidRPr="00286AA6" w:rsidRDefault="00607448" w:rsidP="00F07C72">
      <w:pPr>
        <w:pStyle w:val="Dot-pointlist"/>
      </w:pPr>
      <w:r w:rsidRPr="00286AA6">
        <w:t>What are the impacts of the policy on the administrative processes of government entities?</w:t>
      </w:r>
    </w:p>
    <w:p w14:paraId="462DCF2E" w14:textId="55E05273" w:rsidR="00421C7E" w:rsidRPr="00286AA6" w:rsidRDefault="00421C7E" w:rsidP="00F07C72">
      <w:pPr>
        <w:pStyle w:val="Dot-pointlist"/>
      </w:pPr>
      <w:r w:rsidRPr="00286AA6">
        <w:t>Are there any negative outcomes from the policy</w:t>
      </w:r>
      <w:r w:rsidR="00ED7600" w:rsidRPr="00286AA6">
        <w:t xml:space="preserve"> (</w:t>
      </w:r>
      <w:r w:rsidR="00354463" w:rsidRPr="00286AA6">
        <w:t>including unintended consequences</w:t>
      </w:r>
      <w:r w:rsidR="00ED7600" w:rsidRPr="00286AA6">
        <w:t>)</w:t>
      </w:r>
      <w:r w:rsidRPr="00286AA6">
        <w:t>?</w:t>
      </w:r>
      <w:r w:rsidR="00354463" w:rsidRPr="00286AA6">
        <w:t xml:space="preserve"> </w:t>
      </w:r>
      <w:r w:rsidR="000162CC" w:rsidRPr="00286AA6">
        <w:t xml:space="preserve">For example, suppliers gaming the system to avoid Skills Guarantee targets. </w:t>
      </w:r>
    </w:p>
    <w:p w14:paraId="03BD335F" w14:textId="0FA9BEA8" w:rsidR="00483122" w:rsidRPr="00286AA6" w:rsidRDefault="00116B7F" w:rsidP="00F07C72">
      <w:pPr>
        <w:pStyle w:val="Dot-pointlist"/>
      </w:pPr>
      <w:r w:rsidRPr="00286AA6">
        <w:t xml:space="preserve">Have contracting agencies identified </w:t>
      </w:r>
      <w:r w:rsidR="00004E7E" w:rsidRPr="00286AA6">
        <w:t xml:space="preserve">instances of non-compliance? How many? Does the policy need to </w:t>
      </w:r>
      <w:r w:rsidR="00A85717" w:rsidRPr="00286AA6">
        <w:t>prevent the identified non-compliance in the future?</w:t>
      </w:r>
    </w:p>
    <w:p w14:paraId="2B085923" w14:textId="44C1CF1D" w:rsidR="00C7619A" w:rsidRPr="00286AA6" w:rsidRDefault="00483122" w:rsidP="00F07C72">
      <w:pPr>
        <w:pStyle w:val="Dot-pointlist"/>
      </w:pPr>
      <w:r w:rsidRPr="00286AA6">
        <w:t>Should</w:t>
      </w:r>
      <w:r w:rsidR="00C7619A" w:rsidRPr="00286AA6">
        <w:t xml:space="preserve"> the policy be expanded</w:t>
      </w:r>
      <w:r w:rsidRPr="00286AA6">
        <w:t xml:space="preserve"> to other sectors</w:t>
      </w:r>
      <w:r w:rsidR="00C7619A" w:rsidRPr="00286AA6">
        <w:t>?</w:t>
      </w:r>
    </w:p>
    <w:p w14:paraId="3D9F402E" w14:textId="068D2672" w:rsidR="009F21C7" w:rsidRPr="00286AA6" w:rsidRDefault="009F21C7" w:rsidP="00F07C72">
      <w:pPr>
        <w:pStyle w:val="Dot-pointlist"/>
      </w:pPr>
      <w:r w:rsidRPr="00286AA6">
        <w:t>Is the policy still necessary?</w:t>
      </w:r>
    </w:p>
    <w:p w14:paraId="44774E73" w14:textId="30097343" w:rsidR="00967D8E" w:rsidRDefault="00967D8E" w:rsidP="00CD1E37">
      <w:r>
        <w:br w:type="page"/>
      </w:r>
    </w:p>
    <w:p w14:paraId="50116020" w14:textId="36C39E5D" w:rsidR="00632CC1" w:rsidRPr="00A66FA7" w:rsidRDefault="00632CC1" w:rsidP="00A66FA7">
      <w:pPr>
        <w:pStyle w:val="Heading1"/>
        <w:rPr>
          <w:rStyle w:val="normaltextrun"/>
        </w:rPr>
      </w:pPr>
      <w:bookmarkStart w:id="39" w:name="_Toc159246240"/>
      <w:r w:rsidRPr="00A66FA7">
        <w:rPr>
          <w:rStyle w:val="normaltextrun"/>
        </w:rPr>
        <w:lastRenderedPageBreak/>
        <w:t>Conclusion</w:t>
      </w:r>
      <w:bookmarkEnd w:id="39"/>
    </w:p>
    <w:p w14:paraId="145ED9C3" w14:textId="3FD8D8D5" w:rsidR="00842F94" w:rsidRPr="00842F94" w:rsidRDefault="00632CC1" w:rsidP="00CD1E37">
      <w:pPr>
        <w:rPr>
          <w:rStyle w:val="eop"/>
        </w:rPr>
      </w:pPr>
      <w:r w:rsidRPr="7E39E41A">
        <w:rPr>
          <w:rStyle w:val="normaltextrun"/>
          <w:rFonts w:eastAsiaTheme="minorEastAsia"/>
        </w:rPr>
        <w:t xml:space="preserve">This </w:t>
      </w:r>
      <w:r w:rsidR="003508C2">
        <w:rPr>
          <w:rStyle w:val="normaltextrun"/>
          <w:rFonts w:eastAsiaTheme="minorEastAsia"/>
        </w:rPr>
        <w:t>IA</w:t>
      </w:r>
      <w:r w:rsidRPr="7E39E41A">
        <w:rPr>
          <w:rStyle w:val="normaltextrun"/>
          <w:rFonts w:eastAsiaTheme="minorEastAsia"/>
        </w:rPr>
        <w:t xml:space="preserve"> has been developed to support the </w:t>
      </w:r>
      <w:r w:rsidR="00842F94" w:rsidRPr="7E39E41A">
        <w:rPr>
          <w:rStyle w:val="normaltextrun"/>
          <w:rFonts w:eastAsiaTheme="minorEastAsia"/>
        </w:rPr>
        <w:t xml:space="preserve">consideration </w:t>
      </w:r>
      <w:r w:rsidR="00842F94" w:rsidRPr="00842F94">
        <w:t>of</w:t>
      </w:r>
      <w:r w:rsidR="00842F94">
        <w:t xml:space="preserve"> </w:t>
      </w:r>
      <w:r w:rsidR="00842F94" w:rsidRPr="00842F94">
        <w:t>reporting and PCP guidelines for the Skills Guarantee</w:t>
      </w:r>
      <w:r w:rsidR="00842F94">
        <w:t xml:space="preserve"> in the </w:t>
      </w:r>
      <w:r w:rsidR="00F81E20">
        <w:t xml:space="preserve">2024–25 Budget process. </w:t>
      </w:r>
      <w:r w:rsidR="005E6452">
        <w:t xml:space="preserve">The department’s analysis has found that </w:t>
      </w:r>
      <w:r w:rsidR="00BD319F">
        <w:t>to support the success</w:t>
      </w:r>
      <w:r w:rsidR="00842F94" w:rsidRPr="7E39E41A">
        <w:rPr>
          <w:rStyle w:val="eop"/>
        </w:rPr>
        <w:t xml:space="preserve"> o</w:t>
      </w:r>
      <w:r w:rsidR="00BD319F">
        <w:rPr>
          <w:rStyle w:val="eop"/>
        </w:rPr>
        <w:t>f</w:t>
      </w:r>
      <w:r w:rsidR="00842F94" w:rsidRPr="7E39E41A">
        <w:rPr>
          <w:rStyle w:val="eop"/>
        </w:rPr>
        <w:t xml:space="preserve"> the Government’s election commitment of an Australian Skills Guarantee, the </w:t>
      </w:r>
      <w:r w:rsidR="005E6452" w:rsidRPr="7E39E41A">
        <w:rPr>
          <w:rStyle w:val="eop"/>
        </w:rPr>
        <w:t xml:space="preserve">Government should </w:t>
      </w:r>
      <w:r w:rsidR="00842F94" w:rsidRPr="7E39E41A">
        <w:rPr>
          <w:rStyle w:val="eop"/>
        </w:rPr>
        <w:t xml:space="preserve">implement a Skills Guarantee PCP. While the Skills Guarantee PCP would place some additional burden on </w:t>
      </w:r>
      <w:r w:rsidR="00C87DC0">
        <w:rPr>
          <w:rStyle w:val="eop"/>
        </w:rPr>
        <w:t>potential tenderers, suppliers</w:t>
      </w:r>
      <w:r w:rsidR="00842F94" w:rsidRPr="7E39E41A">
        <w:rPr>
          <w:rStyle w:val="eop"/>
        </w:rPr>
        <w:t xml:space="preserve"> and contracting government agencies, the future benefits </w:t>
      </w:r>
      <w:r w:rsidR="00FA0524">
        <w:rPr>
          <w:rStyle w:val="eop"/>
        </w:rPr>
        <w:t>to the construction and ICT workforce</w:t>
      </w:r>
      <w:r w:rsidR="00C8575A">
        <w:rPr>
          <w:rStyle w:val="eop"/>
        </w:rPr>
        <w:t xml:space="preserve"> </w:t>
      </w:r>
      <w:r w:rsidR="006A31E4">
        <w:rPr>
          <w:rStyle w:val="eop"/>
        </w:rPr>
        <w:t xml:space="preserve">will </w:t>
      </w:r>
      <w:r w:rsidR="00842F94" w:rsidRPr="7E39E41A">
        <w:rPr>
          <w:rStyle w:val="eop"/>
        </w:rPr>
        <w:t>outweigh the costs. Improving social inclusion will provide a boost to the Australian economy, lift GDP growth, improve health and education outcomes, increase workplace productivity and reduce the cost of social services.</w:t>
      </w:r>
      <w:r w:rsidR="00535E3A" w:rsidRPr="7E39E41A">
        <w:rPr>
          <w:rStyle w:val="eop"/>
        </w:rPr>
        <w:t xml:space="preserve"> </w:t>
      </w:r>
    </w:p>
    <w:p w14:paraId="15D4CE82" w14:textId="5532537A" w:rsidR="00842F94" w:rsidRPr="00842F94" w:rsidRDefault="00842F94" w:rsidP="00CD1E37">
      <w:pPr>
        <w:rPr>
          <w:rStyle w:val="eop"/>
          <w:rFonts w:cstheme="minorHAnsi"/>
        </w:rPr>
      </w:pPr>
      <w:r w:rsidRPr="00842F94">
        <w:rPr>
          <w:rStyle w:val="eop"/>
          <w:rFonts w:cstheme="minorHAnsi"/>
        </w:rPr>
        <w:t xml:space="preserve">The implementation of the Skills Guarantee represents clear opportunity to </w:t>
      </w:r>
      <w:r w:rsidR="0090281A">
        <w:rPr>
          <w:rStyle w:val="eop"/>
          <w:rFonts w:cstheme="minorHAnsi"/>
        </w:rPr>
        <w:t xml:space="preserve">help </w:t>
      </w:r>
      <w:r w:rsidRPr="00842F94">
        <w:rPr>
          <w:rStyle w:val="eop"/>
          <w:rFonts w:cstheme="minorHAnsi"/>
        </w:rPr>
        <w:t>address skills shortages and gender segregation</w:t>
      </w:r>
      <w:r w:rsidR="00EE112E">
        <w:rPr>
          <w:rStyle w:val="eop"/>
          <w:rFonts w:cstheme="minorHAnsi"/>
        </w:rPr>
        <w:t xml:space="preserve"> in the construction and ICT sectors</w:t>
      </w:r>
      <w:r w:rsidRPr="00842F94">
        <w:rPr>
          <w:rStyle w:val="eop"/>
          <w:rFonts w:cstheme="minorHAnsi"/>
        </w:rPr>
        <w:t xml:space="preserve">. </w:t>
      </w:r>
    </w:p>
    <w:p w14:paraId="2002FB57" w14:textId="21EF191D" w:rsidR="00842F94" w:rsidRPr="0081783E" w:rsidRDefault="00842F94" w:rsidP="00A66FA7">
      <w:pPr>
        <w:pStyle w:val="Heading2"/>
        <w:rPr>
          <w:rStyle w:val="eop"/>
        </w:rPr>
      </w:pPr>
      <w:bookmarkStart w:id="40" w:name="_Toc159246241"/>
      <w:r w:rsidRPr="0081783E">
        <w:rPr>
          <w:rStyle w:val="eop"/>
        </w:rPr>
        <w:t xml:space="preserve">The </w:t>
      </w:r>
      <w:r w:rsidRPr="0081783E">
        <w:t>Skills Guarantee PCP is important to address</w:t>
      </w:r>
      <w:r w:rsidRPr="0081783E">
        <w:rPr>
          <w:rStyle w:val="eop"/>
        </w:rPr>
        <w:t xml:space="preserve"> skills shortages</w:t>
      </w:r>
      <w:r w:rsidR="00B4012F" w:rsidRPr="0081783E">
        <w:rPr>
          <w:rStyle w:val="eop"/>
        </w:rPr>
        <w:t xml:space="preserve"> in construction and ICT</w:t>
      </w:r>
      <w:bookmarkEnd w:id="40"/>
    </w:p>
    <w:p w14:paraId="2D70EF3B" w14:textId="5C5FDD69" w:rsidR="00842F94" w:rsidRPr="00842F94" w:rsidRDefault="00842F94" w:rsidP="00CD1E37">
      <w:pPr>
        <w:rPr>
          <w:rStyle w:val="eop"/>
          <w:rFonts w:cstheme="minorHAnsi"/>
        </w:rPr>
      </w:pPr>
      <w:r w:rsidRPr="49AD854B">
        <w:rPr>
          <w:rStyle w:val="eop"/>
        </w:rPr>
        <w:t>As outlined, the Australian economy is facing broad-based skills shortages with demand for public infrastructure now substantially exceeding the capacity of the existing workforce.</w:t>
      </w:r>
      <w:r w:rsidR="008D4287" w:rsidRPr="24E10478">
        <w:rPr>
          <w:vertAlign w:val="superscript"/>
        </w:rPr>
        <w:footnoteReference w:id="98"/>
      </w:r>
      <w:r w:rsidRPr="49AD854B">
        <w:rPr>
          <w:rStyle w:val="eop"/>
        </w:rPr>
        <w:t xml:space="preserve"> As of October 2022, public infrastructure projects, including small capital projects, face a shortage of 214,000 skilled workers.</w:t>
      </w:r>
      <w:r w:rsidR="00D40681" w:rsidRPr="00633914">
        <w:rPr>
          <w:vertAlign w:val="superscript"/>
        </w:rPr>
        <w:footnoteReference w:id="99"/>
      </w:r>
      <w:r w:rsidRPr="49AD854B">
        <w:rPr>
          <w:rStyle w:val="eop"/>
        </w:rPr>
        <w:t xml:space="preserve"> The shortage of skilled workers is projected to grow to a peak shortage of 248,000 people in 2023.</w:t>
      </w:r>
      <w:r w:rsidR="00546A86" w:rsidRPr="00633914">
        <w:rPr>
          <w:vertAlign w:val="superscript"/>
        </w:rPr>
        <w:footnoteReference w:id="100"/>
      </w:r>
      <w:r w:rsidRPr="49AD854B">
        <w:rPr>
          <w:rStyle w:val="eop"/>
        </w:rPr>
        <w:t xml:space="preserve"> </w:t>
      </w:r>
    </w:p>
    <w:p w14:paraId="60966DDE" w14:textId="4690636B" w:rsidR="00842F94" w:rsidRPr="00842F94" w:rsidRDefault="00842F94" w:rsidP="00CD1E37">
      <w:pPr>
        <w:rPr>
          <w:rStyle w:val="eop"/>
          <w:rFonts w:cstheme="minorHAnsi"/>
        </w:rPr>
      </w:pPr>
      <w:r w:rsidRPr="00D31855">
        <w:rPr>
          <w:rStyle w:val="eop"/>
        </w:rPr>
        <w:t>By leveraging the significant purchasing power of the Australian Government, the Skills Guarantee PCP will ensure a proportion of all labour hours worked on major projects must be undertaken by apprentices, trainees</w:t>
      </w:r>
      <w:r w:rsidR="00224469">
        <w:rPr>
          <w:rStyle w:val="eop"/>
        </w:rPr>
        <w:t>,</w:t>
      </w:r>
      <w:r w:rsidRPr="00D31855">
        <w:rPr>
          <w:rStyle w:val="eop"/>
        </w:rPr>
        <w:t xml:space="preserve"> and ICT cadets. This will drive sustained, long-term demand for apprentices, trainees</w:t>
      </w:r>
      <w:r w:rsidR="00E95694">
        <w:rPr>
          <w:rStyle w:val="eop"/>
        </w:rPr>
        <w:t>,</w:t>
      </w:r>
      <w:r w:rsidRPr="00D31855">
        <w:rPr>
          <w:rStyle w:val="eop"/>
        </w:rPr>
        <w:t xml:space="preserve"> and ICT cadets to create a greater pool of skilled workers. The Skills Guarantee PCP will </w:t>
      </w:r>
      <w:r w:rsidR="004E36AE">
        <w:rPr>
          <w:rStyle w:val="eop"/>
        </w:rPr>
        <w:t>utilise</w:t>
      </w:r>
      <w:r w:rsidRPr="00D31855">
        <w:rPr>
          <w:rStyle w:val="eop"/>
        </w:rPr>
        <w:t xml:space="preserve"> Commonwealth Government</w:t>
      </w:r>
      <w:r w:rsidRPr="00842F94">
        <w:rPr>
          <w:rStyle w:val="eop"/>
          <w:rFonts w:cstheme="minorHAnsi"/>
        </w:rPr>
        <w:t xml:space="preserve"> investment in major projects </w:t>
      </w:r>
      <w:r w:rsidR="004E36AE">
        <w:rPr>
          <w:rStyle w:val="eop"/>
          <w:rFonts w:cstheme="minorHAnsi"/>
        </w:rPr>
        <w:t xml:space="preserve">to leverage changes </w:t>
      </w:r>
      <w:r w:rsidR="00C73C9D">
        <w:rPr>
          <w:rStyle w:val="eop"/>
          <w:rFonts w:cstheme="minorHAnsi"/>
        </w:rPr>
        <w:t>in the lack of entry level career pathways in construction and ICT sectors to</w:t>
      </w:r>
      <w:r w:rsidR="004E36AE" w:rsidRPr="00842F94">
        <w:rPr>
          <w:rStyle w:val="eop"/>
          <w:rFonts w:cstheme="minorHAnsi"/>
        </w:rPr>
        <w:t xml:space="preserve"> </w:t>
      </w:r>
      <w:r w:rsidRPr="00842F94">
        <w:rPr>
          <w:rStyle w:val="eop"/>
          <w:rFonts w:cstheme="minorHAnsi"/>
        </w:rPr>
        <w:t>help train the next generation of skilled workers.</w:t>
      </w:r>
    </w:p>
    <w:p w14:paraId="0601C9C6" w14:textId="282EEA0C" w:rsidR="00842F94" w:rsidRPr="0081783E" w:rsidRDefault="00842F94" w:rsidP="007F1699">
      <w:pPr>
        <w:pStyle w:val="Heading2"/>
        <w:rPr>
          <w:rStyle w:val="eop"/>
        </w:rPr>
      </w:pPr>
      <w:bookmarkStart w:id="41" w:name="_Toc159246242"/>
      <w:r w:rsidRPr="0081783E">
        <w:rPr>
          <w:rStyle w:val="eop"/>
        </w:rPr>
        <w:t xml:space="preserve">The Skills Guarantee PCP is important for </w:t>
      </w:r>
      <w:r w:rsidR="005B4733" w:rsidRPr="0081783E">
        <w:rPr>
          <w:rStyle w:val="eop"/>
        </w:rPr>
        <w:t xml:space="preserve">gender </w:t>
      </w:r>
      <w:r w:rsidRPr="0081783E">
        <w:rPr>
          <w:rStyle w:val="eop"/>
        </w:rPr>
        <w:t>equity</w:t>
      </w:r>
      <w:bookmarkEnd w:id="41"/>
      <w:r w:rsidRPr="0081783E">
        <w:rPr>
          <w:rStyle w:val="eop"/>
        </w:rPr>
        <w:t xml:space="preserve"> </w:t>
      </w:r>
    </w:p>
    <w:p w14:paraId="0DA66888" w14:textId="4A9A8F75" w:rsidR="00842F94" w:rsidRPr="00842F94" w:rsidRDefault="00842F94" w:rsidP="00CD1E37">
      <w:pPr>
        <w:rPr>
          <w:rStyle w:val="eop"/>
          <w:rFonts w:cstheme="minorHAnsi"/>
        </w:rPr>
      </w:pPr>
      <w:r w:rsidRPr="00842F94">
        <w:rPr>
          <w:rStyle w:val="eop"/>
          <w:rFonts w:cstheme="minorHAnsi"/>
        </w:rPr>
        <w:t>The Skills Guarantee PCP will encourage greater</w:t>
      </w:r>
      <w:r w:rsidR="00756C03">
        <w:rPr>
          <w:rStyle w:val="eop"/>
          <w:rFonts w:cstheme="minorHAnsi"/>
        </w:rPr>
        <w:t xml:space="preserve"> workforce</w:t>
      </w:r>
      <w:r w:rsidRPr="00842F94">
        <w:rPr>
          <w:rStyle w:val="eop"/>
          <w:rFonts w:cstheme="minorHAnsi"/>
        </w:rPr>
        <w:t xml:space="preserve"> diversity on major projects by introducing targets for apprentices and women.</w:t>
      </w:r>
    </w:p>
    <w:p w14:paraId="4404D457" w14:textId="5CA82487" w:rsidR="00842F94" w:rsidRPr="00842F94" w:rsidRDefault="00842F94" w:rsidP="00CD1E37">
      <w:pPr>
        <w:rPr>
          <w:rStyle w:val="eop"/>
          <w:rFonts w:cstheme="minorHAnsi"/>
        </w:rPr>
      </w:pPr>
      <w:r w:rsidRPr="00842F94">
        <w:rPr>
          <w:rStyle w:val="eop"/>
          <w:rFonts w:cstheme="minorHAnsi"/>
        </w:rPr>
        <w:t xml:space="preserve">Setting and increasing targets over time will drive the long-term sustainable change required to address the structural problems of gender segregation in </w:t>
      </w:r>
      <w:r w:rsidR="00985BA7">
        <w:rPr>
          <w:rStyle w:val="eop"/>
          <w:rFonts w:cstheme="minorHAnsi"/>
        </w:rPr>
        <w:t>the</w:t>
      </w:r>
      <w:r w:rsidR="0067734E">
        <w:rPr>
          <w:rStyle w:val="eop"/>
          <w:rFonts w:cstheme="minorHAnsi"/>
        </w:rPr>
        <w:t xml:space="preserve"> </w:t>
      </w:r>
      <w:r w:rsidR="00AB6DE8">
        <w:rPr>
          <w:rStyle w:val="eop"/>
          <w:rFonts w:cstheme="minorHAnsi"/>
        </w:rPr>
        <w:t>construction and ICT</w:t>
      </w:r>
      <w:r w:rsidR="00985BA7">
        <w:rPr>
          <w:rStyle w:val="eop"/>
          <w:rFonts w:cstheme="minorHAnsi"/>
        </w:rPr>
        <w:t xml:space="preserve"> industries</w:t>
      </w:r>
      <w:r w:rsidRPr="00842F94">
        <w:rPr>
          <w:rStyle w:val="eop"/>
          <w:rFonts w:cstheme="minorHAnsi"/>
        </w:rPr>
        <w:t xml:space="preserve"> that is limiting opportunities for women and constraining the supply of </w:t>
      </w:r>
      <w:r w:rsidR="00985BA7" w:rsidRPr="00842F94">
        <w:rPr>
          <w:rStyle w:val="eop"/>
          <w:rFonts w:cstheme="minorHAnsi"/>
        </w:rPr>
        <w:t>skill</w:t>
      </w:r>
      <w:r w:rsidR="00985BA7">
        <w:rPr>
          <w:rStyle w:val="eop"/>
          <w:rFonts w:cstheme="minorHAnsi"/>
        </w:rPr>
        <w:t>ed</w:t>
      </w:r>
      <w:r w:rsidR="00985BA7" w:rsidRPr="00842F94">
        <w:rPr>
          <w:rStyle w:val="eop"/>
          <w:rFonts w:cstheme="minorHAnsi"/>
        </w:rPr>
        <w:t xml:space="preserve"> </w:t>
      </w:r>
      <w:r w:rsidRPr="00842F94">
        <w:rPr>
          <w:rStyle w:val="eop"/>
          <w:rFonts w:cstheme="minorHAnsi"/>
        </w:rPr>
        <w:t xml:space="preserve">labour </w:t>
      </w:r>
      <w:r w:rsidR="00985BA7">
        <w:rPr>
          <w:rStyle w:val="eop"/>
          <w:rFonts w:cstheme="minorHAnsi"/>
        </w:rPr>
        <w:t>the Australian</w:t>
      </w:r>
      <w:r w:rsidR="00985BA7" w:rsidRPr="00842F94">
        <w:rPr>
          <w:rStyle w:val="eop"/>
          <w:rFonts w:cstheme="minorHAnsi"/>
        </w:rPr>
        <w:t xml:space="preserve"> </w:t>
      </w:r>
      <w:r w:rsidRPr="00842F94">
        <w:rPr>
          <w:rStyle w:val="eop"/>
          <w:rFonts w:cstheme="minorHAnsi"/>
        </w:rPr>
        <w:t xml:space="preserve">economy needs. It will also send a clear signal to businesses that they will need to adapt their strategies to recruit and retain women if they are to be competitive in winning future Australian Government business.  </w:t>
      </w:r>
    </w:p>
    <w:p w14:paraId="66CBA94A" w14:textId="77777777" w:rsidR="00842F94" w:rsidRPr="0081783E" w:rsidRDefault="00842F94" w:rsidP="007F1699">
      <w:pPr>
        <w:pStyle w:val="Heading2"/>
        <w:rPr>
          <w:rStyle w:val="eop"/>
        </w:rPr>
      </w:pPr>
      <w:bookmarkStart w:id="42" w:name="_Toc159246243"/>
      <w:r w:rsidRPr="0081783E">
        <w:rPr>
          <w:rStyle w:val="eop"/>
        </w:rPr>
        <w:lastRenderedPageBreak/>
        <w:t>The expected burden on businesses is small</w:t>
      </w:r>
      <w:bookmarkEnd w:id="42"/>
    </w:p>
    <w:p w14:paraId="2E2A5EA4" w14:textId="407F0C4E" w:rsidR="00842F94" w:rsidRPr="00842F94" w:rsidRDefault="00842F94" w:rsidP="00CD1E37">
      <w:pPr>
        <w:rPr>
          <w:rStyle w:val="eop"/>
          <w:rFonts w:cstheme="minorHAnsi"/>
        </w:rPr>
      </w:pPr>
      <w:r w:rsidRPr="00842F94">
        <w:rPr>
          <w:rStyle w:val="eop"/>
          <w:rFonts w:cstheme="minorHAnsi"/>
        </w:rPr>
        <w:t>The department expects the burden on businesses to be small as the targets set by the Skills Guarantee PCP are achievable. Data at the industry level indicates that around one in 10 workers may already be an apprentice or trainee in 202</w:t>
      </w:r>
      <w:r w:rsidR="00D06ED8">
        <w:rPr>
          <w:rStyle w:val="eop"/>
          <w:rFonts w:cstheme="minorHAnsi"/>
        </w:rPr>
        <w:t>3</w:t>
      </w:r>
      <w:r w:rsidRPr="00842F94">
        <w:rPr>
          <w:rStyle w:val="eop"/>
          <w:rFonts w:cstheme="minorHAnsi"/>
        </w:rPr>
        <w:t xml:space="preserve"> in the construction industry. Similarly, the initial targets for women </w:t>
      </w:r>
      <w:r w:rsidR="00F05026">
        <w:rPr>
          <w:rStyle w:val="eop"/>
          <w:rFonts w:cstheme="minorHAnsi"/>
        </w:rPr>
        <w:t>were</w:t>
      </w:r>
      <w:r w:rsidRPr="00842F94">
        <w:rPr>
          <w:rStyle w:val="eop"/>
          <w:rFonts w:cstheme="minorHAnsi"/>
        </w:rPr>
        <w:t xml:space="preserve"> only been set 0.8 and 0.7 percentage points above the June 2022 rates of participation of women in apprenticeships/traineeships and trade apprenticeships respectively. This approach ensures these targets drive change while still being achievable.</w:t>
      </w:r>
      <w:r w:rsidR="00DA7A3C">
        <w:rPr>
          <w:rStyle w:val="eop"/>
          <w:rFonts w:cstheme="minorHAnsi"/>
        </w:rPr>
        <w:t xml:space="preserve"> </w:t>
      </w:r>
      <w:r w:rsidR="00F05026">
        <w:rPr>
          <w:rFonts w:ascii="Calibri" w:eastAsia="Calibri" w:hAnsi="Calibri" w:cs="Arial"/>
        </w:rPr>
        <w:t>As noted</w:t>
      </w:r>
      <w:r w:rsidR="002E6B19">
        <w:rPr>
          <w:rFonts w:ascii="Calibri" w:eastAsia="Calibri" w:hAnsi="Calibri" w:cs="Arial"/>
        </w:rPr>
        <w:t xml:space="preserve"> earlier</w:t>
      </w:r>
      <w:r w:rsidR="00022AA9" w:rsidRPr="002F76C6">
        <w:rPr>
          <w:rFonts w:ascii="Calibri" w:eastAsia="Calibri" w:hAnsi="Calibri" w:cs="Arial"/>
        </w:rPr>
        <w:t>, these percentages have changed to 4.9% (for apprentices and trainees in construction who were women) and 3.5% (for women in trade apprenticeships)</w:t>
      </w:r>
      <w:r w:rsidR="002E6B19">
        <w:rPr>
          <w:rFonts w:ascii="Calibri" w:eastAsia="Calibri" w:hAnsi="Calibri" w:cs="Arial"/>
        </w:rPr>
        <w:t xml:space="preserve"> as at </w:t>
      </w:r>
      <w:r w:rsidR="002E6B19" w:rsidRPr="002F76C6">
        <w:rPr>
          <w:rFonts w:ascii="Calibri" w:eastAsia="Calibri" w:hAnsi="Calibri" w:cs="Arial"/>
        </w:rPr>
        <w:t>June 2023</w:t>
      </w:r>
      <w:r w:rsidR="00022AA9" w:rsidRPr="002F76C6">
        <w:rPr>
          <w:rFonts w:ascii="Calibri" w:eastAsia="Calibri" w:hAnsi="Calibri" w:cs="Arial"/>
        </w:rPr>
        <w:t>.</w:t>
      </w:r>
      <w:r w:rsidR="00364CEC">
        <w:rPr>
          <w:rFonts w:ascii="Calibri" w:eastAsia="Calibri" w:hAnsi="Calibri" w:cs="Arial"/>
        </w:rPr>
        <w:t xml:space="preserve"> </w:t>
      </w:r>
    </w:p>
    <w:p w14:paraId="2A7D7C7E" w14:textId="5001EEE1" w:rsidR="00842F94" w:rsidRPr="00842F94" w:rsidRDefault="00842F94" w:rsidP="00CD1E37">
      <w:pPr>
        <w:rPr>
          <w:rStyle w:val="eop"/>
          <w:rFonts w:cstheme="minorHAnsi"/>
        </w:rPr>
      </w:pPr>
      <w:r w:rsidRPr="00842F94">
        <w:rPr>
          <w:rStyle w:val="eop"/>
          <w:rFonts w:cstheme="minorHAnsi"/>
        </w:rPr>
        <w:t xml:space="preserve">Additionally, the department notes that the Skills Guarantee PCP may increase the costs for business completing tender responses and delivering major projects. However, the department expects this burden to be minimised by businesses experience implementing similar policies which have been set by states and territories. </w:t>
      </w:r>
    </w:p>
    <w:p w14:paraId="640DAF6C" w14:textId="2B1DA91E" w:rsidR="00632CC1" w:rsidRDefault="00842F94" w:rsidP="00CD1E37">
      <w:pPr>
        <w:rPr>
          <w:rStyle w:val="eop"/>
          <w:rFonts w:cstheme="minorHAnsi"/>
        </w:rPr>
      </w:pPr>
      <w:r w:rsidRPr="00842F94">
        <w:rPr>
          <w:rStyle w:val="eop"/>
          <w:rFonts w:cstheme="minorHAnsi"/>
        </w:rPr>
        <w:t>The department will also develop resources and engage in education of tenderers, suppliers, state and territory governments, and Commonwealth contracting agencies to ensure there is a consistent understanding of the obligations under the Skills Guarantee.</w:t>
      </w:r>
    </w:p>
    <w:p w14:paraId="42F30C62" w14:textId="7F174B2F" w:rsidR="00802DCB" w:rsidRPr="0081783E" w:rsidRDefault="001B0989" w:rsidP="007F1699">
      <w:pPr>
        <w:pStyle w:val="Heading2"/>
        <w:rPr>
          <w:rStyle w:val="eop"/>
        </w:rPr>
      </w:pPr>
      <w:bookmarkStart w:id="43" w:name="_Toc159246244"/>
      <w:r w:rsidRPr="0081783E">
        <w:rPr>
          <w:rStyle w:val="eop"/>
        </w:rPr>
        <w:t xml:space="preserve">Net benefit </w:t>
      </w:r>
      <w:r w:rsidR="007A6600" w:rsidRPr="0081783E">
        <w:rPr>
          <w:rStyle w:val="eop"/>
        </w:rPr>
        <w:t>outweighs</w:t>
      </w:r>
      <w:r w:rsidR="008B1DFB" w:rsidRPr="0081783E">
        <w:rPr>
          <w:rStyle w:val="eop"/>
        </w:rPr>
        <w:t xml:space="preserve"> costs</w:t>
      </w:r>
      <w:bookmarkEnd w:id="43"/>
    </w:p>
    <w:p w14:paraId="7063EF25" w14:textId="75360F11" w:rsidR="00C373DC" w:rsidRDefault="003034ED" w:rsidP="00CD1E37">
      <w:pPr>
        <w:rPr>
          <w:rStyle w:val="eop"/>
          <w:rFonts w:cstheme="minorHAnsi"/>
        </w:rPr>
      </w:pPr>
      <w:r>
        <w:rPr>
          <w:rStyle w:val="eop"/>
          <w:rFonts w:cstheme="minorHAnsi"/>
        </w:rPr>
        <w:t>The department acknowledges there are</w:t>
      </w:r>
      <w:r w:rsidR="000E25A4">
        <w:rPr>
          <w:rStyle w:val="eop"/>
          <w:rFonts w:cstheme="minorHAnsi"/>
        </w:rPr>
        <w:t xml:space="preserve"> </w:t>
      </w:r>
      <w:r w:rsidR="00C40BA8">
        <w:rPr>
          <w:rStyle w:val="eop"/>
          <w:rFonts w:cstheme="minorHAnsi"/>
        </w:rPr>
        <w:t>costs associated with the Skills Guarantee PCP and reporting</w:t>
      </w:r>
      <w:r w:rsidR="00992F28">
        <w:rPr>
          <w:rStyle w:val="eop"/>
          <w:rFonts w:cstheme="minorHAnsi"/>
        </w:rPr>
        <w:t xml:space="preserve">, </w:t>
      </w:r>
      <w:r w:rsidR="00AE06D3">
        <w:rPr>
          <w:rStyle w:val="eop"/>
          <w:rFonts w:cstheme="minorHAnsi"/>
        </w:rPr>
        <w:t xml:space="preserve">especially </w:t>
      </w:r>
      <w:r>
        <w:rPr>
          <w:rStyle w:val="eop"/>
          <w:rFonts w:cstheme="minorHAnsi"/>
        </w:rPr>
        <w:t>for</w:t>
      </w:r>
      <w:r w:rsidR="00992F28">
        <w:rPr>
          <w:rStyle w:val="eop"/>
          <w:rFonts w:cstheme="minorHAnsi"/>
        </w:rPr>
        <w:t xml:space="preserve"> </w:t>
      </w:r>
      <w:r w:rsidR="008B1DFB">
        <w:rPr>
          <w:rStyle w:val="eop"/>
          <w:rFonts w:cstheme="minorHAnsi"/>
        </w:rPr>
        <w:t>potential</w:t>
      </w:r>
      <w:r w:rsidR="00992F28">
        <w:rPr>
          <w:rStyle w:val="eop"/>
          <w:rFonts w:cstheme="minorHAnsi"/>
        </w:rPr>
        <w:t xml:space="preserve"> tenderers, </w:t>
      </w:r>
      <w:r w:rsidR="00AE06D3">
        <w:rPr>
          <w:rStyle w:val="eop"/>
          <w:rFonts w:cstheme="minorHAnsi"/>
        </w:rPr>
        <w:t>suppliers,</w:t>
      </w:r>
      <w:r w:rsidR="00992F28">
        <w:rPr>
          <w:rStyle w:val="eop"/>
          <w:rFonts w:cstheme="minorHAnsi"/>
        </w:rPr>
        <w:t xml:space="preserve"> and contracting agencies. </w:t>
      </w:r>
      <w:r w:rsidR="008B76F5">
        <w:rPr>
          <w:rStyle w:val="eop"/>
          <w:rFonts w:cstheme="minorHAnsi"/>
        </w:rPr>
        <w:t xml:space="preserve">The benefits are not necessarily monetised rather </w:t>
      </w:r>
      <w:r w:rsidR="00992F28">
        <w:rPr>
          <w:rStyle w:val="eop"/>
          <w:rFonts w:cstheme="minorHAnsi"/>
        </w:rPr>
        <w:t>capitalise on Commonwe</w:t>
      </w:r>
      <w:r w:rsidR="008B1DFB">
        <w:rPr>
          <w:rStyle w:val="eop"/>
          <w:rFonts w:cstheme="minorHAnsi"/>
        </w:rPr>
        <w:t xml:space="preserve">alth procurement to help address skills shortages and </w:t>
      </w:r>
      <w:r w:rsidR="00710607">
        <w:rPr>
          <w:rStyle w:val="eop"/>
          <w:rFonts w:cstheme="minorHAnsi"/>
        </w:rPr>
        <w:t xml:space="preserve">increasing the engagement of women in the workforce </w:t>
      </w:r>
      <w:r w:rsidR="0004609E">
        <w:rPr>
          <w:rStyle w:val="eop"/>
          <w:rFonts w:cstheme="minorHAnsi"/>
        </w:rPr>
        <w:t xml:space="preserve">will offset the costs. </w:t>
      </w:r>
      <w:r w:rsidR="002C0AB1">
        <w:rPr>
          <w:rStyle w:val="eop"/>
          <w:rFonts w:cstheme="minorHAnsi"/>
        </w:rPr>
        <w:t xml:space="preserve">By providing more employment opportunities to Australians </w:t>
      </w:r>
      <w:r w:rsidR="00731665">
        <w:rPr>
          <w:rStyle w:val="eop"/>
          <w:rFonts w:cstheme="minorHAnsi"/>
        </w:rPr>
        <w:t>support</w:t>
      </w:r>
      <w:r w:rsidR="007E4E33">
        <w:rPr>
          <w:rStyle w:val="eop"/>
          <w:rFonts w:cstheme="minorHAnsi"/>
        </w:rPr>
        <w:t>s</w:t>
      </w:r>
      <w:r w:rsidR="00731665">
        <w:rPr>
          <w:rStyle w:val="eop"/>
          <w:rFonts w:cstheme="minorHAnsi"/>
        </w:rPr>
        <w:t xml:space="preserve"> a stronger economy with </w:t>
      </w:r>
      <w:r w:rsidR="007E4E33">
        <w:rPr>
          <w:rStyle w:val="eop"/>
          <w:rFonts w:cstheme="minorHAnsi"/>
        </w:rPr>
        <w:t xml:space="preserve">a </w:t>
      </w:r>
      <w:r w:rsidR="00731665">
        <w:rPr>
          <w:rStyle w:val="eop"/>
          <w:rFonts w:cstheme="minorHAnsi"/>
        </w:rPr>
        <w:t xml:space="preserve">more skilled workforce for future needs. </w:t>
      </w:r>
    </w:p>
    <w:p w14:paraId="2119EB8D" w14:textId="7097F2F1" w:rsidR="00D94395" w:rsidRDefault="00D94395" w:rsidP="00CD1E37">
      <w:pPr>
        <w:rPr>
          <w:rFonts w:eastAsia="Times New Roman"/>
          <w:lang w:eastAsia="en-AU"/>
        </w:rPr>
      </w:pPr>
      <w:r>
        <w:br w:type="page"/>
      </w:r>
    </w:p>
    <w:p w14:paraId="3E9DEC02" w14:textId="437DF377" w:rsidR="00DF7945" w:rsidRPr="00DF7945" w:rsidRDefault="006A6797" w:rsidP="001D1295">
      <w:pPr>
        <w:pStyle w:val="Heading1"/>
        <w:rPr>
          <w:rFonts w:eastAsia="Yu Gothic Light" w:cs="Times New Roman"/>
          <w:b w:val="0"/>
        </w:rPr>
      </w:pPr>
      <w:bookmarkStart w:id="44" w:name="_Toc159246245"/>
      <w:r>
        <w:lastRenderedPageBreak/>
        <w:t>Appendix</w:t>
      </w:r>
      <w:r w:rsidR="00DF7945" w:rsidRPr="00DF7945">
        <w:t xml:space="preserve"> A. State and territory government policies</w:t>
      </w:r>
      <w:bookmarkEnd w:id="44"/>
    </w:p>
    <w:p w14:paraId="4B73E929" w14:textId="77777777" w:rsidR="00DF7945" w:rsidRPr="00DF7945" w:rsidRDefault="00DF7945" w:rsidP="001D1295">
      <w:pPr>
        <w:keepNext/>
      </w:pPr>
      <w:r w:rsidRPr="00DF7945">
        <w:t xml:space="preserve">As at: 3 October 2023 </w:t>
      </w:r>
    </w:p>
    <w:tbl>
      <w:tblPr>
        <w:tblStyle w:val="TableGrid4"/>
        <w:tblW w:w="9199" w:type="dxa"/>
        <w:tblInd w:w="-26" w:type="dxa"/>
        <w:tblLook w:val="04A0" w:firstRow="1" w:lastRow="0" w:firstColumn="1" w:lastColumn="0" w:noHBand="0" w:noVBand="1"/>
      </w:tblPr>
      <w:tblGrid>
        <w:gridCol w:w="9199"/>
      </w:tblGrid>
      <w:tr w:rsidR="00DF7945" w:rsidRPr="00DF7945" w14:paraId="75F973D9" w14:textId="77777777" w:rsidTr="00A66FA7">
        <w:trPr>
          <w:cantSplit/>
        </w:trPr>
        <w:tc>
          <w:tcPr>
            <w:tcW w:w="9199" w:type="dxa"/>
          </w:tcPr>
          <w:p w14:paraId="38C49AF8" w14:textId="77777777" w:rsidR="00DF7945" w:rsidRPr="00DF7945" w:rsidRDefault="00DF7945" w:rsidP="001D1295">
            <w:pPr>
              <w:pStyle w:val="Heading5"/>
              <w:keepNext w:val="0"/>
              <w:keepLines w:val="0"/>
              <w:widowControl w:val="0"/>
              <w:spacing w:before="120" w:after="120"/>
              <w:outlineLvl w:val="4"/>
            </w:pPr>
            <w:r w:rsidRPr="00DF7945">
              <w:t>NSW</w:t>
            </w:r>
          </w:p>
          <w:p w14:paraId="6979E419" w14:textId="77777777" w:rsidR="00DF7945" w:rsidRPr="00DF7945" w:rsidRDefault="00DF7945" w:rsidP="00931C11">
            <w:pPr>
              <w:pStyle w:val="Heading7"/>
              <w:outlineLvl w:val="6"/>
            </w:pPr>
            <w:r w:rsidRPr="00DF7945">
              <w:t>Infrastructure Skills Legacy Program (commenced in 2016)</w:t>
            </w:r>
          </w:p>
          <w:p w14:paraId="04308248" w14:textId="77777777" w:rsidR="00DF7945" w:rsidRPr="00DF7945" w:rsidRDefault="00DF7945" w:rsidP="001D1295">
            <w:pPr>
              <w:pStyle w:val="ListParagraph"/>
              <w:widowControl w:val="0"/>
              <w:numPr>
                <w:ilvl w:val="0"/>
                <w:numId w:val="7"/>
              </w:numPr>
              <w:spacing w:before="120" w:after="120"/>
            </w:pPr>
            <w:r w:rsidRPr="00DF7945">
              <w:t xml:space="preserve">Sets minimum targets for employment of apprentices, trainees, learning workers, and women on </w:t>
            </w:r>
            <w:r w:rsidRPr="00CD1E37">
              <w:rPr>
                <w:b/>
                <w:bCs/>
              </w:rPr>
              <w:t>infrastructure procurement contracts. </w:t>
            </w:r>
          </w:p>
          <w:p w14:paraId="5402A68C" w14:textId="77777777" w:rsidR="00DF7945" w:rsidRPr="00DF7945" w:rsidRDefault="00DF7945" w:rsidP="001D1295">
            <w:pPr>
              <w:pStyle w:val="ListParagraph"/>
              <w:widowControl w:val="0"/>
              <w:numPr>
                <w:ilvl w:val="0"/>
                <w:numId w:val="7"/>
              </w:numPr>
              <w:spacing w:before="120" w:after="120"/>
            </w:pPr>
            <w:r w:rsidRPr="00DF7945">
              <w:t>At or over $10 million:</w:t>
            </w:r>
          </w:p>
          <w:p w14:paraId="04BC3103" w14:textId="77777777" w:rsidR="00DF7945" w:rsidRPr="00DF7945" w:rsidRDefault="00DF7945" w:rsidP="001D1295">
            <w:pPr>
              <w:pStyle w:val="ListParagraph"/>
              <w:widowControl w:val="0"/>
              <w:numPr>
                <w:ilvl w:val="1"/>
                <w:numId w:val="7"/>
              </w:numPr>
              <w:spacing w:before="120" w:after="120"/>
            </w:pPr>
            <w:r w:rsidRPr="00CD1E37">
              <w:rPr>
                <w:b/>
                <w:bCs/>
              </w:rPr>
              <w:t>20%</w:t>
            </w:r>
            <w:r w:rsidRPr="00DF7945">
              <w:t xml:space="preserve"> of the trades workforce to be apprentices/trainees</w:t>
            </w:r>
          </w:p>
          <w:p w14:paraId="42B10600" w14:textId="77777777" w:rsidR="00DF7945" w:rsidRPr="00DF7945" w:rsidRDefault="00DF7945" w:rsidP="001D1295">
            <w:pPr>
              <w:pStyle w:val="ListParagraph"/>
              <w:widowControl w:val="0"/>
              <w:numPr>
                <w:ilvl w:val="0"/>
                <w:numId w:val="7"/>
              </w:numPr>
              <w:spacing w:before="120" w:after="120"/>
            </w:pPr>
            <w:r w:rsidRPr="00DF7945">
              <w:t xml:space="preserve">At or over $100 million: </w:t>
            </w:r>
          </w:p>
          <w:p w14:paraId="1C3FF389" w14:textId="77777777" w:rsidR="00DF7945" w:rsidRPr="00DF7945" w:rsidRDefault="00DF7945" w:rsidP="001D1295">
            <w:pPr>
              <w:pStyle w:val="ListParagraph"/>
              <w:widowControl w:val="0"/>
              <w:numPr>
                <w:ilvl w:val="1"/>
                <w:numId w:val="7"/>
              </w:numPr>
              <w:spacing w:before="120" w:after="120"/>
            </w:pPr>
            <w:r w:rsidRPr="00CD1E37">
              <w:rPr>
                <w:b/>
                <w:bCs/>
              </w:rPr>
              <w:t>2%</w:t>
            </w:r>
            <w:r w:rsidRPr="00DF7945">
              <w:t xml:space="preserve"> of the trades workforce to be women*</w:t>
            </w:r>
          </w:p>
          <w:p w14:paraId="5C6E97D3" w14:textId="77777777" w:rsidR="00DF7945" w:rsidRPr="00DF7945" w:rsidRDefault="00DF7945" w:rsidP="001D1295">
            <w:pPr>
              <w:pStyle w:val="ListParagraph"/>
              <w:widowControl w:val="0"/>
              <w:numPr>
                <w:ilvl w:val="1"/>
                <w:numId w:val="7"/>
              </w:numPr>
              <w:spacing w:before="120" w:after="120"/>
            </w:pPr>
            <w:r w:rsidRPr="00CD1E37">
              <w:rPr>
                <w:b/>
                <w:bCs/>
              </w:rPr>
              <w:t>20%</w:t>
            </w:r>
            <w:r w:rsidRPr="00DF7945">
              <w:t xml:space="preserve"> of the project workforce to be learning workers (all apprentices/trainees are reported against both the apprentice target and learning worker target).</w:t>
            </w:r>
          </w:p>
          <w:p w14:paraId="19C35751" w14:textId="77777777" w:rsidR="00DF7945" w:rsidRPr="00DF7945" w:rsidRDefault="00DF7945" w:rsidP="001D1295">
            <w:pPr>
              <w:widowControl w:val="0"/>
              <w:spacing w:before="120" w:after="120"/>
            </w:pPr>
            <w:r w:rsidRPr="00DF7945">
              <w:t>*NSW Government have set a goal under the Women in Construction Strategy for women to occupy 15 per cent of trade and non-traditional roles by 2030 within the construction industry. They are trialling minimum targets on select infrastructure projects (4% of trades workforce to be women, 7% project workforce to be women in non-traditional roles).</w:t>
            </w:r>
          </w:p>
        </w:tc>
      </w:tr>
      <w:tr w:rsidR="00DF7945" w:rsidRPr="00DF7945" w14:paraId="487037F6" w14:textId="77777777" w:rsidTr="00A66FA7">
        <w:trPr>
          <w:cantSplit/>
        </w:trPr>
        <w:tc>
          <w:tcPr>
            <w:tcW w:w="9199" w:type="dxa"/>
          </w:tcPr>
          <w:p w14:paraId="7DDE3939" w14:textId="77777777" w:rsidR="00DF7945" w:rsidRPr="00DF7945" w:rsidRDefault="00DF7945" w:rsidP="001D1295">
            <w:pPr>
              <w:pStyle w:val="Heading5"/>
              <w:keepNext w:val="0"/>
              <w:keepLines w:val="0"/>
              <w:widowControl w:val="0"/>
              <w:spacing w:before="120" w:after="120"/>
              <w:outlineLvl w:val="4"/>
            </w:pPr>
            <w:r w:rsidRPr="00DF7945">
              <w:t>VIC</w:t>
            </w:r>
          </w:p>
          <w:p w14:paraId="51464767" w14:textId="77777777" w:rsidR="00DF7945" w:rsidRPr="00DF7945" w:rsidRDefault="00DF7945" w:rsidP="00931C11">
            <w:pPr>
              <w:pStyle w:val="Heading7"/>
              <w:outlineLvl w:val="6"/>
            </w:pPr>
            <w:r w:rsidRPr="00DF7945">
              <w:t>Major Projects Skills Guarantee (commenced in 2016)</w:t>
            </w:r>
          </w:p>
          <w:p w14:paraId="102E1276" w14:textId="77777777" w:rsidR="00DF7945" w:rsidRPr="00DF7945" w:rsidRDefault="00DF7945" w:rsidP="001D1295">
            <w:pPr>
              <w:pStyle w:val="ListParagraph"/>
              <w:widowControl w:val="0"/>
              <w:numPr>
                <w:ilvl w:val="0"/>
                <w:numId w:val="7"/>
              </w:numPr>
              <w:spacing w:before="120" w:after="120"/>
            </w:pPr>
            <w:r w:rsidRPr="00DF7945">
              <w:t xml:space="preserve">Sets a target for the use of apprentices, trainees and cadets on </w:t>
            </w:r>
            <w:r w:rsidRPr="00CD1E37">
              <w:rPr>
                <w:b/>
                <w:bCs/>
              </w:rPr>
              <w:t>construction projects</w:t>
            </w:r>
            <w:r w:rsidRPr="00DF7945">
              <w:t xml:space="preserve">: </w:t>
            </w:r>
          </w:p>
          <w:p w14:paraId="5286FCC0" w14:textId="77777777" w:rsidR="00DF7945" w:rsidRPr="00DF7945" w:rsidRDefault="00DF7945" w:rsidP="001D1295">
            <w:pPr>
              <w:pStyle w:val="ListParagraph"/>
              <w:widowControl w:val="0"/>
              <w:numPr>
                <w:ilvl w:val="1"/>
                <w:numId w:val="7"/>
              </w:numPr>
              <w:spacing w:before="120" w:after="120"/>
            </w:pPr>
            <w:r w:rsidRPr="00DF7945">
              <w:t xml:space="preserve">At or over </w:t>
            </w:r>
            <w:r w:rsidRPr="00CD1E37">
              <w:rPr>
                <w:b/>
                <w:bCs/>
              </w:rPr>
              <w:t>$20 million: 10%</w:t>
            </w:r>
            <w:r w:rsidRPr="00DF7945">
              <w:t xml:space="preserve"> of total estimated labour hours to be undertaken by apprentices/trainees/cadets.</w:t>
            </w:r>
          </w:p>
          <w:p w14:paraId="1F9B4152" w14:textId="77777777" w:rsidR="00DF7945" w:rsidRPr="00DF7945" w:rsidRDefault="00DF7945" w:rsidP="00931C11">
            <w:pPr>
              <w:pStyle w:val="Heading7"/>
              <w:outlineLvl w:val="6"/>
            </w:pPr>
            <w:r w:rsidRPr="00DF7945">
              <w:t>Building Equality Policy (commenced in 2022)</w:t>
            </w:r>
          </w:p>
          <w:p w14:paraId="2225AC06" w14:textId="77777777" w:rsidR="00DF7945" w:rsidRPr="00DF7945" w:rsidRDefault="00DF7945" w:rsidP="001D1295">
            <w:pPr>
              <w:pStyle w:val="ListParagraph"/>
              <w:widowControl w:val="0"/>
              <w:numPr>
                <w:ilvl w:val="0"/>
                <w:numId w:val="7"/>
              </w:numPr>
              <w:spacing w:before="120" w:after="120"/>
            </w:pPr>
            <w:r w:rsidRPr="00DF7945">
              <w:t xml:space="preserve">Applies to all publicly funded </w:t>
            </w:r>
            <w:r w:rsidRPr="00CD1E37">
              <w:rPr>
                <w:b/>
                <w:bCs/>
              </w:rPr>
              <w:t>construction projects</w:t>
            </w:r>
            <w:r w:rsidRPr="00DF7945">
              <w:t xml:space="preserve"> valued at </w:t>
            </w:r>
            <w:r w:rsidRPr="00CD1E37">
              <w:rPr>
                <w:b/>
                <w:bCs/>
              </w:rPr>
              <w:t>$20 million</w:t>
            </w:r>
            <w:r w:rsidRPr="00DF7945">
              <w:t xml:space="preserve"> or more. Suppliers must: </w:t>
            </w:r>
          </w:p>
          <w:p w14:paraId="1A4535BA" w14:textId="77777777" w:rsidR="00DF7945" w:rsidRPr="00DF7945" w:rsidRDefault="00DF7945" w:rsidP="001D1295">
            <w:pPr>
              <w:pStyle w:val="ListParagraph"/>
              <w:widowControl w:val="0"/>
              <w:numPr>
                <w:ilvl w:val="1"/>
                <w:numId w:val="7"/>
              </w:numPr>
              <w:spacing w:before="120" w:after="120"/>
            </w:pPr>
            <w:r w:rsidRPr="00DF7945">
              <w:t xml:space="preserve">Action 1: meet specific gender equality targets. </w:t>
            </w:r>
          </w:p>
          <w:p w14:paraId="6C2AE859" w14:textId="77777777" w:rsidR="00DF7945" w:rsidRPr="00DF7945" w:rsidRDefault="00DF7945" w:rsidP="001D1295">
            <w:pPr>
              <w:pStyle w:val="ListParagraph"/>
              <w:widowControl w:val="0"/>
              <w:numPr>
                <w:ilvl w:val="2"/>
                <w:numId w:val="7"/>
              </w:numPr>
              <w:spacing w:before="120" w:after="120"/>
            </w:pPr>
            <w:r w:rsidRPr="00CD1E37">
              <w:rPr>
                <w:b/>
                <w:bCs/>
              </w:rPr>
              <w:t>Women</w:t>
            </w:r>
            <w:r w:rsidRPr="00DF7945">
              <w:t xml:space="preserve"> required to perform at least </w:t>
            </w:r>
            <w:r w:rsidRPr="00CD1E37">
              <w:rPr>
                <w:b/>
                <w:bCs/>
              </w:rPr>
              <w:t>3%</w:t>
            </w:r>
            <w:r w:rsidRPr="00DF7945">
              <w:t xml:space="preserve"> of the contract works’ total estimated labour hours </w:t>
            </w:r>
            <w:r w:rsidRPr="00CD1E37">
              <w:rPr>
                <w:b/>
                <w:bCs/>
              </w:rPr>
              <w:t xml:space="preserve">for each trade position. </w:t>
            </w:r>
          </w:p>
          <w:p w14:paraId="45209EFC" w14:textId="77777777" w:rsidR="00DF7945" w:rsidRPr="00DF7945" w:rsidRDefault="00DF7945" w:rsidP="001D1295">
            <w:pPr>
              <w:pStyle w:val="ListParagraph"/>
              <w:widowControl w:val="0"/>
              <w:numPr>
                <w:ilvl w:val="2"/>
                <w:numId w:val="7"/>
              </w:numPr>
              <w:spacing w:before="120" w:after="120"/>
            </w:pPr>
            <w:r w:rsidRPr="00CD1E37">
              <w:rPr>
                <w:b/>
                <w:bCs/>
              </w:rPr>
              <w:t>Women</w:t>
            </w:r>
            <w:r w:rsidRPr="00DF7945">
              <w:t xml:space="preserve"> required to perform at least </w:t>
            </w:r>
            <w:r w:rsidRPr="00CD1E37">
              <w:rPr>
                <w:b/>
                <w:bCs/>
              </w:rPr>
              <w:t>35%</w:t>
            </w:r>
            <w:r w:rsidRPr="00DF7945">
              <w:t xml:space="preserve"> of the contract works’ total estimated labour hours </w:t>
            </w:r>
            <w:r w:rsidRPr="00CD1E37">
              <w:rPr>
                <w:b/>
                <w:bCs/>
              </w:rPr>
              <w:t>for each staff position.</w:t>
            </w:r>
            <w:r w:rsidRPr="00DF7945">
              <w:t xml:space="preserve"> </w:t>
            </w:r>
          </w:p>
          <w:p w14:paraId="0F7FFEBE" w14:textId="77777777" w:rsidR="00DF7945" w:rsidRPr="00CD1E37" w:rsidRDefault="00DF7945" w:rsidP="001D1295">
            <w:pPr>
              <w:pStyle w:val="ListParagraph"/>
              <w:widowControl w:val="0"/>
              <w:numPr>
                <w:ilvl w:val="2"/>
                <w:numId w:val="7"/>
              </w:numPr>
              <w:spacing w:before="120" w:after="120"/>
              <w:rPr>
                <w:b/>
                <w:bCs/>
              </w:rPr>
            </w:pPr>
            <w:r w:rsidRPr="00CD1E37">
              <w:rPr>
                <w:b/>
                <w:bCs/>
              </w:rPr>
              <w:t>Women</w:t>
            </w:r>
            <w:r w:rsidRPr="00DF7945">
              <w:t xml:space="preserve"> required to perform at least </w:t>
            </w:r>
            <w:r w:rsidRPr="00CD1E37">
              <w:rPr>
                <w:b/>
                <w:bCs/>
              </w:rPr>
              <w:t>7%</w:t>
            </w:r>
            <w:r w:rsidRPr="00DF7945">
              <w:t xml:space="preserve"> of the contract works’ total estimated labour hours </w:t>
            </w:r>
            <w:r w:rsidRPr="00CD1E37">
              <w:rPr>
                <w:b/>
                <w:bCs/>
              </w:rPr>
              <w:t>for each non-trade Construction Award covered labour position. </w:t>
            </w:r>
          </w:p>
          <w:p w14:paraId="3C5C86A8" w14:textId="77777777" w:rsidR="00DF7945" w:rsidRPr="00DF7945" w:rsidRDefault="00DF7945" w:rsidP="001D1295">
            <w:pPr>
              <w:pStyle w:val="ListParagraph"/>
              <w:widowControl w:val="0"/>
              <w:numPr>
                <w:ilvl w:val="1"/>
                <w:numId w:val="7"/>
              </w:numPr>
              <w:spacing w:before="120" w:after="120"/>
            </w:pPr>
            <w:r w:rsidRPr="00DF7945">
              <w:t xml:space="preserve">Action 2: engage </w:t>
            </w:r>
            <w:r w:rsidRPr="00CD1E37">
              <w:rPr>
                <w:b/>
                <w:bCs/>
              </w:rPr>
              <w:t>women</w:t>
            </w:r>
            <w:r w:rsidRPr="00DF7945">
              <w:t xml:space="preserve"> as apprentices and trainees: </w:t>
            </w:r>
            <w:r w:rsidRPr="00CD1E37">
              <w:rPr>
                <w:b/>
                <w:bCs/>
              </w:rPr>
              <w:t>4%</w:t>
            </w:r>
            <w:r w:rsidRPr="00DF7945">
              <w:t xml:space="preserve"> of the contract works’ total estimated labour hours performed by women in apprenticeships or traineeships.</w:t>
            </w:r>
          </w:p>
          <w:p w14:paraId="44A6A762" w14:textId="77777777" w:rsidR="00DF7945" w:rsidRPr="00DF7945" w:rsidRDefault="00DF7945" w:rsidP="001D1295">
            <w:pPr>
              <w:pStyle w:val="ListParagraph"/>
              <w:widowControl w:val="0"/>
              <w:numPr>
                <w:ilvl w:val="1"/>
                <w:numId w:val="7"/>
              </w:numPr>
              <w:spacing w:before="120" w:after="120"/>
            </w:pPr>
            <w:r w:rsidRPr="00DF7945">
              <w:t xml:space="preserve">Action 3: implement </w:t>
            </w:r>
            <w:r w:rsidRPr="00CD1E37">
              <w:rPr>
                <w:b/>
                <w:bCs/>
              </w:rPr>
              <w:t>Gender Equality Action Plans</w:t>
            </w:r>
            <w:r w:rsidRPr="00DF7945">
              <w:t>: Suppliers are required to provide 2 Gender Equality Action Plans – project-specific and organisation-wide – when submitting interest/tenders.</w:t>
            </w:r>
          </w:p>
        </w:tc>
      </w:tr>
      <w:tr w:rsidR="00DF7945" w:rsidRPr="00DF7945" w14:paraId="7A7B91BF" w14:textId="77777777" w:rsidTr="00A66FA7">
        <w:trPr>
          <w:cantSplit/>
        </w:trPr>
        <w:tc>
          <w:tcPr>
            <w:tcW w:w="9199" w:type="dxa"/>
          </w:tcPr>
          <w:p w14:paraId="141FBEA6" w14:textId="77777777" w:rsidR="00DF7945" w:rsidRPr="00DF7945" w:rsidRDefault="00DF7945" w:rsidP="001D1295">
            <w:pPr>
              <w:pStyle w:val="Heading5"/>
              <w:keepNext w:val="0"/>
              <w:keepLines w:val="0"/>
              <w:widowControl w:val="0"/>
              <w:spacing w:before="120" w:after="120"/>
              <w:outlineLvl w:val="4"/>
            </w:pPr>
            <w:r w:rsidRPr="00DF7945">
              <w:lastRenderedPageBreak/>
              <w:t>QLD</w:t>
            </w:r>
          </w:p>
          <w:p w14:paraId="20E19776" w14:textId="77777777" w:rsidR="00DF7945" w:rsidRPr="00DF7945" w:rsidRDefault="00DF7945" w:rsidP="00931C11">
            <w:pPr>
              <w:pStyle w:val="Heading7"/>
              <w:outlineLvl w:val="6"/>
            </w:pPr>
            <w:r w:rsidRPr="00DF7945">
              <w:t>Building and Construction Training Policy (commenced in 2014)</w:t>
            </w:r>
          </w:p>
          <w:p w14:paraId="097C4357" w14:textId="77777777" w:rsidR="00DF7945" w:rsidRPr="00DF7945" w:rsidRDefault="00DF7945" w:rsidP="001D1295">
            <w:pPr>
              <w:pStyle w:val="ListParagraph"/>
              <w:widowControl w:val="0"/>
              <w:numPr>
                <w:ilvl w:val="0"/>
                <w:numId w:val="7"/>
              </w:numPr>
              <w:spacing w:before="120" w:after="120"/>
            </w:pPr>
            <w:r w:rsidRPr="00DF7945">
              <w:t xml:space="preserve">Sets target for apprentices, trainees, and workforce training on QLD Government </w:t>
            </w:r>
            <w:r w:rsidRPr="00CD1E37">
              <w:rPr>
                <w:b/>
                <w:bCs/>
              </w:rPr>
              <w:t>building projects</w:t>
            </w:r>
            <w:r w:rsidRPr="00DF7945">
              <w:t xml:space="preserve"> (with a contract sum of </w:t>
            </w:r>
            <w:r w:rsidRPr="00CD1E37">
              <w:rPr>
                <w:b/>
                <w:bCs/>
              </w:rPr>
              <w:t xml:space="preserve">$500,000 </w:t>
            </w:r>
            <w:r w:rsidRPr="00DF7945">
              <w:t xml:space="preserve">or more) and </w:t>
            </w:r>
            <w:r w:rsidRPr="00CD1E37">
              <w:rPr>
                <w:b/>
                <w:bCs/>
              </w:rPr>
              <w:t>civil construction projects</w:t>
            </w:r>
            <w:r w:rsidRPr="00DF7945">
              <w:t xml:space="preserve"> (with a contract sum of </w:t>
            </w:r>
            <w:r w:rsidRPr="00CD1E37">
              <w:rPr>
                <w:b/>
                <w:bCs/>
              </w:rPr>
              <w:t>$3 million</w:t>
            </w:r>
            <w:r w:rsidRPr="00DF7945">
              <w:t xml:space="preserve"> or more).</w:t>
            </w:r>
          </w:p>
          <w:p w14:paraId="7F30204A" w14:textId="77777777" w:rsidR="00DF7945" w:rsidRPr="00DF7945" w:rsidRDefault="00DF7945" w:rsidP="001D1295">
            <w:pPr>
              <w:pStyle w:val="ListParagraph"/>
              <w:widowControl w:val="0"/>
              <w:numPr>
                <w:ilvl w:val="1"/>
                <w:numId w:val="7"/>
              </w:numPr>
              <w:spacing w:before="120" w:after="120"/>
            </w:pPr>
            <w:r w:rsidRPr="00CD1E37">
              <w:rPr>
                <w:b/>
                <w:bCs/>
              </w:rPr>
              <w:t>10%</w:t>
            </w:r>
            <w:r w:rsidRPr="00DF7945">
              <w:t xml:space="preserve"> of the total labour hours be undertaken by </w:t>
            </w:r>
            <w:r w:rsidRPr="00CD1E37">
              <w:rPr>
                <w:b/>
                <w:bCs/>
              </w:rPr>
              <w:t>apprentices or trainees</w:t>
            </w:r>
            <w:r w:rsidRPr="00DF7945">
              <w:t xml:space="preserve"> and other workforce training. </w:t>
            </w:r>
          </w:p>
          <w:p w14:paraId="7453C638" w14:textId="77777777" w:rsidR="00DF7945" w:rsidRPr="00DF7945" w:rsidRDefault="00DF7945" w:rsidP="001D1295">
            <w:pPr>
              <w:pStyle w:val="ListParagraph"/>
              <w:widowControl w:val="0"/>
              <w:numPr>
                <w:ilvl w:val="1"/>
                <w:numId w:val="7"/>
              </w:numPr>
              <w:spacing w:before="120" w:after="120"/>
            </w:pPr>
            <w:r w:rsidRPr="00CD1E37">
              <w:rPr>
                <w:b/>
                <w:bCs/>
              </w:rPr>
              <w:t>15%</w:t>
            </w:r>
            <w:r w:rsidRPr="00DF7945">
              <w:t xml:space="preserve"> of the total labour hours for projects with a contract sum of </w:t>
            </w:r>
            <w:r w:rsidRPr="00CD1E37">
              <w:rPr>
                <w:b/>
                <w:bCs/>
              </w:rPr>
              <w:t>$100 million</w:t>
            </w:r>
            <w:r w:rsidRPr="00DF7945">
              <w:t xml:space="preserve"> or more to be undertaken by apprentices or trainees and through other workforce training.</w:t>
            </w:r>
          </w:p>
          <w:p w14:paraId="4CE83E9D" w14:textId="77777777" w:rsidR="00DF7945" w:rsidRPr="00DF7945" w:rsidRDefault="00DF7945" w:rsidP="00931C11">
            <w:pPr>
              <w:pStyle w:val="Heading7"/>
              <w:outlineLvl w:val="6"/>
            </w:pPr>
            <w:r w:rsidRPr="00DF7945">
              <w:t>National Association for Women in Construction (NAWIC) commitment (commenced in 2014)</w:t>
            </w:r>
          </w:p>
          <w:p w14:paraId="04B6F903" w14:textId="77777777" w:rsidR="00DF7945" w:rsidRPr="00DF7945" w:rsidRDefault="00DF7945" w:rsidP="001D1295">
            <w:pPr>
              <w:pStyle w:val="ListParagraph"/>
              <w:widowControl w:val="0"/>
              <w:numPr>
                <w:ilvl w:val="0"/>
                <w:numId w:val="7"/>
              </w:numPr>
              <w:spacing w:before="120" w:after="120"/>
            </w:pPr>
            <w:r w:rsidRPr="00DF7945">
              <w:t xml:space="preserve">The Queensland Government is committed to the </w:t>
            </w:r>
            <w:r w:rsidRPr="00CD1E37">
              <w:rPr>
                <w:b/>
                <w:bCs/>
              </w:rPr>
              <w:t>11%</w:t>
            </w:r>
            <w:r w:rsidRPr="00DF7945">
              <w:t xml:space="preserve"> target of the National Association for </w:t>
            </w:r>
            <w:r w:rsidRPr="00CD1E37">
              <w:rPr>
                <w:b/>
                <w:bCs/>
              </w:rPr>
              <w:t>Women in Construction</w:t>
            </w:r>
            <w:r w:rsidRPr="00DF7945">
              <w:t xml:space="preserve"> and is actively pursuing initiatives to exceed this target on projects.</w:t>
            </w:r>
          </w:p>
        </w:tc>
      </w:tr>
      <w:tr w:rsidR="00DF7945" w:rsidRPr="00DF7945" w14:paraId="209962D1" w14:textId="77777777" w:rsidTr="00A66FA7">
        <w:trPr>
          <w:cantSplit/>
        </w:trPr>
        <w:tc>
          <w:tcPr>
            <w:tcW w:w="9199" w:type="dxa"/>
          </w:tcPr>
          <w:p w14:paraId="71934C49" w14:textId="77777777" w:rsidR="00DF7945" w:rsidRPr="00DF7945" w:rsidRDefault="00DF7945" w:rsidP="001D1295">
            <w:pPr>
              <w:pStyle w:val="Heading5"/>
              <w:keepNext w:val="0"/>
              <w:keepLines w:val="0"/>
              <w:widowControl w:val="0"/>
              <w:spacing w:before="120" w:after="120"/>
              <w:outlineLvl w:val="4"/>
            </w:pPr>
            <w:r w:rsidRPr="00DF7945">
              <w:t>NT</w:t>
            </w:r>
          </w:p>
          <w:p w14:paraId="3AE28F1F" w14:textId="77777777" w:rsidR="00DF7945" w:rsidRPr="00CD1E37" w:rsidRDefault="00DF7945" w:rsidP="001D1295">
            <w:pPr>
              <w:pStyle w:val="ListParagraph"/>
              <w:widowControl w:val="0"/>
              <w:numPr>
                <w:ilvl w:val="0"/>
                <w:numId w:val="7"/>
              </w:numPr>
              <w:spacing w:before="120" w:after="120"/>
              <w:rPr>
                <w:sz w:val="28"/>
                <w:szCs w:val="28"/>
              </w:rPr>
            </w:pPr>
            <w:r w:rsidRPr="00DF7945">
              <w:t>No overarching targets for apprentices and trainees.</w:t>
            </w:r>
          </w:p>
        </w:tc>
      </w:tr>
      <w:tr w:rsidR="00DF7945" w:rsidRPr="00DF7945" w14:paraId="35880CFD" w14:textId="77777777" w:rsidTr="00A66FA7">
        <w:trPr>
          <w:cantSplit/>
        </w:trPr>
        <w:tc>
          <w:tcPr>
            <w:tcW w:w="9199" w:type="dxa"/>
          </w:tcPr>
          <w:p w14:paraId="3770BB80" w14:textId="77777777" w:rsidR="00DF7945" w:rsidRPr="00DF7945" w:rsidRDefault="00DF7945" w:rsidP="001D1295">
            <w:pPr>
              <w:pStyle w:val="Heading5"/>
              <w:keepNext w:val="0"/>
              <w:keepLines w:val="0"/>
              <w:widowControl w:val="0"/>
              <w:spacing w:before="120" w:after="120"/>
              <w:outlineLvl w:val="4"/>
            </w:pPr>
            <w:r w:rsidRPr="00DF7945">
              <w:t>WA</w:t>
            </w:r>
          </w:p>
          <w:p w14:paraId="7AD5F397" w14:textId="77777777" w:rsidR="00DF7945" w:rsidRPr="00DF7945" w:rsidRDefault="00DF7945" w:rsidP="00931C11">
            <w:pPr>
              <w:pStyle w:val="Heading7"/>
              <w:outlineLvl w:val="6"/>
            </w:pPr>
            <w:r w:rsidRPr="00DF7945">
              <w:t>Priority Start Policy (commenced in 2019)</w:t>
            </w:r>
          </w:p>
          <w:p w14:paraId="7CEEDCBD" w14:textId="77777777" w:rsidR="00DF7945" w:rsidRPr="00DF7945" w:rsidRDefault="00DF7945" w:rsidP="001D1295">
            <w:pPr>
              <w:pStyle w:val="ListParagraph"/>
              <w:widowControl w:val="0"/>
              <w:numPr>
                <w:ilvl w:val="0"/>
                <w:numId w:val="7"/>
              </w:numPr>
              <w:spacing w:before="120" w:after="120"/>
            </w:pPr>
            <w:r w:rsidRPr="00DF7945">
              <w:t>Seeks to increase training rate for apprentices and trainees on building constructions, civil construction and maintenance contracts.</w:t>
            </w:r>
          </w:p>
          <w:p w14:paraId="72974CA6" w14:textId="77777777" w:rsidR="00DF7945" w:rsidRPr="00DF7945" w:rsidRDefault="00DF7945" w:rsidP="001D1295">
            <w:pPr>
              <w:pStyle w:val="ListParagraph"/>
              <w:widowControl w:val="0"/>
              <w:numPr>
                <w:ilvl w:val="0"/>
                <w:numId w:val="7"/>
              </w:numPr>
              <w:spacing w:before="120" w:after="120"/>
            </w:pPr>
            <w:r w:rsidRPr="00DF7945">
              <w:t xml:space="preserve">Over $5 million: </w:t>
            </w:r>
          </w:p>
          <w:p w14:paraId="31645E3D" w14:textId="77777777" w:rsidR="00DF7945" w:rsidRPr="00DF7945" w:rsidRDefault="00DF7945" w:rsidP="001D1295">
            <w:pPr>
              <w:pStyle w:val="ListParagraph"/>
              <w:widowControl w:val="0"/>
              <w:numPr>
                <w:ilvl w:val="1"/>
                <w:numId w:val="7"/>
              </w:numPr>
              <w:spacing w:before="120" w:after="120"/>
            </w:pPr>
            <w:r w:rsidRPr="00CD1E37">
              <w:rPr>
                <w:b/>
                <w:bCs/>
              </w:rPr>
              <w:t xml:space="preserve">11.5% </w:t>
            </w:r>
            <w:r w:rsidRPr="00DF7945">
              <w:t xml:space="preserve">of construction trades workers for </w:t>
            </w:r>
            <w:r w:rsidRPr="00CD1E37">
              <w:rPr>
                <w:b/>
                <w:bCs/>
              </w:rPr>
              <w:t>building construction and maintenance contracts</w:t>
            </w:r>
            <w:r w:rsidRPr="00DF7945">
              <w:t xml:space="preserve"> are an apprentice or trainee. </w:t>
            </w:r>
          </w:p>
          <w:p w14:paraId="72800D38" w14:textId="77777777" w:rsidR="00DF7945" w:rsidRPr="00DF7945" w:rsidRDefault="00DF7945" w:rsidP="001D1295">
            <w:pPr>
              <w:pStyle w:val="ListParagraph"/>
              <w:widowControl w:val="0"/>
              <w:numPr>
                <w:ilvl w:val="1"/>
                <w:numId w:val="7"/>
              </w:numPr>
              <w:spacing w:before="120" w:after="120"/>
            </w:pPr>
            <w:r w:rsidRPr="00CD1E37">
              <w:rPr>
                <w:b/>
                <w:bCs/>
              </w:rPr>
              <w:t xml:space="preserve">5% </w:t>
            </w:r>
            <w:r w:rsidRPr="00DF7945">
              <w:t xml:space="preserve">of construction trades workers for </w:t>
            </w:r>
            <w:r w:rsidRPr="00CD1E37">
              <w:rPr>
                <w:b/>
                <w:bCs/>
              </w:rPr>
              <w:t>civil construction</w:t>
            </w:r>
            <w:r w:rsidRPr="00DF7945">
              <w:t xml:space="preserve"> are an apprentice or trainee.</w:t>
            </w:r>
          </w:p>
        </w:tc>
      </w:tr>
      <w:tr w:rsidR="00DF7945" w:rsidRPr="00DF7945" w14:paraId="1036EBE7" w14:textId="77777777" w:rsidTr="00A66FA7">
        <w:trPr>
          <w:cantSplit/>
        </w:trPr>
        <w:tc>
          <w:tcPr>
            <w:tcW w:w="9199" w:type="dxa"/>
          </w:tcPr>
          <w:p w14:paraId="3F671243" w14:textId="77777777" w:rsidR="00DF7945" w:rsidRPr="00DF7945" w:rsidRDefault="00DF7945" w:rsidP="001D1295">
            <w:pPr>
              <w:pStyle w:val="Heading5"/>
              <w:keepNext w:val="0"/>
              <w:keepLines w:val="0"/>
              <w:widowControl w:val="0"/>
              <w:spacing w:before="120" w:after="120"/>
              <w:outlineLvl w:val="4"/>
            </w:pPr>
            <w:r w:rsidRPr="00DF7945">
              <w:t>SA</w:t>
            </w:r>
          </w:p>
          <w:p w14:paraId="703471B3" w14:textId="77777777" w:rsidR="00DF7945" w:rsidRPr="00DF7945" w:rsidRDefault="00DF7945" w:rsidP="00931C11">
            <w:pPr>
              <w:pStyle w:val="Heading7"/>
              <w:outlineLvl w:val="6"/>
            </w:pPr>
            <w:r w:rsidRPr="00DF7945">
              <w:t>South Australian Industry Participation Policy (commenced in 2018)</w:t>
            </w:r>
          </w:p>
          <w:p w14:paraId="26FAC64E" w14:textId="77777777" w:rsidR="00DF7945" w:rsidRPr="00DF7945" w:rsidRDefault="00DF7945" w:rsidP="001D1295">
            <w:pPr>
              <w:pStyle w:val="ListParagraph"/>
              <w:widowControl w:val="0"/>
              <w:numPr>
                <w:ilvl w:val="0"/>
                <w:numId w:val="7"/>
              </w:numPr>
              <w:spacing w:before="120" w:after="120"/>
            </w:pPr>
            <w:r w:rsidRPr="00DF7945">
              <w:t xml:space="preserve">Requires </w:t>
            </w:r>
            <w:r w:rsidRPr="00CD1E37">
              <w:rPr>
                <w:b/>
                <w:bCs/>
              </w:rPr>
              <w:t>Industry Participation Plans</w:t>
            </w:r>
            <w:r w:rsidRPr="00DF7945">
              <w:t xml:space="preserve"> for </w:t>
            </w:r>
            <w:r w:rsidRPr="00CD1E37">
              <w:rPr>
                <w:b/>
                <w:bCs/>
              </w:rPr>
              <w:t>major construction projects</w:t>
            </w:r>
            <w:r w:rsidRPr="00DF7945">
              <w:t xml:space="preserve"> to seek to achieve a target which includes apprentices and trainees.</w:t>
            </w:r>
          </w:p>
          <w:p w14:paraId="7D9675EC" w14:textId="77777777" w:rsidR="00DF7945" w:rsidRPr="00DF7945" w:rsidRDefault="00DF7945" w:rsidP="001D1295">
            <w:pPr>
              <w:pStyle w:val="ListParagraph"/>
              <w:widowControl w:val="0"/>
              <w:numPr>
                <w:ilvl w:val="0"/>
                <w:numId w:val="7"/>
              </w:numPr>
              <w:spacing w:before="120" w:after="120"/>
              <w:ind w:left="714" w:hanging="357"/>
            </w:pPr>
            <w:r w:rsidRPr="00DF7945">
              <w:t xml:space="preserve">Over </w:t>
            </w:r>
            <w:r w:rsidRPr="00CD1E37">
              <w:rPr>
                <w:b/>
                <w:bCs/>
              </w:rPr>
              <w:t>$50 million: 20%</w:t>
            </w:r>
            <w:r w:rsidRPr="00DF7945">
              <w:t xml:space="preserve"> of all labour hours be undertaken by nominated groups, including apprentices and trainees.</w:t>
            </w:r>
          </w:p>
        </w:tc>
      </w:tr>
      <w:tr w:rsidR="00DF7945" w:rsidRPr="00DF7945" w14:paraId="1607A868" w14:textId="77777777" w:rsidTr="00A66FA7">
        <w:trPr>
          <w:cantSplit/>
        </w:trPr>
        <w:tc>
          <w:tcPr>
            <w:tcW w:w="9199" w:type="dxa"/>
          </w:tcPr>
          <w:p w14:paraId="2604B87D" w14:textId="77777777" w:rsidR="00DF7945" w:rsidRPr="00DF7945" w:rsidRDefault="00DF7945" w:rsidP="00931C11">
            <w:pPr>
              <w:pStyle w:val="Heading5"/>
              <w:keepNext w:val="0"/>
              <w:keepLines w:val="0"/>
              <w:widowControl w:val="0"/>
              <w:spacing w:before="60" w:after="60"/>
              <w:outlineLvl w:val="4"/>
            </w:pPr>
            <w:r w:rsidRPr="00DF7945">
              <w:lastRenderedPageBreak/>
              <w:t>TAS</w:t>
            </w:r>
          </w:p>
          <w:p w14:paraId="1E265666" w14:textId="77777777" w:rsidR="00DF7945" w:rsidRPr="00DF7945" w:rsidRDefault="00DF7945" w:rsidP="00931C11">
            <w:pPr>
              <w:pStyle w:val="Heading7"/>
              <w:spacing w:before="60" w:after="60"/>
              <w:outlineLvl w:val="6"/>
            </w:pPr>
            <w:r w:rsidRPr="00DF7945">
              <w:t>Building and Construction Training Policy (commenced in 2002)</w:t>
            </w:r>
          </w:p>
          <w:p w14:paraId="3FCD495E" w14:textId="77777777" w:rsidR="00DF7945" w:rsidRPr="00DF7945" w:rsidRDefault="00DF7945" w:rsidP="00931C11">
            <w:pPr>
              <w:pStyle w:val="ListParagraph"/>
              <w:widowControl w:val="0"/>
              <w:numPr>
                <w:ilvl w:val="0"/>
                <w:numId w:val="7"/>
              </w:numPr>
              <w:spacing w:before="60" w:after="60"/>
            </w:pPr>
            <w:r w:rsidRPr="00DF7945">
              <w:t xml:space="preserve">Mandates a target for engagement of apprentices and trainees on </w:t>
            </w:r>
            <w:r w:rsidRPr="00CD1E37">
              <w:rPr>
                <w:b/>
                <w:bCs/>
              </w:rPr>
              <w:t>building and civil construction</w:t>
            </w:r>
            <w:r w:rsidRPr="00DF7945">
              <w:t xml:space="preserve"> projects.</w:t>
            </w:r>
          </w:p>
          <w:p w14:paraId="41846B79" w14:textId="77777777" w:rsidR="00DF7945" w:rsidRPr="00DF7945" w:rsidRDefault="00DF7945" w:rsidP="00931C11">
            <w:pPr>
              <w:pStyle w:val="ListParagraph"/>
              <w:widowControl w:val="0"/>
              <w:numPr>
                <w:ilvl w:val="0"/>
                <w:numId w:val="7"/>
              </w:numPr>
              <w:spacing w:before="60" w:after="60"/>
            </w:pPr>
            <w:r w:rsidRPr="00DF7945">
              <w:t xml:space="preserve">Applies to </w:t>
            </w:r>
            <w:r w:rsidRPr="00CD1E37">
              <w:rPr>
                <w:b/>
                <w:bCs/>
              </w:rPr>
              <w:t>building and construction projects</w:t>
            </w:r>
            <w:r w:rsidRPr="00DF7945">
              <w:t xml:space="preserve"> valued at </w:t>
            </w:r>
            <w:r w:rsidRPr="00CD1E37">
              <w:rPr>
                <w:b/>
                <w:bCs/>
              </w:rPr>
              <w:t>$250,000</w:t>
            </w:r>
            <w:r w:rsidRPr="00DF7945">
              <w:t xml:space="preserve"> or more: </w:t>
            </w:r>
            <w:r w:rsidRPr="00CD1E37">
              <w:rPr>
                <w:b/>
                <w:bCs/>
              </w:rPr>
              <w:t>20%</w:t>
            </w:r>
            <w:r w:rsidRPr="00DF7945">
              <w:t xml:space="preserve"> of the total labour hours on building and construction projects be undertaken by apprentices or trainees. </w:t>
            </w:r>
          </w:p>
          <w:p w14:paraId="101BD002" w14:textId="77777777" w:rsidR="00DF7945" w:rsidRPr="00DF7945" w:rsidRDefault="00DF7945" w:rsidP="00931C11">
            <w:pPr>
              <w:pStyle w:val="ListParagraph"/>
              <w:widowControl w:val="0"/>
              <w:numPr>
                <w:ilvl w:val="0"/>
                <w:numId w:val="7"/>
              </w:numPr>
              <w:spacing w:before="60" w:after="60"/>
            </w:pPr>
            <w:r w:rsidRPr="00DF7945">
              <w:t xml:space="preserve">For </w:t>
            </w:r>
            <w:r w:rsidRPr="00CD1E37">
              <w:rPr>
                <w:b/>
                <w:bCs/>
              </w:rPr>
              <w:t>civil construction projects</w:t>
            </w:r>
            <w:r w:rsidRPr="00DF7945">
              <w:t xml:space="preserve"> valued at </w:t>
            </w:r>
            <w:r w:rsidRPr="00CD1E37">
              <w:rPr>
                <w:b/>
                <w:bCs/>
              </w:rPr>
              <w:t>$5 million or more: 10%</w:t>
            </w:r>
            <w:r w:rsidRPr="00DF7945">
              <w:t xml:space="preserve"> of the total labour hours be undertaken by apprentices and trainees or employees engaged on the project undertaking other workplace training.</w:t>
            </w:r>
          </w:p>
        </w:tc>
      </w:tr>
      <w:tr w:rsidR="00DF7945" w:rsidRPr="00DF7945" w14:paraId="1EAFA007" w14:textId="77777777" w:rsidTr="00A66FA7">
        <w:trPr>
          <w:cantSplit/>
        </w:trPr>
        <w:tc>
          <w:tcPr>
            <w:tcW w:w="9199" w:type="dxa"/>
          </w:tcPr>
          <w:p w14:paraId="3ED462CA" w14:textId="77777777" w:rsidR="00DF7945" w:rsidRPr="00DF7945" w:rsidRDefault="00DF7945" w:rsidP="00931C11">
            <w:pPr>
              <w:pStyle w:val="Heading5"/>
              <w:spacing w:before="60" w:after="60"/>
              <w:outlineLvl w:val="4"/>
            </w:pPr>
            <w:r w:rsidRPr="00DF7945">
              <w:t>ACT</w:t>
            </w:r>
          </w:p>
          <w:p w14:paraId="74DEC462" w14:textId="77777777" w:rsidR="00DF7945" w:rsidRPr="00DF7945" w:rsidRDefault="00DF7945" w:rsidP="00931C11">
            <w:pPr>
              <w:pStyle w:val="Heading7"/>
              <w:spacing w:before="60" w:after="60"/>
              <w:outlineLvl w:val="6"/>
            </w:pPr>
            <w:r w:rsidRPr="00DF7945">
              <w:t>Inclusive apprenticeships under the Skilled to Succeed Policy (commenced in 2019)</w:t>
            </w:r>
          </w:p>
          <w:p w14:paraId="2120DE1D" w14:textId="77777777" w:rsidR="00DF7945" w:rsidRPr="00DF7945" w:rsidRDefault="00DF7945" w:rsidP="00931C11">
            <w:pPr>
              <w:pStyle w:val="ListParagraph"/>
              <w:widowControl w:val="0"/>
              <w:numPr>
                <w:ilvl w:val="0"/>
                <w:numId w:val="7"/>
              </w:numPr>
              <w:spacing w:before="60" w:after="60"/>
            </w:pPr>
            <w:r w:rsidRPr="00DF7945">
              <w:t xml:space="preserve">Dedicated targets for apprentice employment on major infrastructure projects. It sets targets for employing and supporting apprentices and trainees, with identified focus groups for each. </w:t>
            </w:r>
            <w:r w:rsidRPr="00CD1E37">
              <w:rPr>
                <w:b/>
                <w:bCs/>
              </w:rPr>
              <w:t>No minimum threshold for major projects that are in scope.</w:t>
            </w:r>
          </w:p>
          <w:p w14:paraId="04F5B16A" w14:textId="77777777" w:rsidR="00DF7945" w:rsidRPr="00DF7945" w:rsidRDefault="00DF7945" w:rsidP="00931C11">
            <w:pPr>
              <w:pStyle w:val="ListParagraph"/>
              <w:widowControl w:val="0"/>
              <w:numPr>
                <w:ilvl w:val="1"/>
                <w:numId w:val="7"/>
              </w:numPr>
              <w:spacing w:before="60" w:after="60"/>
            </w:pPr>
            <w:r w:rsidRPr="00CD1E37">
              <w:rPr>
                <w:b/>
                <w:bCs/>
              </w:rPr>
              <w:t>Raising London Circuit and light rail Stage 2A:</w:t>
            </w:r>
            <w:r w:rsidRPr="00DF7945">
              <w:t xml:space="preserve"> </w:t>
            </w:r>
            <w:r w:rsidRPr="00CD1E37">
              <w:rPr>
                <w:b/>
                <w:bCs/>
              </w:rPr>
              <w:t>10%</w:t>
            </w:r>
            <w:r w:rsidRPr="00DF7945">
              <w:t xml:space="preserve"> of labour spend on employing and supporting apprentices and trainees, and an additional focus on supporting women in trades and Aboriginal and Torres Strait Islander apprentices.</w:t>
            </w:r>
          </w:p>
          <w:p w14:paraId="60A3EFCB" w14:textId="77777777" w:rsidR="00DF7945" w:rsidRPr="00DF7945" w:rsidRDefault="00DF7945" w:rsidP="00931C11">
            <w:pPr>
              <w:pStyle w:val="ListParagraph"/>
              <w:widowControl w:val="0"/>
              <w:numPr>
                <w:ilvl w:val="1"/>
                <w:numId w:val="7"/>
              </w:numPr>
              <w:spacing w:before="60" w:after="60"/>
            </w:pPr>
            <w:r w:rsidRPr="00CD1E37">
              <w:rPr>
                <w:b/>
                <w:bCs/>
              </w:rPr>
              <w:t>The Canberra Hospital Expansion: 30%</w:t>
            </w:r>
            <w:r w:rsidRPr="00DF7945">
              <w:t xml:space="preserve"> ratio of apprentices, trainees and cadets across its total workforce. </w:t>
            </w:r>
          </w:p>
          <w:p w14:paraId="0C33391C" w14:textId="77777777" w:rsidR="00DF7945" w:rsidRPr="00CD1E37" w:rsidRDefault="00DF7945" w:rsidP="00931C11">
            <w:pPr>
              <w:pStyle w:val="ListParagraph"/>
              <w:widowControl w:val="0"/>
              <w:numPr>
                <w:ilvl w:val="1"/>
                <w:numId w:val="7"/>
              </w:numPr>
              <w:spacing w:before="60" w:after="60"/>
              <w:rPr>
                <w:b/>
                <w:bCs/>
              </w:rPr>
            </w:pPr>
            <w:r w:rsidRPr="00DF7945">
              <w:t xml:space="preserve">The construction of </w:t>
            </w:r>
            <w:r w:rsidRPr="00CD1E37">
              <w:rPr>
                <w:b/>
                <w:bCs/>
              </w:rPr>
              <w:t>CIT Woden:</w:t>
            </w:r>
          </w:p>
          <w:p w14:paraId="24228C0A" w14:textId="77777777" w:rsidR="00DF7945" w:rsidRPr="00DF7945" w:rsidRDefault="00DF7945" w:rsidP="00931C11">
            <w:pPr>
              <w:pStyle w:val="ListParagraph"/>
              <w:widowControl w:val="0"/>
              <w:numPr>
                <w:ilvl w:val="2"/>
                <w:numId w:val="7"/>
              </w:numPr>
              <w:spacing w:before="60" w:after="60"/>
            </w:pPr>
            <w:r w:rsidRPr="00CD1E37">
              <w:rPr>
                <w:b/>
                <w:bCs/>
              </w:rPr>
              <w:t xml:space="preserve">10% </w:t>
            </w:r>
            <w:r w:rsidRPr="00DF7945">
              <w:t xml:space="preserve">of work to be undertaken by apprentices and trainees. </w:t>
            </w:r>
          </w:p>
          <w:p w14:paraId="5C631D32" w14:textId="77777777" w:rsidR="00DF7945" w:rsidRPr="00DF7945" w:rsidRDefault="00DF7945" w:rsidP="00931C11">
            <w:pPr>
              <w:pStyle w:val="ListParagraph"/>
              <w:widowControl w:val="0"/>
              <w:numPr>
                <w:ilvl w:val="2"/>
                <w:numId w:val="7"/>
              </w:numPr>
              <w:spacing w:before="60" w:after="60"/>
            </w:pPr>
            <w:r w:rsidRPr="00DF7945">
              <w:t>minimum requirements for the employment of women in construction roles.</w:t>
            </w:r>
          </w:p>
          <w:p w14:paraId="6163DE87" w14:textId="77777777" w:rsidR="00DF7945" w:rsidRPr="00DF7945" w:rsidRDefault="00DF7945" w:rsidP="00931C11">
            <w:pPr>
              <w:pStyle w:val="Heading7"/>
              <w:spacing w:before="60" w:after="60"/>
              <w:outlineLvl w:val="6"/>
            </w:pPr>
            <w:r w:rsidRPr="00DF7945">
              <w:t>Women in Construction Procurement Policy (proposed to commence 1 July 2024)</w:t>
            </w:r>
          </w:p>
          <w:p w14:paraId="4F5CD94D" w14:textId="77777777" w:rsidR="00DF7945" w:rsidRPr="00DF7945" w:rsidRDefault="00DF7945" w:rsidP="00931C11">
            <w:pPr>
              <w:pStyle w:val="ListParagraph"/>
              <w:widowControl w:val="0"/>
              <w:numPr>
                <w:ilvl w:val="0"/>
                <w:numId w:val="7"/>
              </w:numPr>
              <w:spacing w:before="60" w:after="60"/>
            </w:pPr>
            <w:r w:rsidRPr="00DF7945">
              <w:t>The ACT Government is developing a procurement policy for women in construction procurements.</w:t>
            </w:r>
          </w:p>
          <w:p w14:paraId="38094D45" w14:textId="77777777" w:rsidR="00DF7945" w:rsidRPr="00CD1E37" w:rsidRDefault="00DF7945" w:rsidP="00931C11">
            <w:pPr>
              <w:pStyle w:val="ListParagraph"/>
              <w:widowControl w:val="0"/>
              <w:numPr>
                <w:ilvl w:val="0"/>
                <w:numId w:val="7"/>
              </w:numPr>
              <w:spacing w:before="60" w:after="60"/>
              <w:rPr>
                <w:b/>
                <w:bCs/>
              </w:rPr>
            </w:pPr>
            <w:r w:rsidRPr="00DF7945">
              <w:t xml:space="preserve">For </w:t>
            </w:r>
            <w:r w:rsidRPr="00CD1E37">
              <w:rPr>
                <w:b/>
                <w:bCs/>
              </w:rPr>
              <w:t>construction</w:t>
            </w:r>
            <w:r w:rsidRPr="00DF7945">
              <w:t xml:space="preserve"> contracts estimated at or over </w:t>
            </w:r>
            <w:r w:rsidRPr="00CD1E37">
              <w:rPr>
                <w:b/>
                <w:bCs/>
              </w:rPr>
              <w:t xml:space="preserve">$5 million: </w:t>
            </w:r>
          </w:p>
          <w:p w14:paraId="57E611ED" w14:textId="77777777" w:rsidR="00DF7945" w:rsidRPr="00DF7945" w:rsidRDefault="00DF7945" w:rsidP="00931C11">
            <w:pPr>
              <w:pStyle w:val="ListParagraph"/>
              <w:widowControl w:val="0"/>
              <w:numPr>
                <w:ilvl w:val="1"/>
                <w:numId w:val="7"/>
              </w:numPr>
              <w:spacing w:before="60" w:after="60"/>
            </w:pPr>
            <w:r w:rsidRPr="00DF7945">
              <w:t>Suppliers can choose to meet contract-based targets or supplier-based targets.</w:t>
            </w:r>
          </w:p>
          <w:p w14:paraId="304AA457" w14:textId="77777777" w:rsidR="00DF7945" w:rsidRPr="00DF7945" w:rsidRDefault="00DF7945" w:rsidP="00931C11">
            <w:pPr>
              <w:pStyle w:val="ListParagraph"/>
              <w:widowControl w:val="0"/>
              <w:numPr>
                <w:ilvl w:val="1"/>
                <w:numId w:val="7"/>
              </w:numPr>
              <w:spacing w:before="60" w:after="60"/>
            </w:pPr>
            <w:r w:rsidRPr="00DF7945">
              <w:t xml:space="preserve">Contract targets: </w:t>
            </w:r>
            <w:r w:rsidRPr="00CD1E37">
              <w:rPr>
                <w:b/>
                <w:bCs/>
              </w:rPr>
              <w:t xml:space="preserve">Women </w:t>
            </w:r>
            <w:r w:rsidRPr="00DF7945">
              <w:t>to perform</w:t>
            </w:r>
            <w:r w:rsidRPr="00CD1E37">
              <w:rPr>
                <w:b/>
                <w:bCs/>
              </w:rPr>
              <w:t xml:space="preserve"> 25%</w:t>
            </w:r>
            <w:r w:rsidRPr="00DF7945">
              <w:t xml:space="preserve"> of the total estimated labour hours, with 5% of the total estimated hours for trade covered labour and non-trade construction award covered labour roles performed by women. </w:t>
            </w:r>
          </w:p>
          <w:p w14:paraId="3A8F5F05" w14:textId="77777777" w:rsidR="00DF7945" w:rsidRPr="00DF7945" w:rsidRDefault="00DF7945" w:rsidP="00931C11">
            <w:pPr>
              <w:pStyle w:val="ListParagraph"/>
              <w:widowControl w:val="0"/>
              <w:numPr>
                <w:ilvl w:val="1"/>
                <w:numId w:val="7"/>
              </w:numPr>
              <w:spacing w:before="60" w:after="60"/>
            </w:pPr>
            <w:r w:rsidRPr="00DF7945">
              <w:t xml:space="preserve">Supplier targets: </w:t>
            </w:r>
            <w:r w:rsidRPr="00CD1E37">
              <w:rPr>
                <w:b/>
                <w:bCs/>
              </w:rPr>
              <w:t>Women</w:t>
            </w:r>
            <w:r w:rsidRPr="00DF7945">
              <w:t xml:space="preserve"> represent </w:t>
            </w:r>
            <w:r w:rsidRPr="00CD1E37">
              <w:rPr>
                <w:b/>
                <w:bCs/>
              </w:rPr>
              <w:t>30%</w:t>
            </w:r>
            <w:r w:rsidRPr="00DF7945">
              <w:t xml:space="preserve"> of the supplier’s workforce, including: </w:t>
            </w:r>
          </w:p>
          <w:p w14:paraId="293D0C3F" w14:textId="77777777" w:rsidR="00DF7945" w:rsidRPr="00DF7945" w:rsidRDefault="00DF7945" w:rsidP="00931C11">
            <w:pPr>
              <w:pStyle w:val="ListParagraph"/>
              <w:widowControl w:val="0"/>
              <w:numPr>
                <w:ilvl w:val="2"/>
                <w:numId w:val="7"/>
              </w:numPr>
              <w:spacing w:before="60" w:after="60"/>
            </w:pPr>
            <w:r w:rsidRPr="00DF7945">
              <w:t xml:space="preserve">Women represent 3% of all trade covered labour positions. </w:t>
            </w:r>
          </w:p>
          <w:p w14:paraId="260BA707" w14:textId="77777777" w:rsidR="00DF7945" w:rsidRPr="00DF7945" w:rsidRDefault="00DF7945" w:rsidP="00931C11">
            <w:pPr>
              <w:pStyle w:val="ListParagraph"/>
              <w:widowControl w:val="0"/>
              <w:numPr>
                <w:ilvl w:val="2"/>
                <w:numId w:val="7"/>
              </w:numPr>
              <w:spacing w:before="60" w:after="60"/>
            </w:pPr>
            <w:r w:rsidRPr="00DF7945">
              <w:t xml:space="preserve">Women represent 7% of all non-trade Construction Award covered labour positions. </w:t>
            </w:r>
          </w:p>
          <w:p w14:paraId="28137EBA" w14:textId="77777777" w:rsidR="00DF7945" w:rsidRPr="00DF7945" w:rsidRDefault="00DF7945" w:rsidP="00931C11">
            <w:pPr>
              <w:pStyle w:val="ListParagraph"/>
              <w:widowControl w:val="0"/>
              <w:numPr>
                <w:ilvl w:val="2"/>
                <w:numId w:val="7"/>
              </w:numPr>
              <w:spacing w:before="60" w:after="60"/>
            </w:pPr>
            <w:r w:rsidRPr="00DF7945">
              <w:t xml:space="preserve">Women represent 25% of all management/supervisory and specialist labour positions. </w:t>
            </w:r>
          </w:p>
          <w:p w14:paraId="0EF16E7B" w14:textId="77777777" w:rsidR="00DF7945" w:rsidRPr="00DF7945" w:rsidRDefault="00DF7945" w:rsidP="00931C11">
            <w:pPr>
              <w:pStyle w:val="ListParagraph"/>
              <w:widowControl w:val="0"/>
              <w:numPr>
                <w:ilvl w:val="0"/>
                <w:numId w:val="7"/>
              </w:numPr>
              <w:spacing w:before="60" w:after="60"/>
            </w:pPr>
            <w:r w:rsidRPr="00CD1E37">
              <w:rPr>
                <w:b/>
                <w:bCs/>
              </w:rPr>
              <w:t>Over $10 million</w:t>
            </w:r>
            <w:r w:rsidRPr="00DF7945">
              <w:t xml:space="preserve">, and an anticipated contract term of </w:t>
            </w:r>
            <w:r w:rsidRPr="00CD1E37">
              <w:rPr>
                <w:b/>
                <w:bCs/>
              </w:rPr>
              <w:t>3 years or more</w:t>
            </w:r>
            <w:r w:rsidRPr="00DF7945">
              <w:t xml:space="preserve">: </w:t>
            </w:r>
          </w:p>
          <w:p w14:paraId="5F280E0B" w14:textId="77777777" w:rsidR="00DF7945" w:rsidRPr="00DF7945" w:rsidRDefault="00DF7945" w:rsidP="00931C11">
            <w:pPr>
              <w:pStyle w:val="ListParagraph"/>
              <w:widowControl w:val="0"/>
              <w:numPr>
                <w:ilvl w:val="1"/>
                <w:numId w:val="7"/>
              </w:numPr>
              <w:spacing w:before="60" w:after="60"/>
            </w:pPr>
            <w:r w:rsidRPr="00CD1E37">
              <w:rPr>
                <w:b/>
                <w:bCs/>
              </w:rPr>
              <w:t>Women</w:t>
            </w:r>
            <w:r w:rsidRPr="00DF7945">
              <w:t xml:space="preserve"> to represent </w:t>
            </w:r>
            <w:r w:rsidRPr="00CD1E37">
              <w:rPr>
                <w:b/>
                <w:bCs/>
              </w:rPr>
              <w:t>20%</w:t>
            </w:r>
            <w:r w:rsidRPr="00DF7945">
              <w:t xml:space="preserve"> of total estimated labour hours for registered apprentices and trainees. </w:t>
            </w:r>
          </w:p>
        </w:tc>
      </w:tr>
    </w:tbl>
    <w:p w14:paraId="104FFD6B" w14:textId="5A5A18DF" w:rsidR="00D9628C" w:rsidRDefault="00D9628C" w:rsidP="00CD1E37">
      <w:pPr>
        <w:rPr>
          <w:rFonts w:eastAsia="Times New Roman"/>
          <w:lang w:eastAsia="en-AU"/>
        </w:rPr>
      </w:pPr>
      <w:r>
        <w:br w:type="page"/>
      </w:r>
    </w:p>
    <w:p w14:paraId="4D790192" w14:textId="4203D068" w:rsidR="00613172" w:rsidRDefault="00D9628C" w:rsidP="00CD1E37">
      <w:pPr>
        <w:pStyle w:val="Heading1"/>
      </w:pPr>
      <w:bookmarkStart w:id="45" w:name="_Toc159246246"/>
      <w:r w:rsidRPr="00315403">
        <w:rPr>
          <w:rFonts w:cs="Times New Roman"/>
        </w:rPr>
        <w:lastRenderedPageBreak/>
        <w:t xml:space="preserve">Appendix </w:t>
      </w:r>
      <w:r w:rsidR="006A6797" w:rsidRPr="00315403">
        <w:rPr>
          <w:rFonts w:cs="Times New Roman"/>
        </w:rPr>
        <w:t>B</w:t>
      </w:r>
      <w:r w:rsidR="00493216" w:rsidRPr="00315403">
        <w:t>.</w:t>
      </w:r>
      <w:r w:rsidRPr="00315403">
        <w:t xml:space="preserve"> </w:t>
      </w:r>
      <w:r w:rsidR="00C316C9" w:rsidRPr="00315403">
        <w:t xml:space="preserve">Regulatory Burden </w:t>
      </w:r>
      <w:r w:rsidR="00493216" w:rsidRPr="00315403">
        <w:t xml:space="preserve">Estimates </w:t>
      </w:r>
      <w:r w:rsidR="00FE024E" w:rsidRPr="00315403">
        <w:t>(RBE)</w:t>
      </w:r>
      <w:bookmarkEnd w:id="45"/>
      <w:r w:rsidR="00FE024E" w:rsidRPr="00315403">
        <w:t xml:space="preserve"> </w:t>
      </w:r>
    </w:p>
    <w:p w14:paraId="4BA939A4" w14:textId="1AD3B2CA" w:rsidR="005E66ED" w:rsidRPr="005E66ED" w:rsidRDefault="005E66ED" w:rsidP="007F1699">
      <w:pPr>
        <w:pStyle w:val="Heading2"/>
      </w:pPr>
      <w:bookmarkStart w:id="46" w:name="_Toc159246247"/>
      <w:r w:rsidRPr="00B67761">
        <w:t xml:space="preserve">Option 1 Regulatory </w:t>
      </w:r>
      <w:r w:rsidR="0040537E" w:rsidRPr="00B67761">
        <w:t>burden estimate</w:t>
      </w:r>
      <w:bookmarkEnd w:id="46"/>
    </w:p>
    <w:p w14:paraId="54C02D62" w14:textId="3C785044" w:rsidR="005E66ED" w:rsidRDefault="005E66ED" w:rsidP="00CD1E37">
      <w:pPr>
        <w:rPr>
          <w:rStyle w:val="eop"/>
        </w:rPr>
      </w:pPr>
      <w:r w:rsidRPr="177BCC9F">
        <w:rPr>
          <w:rStyle w:val="normaltextrun"/>
          <w:rFonts w:eastAsiaTheme="minorEastAsia"/>
        </w:rPr>
        <w:t>For Option 1, the regulatory cost is neutral with no policy changes. In jurisdictions where similar workforce targets were set, suppliers will continue to meet reporting requirements as set by state and territory authorities</w:t>
      </w:r>
      <w:r w:rsidR="00E76986" w:rsidRPr="177BCC9F">
        <w:rPr>
          <w:rStyle w:val="normaltextrun"/>
          <w:rFonts w:eastAsiaTheme="minorEastAsia"/>
        </w:rPr>
        <w:t xml:space="preserve"> for their projects</w:t>
      </w:r>
      <w:r w:rsidRPr="177BCC9F">
        <w:rPr>
          <w:rStyle w:val="normaltextrun"/>
          <w:rFonts w:eastAsiaTheme="minorEastAsia"/>
        </w:rPr>
        <w:t>.</w:t>
      </w:r>
      <w:r w:rsidRPr="177BCC9F">
        <w:rPr>
          <w:rStyle w:val="eop"/>
        </w:rPr>
        <w:t> </w:t>
      </w:r>
      <w:r w:rsidR="00CF608E" w:rsidRPr="177BCC9F">
        <w:rPr>
          <w:rStyle w:val="eop"/>
        </w:rPr>
        <w:t xml:space="preserve">There will continue to be no workforce targets for Commonwealth projects. </w:t>
      </w:r>
    </w:p>
    <w:p w14:paraId="6B99FCAA" w14:textId="7B8ED896" w:rsidR="005E66ED" w:rsidRPr="001764A0" w:rsidRDefault="005E66ED" w:rsidP="005A35C0">
      <w:pPr>
        <w:pStyle w:val="Caption"/>
        <w:rPr>
          <w:rStyle w:val="eop"/>
          <w:b w:val="0"/>
        </w:rPr>
      </w:pPr>
      <w:r w:rsidRPr="003B1BD7">
        <w:rPr>
          <w:rStyle w:val="eop"/>
        </w:rPr>
        <w:t xml:space="preserve">Table </w:t>
      </w:r>
      <w:r w:rsidR="000C66C5">
        <w:rPr>
          <w:rStyle w:val="eop"/>
        </w:rPr>
        <w:t>9</w:t>
      </w:r>
      <w:r w:rsidRPr="005A35C0">
        <w:rPr>
          <w:rStyle w:val="eop"/>
        </w:rPr>
        <w:t>: Average annual regulatory costs for Option 1</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2502"/>
        <w:gridCol w:w="1252"/>
        <w:gridCol w:w="1403"/>
        <w:gridCol w:w="2402"/>
        <w:gridCol w:w="1633"/>
      </w:tblGrid>
      <w:tr w:rsidR="005E66ED" w:rsidRPr="00995541" w14:paraId="59688A54"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9319" w:type="dxa"/>
            <w:gridSpan w:val="5"/>
            <w:shd w:val="clear" w:color="auto" w:fill="404246"/>
          </w:tcPr>
          <w:p w14:paraId="0D7EED76" w14:textId="77777777" w:rsidR="005E66ED" w:rsidRPr="00995541" w:rsidRDefault="005E66ED" w:rsidP="00F65C16">
            <w:pPr>
              <w:pStyle w:val="TBLHeading"/>
            </w:pPr>
            <w:r w:rsidRPr="00995541">
              <w:t>Average annual regulatory costs</w:t>
            </w:r>
          </w:p>
        </w:tc>
      </w:tr>
      <w:tr w:rsidR="005E66ED" w:rsidRPr="00995541" w14:paraId="282CB2BC" w14:textId="77777777">
        <w:trPr>
          <w:trHeight w:val="350"/>
        </w:trPr>
        <w:tc>
          <w:tcPr>
            <w:tcW w:w="2555" w:type="dxa"/>
          </w:tcPr>
          <w:p w14:paraId="1A8F96C7" w14:textId="77777777" w:rsidR="005E66ED" w:rsidRPr="00B67761" w:rsidRDefault="005E66ED" w:rsidP="00CD1E37">
            <w:pPr>
              <w:pStyle w:val="TBLText"/>
              <w:rPr>
                <w:sz w:val="22"/>
                <w:szCs w:val="22"/>
              </w:rPr>
            </w:pPr>
            <w:r w:rsidRPr="00B67761">
              <w:rPr>
                <w:sz w:val="22"/>
                <w:szCs w:val="22"/>
              </w:rPr>
              <w:t>Change in costs ($ million)</w:t>
            </w:r>
          </w:p>
        </w:tc>
        <w:tc>
          <w:tcPr>
            <w:tcW w:w="1254" w:type="dxa"/>
          </w:tcPr>
          <w:p w14:paraId="1198171A" w14:textId="77777777" w:rsidR="005E66ED" w:rsidRPr="00B67761" w:rsidRDefault="005E66ED" w:rsidP="00CD1E37">
            <w:pPr>
              <w:pStyle w:val="TBLText"/>
              <w:rPr>
                <w:sz w:val="22"/>
                <w:szCs w:val="22"/>
              </w:rPr>
            </w:pPr>
            <w:r w:rsidRPr="00B67761">
              <w:rPr>
                <w:sz w:val="22"/>
                <w:szCs w:val="22"/>
              </w:rPr>
              <w:t>Individuals</w:t>
            </w:r>
          </w:p>
        </w:tc>
        <w:tc>
          <w:tcPr>
            <w:tcW w:w="1417" w:type="dxa"/>
          </w:tcPr>
          <w:p w14:paraId="12BB0CE0" w14:textId="77777777" w:rsidR="005E66ED" w:rsidRPr="00B67761" w:rsidRDefault="005E66ED" w:rsidP="00CD1E37">
            <w:pPr>
              <w:pStyle w:val="TBLText"/>
              <w:rPr>
                <w:sz w:val="22"/>
                <w:szCs w:val="22"/>
              </w:rPr>
            </w:pPr>
            <w:r w:rsidRPr="00B67761">
              <w:rPr>
                <w:sz w:val="22"/>
                <w:szCs w:val="22"/>
              </w:rPr>
              <w:t xml:space="preserve">Business </w:t>
            </w:r>
          </w:p>
        </w:tc>
        <w:tc>
          <w:tcPr>
            <w:tcW w:w="2435" w:type="dxa"/>
          </w:tcPr>
          <w:p w14:paraId="2CE9AB58" w14:textId="77777777" w:rsidR="005E66ED" w:rsidRPr="00B67761" w:rsidRDefault="005E66ED" w:rsidP="00CD1E37">
            <w:pPr>
              <w:pStyle w:val="TBLText"/>
              <w:rPr>
                <w:sz w:val="22"/>
                <w:szCs w:val="22"/>
              </w:rPr>
            </w:pPr>
            <w:r w:rsidRPr="00B67761">
              <w:rPr>
                <w:sz w:val="22"/>
                <w:szCs w:val="22"/>
              </w:rPr>
              <w:t>Community organisations</w:t>
            </w:r>
          </w:p>
        </w:tc>
        <w:tc>
          <w:tcPr>
            <w:tcW w:w="1658" w:type="dxa"/>
          </w:tcPr>
          <w:p w14:paraId="1B5F0AC4" w14:textId="77777777" w:rsidR="005E66ED" w:rsidRPr="00B67761" w:rsidRDefault="005E66ED" w:rsidP="00CD1E37">
            <w:pPr>
              <w:pStyle w:val="TBLText"/>
              <w:rPr>
                <w:sz w:val="22"/>
                <w:szCs w:val="22"/>
              </w:rPr>
            </w:pPr>
            <w:r w:rsidRPr="00B67761">
              <w:rPr>
                <w:sz w:val="22"/>
                <w:szCs w:val="22"/>
              </w:rPr>
              <w:t>Total change in cost</w:t>
            </w:r>
          </w:p>
        </w:tc>
      </w:tr>
      <w:tr w:rsidR="005E66ED" w:rsidRPr="00995541" w14:paraId="71488938" w14:textId="77777777">
        <w:trPr>
          <w:trHeight w:val="350"/>
        </w:trPr>
        <w:tc>
          <w:tcPr>
            <w:tcW w:w="2555" w:type="dxa"/>
          </w:tcPr>
          <w:p w14:paraId="55D18C3F" w14:textId="77777777" w:rsidR="005E66ED" w:rsidRPr="00B67761" w:rsidRDefault="005E66ED" w:rsidP="00CD1E37">
            <w:pPr>
              <w:pStyle w:val="TBLText"/>
              <w:rPr>
                <w:sz w:val="22"/>
                <w:szCs w:val="22"/>
              </w:rPr>
            </w:pPr>
            <w:r w:rsidRPr="00B67761">
              <w:rPr>
                <w:sz w:val="22"/>
                <w:szCs w:val="22"/>
              </w:rPr>
              <w:t>Total, by sector</w:t>
            </w:r>
          </w:p>
        </w:tc>
        <w:tc>
          <w:tcPr>
            <w:tcW w:w="1254" w:type="dxa"/>
          </w:tcPr>
          <w:p w14:paraId="62FE1E55" w14:textId="77777777" w:rsidR="005E66ED" w:rsidRPr="00B67761" w:rsidRDefault="005E66ED" w:rsidP="00CD1E37">
            <w:pPr>
              <w:pStyle w:val="TBLText"/>
              <w:rPr>
                <w:sz w:val="22"/>
                <w:szCs w:val="22"/>
              </w:rPr>
            </w:pPr>
            <w:r w:rsidRPr="00B67761">
              <w:rPr>
                <w:sz w:val="22"/>
                <w:szCs w:val="22"/>
              </w:rPr>
              <w:t>$0</w:t>
            </w:r>
          </w:p>
        </w:tc>
        <w:tc>
          <w:tcPr>
            <w:tcW w:w="1417" w:type="dxa"/>
          </w:tcPr>
          <w:p w14:paraId="49DE8DBA" w14:textId="77777777" w:rsidR="005E66ED" w:rsidRPr="00B67761" w:rsidRDefault="005E66ED" w:rsidP="00CD1E37">
            <w:pPr>
              <w:pStyle w:val="TBLText"/>
              <w:rPr>
                <w:sz w:val="22"/>
                <w:szCs w:val="22"/>
              </w:rPr>
            </w:pPr>
            <w:r w:rsidRPr="00B67761">
              <w:rPr>
                <w:sz w:val="22"/>
                <w:szCs w:val="22"/>
              </w:rPr>
              <w:t>$0</w:t>
            </w:r>
          </w:p>
        </w:tc>
        <w:tc>
          <w:tcPr>
            <w:tcW w:w="2435" w:type="dxa"/>
          </w:tcPr>
          <w:p w14:paraId="79EFF328" w14:textId="77777777" w:rsidR="005E66ED" w:rsidRPr="00B67761" w:rsidRDefault="005E66ED" w:rsidP="00CD1E37">
            <w:pPr>
              <w:pStyle w:val="TBLText"/>
              <w:rPr>
                <w:sz w:val="22"/>
                <w:szCs w:val="22"/>
              </w:rPr>
            </w:pPr>
            <w:r w:rsidRPr="00B67761">
              <w:rPr>
                <w:sz w:val="22"/>
                <w:szCs w:val="22"/>
              </w:rPr>
              <w:t>$0</w:t>
            </w:r>
          </w:p>
        </w:tc>
        <w:tc>
          <w:tcPr>
            <w:tcW w:w="1659" w:type="dxa"/>
          </w:tcPr>
          <w:p w14:paraId="05503687" w14:textId="77777777" w:rsidR="005E66ED" w:rsidRPr="00B67761" w:rsidRDefault="005E66ED" w:rsidP="00CD1E37">
            <w:pPr>
              <w:pStyle w:val="TBLText"/>
              <w:rPr>
                <w:sz w:val="22"/>
                <w:szCs w:val="22"/>
              </w:rPr>
            </w:pPr>
            <w:r w:rsidRPr="00B67761">
              <w:rPr>
                <w:sz w:val="22"/>
                <w:szCs w:val="22"/>
              </w:rPr>
              <w:t>$0</w:t>
            </w:r>
          </w:p>
        </w:tc>
      </w:tr>
    </w:tbl>
    <w:p w14:paraId="782B3826" w14:textId="3BE1BA2E" w:rsidR="005E66ED" w:rsidRPr="008550F9" w:rsidRDefault="0040537E" w:rsidP="007F1699">
      <w:pPr>
        <w:pStyle w:val="Heading2"/>
      </w:pPr>
      <w:bookmarkStart w:id="47" w:name="_Toc159246248"/>
      <w:r w:rsidRPr="008550F9">
        <w:t>Option 2</w:t>
      </w:r>
      <w:r w:rsidR="008550F9">
        <w:t xml:space="preserve"> Regulatory burden estimate</w:t>
      </w:r>
      <w:bookmarkEnd w:id="47"/>
    </w:p>
    <w:p w14:paraId="27C1120A" w14:textId="01F09059" w:rsidR="005E66ED" w:rsidRDefault="005E66ED" w:rsidP="00CD1E37">
      <w:r>
        <w:t xml:space="preserve">For Option 2, the estimated </w:t>
      </w:r>
      <w:r w:rsidR="00840EFB">
        <w:t xml:space="preserve">low and high </w:t>
      </w:r>
      <w:r>
        <w:t xml:space="preserve">regulatory </w:t>
      </w:r>
      <w:r w:rsidR="000311FE">
        <w:t>burden</w:t>
      </w:r>
      <w:r>
        <w:t xml:space="preserve"> </w:t>
      </w:r>
      <w:r w:rsidR="00840EFB">
        <w:t>for</w:t>
      </w:r>
      <w:r w:rsidR="0069037F">
        <w:t xml:space="preserve"> </w:t>
      </w:r>
      <w:r w:rsidR="000311FE">
        <w:t xml:space="preserve">additional </w:t>
      </w:r>
      <w:r w:rsidR="00017BAA">
        <w:t xml:space="preserve">tasks </w:t>
      </w:r>
      <w:r w:rsidR="00CA039B">
        <w:t xml:space="preserve">for the Skills Guarantee </w:t>
      </w:r>
      <w:r w:rsidR="00017BAA">
        <w:t>includ</w:t>
      </w:r>
      <w:r w:rsidR="00186370">
        <w:t>es</w:t>
      </w:r>
      <w:r w:rsidR="0093050B">
        <w:t xml:space="preserve"> 3 costs: cost to businesses when </w:t>
      </w:r>
      <w:r>
        <w:t>developing tenders</w:t>
      </w:r>
      <w:r w:rsidR="0093050B">
        <w:t>;</w:t>
      </w:r>
      <w:r>
        <w:t xml:space="preserve"> changes to </w:t>
      </w:r>
      <w:r w:rsidR="0093050B">
        <w:t xml:space="preserve">businesses </w:t>
      </w:r>
      <w:r>
        <w:t>recruitment</w:t>
      </w:r>
      <w:r w:rsidR="00860B1F">
        <w:t xml:space="preserve"> (including training)</w:t>
      </w:r>
      <w:r w:rsidR="0093050B">
        <w:t>;</w:t>
      </w:r>
      <w:r>
        <w:t xml:space="preserve"> </w:t>
      </w:r>
      <w:r w:rsidR="00860B1F">
        <w:t xml:space="preserve">and </w:t>
      </w:r>
      <w:r w:rsidR="0093050B">
        <w:t xml:space="preserve">businesses </w:t>
      </w:r>
      <w:r>
        <w:t>reporting</w:t>
      </w:r>
      <w:r w:rsidR="00860B1F">
        <w:t xml:space="preserve"> </w:t>
      </w:r>
      <w:r w:rsidR="0093050B">
        <w:t>to contracting agenc</w:t>
      </w:r>
      <w:r w:rsidR="00794C0E">
        <w:t>ies</w:t>
      </w:r>
      <w:r w:rsidR="0093050B">
        <w:t xml:space="preserve"> </w:t>
      </w:r>
      <w:r w:rsidR="00860B1F">
        <w:t xml:space="preserve">(including </w:t>
      </w:r>
      <w:r>
        <w:t>record keeping</w:t>
      </w:r>
      <w:r w:rsidR="00860B1F">
        <w:t>)</w:t>
      </w:r>
      <w:r>
        <w:t xml:space="preserve">. </w:t>
      </w:r>
    </w:p>
    <w:p w14:paraId="0BAD52CC" w14:textId="47DC7B50" w:rsidR="00EF448D" w:rsidRPr="00797E43" w:rsidRDefault="00EF448D" w:rsidP="00EF448D">
      <w:pPr>
        <w:pStyle w:val="Heading3"/>
      </w:pPr>
      <w:r>
        <w:t xml:space="preserve">Total </w:t>
      </w:r>
      <w:r w:rsidR="00672A59">
        <w:t>regulatory burden</w:t>
      </w:r>
      <w:r>
        <w:t xml:space="preserve"> estimate</w:t>
      </w:r>
    </w:p>
    <w:p w14:paraId="34DDC1AE" w14:textId="58C40B12" w:rsidR="005E66ED" w:rsidRPr="005A35C0" w:rsidRDefault="005E66ED" w:rsidP="005A35C0">
      <w:pPr>
        <w:pStyle w:val="Caption"/>
        <w:rPr>
          <w:rStyle w:val="Strong"/>
          <w:b/>
          <w:bCs w:val="0"/>
        </w:rPr>
      </w:pPr>
      <w:r w:rsidRPr="003B1BD7">
        <w:rPr>
          <w:rStyle w:val="Strong"/>
          <w:b/>
        </w:rPr>
        <w:t xml:space="preserve">Table </w:t>
      </w:r>
      <w:r w:rsidR="07A198BC" w:rsidRPr="003B1BD7">
        <w:rPr>
          <w:rStyle w:val="Strong"/>
          <w:b/>
        </w:rPr>
        <w:t>1</w:t>
      </w:r>
      <w:r w:rsidR="000C66C5">
        <w:rPr>
          <w:rStyle w:val="Strong"/>
          <w:b/>
        </w:rPr>
        <w:t>0</w:t>
      </w:r>
      <w:r w:rsidRPr="005A35C0">
        <w:rPr>
          <w:rStyle w:val="Strong"/>
          <w:b/>
          <w:bCs w:val="0"/>
        </w:rPr>
        <w:t>: Average annual regulatory costs for Option 2</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1985"/>
        <w:gridCol w:w="1417"/>
        <w:gridCol w:w="1664"/>
        <w:gridCol w:w="1738"/>
        <w:gridCol w:w="2222"/>
      </w:tblGrid>
      <w:tr w:rsidR="005E66ED" w:rsidRPr="00947470" w14:paraId="7736EF30" w14:textId="77777777">
        <w:trPr>
          <w:cnfStyle w:val="100000000000" w:firstRow="1" w:lastRow="0" w:firstColumn="0" w:lastColumn="0" w:oddVBand="0" w:evenVBand="0" w:oddHBand="0" w:evenHBand="0" w:firstRowFirstColumn="0" w:firstRowLastColumn="0" w:lastRowFirstColumn="0" w:lastRowLastColumn="0"/>
          <w:trHeight w:val="350"/>
          <w:tblHeader/>
        </w:trPr>
        <w:tc>
          <w:tcPr>
            <w:tcW w:w="9026" w:type="dxa"/>
            <w:gridSpan w:val="5"/>
            <w:shd w:val="clear" w:color="auto" w:fill="404246"/>
          </w:tcPr>
          <w:p w14:paraId="3A5C04F5" w14:textId="77777777" w:rsidR="005E66ED" w:rsidRPr="00504F34" w:rsidRDefault="005E66ED" w:rsidP="00F65C16">
            <w:pPr>
              <w:pStyle w:val="TBLHeading"/>
            </w:pPr>
            <w:r w:rsidRPr="00504F34">
              <w:t>Average annual regulatory costs</w:t>
            </w:r>
          </w:p>
        </w:tc>
      </w:tr>
      <w:tr w:rsidR="005E66ED" w:rsidRPr="00947470" w14:paraId="2BA64741" w14:textId="77777777" w:rsidTr="00EE64C7">
        <w:trPr>
          <w:trHeight w:val="350"/>
        </w:trPr>
        <w:tc>
          <w:tcPr>
            <w:tcW w:w="1985" w:type="dxa"/>
          </w:tcPr>
          <w:p w14:paraId="1182E985" w14:textId="77777777" w:rsidR="005E66ED" w:rsidRPr="00B67761" w:rsidRDefault="005E66ED" w:rsidP="00CD1E37">
            <w:pPr>
              <w:pStyle w:val="TBLText"/>
              <w:rPr>
                <w:sz w:val="22"/>
                <w:szCs w:val="22"/>
              </w:rPr>
            </w:pPr>
            <w:r w:rsidRPr="00B67761">
              <w:rPr>
                <w:sz w:val="22"/>
                <w:szCs w:val="22"/>
              </w:rPr>
              <w:t xml:space="preserve">Change in costs </w:t>
            </w:r>
          </w:p>
          <w:p w14:paraId="66454824" w14:textId="77777777" w:rsidR="005E66ED" w:rsidRPr="00B67761" w:rsidRDefault="005E66ED" w:rsidP="00CD1E37">
            <w:pPr>
              <w:pStyle w:val="TBLText"/>
              <w:rPr>
                <w:sz w:val="22"/>
                <w:szCs w:val="22"/>
              </w:rPr>
            </w:pPr>
            <w:r w:rsidRPr="00B67761">
              <w:rPr>
                <w:sz w:val="22"/>
                <w:szCs w:val="22"/>
              </w:rPr>
              <w:t>($ million)</w:t>
            </w:r>
          </w:p>
        </w:tc>
        <w:tc>
          <w:tcPr>
            <w:tcW w:w="1417" w:type="dxa"/>
          </w:tcPr>
          <w:p w14:paraId="0AED6918" w14:textId="77777777" w:rsidR="005E66ED" w:rsidRPr="00B67761" w:rsidRDefault="005E66ED" w:rsidP="00CD1E37">
            <w:pPr>
              <w:pStyle w:val="TBLText"/>
              <w:rPr>
                <w:sz w:val="22"/>
                <w:szCs w:val="22"/>
              </w:rPr>
            </w:pPr>
            <w:r w:rsidRPr="00B67761">
              <w:rPr>
                <w:sz w:val="22"/>
                <w:szCs w:val="22"/>
              </w:rPr>
              <w:t>Individuals</w:t>
            </w:r>
          </w:p>
        </w:tc>
        <w:tc>
          <w:tcPr>
            <w:tcW w:w="1664" w:type="dxa"/>
          </w:tcPr>
          <w:p w14:paraId="50E5734B" w14:textId="77777777" w:rsidR="005E66ED" w:rsidRPr="00B67761" w:rsidRDefault="005E66ED" w:rsidP="00CD1E37">
            <w:pPr>
              <w:pStyle w:val="TBLText"/>
              <w:rPr>
                <w:sz w:val="22"/>
                <w:szCs w:val="22"/>
              </w:rPr>
            </w:pPr>
            <w:r w:rsidRPr="00B67761">
              <w:rPr>
                <w:sz w:val="22"/>
                <w:szCs w:val="22"/>
              </w:rPr>
              <w:t xml:space="preserve">Business </w:t>
            </w:r>
          </w:p>
        </w:tc>
        <w:tc>
          <w:tcPr>
            <w:tcW w:w="1738" w:type="dxa"/>
          </w:tcPr>
          <w:p w14:paraId="0D84D938" w14:textId="77777777" w:rsidR="005E66ED" w:rsidRPr="00B67761" w:rsidRDefault="005E66ED" w:rsidP="00CD1E37">
            <w:pPr>
              <w:pStyle w:val="TBLText"/>
              <w:rPr>
                <w:sz w:val="22"/>
                <w:szCs w:val="22"/>
              </w:rPr>
            </w:pPr>
            <w:r w:rsidRPr="00B67761">
              <w:rPr>
                <w:sz w:val="22"/>
                <w:szCs w:val="22"/>
              </w:rPr>
              <w:t>Community organisations</w:t>
            </w:r>
          </w:p>
        </w:tc>
        <w:tc>
          <w:tcPr>
            <w:tcW w:w="2222" w:type="dxa"/>
          </w:tcPr>
          <w:p w14:paraId="3C8DEC12" w14:textId="77777777" w:rsidR="005E66ED" w:rsidRPr="00B67761" w:rsidRDefault="005E66ED" w:rsidP="00CD1E37">
            <w:pPr>
              <w:pStyle w:val="TBLText"/>
              <w:rPr>
                <w:sz w:val="22"/>
                <w:szCs w:val="22"/>
              </w:rPr>
            </w:pPr>
            <w:r w:rsidRPr="00B67761">
              <w:rPr>
                <w:sz w:val="22"/>
                <w:szCs w:val="22"/>
              </w:rPr>
              <w:t>Total change in cost</w:t>
            </w:r>
          </w:p>
        </w:tc>
      </w:tr>
      <w:tr w:rsidR="005E66ED" w:rsidRPr="00995541" w14:paraId="3A0CA767" w14:textId="77777777" w:rsidTr="00EE64C7">
        <w:trPr>
          <w:trHeight w:val="350"/>
        </w:trPr>
        <w:tc>
          <w:tcPr>
            <w:tcW w:w="1985" w:type="dxa"/>
          </w:tcPr>
          <w:p w14:paraId="250864DA" w14:textId="77777777" w:rsidR="005E66ED" w:rsidRPr="00B67761" w:rsidRDefault="005E66ED" w:rsidP="00CD1E37">
            <w:pPr>
              <w:pStyle w:val="TBLText"/>
              <w:rPr>
                <w:sz w:val="22"/>
                <w:szCs w:val="22"/>
              </w:rPr>
            </w:pPr>
            <w:r w:rsidRPr="00B67761">
              <w:rPr>
                <w:sz w:val="22"/>
                <w:szCs w:val="22"/>
              </w:rPr>
              <w:t>Total, by sector</w:t>
            </w:r>
          </w:p>
        </w:tc>
        <w:tc>
          <w:tcPr>
            <w:tcW w:w="1417" w:type="dxa"/>
          </w:tcPr>
          <w:p w14:paraId="4E11C9AC" w14:textId="77777777" w:rsidR="005E66ED" w:rsidRPr="00B67761" w:rsidRDefault="005E66ED" w:rsidP="00CD1E37">
            <w:pPr>
              <w:pStyle w:val="TBLText"/>
              <w:rPr>
                <w:sz w:val="22"/>
                <w:szCs w:val="22"/>
              </w:rPr>
            </w:pPr>
            <w:r w:rsidRPr="00B67761">
              <w:rPr>
                <w:sz w:val="22"/>
                <w:szCs w:val="22"/>
              </w:rPr>
              <w:t>$0</w:t>
            </w:r>
          </w:p>
        </w:tc>
        <w:tc>
          <w:tcPr>
            <w:tcW w:w="1664" w:type="dxa"/>
          </w:tcPr>
          <w:p w14:paraId="1B72BA75" w14:textId="473C79F8" w:rsidR="005E66ED" w:rsidRPr="00657EFF" w:rsidRDefault="005E66ED" w:rsidP="00CD1E37">
            <w:pPr>
              <w:pStyle w:val="TBLText"/>
              <w:rPr>
                <w:sz w:val="22"/>
                <w:szCs w:val="22"/>
              </w:rPr>
            </w:pPr>
            <w:r w:rsidRPr="00657EFF">
              <w:rPr>
                <w:sz w:val="22"/>
                <w:szCs w:val="22"/>
              </w:rPr>
              <w:t>$</w:t>
            </w:r>
            <w:r w:rsidR="00501A4D" w:rsidRPr="00657EFF">
              <w:rPr>
                <w:sz w:val="22"/>
                <w:szCs w:val="22"/>
              </w:rPr>
              <w:t>0.</w:t>
            </w:r>
            <w:r w:rsidR="000F0E5D" w:rsidRPr="00657EFF">
              <w:rPr>
                <w:sz w:val="22"/>
                <w:szCs w:val="22"/>
              </w:rPr>
              <w:t>6</w:t>
            </w:r>
            <w:r w:rsidR="00385E1E">
              <w:rPr>
                <w:sz w:val="22"/>
                <w:szCs w:val="22"/>
              </w:rPr>
              <w:t>00</w:t>
            </w:r>
            <w:r w:rsidR="00EE64C7" w:rsidRPr="00657EFF">
              <w:rPr>
                <w:sz w:val="22"/>
                <w:szCs w:val="22"/>
              </w:rPr>
              <w:t xml:space="preserve"> – </w:t>
            </w:r>
            <w:r w:rsidR="00657EFF" w:rsidRPr="00657EFF">
              <w:rPr>
                <w:sz w:val="22"/>
                <w:szCs w:val="22"/>
              </w:rPr>
              <w:t>1.</w:t>
            </w:r>
            <w:r w:rsidR="000223C6">
              <w:rPr>
                <w:sz w:val="22"/>
                <w:szCs w:val="22"/>
              </w:rPr>
              <w:t>424</w:t>
            </w:r>
          </w:p>
        </w:tc>
        <w:tc>
          <w:tcPr>
            <w:tcW w:w="1738" w:type="dxa"/>
          </w:tcPr>
          <w:p w14:paraId="1B67CE5B" w14:textId="77777777" w:rsidR="005E66ED" w:rsidRPr="00657EFF" w:rsidRDefault="005E66ED" w:rsidP="00CD1E37">
            <w:pPr>
              <w:pStyle w:val="TBLText"/>
              <w:rPr>
                <w:sz w:val="22"/>
                <w:szCs w:val="22"/>
              </w:rPr>
            </w:pPr>
            <w:r w:rsidRPr="00657EFF">
              <w:rPr>
                <w:sz w:val="22"/>
                <w:szCs w:val="22"/>
              </w:rPr>
              <w:t>$0</w:t>
            </w:r>
          </w:p>
        </w:tc>
        <w:tc>
          <w:tcPr>
            <w:tcW w:w="2222" w:type="dxa"/>
          </w:tcPr>
          <w:p w14:paraId="78644735" w14:textId="09D161CF" w:rsidR="005E66ED" w:rsidRPr="00657EFF" w:rsidRDefault="005E66ED" w:rsidP="00CD1E37">
            <w:pPr>
              <w:pStyle w:val="TBLText"/>
              <w:rPr>
                <w:sz w:val="22"/>
                <w:szCs w:val="22"/>
              </w:rPr>
            </w:pPr>
            <w:r w:rsidRPr="00657EFF">
              <w:rPr>
                <w:sz w:val="22"/>
                <w:szCs w:val="22"/>
              </w:rPr>
              <w:t>$</w:t>
            </w:r>
            <w:r w:rsidR="00EE64C7" w:rsidRPr="00657EFF">
              <w:rPr>
                <w:sz w:val="22"/>
                <w:szCs w:val="22"/>
              </w:rPr>
              <w:t>0.</w:t>
            </w:r>
            <w:r w:rsidR="00916795" w:rsidRPr="00657EFF">
              <w:rPr>
                <w:sz w:val="22"/>
                <w:szCs w:val="22"/>
              </w:rPr>
              <w:t>6</w:t>
            </w:r>
            <w:r w:rsidR="00916795">
              <w:rPr>
                <w:sz w:val="22"/>
                <w:szCs w:val="22"/>
              </w:rPr>
              <w:t>00</w:t>
            </w:r>
            <w:r w:rsidR="00916795" w:rsidRPr="00657EFF">
              <w:rPr>
                <w:sz w:val="22"/>
                <w:szCs w:val="22"/>
              </w:rPr>
              <w:t xml:space="preserve"> </w:t>
            </w:r>
            <w:r w:rsidR="00EE64C7" w:rsidRPr="00657EFF">
              <w:rPr>
                <w:sz w:val="22"/>
                <w:szCs w:val="22"/>
              </w:rPr>
              <w:t>– 1.</w:t>
            </w:r>
            <w:r w:rsidR="000223C6">
              <w:rPr>
                <w:sz w:val="22"/>
                <w:szCs w:val="22"/>
              </w:rPr>
              <w:t>424</w:t>
            </w:r>
          </w:p>
        </w:tc>
      </w:tr>
    </w:tbl>
    <w:p w14:paraId="1F237838" w14:textId="2A6B422B" w:rsidR="008D2F24" w:rsidRDefault="008D2F24" w:rsidP="001C370E">
      <w:pPr>
        <w:pStyle w:val="Heading3"/>
      </w:pPr>
      <w:r>
        <w:t>Assumptions</w:t>
      </w:r>
    </w:p>
    <w:p w14:paraId="1EAB9253" w14:textId="191B405D" w:rsidR="00C0647C" w:rsidRDefault="00F55B41" w:rsidP="00CD1E37">
      <w:r>
        <w:t>Some assumptions have been established during the consultations with stakeholders</w:t>
      </w:r>
      <w:r w:rsidR="005C08D7">
        <w:t xml:space="preserve">. </w:t>
      </w:r>
      <w:r w:rsidR="00A26649">
        <w:t xml:space="preserve">The </w:t>
      </w:r>
      <w:r w:rsidR="00617FB4">
        <w:t>RBE</w:t>
      </w:r>
      <w:r w:rsidR="00A26649">
        <w:t xml:space="preserve"> of the </w:t>
      </w:r>
      <w:r w:rsidR="00A55451">
        <w:t>Skills Guarantee is based on the following a</w:t>
      </w:r>
      <w:r w:rsidR="00C0647C">
        <w:t>ssumptions:</w:t>
      </w:r>
    </w:p>
    <w:p w14:paraId="27EEDA13" w14:textId="7207CACF" w:rsidR="00DF0E80" w:rsidRDefault="00DF0E80" w:rsidP="00F07C72">
      <w:pPr>
        <w:pStyle w:val="Dot-pointlist"/>
      </w:pPr>
      <w:r>
        <w:t xml:space="preserve">The Skills Guarantee will </w:t>
      </w:r>
      <w:r w:rsidR="002B123B">
        <w:t xml:space="preserve">increase the cost to suppliers to tendering, recruitment and reporting. </w:t>
      </w:r>
    </w:p>
    <w:p w14:paraId="33EA6A1C" w14:textId="558A7DF5" w:rsidR="002D376A" w:rsidRDefault="00626F72" w:rsidP="00F07C72">
      <w:pPr>
        <w:pStyle w:val="Dot-pointlist"/>
      </w:pPr>
      <w:r>
        <w:t xml:space="preserve">The number of Skills Guarantee contracts is similar to the 2022–23 financial year. </w:t>
      </w:r>
      <w:r w:rsidR="002D376A">
        <w:t>Based on AusTender data</w:t>
      </w:r>
      <w:r w:rsidR="00E65A30">
        <w:t xml:space="preserve"> from </w:t>
      </w:r>
      <w:r w:rsidR="004F3D2F">
        <w:t xml:space="preserve">the </w:t>
      </w:r>
      <w:r w:rsidR="00E65A30">
        <w:t>2022/2023</w:t>
      </w:r>
      <w:r w:rsidR="004F3D2F">
        <w:t xml:space="preserve"> financial year</w:t>
      </w:r>
      <w:r w:rsidR="002D376A">
        <w:t xml:space="preserve">, around 102 </w:t>
      </w:r>
      <w:r w:rsidR="00153326">
        <w:t>contracts</w:t>
      </w:r>
      <w:r w:rsidR="002D376A">
        <w:t xml:space="preserve"> </w:t>
      </w:r>
      <w:r w:rsidR="00E24157">
        <w:t>would</w:t>
      </w:r>
      <w:r w:rsidR="007A02B8">
        <w:t xml:space="preserve"> have been </w:t>
      </w:r>
      <w:r w:rsidR="002D376A">
        <w:t>in scope</w:t>
      </w:r>
      <w:r w:rsidR="00E24157">
        <w:t xml:space="preserve"> for the Skills Guarantee</w:t>
      </w:r>
      <w:r w:rsidR="002D376A">
        <w:t xml:space="preserve">, </w:t>
      </w:r>
      <w:r w:rsidR="003E2638">
        <w:t>across</w:t>
      </w:r>
      <w:r w:rsidR="007A02B8">
        <w:t xml:space="preserve"> 76 suppliers and </w:t>
      </w:r>
      <w:r w:rsidR="002D376A">
        <w:t xml:space="preserve">inclusive of </w:t>
      </w:r>
      <w:r w:rsidR="00CE4B51">
        <w:t>8</w:t>
      </w:r>
      <w:r w:rsidR="002D376A">
        <w:t xml:space="preserve"> flagship construction projects. </w:t>
      </w:r>
    </w:p>
    <w:p w14:paraId="69678A20" w14:textId="3D16059F" w:rsidR="002D376A" w:rsidRDefault="002D376A" w:rsidP="00F07C72">
      <w:pPr>
        <w:pStyle w:val="Dot-pointlist"/>
      </w:pPr>
      <w:r>
        <w:t>Based on AusTender data</w:t>
      </w:r>
      <w:r w:rsidR="00E65A30">
        <w:t xml:space="preserve"> from 2022/2023</w:t>
      </w:r>
      <w:r>
        <w:t xml:space="preserve">, </w:t>
      </w:r>
      <w:r w:rsidR="002530F3">
        <w:t xml:space="preserve">suppliers on </w:t>
      </w:r>
      <w:r w:rsidR="00CE4B51">
        <w:t>8</w:t>
      </w:r>
      <w:r>
        <w:t xml:space="preserve"> flagship construction projects would </w:t>
      </w:r>
      <w:r w:rsidR="001A1A64">
        <w:t xml:space="preserve">be </w:t>
      </w:r>
      <w:r>
        <w:t>require</w:t>
      </w:r>
      <w:r w:rsidR="001A1A64">
        <w:t>d to</w:t>
      </w:r>
      <w:r>
        <w:t xml:space="preserve"> </w:t>
      </w:r>
      <w:r w:rsidR="001A1A64">
        <w:t>complete a</w:t>
      </w:r>
      <w:r>
        <w:t xml:space="preserve"> Gender Equality Action Plan and propose higher, more ambitious targets for women. </w:t>
      </w:r>
    </w:p>
    <w:p w14:paraId="29965157" w14:textId="6BEEC218" w:rsidR="00317DEB" w:rsidRDefault="00317DEB" w:rsidP="00F07C72">
      <w:pPr>
        <w:pStyle w:val="Dot-pointlist"/>
      </w:pPr>
      <w:r>
        <w:lastRenderedPageBreak/>
        <w:t>Contractual, compliance and reporting requirements will be managed by the relevant contracting agency.</w:t>
      </w:r>
    </w:p>
    <w:p w14:paraId="03A272CE" w14:textId="77777777" w:rsidR="006D1DBC" w:rsidRDefault="006D1DBC" w:rsidP="00F07C72">
      <w:pPr>
        <w:pStyle w:val="Dot-pointlist"/>
      </w:pPr>
      <w:r>
        <w:t>Estimates do not</w:t>
      </w:r>
      <w:r w:rsidRPr="00521996">
        <w:t xml:space="preserve"> differentiate between suppliers and sub-contractors,</w:t>
      </w:r>
      <w:r>
        <w:t xml:space="preserve"> for example,</w:t>
      </w:r>
      <w:r w:rsidRPr="00521996">
        <w:t xml:space="preserve"> the estimated time is for the suppliers to report to the contracting agency.</w:t>
      </w:r>
    </w:p>
    <w:p w14:paraId="0A1AFD4A" w14:textId="77777777" w:rsidR="006D1DBC" w:rsidRDefault="006D1DBC" w:rsidP="00F07C72">
      <w:pPr>
        <w:pStyle w:val="Dot-pointlist"/>
      </w:pPr>
      <w:r>
        <w:t>T</w:t>
      </w:r>
      <w:r w:rsidRPr="00053E7D">
        <w:t xml:space="preserve">he same rate of contracts for each </w:t>
      </w:r>
      <w:r>
        <w:t xml:space="preserve">financial </w:t>
      </w:r>
      <w:r w:rsidRPr="00053E7D">
        <w:t>year, the same rate of contracts commencing and ending.</w:t>
      </w:r>
    </w:p>
    <w:p w14:paraId="1505A807" w14:textId="414FE712" w:rsidR="00364C97" w:rsidRDefault="00C80CB3" w:rsidP="00364C97">
      <w:pPr>
        <w:pStyle w:val="Heading3"/>
      </w:pPr>
      <w:r>
        <w:t>Tende</w:t>
      </w:r>
      <w:r w:rsidR="00F97111">
        <w:t xml:space="preserve">ring </w:t>
      </w:r>
      <w:r w:rsidR="00945472">
        <w:t>cost</w:t>
      </w:r>
      <w:r w:rsidR="00EF448D">
        <w:t xml:space="preserve"> estimate</w:t>
      </w:r>
    </w:p>
    <w:p w14:paraId="0BE658E2" w14:textId="1AB1E968" w:rsidR="00EE32C3" w:rsidRPr="00EE32C3" w:rsidRDefault="00EE32C3" w:rsidP="009B46A5">
      <w:pPr>
        <w:pStyle w:val="Caption"/>
      </w:pPr>
      <w:r>
        <w:t xml:space="preserve">Table </w:t>
      </w:r>
      <w:r w:rsidR="07A198BC">
        <w:t>1</w:t>
      </w:r>
      <w:r w:rsidR="00D9772E">
        <w:t>1</w:t>
      </w:r>
      <w:r w:rsidR="00713A39">
        <w:t>:</w:t>
      </w:r>
      <w:r>
        <w:t xml:space="preserve"> Tendering cost</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1985"/>
        <w:gridCol w:w="1417"/>
        <w:gridCol w:w="1664"/>
        <w:gridCol w:w="1738"/>
        <w:gridCol w:w="2222"/>
      </w:tblGrid>
      <w:tr w:rsidR="00A146E9" w:rsidRPr="00947470" w14:paraId="3295D715" w14:textId="77777777" w:rsidTr="00C94F35">
        <w:trPr>
          <w:cnfStyle w:val="100000000000" w:firstRow="1" w:lastRow="0" w:firstColumn="0" w:lastColumn="0" w:oddVBand="0" w:evenVBand="0" w:oddHBand="0" w:evenHBand="0" w:firstRowFirstColumn="0" w:firstRowLastColumn="0" w:lastRowFirstColumn="0" w:lastRowLastColumn="0"/>
          <w:trHeight w:val="350"/>
          <w:tblHeader/>
        </w:trPr>
        <w:tc>
          <w:tcPr>
            <w:tcW w:w="9026" w:type="dxa"/>
            <w:gridSpan w:val="5"/>
            <w:shd w:val="clear" w:color="auto" w:fill="404246"/>
          </w:tcPr>
          <w:p w14:paraId="3DE5C3D0" w14:textId="6DFF2BC9" w:rsidR="00A146E9" w:rsidRPr="00504F34" w:rsidRDefault="00A146E9" w:rsidP="00F65C16">
            <w:pPr>
              <w:pStyle w:val="TBLHeading"/>
            </w:pPr>
            <w:r w:rsidRPr="00504F34">
              <w:t>Average annual regulatory costs</w:t>
            </w:r>
          </w:p>
        </w:tc>
      </w:tr>
      <w:tr w:rsidR="00A146E9" w:rsidRPr="00947470" w14:paraId="20661551" w14:textId="77777777" w:rsidTr="00C94F35">
        <w:trPr>
          <w:trHeight w:val="350"/>
        </w:trPr>
        <w:tc>
          <w:tcPr>
            <w:tcW w:w="1985" w:type="dxa"/>
          </w:tcPr>
          <w:p w14:paraId="2F09D49E" w14:textId="77777777" w:rsidR="00EA5825" w:rsidRPr="00B67761" w:rsidRDefault="00EA5825" w:rsidP="00EA5825">
            <w:pPr>
              <w:pStyle w:val="TBLText"/>
              <w:rPr>
                <w:sz w:val="22"/>
                <w:szCs w:val="22"/>
              </w:rPr>
            </w:pPr>
            <w:r w:rsidRPr="00B67761">
              <w:rPr>
                <w:sz w:val="22"/>
                <w:szCs w:val="22"/>
              </w:rPr>
              <w:t xml:space="preserve">Change in costs </w:t>
            </w:r>
          </w:p>
          <w:p w14:paraId="0F884683" w14:textId="272E8BD7" w:rsidR="00A146E9" w:rsidRPr="00B67761" w:rsidRDefault="00EA5825" w:rsidP="00EA5825">
            <w:pPr>
              <w:pStyle w:val="TBLText"/>
              <w:rPr>
                <w:sz w:val="22"/>
                <w:szCs w:val="22"/>
              </w:rPr>
            </w:pPr>
            <w:r w:rsidRPr="00B67761">
              <w:rPr>
                <w:sz w:val="22"/>
                <w:szCs w:val="22"/>
              </w:rPr>
              <w:t>($ million)</w:t>
            </w:r>
          </w:p>
        </w:tc>
        <w:tc>
          <w:tcPr>
            <w:tcW w:w="1417" w:type="dxa"/>
          </w:tcPr>
          <w:p w14:paraId="7A05C336" w14:textId="77777777" w:rsidR="00A146E9" w:rsidRPr="00B67761" w:rsidRDefault="00A146E9" w:rsidP="00C94F35">
            <w:pPr>
              <w:pStyle w:val="TBLText"/>
              <w:rPr>
                <w:sz w:val="22"/>
                <w:szCs w:val="22"/>
              </w:rPr>
            </w:pPr>
            <w:r w:rsidRPr="00B67761">
              <w:rPr>
                <w:sz w:val="22"/>
                <w:szCs w:val="22"/>
              </w:rPr>
              <w:t>Individuals</w:t>
            </w:r>
          </w:p>
        </w:tc>
        <w:tc>
          <w:tcPr>
            <w:tcW w:w="1664" w:type="dxa"/>
          </w:tcPr>
          <w:p w14:paraId="4A1EF497" w14:textId="77777777" w:rsidR="00A146E9" w:rsidRPr="00B67761" w:rsidRDefault="00A146E9" w:rsidP="00C94F35">
            <w:pPr>
              <w:pStyle w:val="TBLText"/>
              <w:rPr>
                <w:sz w:val="22"/>
                <w:szCs w:val="22"/>
              </w:rPr>
            </w:pPr>
            <w:r w:rsidRPr="00B67761">
              <w:rPr>
                <w:sz w:val="22"/>
                <w:szCs w:val="22"/>
              </w:rPr>
              <w:t xml:space="preserve">Business </w:t>
            </w:r>
          </w:p>
        </w:tc>
        <w:tc>
          <w:tcPr>
            <w:tcW w:w="1738" w:type="dxa"/>
          </w:tcPr>
          <w:p w14:paraId="209A1601" w14:textId="77777777" w:rsidR="00A146E9" w:rsidRPr="00B67761" w:rsidRDefault="00A146E9" w:rsidP="00C94F35">
            <w:pPr>
              <w:pStyle w:val="TBLText"/>
              <w:rPr>
                <w:sz w:val="22"/>
                <w:szCs w:val="22"/>
              </w:rPr>
            </w:pPr>
            <w:r w:rsidRPr="00B67761">
              <w:rPr>
                <w:sz w:val="22"/>
                <w:szCs w:val="22"/>
              </w:rPr>
              <w:t>Community organisations</w:t>
            </w:r>
          </w:p>
        </w:tc>
        <w:tc>
          <w:tcPr>
            <w:tcW w:w="2222" w:type="dxa"/>
          </w:tcPr>
          <w:p w14:paraId="524AF356" w14:textId="77777777" w:rsidR="00A146E9" w:rsidRPr="00B67761" w:rsidRDefault="00A146E9" w:rsidP="00C94F35">
            <w:pPr>
              <w:pStyle w:val="TBLText"/>
              <w:rPr>
                <w:sz w:val="22"/>
                <w:szCs w:val="22"/>
              </w:rPr>
            </w:pPr>
            <w:r w:rsidRPr="00B67761">
              <w:rPr>
                <w:sz w:val="22"/>
                <w:szCs w:val="22"/>
              </w:rPr>
              <w:t>Total change in cost</w:t>
            </w:r>
          </w:p>
        </w:tc>
      </w:tr>
      <w:tr w:rsidR="00CA0677" w:rsidRPr="00947470" w14:paraId="7B3C3526" w14:textId="77777777" w:rsidTr="00C94F35">
        <w:trPr>
          <w:trHeight w:val="350"/>
        </w:trPr>
        <w:tc>
          <w:tcPr>
            <w:tcW w:w="1985" w:type="dxa"/>
          </w:tcPr>
          <w:p w14:paraId="228C386D" w14:textId="0AAA63E3" w:rsidR="00CA0677" w:rsidRDefault="00CA0677" w:rsidP="00C94F35">
            <w:pPr>
              <w:pStyle w:val="TBLText"/>
              <w:rPr>
                <w:sz w:val="22"/>
                <w:szCs w:val="22"/>
              </w:rPr>
            </w:pPr>
            <w:r>
              <w:rPr>
                <w:sz w:val="22"/>
                <w:szCs w:val="22"/>
              </w:rPr>
              <w:t>Low estimate</w:t>
            </w:r>
          </w:p>
        </w:tc>
        <w:tc>
          <w:tcPr>
            <w:tcW w:w="1417" w:type="dxa"/>
          </w:tcPr>
          <w:p w14:paraId="785D6E7C" w14:textId="7EE856AF" w:rsidR="00CA0677" w:rsidRPr="00B67761" w:rsidRDefault="0023509F" w:rsidP="00C94F35">
            <w:pPr>
              <w:pStyle w:val="TBLText"/>
              <w:rPr>
                <w:sz w:val="22"/>
                <w:szCs w:val="22"/>
              </w:rPr>
            </w:pPr>
            <w:r>
              <w:rPr>
                <w:sz w:val="22"/>
                <w:szCs w:val="22"/>
              </w:rPr>
              <w:t>$0</w:t>
            </w:r>
          </w:p>
        </w:tc>
        <w:tc>
          <w:tcPr>
            <w:tcW w:w="1664" w:type="dxa"/>
          </w:tcPr>
          <w:p w14:paraId="3364706D" w14:textId="58E93950" w:rsidR="00CA0677" w:rsidRPr="00DA5937" w:rsidRDefault="0036272B" w:rsidP="00C94F35">
            <w:pPr>
              <w:pStyle w:val="TBLText"/>
              <w:rPr>
                <w:sz w:val="22"/>
                <w:szCs w:val="22"/>
              </w:rPr>
            </w:pPr>
            <w:r w:rsidRPr="00DA5937">
              <w:rPr>
                <w:sz w:val="22"/>
                <w:szCs w:val="22"/>
              </w:rPr>
              <w:t>$</w:t>
            </w:r>
            <w:r w:rsidR="00251EF8" w:rsidRPr="00DA5937">
              <w:rPr>
                <w:sz w:val="22"/>
                <w:szCs w:val="22"/>
              </w:rPr>
              <w:t>0.</w:t>
            </w:r>
            <w:r w:rsidR="00DA5937" w:rsidRPr="00DA5937">
              <w:rPr>
                <w:sz w:val="22"/>
                <w:szCs w:val="22"/>
              </w:rPr>
              <w:t>486</w:t>
            </w:r>
          </w:p>
        </w:tc>
        <w:tc>
          <w:tcPr>
            <w:tcW w:w="1738" w:type="dxa"/>
          </w:tcPr>
          <w:p w14:paraId="2F39D64C" w14:textId="46363F9C" w:rsidR="00CA0677" w:rsidRPr="00DA5937" w:rsidRDefault="00251EF8" w:rsidP="00C94F35">
            <w:pPr>
              <w:pStyle w:val="TBLText"/>
              <w:rPr>
                <w:sz w:val="22"/>
                <w:szCs w:val="22"/>
              </w:rPr>
            </w:pPr>
            <w:r w:rsidRPr="00DA5937">
              <w:rPr>
                <w:sz w:val="22"/>
                <w:szCs w:val="22"/>
              </w:rPr>
              <w:t>$0</w:t>
            </w:r>
          </w:p>
        </w:tc>
        <w:tc>
          <w:tcPr>
            <w:tcW w:w="2222" w:type="dxa"/>
          </w:tcPr>
          <w:p w14:paraId="58DEED23" w14:textId="02921A29" w:rsidR="00CA0677" w:rsidRPr="00DA5937" w:rsidRDefault="001F5FCC" w:rsidP="00C94F35">
            <w:pPr>
              <w:pStyle w:val="TBLText"/>
              <w:rPr>
                <w:sz w:val="22"/>
                <w:szCs w:val="22"/>
              </w:rPr>
            </w:pPr>
            <w:r w:rsidRPr="00DA5937">
              <w:rPr>
                <w:sz w:val="22"/>
                <w:szCs w:val="22"/>
              </w:rPr>
              <w:t>$0.</w:t>
            </w:r>
            <w:r w:rsidR="00DA5937" w:rsidRPr="00DA5937">
              <w:rPr>
                <w:sz w:val="22"/>
                <w:szCs w:val="22"/>
              </w:rPr>
              <w:t>486</w:t>
            </w:r>
          </w:p>
        </w:tc>
      </w:tr>
      <w:tr w:rsidR="00A146E9" w:rsidRPr="00995541" w14:paraId="28AB01B2" w14:textId="77777777" w:rsidTr="00C94F35">
        <w:trPr>
          <w:trHeight w:val="350"/>
        </w:trPr>
        <w:tc>
          <w:tcPr>
            <w:tcW w:w="1985" w:type="dxa"/>
          </w:tcPr>
          <w:p w14:paraId="074C8D8F" w14:textId="39EE29C1" w:rsidR="00A146E9" w:rsidRPr="00B67761" w:rsidRDefault="00A146E9" w:rsidP="00C94F35">
            <w:pPr>
              <w:pStyle w:val="TBLText"/>
              <w:rPr>
                <w:sz w:val="22"/>
                <w:szCs w:val="22"/>
              </w:rPr>
            </w:pPr>
            <w:r>
              <w:rPr>
                <w:sz w:val="22"/>
                <w:szCs w:val="22"/>
              </w:rPr>
              <w:t>High estimate</w:t>
            </w:r>
          </w:p>
        </w:tc>
        <w:tc>
          <w:tcPr>
            <w:tcW w:w="1417" w:type="dxa"/>
          </w:tcPr>
          <w:p w14:paraId="1EDF6538" w14:textId="77777777" w:rsidR="00A146E9" w:rsidRPr="00B67761" w:rsidRDefault="00A146E9" w:rsidP="00C94F35">
            <w:pPr>
              <w:pStyle w:val="TBLText"/>
              <w:rPr>
                <w:sz w:val="22"/>
                <w:szCs w:val="22"/>
              </w:rPr>
            </w:pPr>
            <w:r w:rsidRPr="00B67761">
              <w:rPr>
                <w:sz w:val="22"/>
                <w:szCs w:val="22"/>
              </w:rPr>
              <w:t>$0</w:t>
            </w:r>
          </w:p>
        </w:tc>
        <w:tc>
          <w:tcPr>
            <w:tcW w:w="1664" w:type="dxa"/>
          </w:tcPr>
          <w:p w14:paraId="7B3AC6A5" w14:textId="0F29AAE7" w:rsidR="00A146E9" w:rsidRPr="00CF130F" w:rsidRDefault="00A146E9" w:rsidP="00C94F35">
            <w:pPr>
              <w:pStyle w:val="TBLText"/>
              <w:rPr>
                <w:sz w:val="22"/>
                <w:szCs w:val="22"/>
              </w:rPr>
            </w:pPr>
            <w:r w:rsidRPr="00CF130F">
              <w:rPr>
                <w:sz w:val="22"/>
                <w:szCs w:val="22"/>
              </w:rPr>
              <w:t>$0.</w:t>
            </w:r>
            <w:r w:rsidR="00CF130F" w:rsidRPr="00CF130F">
              <w:rPr>
                <w:sz w:val="22"/>
                <w:szCs w:val="22"/>
              </w:rPr>
              <w:t>971</w:t>
            </w:r>
          </w:p>
        </w:tc>
        <w:tc>
          <w:tcPr>
            <w:tcW w:w="1738" w:type="dxa"/>
          </w:tcPr>
          <w:p w14:paraId="18E395B7" w14:textId="77777777" w:rsidR="00A146E9" w:rsidRPr="00CF130F" w:rsidRDefault="00A146E9" w:rsidP="00C94F35">
            <w:pPr>
              <w:pStyle w:val="TBLText"/>
              <w:rPr>
                <w:sz w:val="22"/>
                <w:szCs w:val="22"/>
              </w:rPr>
            </w:pPr>
            <w:r w:rsidRPr="00CF130F">
              <w:rPr>
                <w:sz w:val="22"/>
                <w:szCs w:val="22"/>
              </w:rPr>
              <w:t>$0</w:t>
            </w:r>
          </w:p>
        </w:tc>
        <w:tc>
          <w:tcPr>
            <w:tcW w:w="2222" w:type="dxa"/>
          </w:tcPr>
          <w:p w14:paraId="6DF34500" w14:textId="1CBEFF85" w:rsidR="00A146E9" w:rsidRPr="00CF130F" w:rsidRDefault="00CF130F" w:rsidP="00C94F35">
            <w:pPr>
              <w:pStyle w:val="TBLText"/>
              <w:rPr>
                <w:sz w:val="22"/>
                <w:szCs w:val="22"/>
              </w:rPr>
            </w:pPr>
            <w:r w:rsidRPr="00CF130F">
              <w:rPr>
                <w:sz w:val="22"/>
                <w:szCs w:val="22"/>
              </w:rPr>
              <w:t>$0.971</w:t>
            </w:r>
          </w:p>
        </w:tc>
      </w:tr>
    </w:tbl>
    <w:p w14:paraId="32AFE97A" w14:textId="0EAEB84E" w:rsidR="008317AF" w:rsidRDefault="00364C97" w:rsidP="009B46A5">
      <w:pPr>
        <w:pStyle w:val="Heading4"/>
      </w:pPr>
      <w:r>
        <w:t>A</w:t>
      </w:r>
      <w:r w:rsidR="00F97111">
        <w:t>ssumptions</w:t>
      </w:r>
    </w:p>
    <w:p w14:paraId="43B5D50B" w14:textId="0218DBAD" w:rsidR="00EE3B9E" w:rsidRDefault="008F3A2C" w:rsidP="00F07C72">
      <w:pPr>
        <w:pStyle w:val="Dot-pointlist"/>
      </w:pPr>
      <w:r>
        <w:t xml:space="preserve">The scale and costs of additional work required by tenderers because of the Skills Guarantee </w:t>
      </w:r>
      <w:r w:rsidRPr="0075566E">
        <w:t xml:space="preserve">may vary </w:t>
      </w:r>
      <w:r w:rsidRPr="006F6908">
        <w:t xml:space="preserve">from </w:t>
      </w:r>
      <w:r w:rsidRPr="00BA3129">
        <w:t>$</w:t>
      </w:r>
      <w:r w:rsidR="00B645CA" w:rsidRPr="00BA3129">
        <w:t>485</w:t>
      </w:r>
      <w:r w:rsidR="00DA5937" w:rsidRPr="00BA3129">
        <w:t>,520</w:t>
      </w:r>
      <w:r w:rsidRPr="00BA3129">
        <w:t xml:space="preserve"> </w:t>
      </w:r>
      <w:r w:rsidRPr="00E07546">
        <w:t>to $</w:t>
      </w:r>
      <w:r w:rsidR="00CF130F" w:rsidRPr="00E07546">
        <w:t>971,</w:t>
      </w:r>
      <w:r w:rsidR="00CF130F">
        <w:t>040</w:t>
      </w:r>
      <w:r w:rsidRPr="0075566E">
        <w:t xml:space="preserve"> over a financial year</w:t>
      </w:r>
      <w:r w:rsidR="00EE3B9E">
        <w:t>.</w:t>
      </w:r>
    </w:p>
    <w:p w14:paraId="50A12551" w14:textId="05F27FFF" w:rsidR="00475CC3" w:rsidRPr="008712C6" w:rsidRDefault="00C377C0" w:rsidP="00F07C72">
      <w:pPr>
        <w:pStyle w:val="Dot-pointlist"/>
      </w:pPr>
      <w:r w:rsidRPr="008712C6">
        <w:t>The low estimate is</w:t>
      </w:r>
      <w:r w:rsidR="008F3A2C" w:rsidRPr="008712C6">
        <w:t xml:space="preserve"> based on</w:t>
      </w:r>
      <w:r w:rsidR="0028318C" w:rsidRPr="008712C6">
        <w:t>:</w:t>
      </w:r>
      <w:r w:rsidR="008F3A2C" w:rsidRPr="008712C6">
        <w:t xml:space="preserve"> </w:t>
      </w:r>
    </w:p>
    <w:p w14:paraId="53171422" w14:textId="3CB587CC" w:rsidR="00D83EE4" w:rsidRDefault="00A77B9D" w:rsidP="00F07C72">
      <w:pPr>
        <w:pStyle w:val="Dot-pointlist"/>
        <w:numPr>
          <w:ilvl w:val="1"/>
          <w:numId w:val="2"/>
        </w:numPr>
      </w:pPr>
      <w:r>
        <w:t>102</w:t>
      </w:r>
      <w:r w:rsidR="00084444">
        <w:t xml:space="preserve"> approaches to market captured by the Skills Guarantee</w:t>
      </w:r>
      <w:r w:rsidR="00AB01B5">
        <w:rPr>
          <w:rStyle w:val="FootnoteReference"/>
        </w:rPr>
        <w:footnoteReference w:id="101"/>
      </w:r>
    </w:p>
    <w:p w14:paraId="27570E99" w14:textId="13621647" w:rsidR="00AB4A2C" w:rsidRDefault="00AF3ED6" w:rsidP="00F07C72">
      <w:pPr>
        <w:pStyle w:val="Dot-pointlist"/>
        <w:numPr>
          <w:ilvl w:val="1"/>
          <w:numId w:val="2"/>
        </w:numPr>
      </w:pPr>
      <w:r>
        <w:t xml:space="preserve">5 </w:t>
      </w:r>
      <w:r w:rsidR="005711E2">
        <w:t xml:space="preserve">potential </w:t>
      </w:r>
      <w:r>
        <w:t xml:space="preserve">suppliers </w:t>
      </w:r>
      <w:r w:rsidR="00391B3D">
        <w:t>responding to each approach to market</w:t>
      </w:r>
    </w:p>
    <w:p w14:paraId="7CF6A2A5" w14:textId="6A4CA628" w:rsidR="008F3A2C" w:rsidRDefault="008F3A2C" w:rsidP="00F07C72">
      <w:pPr>
        <w:pStyle w:val="Dot-pointlist"/>
        <w:numPr>
          <w:ilvl w:val="1"/>
          <w:numId w:val="2"/>
        </w:numPr>
      </w:pPr>
      <w:r w:rsidRPr="0075566E">
        <w:t xml:space="preserve">1 employee </w:t>
      </w:r>
      <w:r w:rsidR="00475CC3">
        <w:t xml:space="preserve">per supplier </w:t>
      </w:r>
      <w:r w:rsidRPr="0075566E">
        <w:t xml:space="preserve">spending </w:t>
      </w:r>
      <w:r w:rsidR="00C64584">
        <w:t xml:space="preserve">an additional </w:t>
      </w:r>
      <w:r w:rsidR="007A130B">
        <w:t>8</w:t>
      </w:r>
      <w:r w:rsidRPr="0075566E">
        <w:t xml:space="preserve"> hours </w:t>
      </w:r>
      <w:r w:rsidR="00AF24EE">
        <w:t xml:space="preserve">on each </w:t>
      </w:r>
      <w:r w:rsidR="00034DD8">
        <w:t xml:space="preserve">tender </w:t>
      </w:r>
      <w:r w:rsidRPr="0075566E">
        <w:t>at $119 per hour</w:t>
      </w:r>
      <w:r>
        <w:rPr>
          <w:rStyle w:val="FootnoteReference"/>
        </w:rPr>
        <w:footnoteReference w:id="102"/>
      </w:r>
      <w:r>
        <w:t xml:space="preserve"> </w:t>
      </w:r>
    </w:p>
    <w:p w14:paraId="42A1CA43" w14:textId="48347AE6" w:rsidR="00C377C0" w:rsidRPr="000E7E0B" w:rsidRDefault="00C377C0" w:rsidP="00F07C72">
      <w:pPr>
        <w:pStyle w:val="Dot-pointlist"/>
      </w:pPr>
      <w:r w:rsidRPr="000E7E0B">
        <w:t>The high estimate is based on:</w:t>
      </w:r>
    </w:p>
    <w:p w14:paraId="781C5DD0" w14:textId="282E0122" w:rsidR="00D940B2" w:rsidRDefault="00D940B2" w:rsidP="00F07C72">
      <w:pPr>
        <w:pStyle w:val="Dot-pointlist"/>
        <w:numPr>
          <w:ilvl w:val="1"/>
          <w:numId w:val="2"/>
        </w:numPr>
      </w:pPr>
      <w:r>
        <w:t>102 approaches to market captured by the Skills Guarantee</w:t>
      </w:r>
      <w:r w:rsidR="00AB01B5">
        <w:rPr>
          <w:rStyle w:val="FootnoteReference"/>
        </w:rPr>
        <w:footnoteReference w:id="103"/>
      </w:r>
    </w:p>
    <w:p w14:paraId="7347F177" w14:textId="38B27598" w:rsidR="00D940B2" w:rsidRDefault="00E5613F" w:rsidP="00F07C72">
      <w:pPr>
        <w:pStyle w:val="Dot-pointlist"/>
        <w:numPr>
          <w:ilvl w:val="1"/>
          <w:numId w:val="2"/>
        </w:numPr>
      </w:pPr>
      <w:r>
        <w:t>10</w:t>
      </w:r>
      <w:r w:rsidR="00D940B2">
        <w:t xml:space="preserve"> </w:t>
      </w:r>
      <w:r w:rsidR="005711E2">
        <w:t xml:space="preserve">potential </w:t>
      </w:r>
      <w:r w:rsidR="00D940B2">
        <w:t>suppliers responding to each approach to market</w:t>
      </w:r>
    </w:p>
    <w:p w14:paraId="3B4D5F95" w14:textId="394BF393" w:rsidR="008F3A2C" w:rsidRPr="0075566E" w:rsidRDefault="003535AE" w:rsidP="00F07C72">
      <w:pPr>
        <w:pStyle w:val="Dot-pointlist"/>
        <w:numPr>
          <w:ilvl w:val="1"/>
          <w:numId w:val="2"/>
        </w:numPr>
      </w:pPr>
      <w:r w:rsidRPr="0075566E">
        <w:t xml:space="preserve">1 employee </w:t>
      </w:r>
      <w:r>
        <w:t xml:space="preserve">per supplier </w:t>
      </w:r>
      <w:r w:rsidRPr="0075566E">
        <w:t xml:space="preserve">spending </w:t>
      </w:r>
      <w:r>
        <w:t xml:space="preserve">an additional </w:t>
      </w:r>
      <w:r w:rsidR="007D4AAF">
        <w:t>8</w:t>
      </w:r>
      <w:r w:rsidRPr="0075566E">
        <w:t xml:space="preserve"> hours </w:t>
      </w:r>
      <w:r>
        <w:t xml:space="preserve">on each tender </w:t>
      </w:r>
      <w:r w:rsidRPr="0075566E">
        <w:t>at $119 per hour</w:t>
      </w:r>
      <w:r>
        <w:rPr>
          <w:rStyle w:val="FootnoteReference"/>
        </w:rPr>
        <w:footnoteReference w:id="104"/>
      </w:r>
      <w:r w:rsidR="00A036A6">
        <w:t>.</w:t>
      </w:r>
      <w:r w:rsidR="008F3A2C">
        <w:t xml:space="preserve"> </w:t>
      </w:r>
    </w:p>
    <w:p w14:paraId="012A3147" w14:textId="77777777" w:rsidR="0060041E" w:rsidRDefault="0060041E" w:rsidP="00F07C72">
      <w:pPr>
        <w:pStyle w:val="Dot-pointlist"/>
      </w:pPr>
      <w:r w:rsidRPr="0075566E">
        <w:t xml:space="preserve">Additional tasks for </w:t>
      </w:r>
      <w:r>
        <w:t>tenderers</w:t>
      </w:r>
      <w:r w:rsidRPr="0075566E">
        <w:t xml:space="preserve"> for the Skills Guarantee include, reviewing and understanding the new Skills Guarantee model clauses and PCP guidelines, calculating the estimated labour hours of the eligible project and applicable percentage of labour hours to be undertaken by apprentices, </w:t>
      </w:r>
      <w:r w:rsidRPr="0075566E">
        <w:lastRenderedPageBreak/>
        <w:t xml:space="preserve">trainees, ICT cadets and women for the eligible project, and determining their ability to comply to the Skills Guarantee requirements for declaration in the tender submission. </w:t>
      </w:r>
      <w:r>
        <w:t xml:space="preserve"> </w:t>
      </w:r>
    </w:p>
    <w:p w14:paraId="6434DE3B" w14:textId="623288D8" w:rsidR="006F39CC" w:rsidRDefault="002F7D47" w:rsidP="005552C4">
      <w:pPr>
        <w:pStyle w:val="Heading3"/>
      </w:pPr>
      <w:r>
        <w:t>Recruitment</w:t>
      </w:r>
      <w:r w:rsidR="00F97111">
        <w:t xml:space="preserve"> </w:t>
      </w:r>
      <w:r w:rsidR="00945472">
        <w:t>cost</w:t>
      </w:r>
      <w:r w:rsidR="00EF448D">
        <w:t xml:space="preserve"> estimate</w:t>
      </w:r>
    </w:p>
    <w:p w14:paraId="6CBF4588" w14:textId="1079214B" w:rsidR="00195F96" w:rsidRPr="00EE32C3" w:rsidRDefault="00195F96" w:rsidP="00195F96">
      <w:pPr>
        <w:pStyle w:val="Caption"/>
      </w:pPr>
      <w:r>
        <w:t xml:space="preserve">Table </w:t>
      </w:r>
      <w:r w:rsidR="07A198BC">
        <w:t>1</w:t>
      </w:r>
      <w:r w:rsidR="00D9772E">
        <w:t>2</w:t>
      </w:r>
      <w:r w:rsidR="00713A39">
        <w:t>:</w:t>
      </w:r>
      <w:r>
        <w:t xml:space="preserve"> </w:t>
      </w:r>
      <w:r w:rsidR="00F36736">
        <w:t>Recruitment</w:t>
      </w:r>
      <w:r>
        <w:t xml:space="preserve"> cost</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1985"/>
        <w:gridCol w:w="1417"/>
        <w:gridCol w:w="1664"/>
        <w:gridCol w:w="1738"/>
        <w:gridCol w:w="2222"/>
      </w:tblGrid>
      <w:tr w:rsidR="00195F96" w:rsidRPr="00947470" w14:paraId="7B309A37" w14:textId="77777777" w:rsidTr="00C94F35">
        <w:trPr>
          <w:cnfStyle w:val="100000000000" w:firstRow="1" w:lastRow="0" w:firstColumn="0" w:lastColumn="0" w:oddVBand="0" w:evenVBand="0" w:oddHBand="0" w:evenHBand="0" w:firstRowFirstColumn="0" w:firstRowLastColumn="0" w:lastRowFirstColumn="0" w:lastRowLastColumn="0"/>
          <w:trHeight w:val="350"/>
          <w:tblHeader/>
        </w:trPr>
        <w:tc>
          <w:tcPr>
            <w:tcW w:w="9026" w:type="dxa"/>
            <w:gridSpan w:val="5"/>
            <w:shd w:val="clear" w:color="auto" w:fill="404246"/>
          </w:tcPr>
          <w:p w14:paraId="00DB614E" w14:textId="7C89DB48" w:rsidR="00195F96" w:rsidRPr="00504F34" w:rsidRDefault="00195F96" w:rsidP="00F65C16">
            <w:pPr>
              <w:pStyle w:val="TBLHeading"/>
            </w:pPr>
            <w:r w:rsidRPr="00504F34">
              <w:t>Average annual regulatory costs</w:t>
            </w:r>
            <w:r>
              <w:t xml:space="preserve"> </w:t>
            </w:r>
          </w:p>
        </w:tc>
      </w:tr>
      <w:tr w:rsidR="00195F96" w:rsidRPr="00947470" w14:paraId="2FEB3DCB" w14:textId="77777777" w:rsidTr="00C94F35">
        <w:trPr>
          <w:trHeight w:val="350"/>
        </w:trPr>
        <w:tc>
          <w:tcPr>
            <w:tcW w:w="1985" w:type="dxa"/>
          </w:tcPr>
          <w:p w14:paraId="22D98F5B" w14:textId="77777777" w:rsidR="00EA5825" w:rsidRPr="00B67761" w:rsidRDefault="00EA5825" w:rsidP="00EA5825">
            <w:pPr>
              <w:pStyle w:val="TBLText"/>
              <w:rPr>
                <w:sz w:val="22"/>
                <w:szCs w:val="22"/>
              </w:rPr>
            </w:pPr>
            <w:r w:rsidRPr="00B67761">
              <w:rPr>
                <w:sz w:val="22"/>
                <w:szCs w:val="22"/>
              </w:rPr>
              <w:t xml:space="preserve">Change in costs </w:t>
            </w:r>
          </w:p>
          <w:p w14:paraId="1299289F" w14:textId="0F5D4D0F" w:rsidR="00195F96" w:rsidRPr="00B67761" w:rsidRDefault="00EA5825" w:rsidP="00EA5825">
            <w:pPr>
              <w:pStyle w:val="TBLText"/>
              <w:rPr>
                <w:sz w:val="22"/>
                <w:szCs w:val="22"/>
              </w:rPr>
            </w:pPr>
            <w:r w:rsidRPr="00B67761">
              <w:rPr>
                <w:sz w:val="22"/>
                <w:szCs w:val="22"/>
              </w:rPr>
              <w:t>($ million)</w:t>
            </w:r>
          </w:p>
        </w:tc>
        <w:tc>
          <w:tcPr>
            <w:tcW w:w="1417" w:type="dxa"/>
          </w:tcPr>
          <w:p w14:paraId="18B8055A" w14:textId="77777777" w:rsidR="00195F96" w:rsidRPr="00B67761" w:rsidRDefault="00195F96" w:rsidP="00C94F35">
            <w:pPr>
              <w:pStyle w:val="TBLText"/>
              <w:rPr>
                <w:sz w:val="22"/>
                <w:szCs w:val="22"/>
              </w:rPr>
            </w:pPr>
            <w:r w:rsidRPr="00B67761">
              <w:rPr>
                <w:sz w:val="22"/>
                <w:szCs w:val="22"/>
              </w:rPr>
              <w:t>Individuals</w:t>
            </w:r>
          </w:p>
        </w:tc>
        <w:tc>
          <w:tcPr>
            <w:tcW w:w="1664" w:type="dxa"/>
          </w:tcPr>
          <w:p w14:paraId="66B1F9E7" w14:textId="77777777" w:rsidR="00195F96" w:rsidRPr="00B67761" w:rsidRDefault="00195F96" w:rsidP="00C94F35">
            <w:pPr>
              <w:pStyle w:val="TBLText"/>
              <w:rPr>
                <w:sz w:val="22"/>
                <w:szCs w:val="22"/>
              </w:rPr>
            </w:pPr>
            <w:r w:rsidRPr="00B67761">
              <w:rPr>
                <w:sz w:val="22"/>
                <w:szCs w:val="22"/>
              </w:rPr>
              <w:t xml:space="preserve">Business </w:t>
            </w:r>
          </w:p>
        </w:tc>
        <w:tc>
          <w:tcPr>
            <w:tcW w:w="1738" w:type="dxa"/>
          </w:tcPr>
          <w:p w14:paraId="54CCF333" w14:textId="77777777" w:rsidR="00195F96" w:rsidRPr="00B67761" w:rsidRDefault="00195F96" w:rsidP="00C94F35">
            <w:pPr>
              <w:pStyle w:val="TBLText"/>
              <w:rPr>
                <w:sz w:val="22"/>
                <w:szCs w:val="22"/>
              </w:rPr>
            </w:pPr>
            <w:r w:rsidRPr="00B67761">
              <w:rPr>
                <w:sz w:val="22"/>
                <w:szCs w:val="22"/>
              </w:rPr>
              <w:t>Community organisations</w:t>
            </w:r>
          </w:p>
        </w:tc>
        <w:tc>
          <w:tcPr>
            <w:tcW w:w="2222" w:type="dxa"/>
          </w:tcPr>
          <w:p w14:paraId="559AD506" w14:textId="77777777" w:rsidR="00195F96" w:rsidRPr="00B67761" w:rsidRDefault="00195F96" w:rsidP="00C94F35">
            <w:pPr>
              <w:pStyle w:val="TBLText"/>
              <w:rPr>
                <w:sz w:val="22"/>
                <w:szCs w:val="22"/>
              </w:rPr>
            </w:pPr>
            <w:r w:rsidRPr="00B67761">
              <w:rPr>
                <w:sz w:val="22"/>
                <w:szCs w:val="22"/>
              </w:rPr>
              <w:t>Total change in cost</w:t>
            </w:r>
          </w:p>
        </w:tc>
      </w:tr>
      <w:tr w:rsidR="006268D4" w:rsidRPr="00947470" w14:paraId="2AA2DD40" w14:textId="77777777" w:rsidTr="00C94F35">
        <w:trPr>
          <w:trHeight w:val="350"/>
        </w:trPr>
        <w:tc>
          <w:tcPr>
            <w:tcW w:w="1985" w:type="dxa"/>
          </w:tcPr>
          <w:p w14:paraId="6EAE5CD3" w14:textId="77777777" w:rsidR="006268D4" w:rsidRDefault="006268D4" w:rsidP="006268D4">
            <w:pPr>
              <w:pStyle w:val="TBLText"/>
              <w:rPr>
                <w:sz w:val="22"/>
                <w:szCs w:val="22"/>
              </w:rPr>
            </w:pPr>
            <w:r>
              <w:rPr>
                <w:sz w:val="22"/>
                <w:szCs w:val="22"/>
              </w:rPr>
              <w:t>Low estimate</w:t>
            </w:r>
          </w:p>
        </w:tc>
        <w:tc>
          <w:tcPr>
            <w:tcW w:w="1417" w:type="dxa"/>
          </w:tcPr>
          <w:p w14:paraId="322C00D1" w14:textId="77777777" w:rsidR="006268D4" w:rsidRPr="00B67761" w:rsidRDefault="006268D4" w:rsidP="006268D4">
            <w:pPr>
              <w:pStyle w:val="TBLText"/>
              <w:rPr>
                <w:sz w:val="22"/>
                <w:szCs w:val="22"/>
              </w:rPr>
            </w:pPr>
            <w:r>
              <w:rPr>
                <w:sz w:val="22"/>
                <w:szCs w:val="22"/>
              </w:rPr>
              <w:t>$0</w:t>
            </w:r>
          </w:p>
        </w:tc>
        <w:tc>
          <w:tcPr>
            <w:tcW w:w="1664" w:type="dxa"/>
          </w:tcPr>
          <w:p w14:paraId="5D2816A2" w14:textId="2942B7D3" w:rsidR="006268D4" w:rsidRPr="006268D4" w:rsidRDefault="006268D4" w:rsidP="006268D4">
            <w:pPr>
              <w:pStyle w:val="TBLText"/>
              <w:rPr>
                <w:sz w:val="22"/>
                <w:szCs w:val="22"/>
              </w:rPr>
            </w:pPr>
            <w:r w:rsidRPr="006268D4">
              <w:rPr>
                <w:sz w:val="22"/>
                <w:szCs w:val="22"/>
              </w:rPr>
              <w:t>$0.109</w:t>
            </w:r>
          </w:p>
        </w:tc>
        <w:tc>
          <w:tcPr>
            <w:tcW w:w="1738" w:type="dxa"/>
          </w:tcPr>
          <w:p w14:paraId="65F93458" w14:textId="77777777" w:rsidR="006268D4" w:rsidRPr="006268D4" w:rsidRDefault="006268D4" w:rsidP="006268D4">
            <w:pPr>
              <w:pStyle w:val="TBLText"/>
              <w:rPr>
                <w:sz w:val="22"/>
                <w:szCs w:val="22"/>
              </w:rPr>
            </w:pPr>
            <w:r w:rsidRPr="006268D4">
              <w:rPr>
                <w:sz w:val="22"/>
                <w:szCs w:val="22"/>
              </w:rPr>
              <w:t>$0</w:t>
            </w:r>
          </w:p>
        </w:tc>
        <w:tc>
          <w:tcPr>
            <w:tcW w:w="2222" w:type="dxa"/>
          </w:tcPr>
          <w:p w14:paraId="2459F899" w14:textId="019AF9BB" w:rsidR="006268D4" w:rsidRPr="006268D4" w:rsidRDefault="006268D4" w:rsidP="006268D4">
            <w:pPr>
              <w:pStyle w:val="TBLText"/>
              <w:rPr>
                <w:sz w:val="22"/>
                <w:szCs w:val="22"/>
              </w:rPr>
            </w:pPr>
            <w:r w:rsidRPr="006268D4">
              <w:rPr>
                <w:sz w:val="22"/>
                <w:szCs w:val="22"/>
              </w:rPr>
              <w:t>$0.109</w:t>
            </w:r>
          </w:p>
        </w:tc>
      </w:tr>
      <w:tr w:rsidR="006268D4" w:rsidRPr="00995541" w14:paraId="5D04D563" w14:textId="77777777" w:rsidTr="00C94F35">
        <w:trPr>
          <w:trHeight w:val="350"/>
        </w:trPr>
        <w:tc>
          <w:tcPr>
            <w:tcW w:w="1985" w:type="dxa"/>
          </w:tcPr>
          <w:p w14:paraId="450EA7A8" w14:textId="77777777" w:rsidR="006268D4" w:rsidRPr="00B67761" w:rsidRDefault="006268D4" w:rsidP="006268D4">
            <w:pPr>
              <w:pStyle w:val="TBLText"/>
              <w:rPr>
                <w:sz w:val="22"/>
                <w:szCs w:val="22"/>
              </w:rPr>
            </w:pPr>
            <w:r>
              <w:rPr>
                <w:sz w:val="22"/>
                <w:szCs w:val="22"/>
              </w:rPr>
              <w:t>High estimate</w:t>
            </w:r>
          </w:p>
        </w:tc>
        <w:tc>
          <w:tcPr>
            <w:tcW w:w="1417" w:type="dxa"/>
          </w:tcPr>
          <w:p w14:paraId="5E42B5D7" w14:textId="77777777" w:rsidR="006268D4" w:rsidRPr="00B67761" w:rsidRDefault="006268D4" w:rsidP="006268D4">
            <w:pPr>
              <w:pStyle w:val="TBLText"/>
              <w:rPr>
                <w:sz w:val="22"/>
                <w:szCs w:val="22"/>
              </w:rPr>
            </w:pPr>
            <w:r w:rsidRPr="00B67761">
              <w:rPr>
                <w:sz w:val="22"/>
                <w:szCs w:val="22"/>
              </w:rPr>
              <w:t>$0</w:t>
            </w:r>
          </w:p>
        </w:tc>
        <w:tc>
          <w:tcPr>
            <w:tcW w:w="1664" w:type="dxa"/>
          </w:tcPr>
          <w:p w14:paraId="4046E2D4" w14:textId="4971E339" w:rsidR="006268D4" w:rsidRPr="00171E3A" w:rsidRDefault="006268D4" w:rsidP="006268D4">
            <w:pPr>
              <w:pStyle w:val="TBLText"/>
              <w:rPr>
                <w:sz w:val="22"/>
                <w:szCs w:val="22"/>
              </w:rPr>
            </w:pPr>
            <w:r w:rsidRPr="00171E3A">
              <w:rPr>
                <w:sz w:val="22"/>
                <w:szCs w:val="22"/>
              </w:rPr>
              <w:t>$0.2</w:t>
            </w:r>
            <w:r w:rsidR="00714C3D" w:rsidRPr="00171E3A">
              <w:rPr>
                <w:sz w:val="22"/>
                <w:szCs w:val="22"/>
              </w:rPr>
              <w:t>71</w:t>
            </w:r>
          </w:p>
        </w:tc>
        <w:tc>
          <w:tcPr>
            <w:tcW w:w="1738" w:type="dxa"/>
          </w:tcPr>
          <w:p w14:paraId="7A78C42A" w14:textId="77777777" w:rsidR="006268D4" w:rsidRPr="00171E3A" w:rsidRDefault="006268D4" w:rsidP="006268D4">
            <w:pPr>
              <w:pStyle w:val="TBLText"/>
              <w:rPr>
                <w:sz w:val="22"/>
                <w:szCs w:val="22"/>
              </w:rPr>
            </w:pPr>
            <w:r w:rsidRPr="00171E3A">
              <w:rPr>
                <w:sz w:val="22"/>
                <w:szCs w:val="22"/>
              </w:rPr>
              <w:t>$0</w:t>
            </w:r>
          </w:p>
        </w:tc>
        <w:tc>
          <w:tcPr>
            <w:tcW w:w="2222" w:type="dxa"/>
          </w:tcPr>
          <w:p w14:paraId="060A87B5" w14:textId="6A382FA8" w:rsidR="006268D4" w:rsidRPr="00171E3A" w:rsidRDefault="00171E3A" w:rsidP="006268D4">
            <w:pPr>
              <w:pStyle w:val="TBLText"/>
              <w:rPr>
                <w:sz w:val="22"/>
                <w:szCs w:val="22"/>
              </w:rPr>
            </w:pPr>
            <w:r w:rsidRPr="00171E3A">
              <w:rPr>
                <w:sz w:val="22"/>
                <w:szCs w:val="22"/>
              </w:rPr>
              <w:t>$0.271</w:t>
            </w:r>
          </w:p>
        </w:tc>
      </w:tr>
    </w:tbl>
    <w:p w14:paraId="3CD9AAE6" w14:textId="43CB763B" w:rsidR="006D1DBC" w:rsidRDefault="006F39CC" w:rsidP="009B46A5">
      <w:pPr>
        <w:pStyle w:val="Heading4"/>
      </w:pPr>
      <w:r>
        <w:t>A</w:t>
      </w:r>
      <w:r w:rsidR="00F97111">
        <w:t>ssumptions</w:t>
      </w:r>
    </w:p>
    <w:p w14:paraId="5BAC4812" w14:textId="77777777" w:rsidR="00A02513" w:rsidRDefault="00053E7D" w:rsidP="00F07C72">
      <w:pPr>
        <w:pStyle w:val="Dot-pointlist"/>
      </w:pPr>
      <w:r w:rsidRPr="00053E7D">
        <w:t xml:space="preserve">The </w:t>
      </w:r>
      <w:r w:rsidR="00A02513">
        <w:t xml:space="preserve">full </w:t>
      </w:r>
      <w:r w:rsidRPr="00053E7D">
        <w:t>impact of the targets on suppliers' recruitment process</w:t>
      </w:r>
      <w:r w:rsidR="004F0BC5">
        <w:t>es</w:t>
      </w:r>
      <w:r w:rsidRPr="00053E7D">
        <w:t xml:space="preserve"> (i.e., if a supplier needs to hire an apprentice) is unknown. </w:t>
      </w:r>
    </w:p>
    <w:p w14:paraId="71BC839D" w14:textId="7BF75CB3" w:rsidR="00053E7D" w:rsidRDefault="00A264FB" w:rsidP="00F07C72">
      <w:pPr>
        <w:pStyle w:val="Dot-pointlist"/>
      </w:pPr>
      <w:r>
        <w:t>S</w:t>
      </w:r>
      <w:r w:rsidR="00B569FF">
        <w:t>uppliers may require changes to advertising, screening, interviewing, onboarding, support</w:t>
      </w:r>
      <w:r w:rsidR="0075566E">
        <w:t>,</w:t>
      </w:r>
      <w:r w:rsidR="00B569FF">
        <w:t xml:space="preserve"> and training to meet and comply with the Skills Guarantee. </w:t>
      </w:r>
    </w:p>
    <w:p w14:paraId="3E4A5DCB" w14:textId="6133D42C" w:rsidR="00A02513" w:rsidRPr="00615F34" w:rsidRDefault="00A02513" w:rsidP="00F07C72">
      <w:pPr>
        <w:pStyle w:val="Dot-pointlist"/>
      </w:pPr>
      <w:r w:rsidRPr="00615F34">
        <w:t xml:space="preserve">Additional recruitment costs for suppliers may vary </w:t>
      </w:r>
      <w:r w:rsidRPr="006268D4">
        <w:t>from $</w:t>
      </w:r>
      <w:r w:rsidR="006268D4" w:rsidRPr="006268D4">
        <w:t>108,528</w:t>
      </w:r>
      <w:r w:rsidRPr="006268D4">
        <w:t xml:space="preserve"> </w:t>
      </w:r>
      <w:r w:rsidRPr="00AC005D">
        <w:t>to $</w:t>
      </w:r>
      <w:r w:rsidR="00AC005D" w:rsidRPr="00AC005D">
        <w:t>271,320</w:t>
      </w:r>
      <w:r w:rsidRPr="00AC005D">
        <w:t xml:space="preserve"> over a financial year.</w:t>
      </w:r>
    </w:p>
    <w:p w14:paraId="45FD0D50" w14:textId="77777777" w:rsidR="00A02513" w:rsidRPr="00B73A32" w:rsidRDefault="00A02513" w:rsidP="00F07C72">
      <w:pPr>
        <w:pStyle w:val="Dot-pointlist"/>
      </w:pPr>
      <w:r w:rsidRPr="00B73A32">
        <w:t xml:space="preserve">The low estimate is based on: </w:t>
      </w:r>
    </w:p>
    <w:p w14:paraId="17F4845E" w14:textId="77777777" w:rsidR="00A02513" w:rsidRDefault="00A02513" w:rsidP="00F07C72">
      <w:pPr>
        <w:pStyle w:val="Dot-pointlist"/>
        <w:numPr>
          <w:ilvl w:val="1"/>
          <w:numId w:val="2"/>
        </w:numPr>
      </w:pPr>
      <w:r w:rsidRPr="005B592F">
        <w:t xml:space="preserve">1 employee spending </w:t>
      </w:r>
      <w:r>
        <w:t>8</w:t>
      </w:r>
      <w:r w:rsidRPr="005B592F">
        <w:t xml:space="preserve"> hours at $29.75 per hour</w:t>
      </w:r>
      <w:r>
        <w:rPr>
          <w:rStyle w:val="FootnoteReference"/>
        </w:rPr>
        <w:footnoteReference w:id="105"/>
      </w:r>
      <w:r>
        <w:t xml:space="preserve"> across 76</w:t>
      </w:r>
      <w:r>
        <w:rPr>
          <w:rStyle w:val="FootnoteReference"/>
        </w:rPr>
        <w:footnoteReference w:id="106"/>
      </w:r>
      <w:r>
        <w:t xml:space="preserve"> </w:t>
      </w:r>
      <w:r w:rsidRPr="0075566E">
        <w:t xml:space="preserve">suppliers </w:t>
      </w:r>
      <w:r>
        <w:t>undertaking minimal recruitment changes, including utilising existing employees to meet overarching apprentice targets.</w:t>
      </w:r>
    </w:p>
    <w:p w14:paraId="1A86B682" w14:textId="5D802CF5" w:rsidR="00A02513" w:rsidRDefault="00A02513" w:rsidP="00F07C72">
      <w:pPr>
        <w:pStyle w:val="Dot-pointlist"/>
        <w:numPr>
          <w:ilvl w:val="1"/>
          <w:numId w:val="2"/>
        </w:numPr>
      </w:pPr>
      <w:r w:rsidRPr="00852ABB">
        <w:t>1 employee spending 40 hours at $29.75 per hour</w:t>
      </w:r>
      <w:r>
        <w:t xml:space="preserve"> across </w:t>
      </w:r>
      <w:r w:rsidR="00FD0656">
        <w:t>76</w:t>
      </w:r>
      <w:r w:rsidR="00FD0656">
        <w:rPr>
          <w:rStyle w:val="FootnoteReference"/>
        </w:rPr>
        <w:footnoteReference w:id="107"/>
      </w:r>
      <w:r w:rsidR="00FD0656">
        <w:t xml:space="preserve"> </w:t>
      </w:r>
      <w:r w:rsidRPr="00E938F4">
        <w:t xml:space="preserve">suppliers </w:t>
      </w:r>
      <w:r>
        <w:t xml:space="preserve">for </w:t>
      </w:r>
      <w:r w:rsidRPr="00852ABB">
        <w:t xml:space="preserve">additional recruitment </w:t>
      </w:r>
      <w:r>
        <w:t xml:space="preserve">changes </w:t>
      </w:r>
      <w:r w:rsidRPr="00852ABB">
        <w:t>to meet women’s targets</w:t>
      </w:r>
      <w:r>
        <w:t>, including recruiting for higher flagship construction projects targets.</w:t>
      </w:r>
    </w:p>
    <w:p w14:paraId="3D146115" w14:textId="77777777" w:rsidR="00A02513" w:rsidRPr="00473A0B" w:rsidRDefault="00A02513" w:rsidP="00F07C72">
      <w:pPr>
        <w:pStyle w:val="Dot-pointlist"/>
      </w:pPr>
      <w:r w:rsidRPr="00473A0B">
        <w:t>The high estimate is based on:</w:t>
      </w:r>
    </w:p>
    <w:p w14:paraId="51DD43E3" w14:textId="77777777" w:rsidR="00A02513" w:rsidRPr="00473A0B" w:rsidRDefault="00A02513" w:rsidP="00F07C72">
      <w:pPr>
        <w:pStyle w:val="Dot-pointlist"/>
        <w:numPr>
          <w:ilvl w:val="1"/>
          <w:numId w:val="2"/>
        </w:numPr>
      </w:pPr>
      <w:r w:rsidRPr="00473A0B">
        <w:t>2 employees spending 40 hours at $29.75 per hour across 76</w:t>
      </w:r>
      <w:r w:rsidRPr="00473A0B">
        <w:rPr>
          <w:rStyle w:val="FootnoteReference"/>
        </w:rPr>
        <w:footnoteReference w:id="108"/>
      </w:r>
      <w:r w:rsidRPr="00473A0B">
        <w:t xml:space="preserve"> suppliers undertaking extensive additional recruitment process changes to recruit and onboard to meet targets.</w:t>
      </w:r>
    </w:p>
    <w:p w14:paraId="30822C77" w14:textId="4FAC1FE9" w:rsidR="00A02513" w:rsidRPr="00473A0B" w:rsidRDefault="00A02513" w:rsidP="00F07C72">
      <w:pPr>
        <w:pStyle w:val="Dot-pointlist"/>
        <w:numPr>
          <w:ilvl w:val="1"/>
          <w:numId w:val="2"/>
        </w:numPr>
      </w:pPr>
      <w:r w:rsidRPr="00473A0B">
        <w:lastRenderedPageBreak/>
        <w:t xml:space="preserve">1 employee spending 40 hours at $29.75 per hour across </w:t>
      </w:r>
      <w:r w:rsidR="007C471C">
        <w:t>76</w:t>
      </w:r>
      <w:r w:rsidRPr="00473A0B">
        <w:t xml:space="preserve"> suppliers</w:t>
      </w:r>
      <w:r w:rsidRPr="00473A0B">
        <w:rPr>
          <w:rStyle w:val="FootnoteReference"/>
        </w:rPr>
        <w:footnoteReference w:id="109"/>
      </w:r>
      <w:r w:rsidRPr="00473A0B">
        <w:t xml:space="preserve"> for additional recruitment changes to meet women’s targets, including recruiting for higher flagship construction projects targets.</w:t>
      </w:r>
    </w:p>
    <w:p w14:paraId="3B263E02" w14:textId="0A737A2B" w:rsidR="00FE7C30" w:rsidRDefault="002B1A4A" w:rsidP="009B46A5">
      <w:pPr>
        <w:pStyle w:val="Heading3"/>
      </w:pPr>
      <w:r>
        <w:t>Reporting</w:t>
      </w:r>
      <w:r w:rsidR="00945472">
        <w:t xml:space="preserve"> cost</w:t>
      </w:r>
      <w:r w:rsidR="00EF448D">
        <w:t xml:space="preserve"> estimate</w:t>
      </w:r>
    </w:p>
    <w:p w14:paraId="5688187C" w14:textId="67035EB7" w:rsidR="00664805" w:rsidRDefault="00664805" w:rsidP="00B67761">
      <w:pPr>
        <w:rPr>
          <w:rStyle w:val="eop"/>
          <w:b/>
        </w:rPr>
      </w:pPr>
      <w:r w:rsidRPr="006C7BDC">
        <w:rPr>
          <w:rFonts w:ascii="Calibri" w:hAnsi="Calibri" w:cs="Calibri"/>
          <w:b/>
        </w:rPr>
        <w:t xml:space="preserve">Table </w:t>
      </w:r>
      <w:r w:rsidR="4DA02AA1" w:rsidRPr="006C7BDC">
        <w:rPr>
          <w:rFonts w:ascii="Calibri" w:hAnsi="Calibri" w:cs="Calibri"/>
          <w:b/>
        </w:rPr>
        <w:t>1</w:t>
      </w:r>
      <w:r w:rsidR="00D9772E" w:rsidRPr="006C7BDC">
        <w:rPr>
          <w:rFonts w:ascii="Calibri" w:hAnsi="Calibri" w:cs="Calibri"/>
          <w:b/>
        </w:rPr>
        <w:t>3</w:t>
      </w:r>
      <w:r w:rsidRPr="00863F43">
        <w:rPr>
          <w:rFonts w:ascii="Calibri" w:hAnsi="Calibri" w:cs="Calibri"/>
        </w:rPr>
        <w:t xml:space="preserve"> </w:t>
      </w:r>
      <w:r w:rsidRPr="00863F43">
        <w:t xml:space="preserve">estimates the total number of hours </w:t>
      </w:r>
      <w:r>
        <w:t>for</w:t>
      </w:r>
      <w:r w:rsidRPr="00863F43">
        <w:t xml:space="preserve"> quarterly </w:t>
      </w:r>
      <w:r>
        <w:t xml:space="preserve">reporting </w:t>
      </w:r>
      <w:r w:rsidRPr="00863F43">
        <w:t xml:space="preserve">on all the eligible contracts on AusTender which would have been captured by the Skills Guarantee if it were in effect in the 2022–23 financial year. The table uses the assumption that quarterly reporting takes </w:t>
      </w:r>
      <w:r w:rsidR="00571EF9">
        <w:t>30 minutes</w:t>
      </w:r>
      <w:r w:rsidRPr="00863F43">
        <w:t xml:space="preserve"> per instance</w:t>
      </w:r>
      <w:r w:rsidR="00A72BE3" w:rsidRPr="00A72BE3">
        <w:rPr>
          <w:rStyle w:val="normaltextrun"/>
          <w:rFonts w:ascii="Calibri" w:hAnsi="Calibri" w:cs="Calibri"/>
          <w:color w:val="000000"/>
          <w:shd w:val="clear" w:color="auto" w:fill="FFFFFF"/>
        </w:rPr>
        <w:t xml:space="preserve"> </w:t>
      </w:r>
      <w:r w:rsidR="00A72BE3">
        <w:rPr>
          <w:rStyle w:val="normaltextrun"/>
          <w:rFonts w:ascii="Calibri" w:hAnsi="Calibri" w:cs="Calibri"/>
          <w:color w:val="000000"/>
          <w:shd w:val="clear" w:color="auto" w:fill="FFFFFF"/>
        </w:rPr>
        <w:t>to gather and input the necessary information</w:t>
      </w:r>
      <w:r w:rsidRPr="00863F43">
        <w:t xml:space="preserve">. </w:t>
      </w:r>
      <w:r w:rsidRPr="00863F43">
        <w:rPr>
          <w:rStyle w:val="normaltextrun"/>
          <w:rFonts w:ascii="Calibri" w:hAnsi="Calibri" w:cs="Calibri"/>
          <w:color w:val="000000"/>
          <w:shd w:val="clear" w:color="auto" w:fill="FFFFFF"/>
        </w:rPr>
        <w:t>The estimation is a calculation based on consultation feedback, which included one</w:t>
      </w:r>
      <w:r w:rsidRPr="00863F43">
        <w:t xml:space="preserve"> </w:t>
      </w:r>
      <w:r w:rsidRPr="00863F43">
        <w:rPr>
          <w:rStyle w:val="normaltextrun"/>
          <w:rFonts w:ascii="Calibri" w:hAnsi="Calibri" w:cs="Calibri"/>
          <w:color w:val="000000"/>
          <w:shd w:val="clear" w:color="auto" w:fill="FFFFFF"/>
        </w:rPr>
        <w:t xml:space="preserve">supplier that the proposed reporting would be unlikely to take longer than 30 minutes </w:t>
      </w:r>
      <w:r>
        <w:rPr>
          <w:rStyle w:val="normaltextrun"/>
          <w:rFonts w:ascii="Calibri" w:hAnsi="Calibri" w:cs="Calibri"/>
          <w:color w:val="000000"/>
          <w:shd w:val="clear" w:color="auto" w:fill="FFFFFF"/>
        </w:rPr>
        <w:t>to complete</w:t>
      </w:r>
      <w:r w:rsidRPr="00863F43">
        <w:rPr>
          <w:rStyle w:val="normaltextrun"/>
          <w:rFonts w:ascii="Calibri" w:hAnsi="Calibri" w:cs="Calibri"/>
          <w:color w:val="000000"/>
          <w:shd w:val="clear" w:color="auto" w:fill="FFFFFF"/>
        </w:rPr>
        <w:t>.</w:t>
      </w:r>
      <w:r w:rsidR="00144140">
        <w:rPr>
          <w:rStyle w:val="normaltextrun"/>
          <w:rFonts w:ascii="Calibri" w:hAnsi="Calibri" w:cs="Calibri"/>
          <w:color w:val="000000"/>
          <w:shd w:val="clear" w:color="auto" w:fill="FFFFFF"/>
        </w:rPr>
        <w:t xml:space="preserve"> </w:t>
      </w:r>
    </w:p>
    <w:p w14:paraId="3E20290F" w14:textId="1662E342" w:rsidR="00664805" w:rsidRPr="004C5496" w:rsidRDefault="00664805" w:rsidP="005A35C0">
      <w:pPr>
        <w:pStyle w:val="Caption"/>
        <w:rPr>
          <w:rStyle w:val="normaltextrun"/>
          <w:b w:val="0"/>
        </w:rPr>
      </w:pPr>
      <w:r w:rsidRPr="177BCC9F">
        <w:rPr>
          <w:rStyle w:val="eop"/>
        </w:rPr>
        <w:t xml:space="preserve">Table </w:t>
      </w:r>
      <w:r w:rsidR="07A198BC" w:rsidRPr="006C7BDC">
        <w:rPr>
          <w:rStyle w:val="eop"/>
        </w:rPr>
        <w:t>1</w:t>
      </w:r>
      <w:r w:rsidR="00D9772E">
        <w:rPr>
          <w:rStyle w:val="eop"/>
        </w:rPr>
        <w:t>3</w:t>
      </w:r>
      <w:r w:rsidRPr="177BCC9F">
        <w:rPr>
          <w:rStyle w:val="eop"/>
        </w:rPr>
        <w:t>: Estimated number of supplier hours for quarterly reporting</w:t>
      </w:r>
    </w:p>
    <w:tbl>
      <w:tblPr>
        <w:tblStyle w:val="TableGrid"/>
        <w:tblW w:w="0" w:type="auto"/>
        <w:tblLook w:val="04A0" w:firstRow="1" w:lastRow="0" w:firstColumn="1" w:lastColumn="0" w:noHBand="0" w:noVBand="1"/>
      </w:tblPr>
      <w:tblGrid>
        <w:gridCol w:w="8075"/>
        <w:gridCol w:w="1052"/>
      </w:tblGrid>
      <w:tr w:rsidR="00664805" w:rsidRPr="004D6712" w14:paraId="3BED6C10" w14:textId="77777777" w:rsidTr="00FD22AC">
        <w:trPr>
          <w:trHeight w:val="288"/>
        </w:trPr>
        <w:tc>
          <w:tcPr>
            <w:tcW w:w="8075" w:type="dxa"/>
            <w:shd w:val="clear" w:color="auto" w:fill="404246"/>
            <w:noWrap/>
          </w:tcPr>
          <w:p w14:paraId="72D40062" w14:textId="77777777" w:rsidR="00664805" w:rsidRPr="00B67761" w:rsidRDefault="00664805" w:rsidP="00562632">
            <w:pPr>
              <w:spacing w:before="60" w:after="60" w:line="240" w:lineRule="auto"/>
              <w:rPr>
                <w:color w:val="FFFFFF" w:themeColor="background1"/>
              </w:rPr>
            </w:pPr>
            <w:r w:rsidRPr="00B67761">
              <w:rPr>
                <w:color w:val="FFFFFF" w:themeColor="background1"/>
              </w:rPr>
              <w:t xml:space="preserve">Description </w:t>
            </w:r>
          </w:p>
        </w:tc>
        <w:tc>
          <w:tcPr>
            <w:tcW w:w="1052" w:type="dxa"/>
            <w:shd w:val="clear" w:color="auto" w:fill="404246"/>
            <w:noWrap/>
          </w:tcPr>
          <w:p w14:paraId="4A1FAAEF" w14:textId="77777777" w:rsidR="00664805" w:rsidRPr="00B67761" w:rsidRDefault="00664805" w:rsidP="00562632">
            <w:pPr>
              <w:spacing w:before="60" w:after="60" w:line="240" w:lineRule="auto"/>
              <w:rPr>
                <w:color w:val="FFFFFF" w:themeColor="background1"/>
              </w:rPr>
            </w:pPr>
            <w:r w:rsidRPr="00B67761">
              <w:rPr>
                <w:color w:val="FFFFFF" w:themeColor="background1"/>
              </w:rPr>
              <w:t>Total</w:t>
            </w:r>
          </w:p>
        </w:tc>
      </w:tr>
      <w:tr w:rsidR="00664805" w:rsidRPr="004D6712" w14:paraId="6C70A94C" w14:textId="77777777" w:rsidTr="00FD22AC">
        <w:trPr>
          <w:trHeight w:val="288"/>
        </w:trPr>
        <w:tc>
          <w:tcPr>
            <w:tcW w:w="8075" w:type="dxa"/>
            <w:noWrap/>
            <w:hideMark/>
          </w:tcPr>
          <w:p w14:paraId="1E578877" w14:textId="77777777" w:rsidR="00664805" w:rsidRPr="004D6712" w:rsidRDefault="00664805" w:rsidP="00562632">
            <w:pPr>
              <w:spacing w:before="60" w:after="60" w:line="240" w:lineRule="auto"/>
              <w:rPr>
                <w:rFonts w:ascii="Calibri" w:eastAsia="Calibri" w:hAnsi="Calibri" w:cs="Times New Roman"/>
              </w:rPr>
            </w:pPr>
            <w:r w:rsidRPr="004D6712">
              <w:t xml:space="preserve">Total </w:t>
            </w:r>
            <w:r>
              <w:t xml:space="preserve">AusTender </w:t>
            </w:r>
            <w:r w:rsidRPr="004D6712">
              <w:t>contract notices over $10 million in the 22–23 FY (for all C’th entities)</w:t>
            </w:r>
            <w:r w:rsidRPr="004D6712">
              <w:rPr>
                <w:rStyle w:val="FootnoteReference"/>
              </w:rPr>
              <w:footnoteReference w:id="110"/>
            </w:r>
          </w:p>
        </w:tc>
        <w:tc>
          <w:tcPr>
            <w:tcW w:w="1052" w:type="dxa"/>
            <w:noWrap/>
            <w:hideMark/>
          </w:tcPr>
          <w:p w14:paraId="1F1B113A" w14:textId="77777777" w:rsidR="00664805" w:rsidRPr="004D6712" w:rsidRDefault="00664805" w:rsidP="00562632">
            <w:pPr>
              <w:spacing w:before="60" w:after="60" w:line="240" w:lineRule="auto"/>
              <w:jc w:val="right"/>
              <w:rPr>
                <w:rFonts w:ascii="Calibri" w:eastAsia="Calibri" w:hAnsi="Calibri" w:cs="Times New Roman"/>
              </w:rPr>
            </w:pPr>
            <w:r>
              <w:t>102</w:t>
            </w:r>
          </w:p>
        </w:tc>
      </w:tr>
      <w:tr w:rsidR="004860DA" w:rsidRPr="004D6712" w14:paraId="564234A1" w14:textId="77777777" w:rsidTr="006617F8">
        <w:trPr>
          <w:trHeight w:val="288"/>
        </w:trPr>
        <w:tc>
          <w:tcPr>
            <w:tcW w:w="9127" w:type="dxa"/>
            <w:gridSpan w:val="2"/>
            <w:shd w:val="clear" w:color="auto" w:fill="D9D9D9" w:themeFill="background1" w:themeFillShade="D9"/>
            <w:noWrap/>
          </w:tcPr>
          <w:p w14:paraId="232825E3" w14:textId="25FA3489" w:rsidR="004860DA" w:rsidRDefault="004860DA" w:rsidP="004860DA">
            <w:pPr>
              <w:spacing w:before="60" w:after="60" w:line="240" w:lineRule="auto"/>
            </w:pPr>
            <w:r>
              <w:t>Low estimate</w:t>
            </w:r>
          </w:p>
        </w:tc>
      </w:tr>
      <w:tr w:rsidR="00664805" w:rsidRPr="004D6712" w14:paraId="01FBA37C" w14:textId="77777777" w:rsidTr="00FD22AC">
        <w:trPr>
          <w:trHeight w:val="288"/>
        </w:trPr>
        <w:tc>
          <w:tcPr>
            <w:tcW w:w="8075" w:type="dxa"/>
            <w:noWrap/>
            <w:hideMark/>
          </w:tcPr>
          <w:p w14:paraId="391BB089" w14:textId="77DF10F9" w:rsidR="00664805" w:rsidRPr="004D6712" w:rsidRDefault="00664805" w:rsidP="00562632">
            <w:pPr>
              <w:spacing w:before="60" w:after="60" w:line="240" w:lineRule="auto"/>
              <w:rPr>
                <w:rFonts w:ascii="Calibri" w:eastAsia="Calibri" w:hAnsi="Calibri" w:cs="Times New Roman"/>
              </w:rPr>
            </w:pPr>
            <w:r w:rsidRPr="004D6712">
              <w:t>Time taken to report per contract, per year (</w:t>
            </w:r>
            <w:r w:rsidR="001B6329">
              <w:t>.</w:t>
            </w:r>
            <w:r w:rsidR="008A4D08">
              <w:t>5</w:t>
            </w:r>
            <w:r w:rsidRPr="004D6712">
              <w:t>hr x 4)</w:t>
            </w:r>
          </w:p>
        </w:tc>
        <w:tc>
          <w:tcPr>
            <w:tcW w:w="1052" w:type="dxa"/>
            <w:noWrap/>
            <w:hideMark/>
          </w:tcPr>
          <w:p w14:paraId="76504F35" w14:textId="2F2CFD25" w:rsidR="00664805" w:rsidRPr="004D6712" w:rsidRDefault="00186190" w:rsidP="00562632">
            <w:pPr>
              <w:spacing w:before="60" w:after="60" w:line="240" w:lineRule="auto"/>
              <w:jc w:val="right"/>
              <w:rPr>
                <w:rFonts w:ascii="Calibri" w:eastAsia="Calibri" w:hAnsi="Calibri" w:cs="Times New Roman"/>
              </w:rPr>
            </w:pPr>
            <w:r>
              <w:t>2</w:t>
            </w:r>
          </w:p>
        </w:tc>
      </w:tr>
      <w:tr w:rsidR="00664805" w:rsidRPr="004D6712" w14:paraId="32AEB209" w14:textId="77777777" w:rsidTr="00FD22AC">
        <w:trPr>
          <w:trHeight w:val="288"/>
        </w:trPr>
        <w:tc>
          <w:tcPr>
            <w:tcW w:w="8075" w:type="dxa"/>
            <w:noWrap/>
          </w:tcPr>
          <w:p w14:paraId="2DBB9002" w14:textId="6D30C567" w:rsidR="00664805" w:rsidRPr="004D6712" w:rsidRDefault="00664805" w:rsidP="00562632">
            <w:pPr>
              <w:spacing w:before="60" w:after="60" w:line="240" w:lineRule="auto"/>
              <w:rPr>
                <w:rFonts w:ascii="Calibri" w:eastAsia="Calibri" w:hAnsi="Calibri" w:cs="Times New Roman"/>
              </w:rPr>
            </w:pPr>
            <w:r w:rsidRPr="004D6712">
              <w:t>Time taken to report for all contracts in 22–23 FY</w:t>
            </w:r>
            <w:r w:rsidR="0095490D">
              <w:t xml:space="preserve"> (hrs)</w:t>
            </w:r>
          </w:p>
        </w:tc>
        <w:tc>
          <w:tcPr>
            <w:tcW w:w="1052" w:type="dxa"/>
            <w:noWrap/>
          </w:tcPr>
          <w:p w14:paraId="0F906CE8" w14:textId="0311E966" w:rsidR="00664805" w:rsidRPr="004D6712" w:rsidRDefault="002E00D4" w:rsidP="00562632">
            <w:pPr>
              <w:spacing w:before="60" w:after="60" w:line="240" w:lineRule="auto"/>
              <w:jc w:val="right"/>
              <w:rPr>
                <w:rFonts w:ascii="Calibri" w:eastAsia="Calibri" w:hAnsi="Calibri" w:cs="Times New Roman"/>
              </w:rPr>
            </w:pPr>
            <w:r>
              <w:t>204</w:t>
            </w:r>
          </w:p>
        </w:tc>
      </w:tr>
      <w:tr w:rsidR="006617F8" w:rsidRPr="004D6712" w14:paraId="5541880C" w14:textId="77777777" w:rsidTr="006617F8">
        <w:trPr>
          <w:trHeight w:val="288"/>
        </w:trPr>
        <w:tc>
          <w:tcPr>
            <w:tcW w:w="9127" w:type="dxa"/>
            <w:gridSpan w:val="2"/>
            <w:shd w:val="clear" w:color="auto" w:fill="D9D9D9" w:themeFill="background1" w:themeFillShade="D9"/>
            <w:noWrap/>
          </w:tcPr>
          <w:p w14:paraId="017088EC" w14:textId="4DB5D5F8" w:rsidR="006617F8" w:rsidRDefault="006617F8" w:rsidP="006617F8">
            <w:pPr>
              <w:spacing w:before="60" w:after="60" w:line="240" w:lineRule="auto"/>
            </w:pPr>
            <w:r>
              <w:t>High estimate</w:t>
            </w:r>
          </w:p>
        </w:tc>
      </w:tr>
      <w:tr w:rsidR="00030EB2" w:rsidRPr="004D6712" w14:paraId="0B7A06DD" w14:textId="77777777" w:rsidTr="00FD22AC">
        <w:trPr>
          <w:trHeight w:val="288"/>
        </w:trPr>
        <w:tc>
          <w:tcPr>
            <w:tcW w:w="8075" w:type="dxa"/>
            <w:noWrap/>
          </w:tcPr>
          <w:p w14:paraId="6BEDF6D3" w14:textId="37C36586" w:rsidR="00030EB2" w:rsidRPr="004D6712" w:rsidRDefault="00030EB2" w:rsidP="00030EB2">
            <w:pPr>
              <w:spacing w:before="60" w:after="60" w:line="240" w:lineRule="auto"/>
            </w:pPr>
            <w:r w:rsidRPr="004D6712">
              <w:t xml:space="preserve">Time taken to </w:t>
            </w:r>
            <w:r w:rsidR="00A0094E">
              <w:t>pr</w:t>
            </w:r>
            <w:r w:rsidR="00730DB2">
              <w:t>o</w:t>
            </w:r>
            <w:r w:rsidR="00A0094E">
              <w:t>d</w:t>
            </w:r>
            <w:r w:rsidR="00730DB2">
              <w:t>u</w:t>
            </w:r>
            <w:r w:rsidR="00A0094E">
              <w:t xml:space="preserve">ce </w:t>
            </w:r>
            <w:r w:rsidRPr="004D6712">
              <w:t>report per contract, per year (</w:t>
            </w:r>
            <w:r w:rsidR="003E7178">
              <w:t>5</w:t>
            </w:r>
            <w:r w:rsidRPr="004D6712">
              <w:t>hr x 4)</w:t>
            </w:r>
          </w:p>
        </w:tc>
        <w:tc>
          <w:tcPr>
            <w:tcW w:w="1052" w:type="dxa"/>
            <w:noWrap/>
          </w:tcPr>
          <w:p w14:paraId="2322DCB6" w14:textId="6D1D0333" w:rsidR="00030EB2" w:rsidRDefault="003E7178" w:rsidP="00030EB2">
            <w:pPr>
              <w:spacing w:before="60" w:after="60" w:line="240" w:lineRule="auto"/>
              <w:jc w:val="right"/>
            </w:pPr>
            <w:r>
              <w:t>20</w:t>
            </w:r>
          </w:p>
        </w:tc>
      </w:tr>
      <w:tr w:rsidR="00030EB2" w:rsidRPr="004D6712" w14:paraId="1417DFA9" w14:textId="77777777" w:rsidTr="00FD22AC">
        <w:trPr>
          <w:trHeight w:val="288"/>
        </w:trPr>
        <w:tc>
          <w:tcPr>
            <w:tcW w:w="8075" w:type="dxa"/>
            <w:noWrap/>
          </w:tcPr>
          <w:p w14:paraId="547FE23C" w14:textId="237DA06E" w:rsidR="00030EB2" w:rsidRPr="004D6712" w:rsidRDefault="00030EB2" w:rsidP="00030EB2">
            <w:pPr>
              <w:spacing w:before="60" w:after="60" w:line="240" w:lineRule="auto"/>
            </w:pPr>
            <w:r w:rsidRPr="004D6712">
              <w:t xml:space="preserve">Time taken to </w:t>
            </w:r>
            <w:r>
              <w:t xml:space="preserve">produce </w:t>
            </w:r>
            <w:r w:rsidRPr="004D6712">
              <w:t>report</w:t>
            </w:r>
            <w:r>
              <w:t>s</w:t>
            </w:r>
            <w:r w:rsidRPr="004D6712">
              <w:t xml:space="preserve"> for all contracts in 22–23 FY</w:t>
            </w:r>
            <w:r>
              <w:t xml:space="preserve"> (hrs)</w:t>
            </w:r>
          </w:p>
        </w:tc>
        <w:tc>
          <w:tcPr>
            <w:tcW w:w="1052" w:type="dxa"/>
            <w:noWrap/>
          </w:tcPr>
          <w:p w14:paraId="49170B43" w14:textId="0D17890D" w:rsidR="00030EB2" w:rsidRDefault="00030EB2" w:rsidP="00030EB2">
            <w:pPr>
              <w:spacing w:before="60" w:after="60" w:line="240" w:lineRule="auto"/>
              <w:jc w:val="right"/>
            </w:pPr>
            <w:r>
              <w:t>204</w:t>
            </w:r>
            <w:r w:rsidR="00DF262C">
              <w:t>0</w:t>
            </w:r>
          </w:p>
        </w:tc>
      </w:tr>
      <w:tr w:rsidR="006617F8" w:rsidRPr="004D6712" w14:paraId="099BF4F5" w14:textId="77777777" w:rsidTr="00FD22AC">
        <w:trPr>
          <w:trHeight w:val="288"/>
        </w:trPr>
        <w:tc>
          <w:tcPr>
            <w:tcW w:w="8075" w:type="dxa"/>
            <w:noWrap/>
          </w:tcPr>
          <w:p w14:paraId="58BAB5FB" w14:textId="038E0109" w:rsidR="006617F8" w:rsidRPr="004D6712" w:rsidRDefault="005C54C8" w:rsidP="00562632">
            <w:pPr>
              <w:spacing w:before="60" w:after="60" w:line="240" w:lineRule="auto"/>
            </w:pPr>
            <w:r>
              <w:t xml:space="preserve">Time taken assurance checking </w:t>
            </w:r>
            <w:r w:rsidR="0037781A">
              <w:t xml:space="preserve">report per contract, per year </w:t>
            </w:r>
            <w:r w:rsidR="0037781A" w:rsidRPr="004D6712">
              <w:t>(</w:t>
            </w:r>
            <w:r w:rsidR="00451C67">
              <w:t>5</w:t>
            </w:r>
            <w:r w:rsidR="0037781A" w:rsidRPr="004D6712">
              <w:t>hr x 4)</w:t>
            </w:r>
          </w:p>
        </w:tc>
        <w:tc>
          <w:tcPr>
            <w:tcW w:w="1052" w:type="dxa"/>
            <w:noWrap/>
          </w:tcPr>
          <w:p w14:paraId="0DE4479C" w14:textId="4C926DFD" w:rsidR="006617F8" w:rsidRDefault="00C36503" w:rsidP="00562632">
            <w:pPr>
              <w:spacing w:before="60" w:after="60" w:line="240" w:lineRule="auto"/>
              <w:jc w:val="right"/>
            </w:pPr>
            <w:r>
              <w:t>20</w:t>
            </w:r>
          </w:p>
        </w:tc>
      </w:tr>
      <w:tr w:rsidR="0037781A" w:rsidRPr="004D6712" w14:paraId="33442676" w14:textId="77777777" w:rsidTr="00FD22AC">
        <w:trPr>
          <w:trHeight w:val="288"/>
        </w:trPr>
        <w:tc>
          <w:tcPr>
            <w:tcW w:w="8075" w:type="dxa"/>
            <w:noWrap/>
          </w:tcPr>
          <w:p w14:paraId="3474A6E8" w14:textId="51B3C686" w:rsidR="0037781A" w:rsidRDefault="00D41F0D" w:rsidP="00562632">
            <w:pPr>
              <w:spacing w:before="60" w:after="60" w:line="240" w:lineRule="auto"/>
            </w:pPr>
            <w:r>
              <w:t>Time taken assurance checking for all contracts</w:t>
            </w:r>
            <w:r w:rsidR="00D87952">
              <w:t xml:space="preserve"> in 22–23 FY (hrs)</w:t>
            </w:r>
          </w:p>
        </w:tc>
        <w:tc>
          <w:tcPr>
            <w:tcW w:w="1052" w:type="dxa"/>
            <w:noWrap/>
          </w:tcPr>
          <w:p w14:paraId="7A33E0CE" w14:textId="452DAA43" w:rsidR="0037781A" w:rsidRDefault="00D87DE3" w:rsidP="00562632">
            <w:pPr>
              <w:spacing w:before="60" w:after="60" w:line="240" w:lineRule="auto"/>
              <w:jc w:val="right"/>
            </w:pPr>
            <w:r>
              <w:t>204</w:t>
            </w:r>
            <w:r w:rsidR="00DF262C">
              <w:t>0</w:t>
            </w:r>
          </w:p>
        </w:tc>
      </w:tr>
    </w:tbl>
    <w:p w14:paraId="012DED73" w14:textId="3FB04189" w:rsidR="00F36736" w:rsidRPr="004C5496" w:rsidRDefault="00F36736" w:rsidP="00F36736">
      <w:pPr>
        <w:pStyle w:val="Caption"/>
        <w:rPr>
          <w:rStyle w:val="normaltextrun"/>
          <w:b w:val="0"/>
        </w:rPr>
      </w:pPr>
      <w:r w:rsidRPr="177BCC9F">
        <w:rPr>
          <w:rStyle w:val="eop"/>
        </w:rPr>
        <w:t xml:space="preserve">Table </w:t>
      </w:r>
      <w:r w:rsidR="07A198BC" w:rsidRPr="006C7BDC">
        <w:rPr>
          <w:rStyle w:val="eop"/>
        </w:rPr>
        <w:t>1</w:t>
      </w:r>
      <w:r w:rsidR="00327459">
        <w:rPr>
          <w:rStyle w:val="eop"/>
        </w:rPr>
        <w:t>4</w:t>
      </w:r>
      <w:r w:rsidRPr="177BCC9F">
        <w:rPr>
          <w:rStyle w:val="eop"/>
        </w:rPr>
        <w:t>: Reporting cost</w:t>
      </w:r>
    </w:p>
    <w:tbl>
      <w:tblPr>
        <w:tblStyle w:val="Custom1"/>
        <w:tblW w:w="0" w:type="auto"/>
        <w:tblBorders>
          <w:top w:val="single" w:sz="4" w:space="0" w:color="404246"/>
          <w:bottom w:val="single" w:sz="4" w:space="0" w:color="404246"/>
          <w:insideH w:val="single" w:sz="4" w:space="0" w:color="404246"/>
        </w:tblBorders>
        <w:tblLook w:val="0660" w:firstRow="1" w:lastRow="1" w:firstColumn="0" w:lastColumn="0" w:noHBand="1" w:noVBand="1"/>
      </w:tblPr>
      <w:tblGrid>
        <w:gridCol w:w="1985"/>
        <w:gridCol w:w="1417"/>
        <w:gridCol w:w="1664"/>
        <w:gridCol w:w="1738"/>
        <w:gridCol w:w="2222"/>
      </w:tblGrid>
      <w:tr w:rsidR="00515D4D" w:rsidRPr="00947470" w14:paraId="4F763FCA" w14:textId="77777777" w:rsidTr="00C94F35">
        <w:trPr>
          <w:cnfStyle w:val="100000000000" w:firstRow="1" w:lastRow="0" w:firstColumn="0" w:lastColumn="0" w:oddVBand="0" w:evenVBand="0" w:oddHBand="0" w:evenHBand="0" w:firstRowFirstColumn="0" w:firstRowLastColumn="0" w:lastRowFirstColumn="0" w:lastRowLastColumn="0"/>
          <w:trHeight w:val="350"/>
          <w:tblHeader/>
        </w:trPr>
        <w:tc>
          <w:tcPr>
            <w:tcW w:w="9026" w:type="dxa"/>
            <w:gridSpan w:val="5"/>
            <w:shd w:val="clear" w:color="auto" w:fill="404246"/>
          </w:tcPr>
          <w:p w14:paraId="7562196C" w14:textId="3F54CBF5" w:rsidR="00515D4D" w:rsidRPr="00504F34" w:rsidRDefault="00515D4D" w:rsidP="00F65C16">
            <w:pPr>
              <w:pStyle w:val="TBLHeading"/>
            </w:pPr>
            <w:r w:rsidRPr="00504F34">
              <w:t>Average annual regulatory costs</w:t>
            </w:r>
            <w:r>
              <w:t xml:space="preserve"> </w:t>
            </w:r>
          </w:p>
        </w:tc>
      </w:tr>
      <w:tr w:rsidR="00515D4D" w:rsidRPr="00947470" w14:paraId="4D8A7083" w14:textId="77777777" w:rsidTr="00C94F35">
        <w:trPr>
          <w:trHeight w:val="350"/>
        </w:trPr>
        <w:tc>
          <w:tcPr>
            <w:tcW w:w="1985" w:type="dxa"/>
          </w:tcPr>
          <w:p w14:paraId="748DF688" w14:textId="77777777" w:rsidR="00EA5825" w:rsidRPr="00B67761" w:rsidRDefault="00EA5825" w:rsidP="00EA5825">
            <w:pPr>
              <w:pStyle w:val="TBLText"/>
              <w:rPr>
                <w:sz w:val="22"/>
                <w:szCs w:val="22"/>
              </w:rPr>
            </w:pPr>
            <w:r w:rsidRPr="00B67761">
              <w:rPr>
                <w:sz w:val="22"/>
                <w:szCs w:val="22"/>
              </w:rPr>
              <w:t xml:space="preserve">Change in costs </w:t>
            </w:r>
          </w:p>
          <w:p w14:paraId="067A1675" w14:textId="0537B4D3" w:rsidR="00515D4D" w:rsidRPr="00B67761" w:rsidRDefault="00EA5825" w:rsidP="00EA5825">
            <w:pPr>
              <w:pStyle w:val="TBLText"/>
              <w:rPr>
                <w:sz w:val="22"/>
                <w:szCs w:val="22"/>
              </w:rPr>
            </w:pPr>
            <w:r w:rsidRPr="00B67761">
              <w:rPr>
                <w:sz w:val="22"/>
                <w:szCs w:val="22"/>
              </w:rPr>
              <w:t>($ million)</w:t>
            </w:r>
          </w:p>
        </w:tc>
        <w:tc>
          <w:tcPr>
            <w:tcW w:w="1417" w:type="dxa"/>
          </w:tcPr>
          <w:p w14:paraId="14BC3377" w14:textId="77777777" w:rsidR="00515D4D" w:rsidRPr="00B67761" w:rsidRDefault="00515D4D" w:rsidP="00C94F35">
            <w:pPr>
              <w:pStyle w:val="TBLText"/>
              <w:rPr>
                <w:sz w:val="22"/>
                <w:szCs w:val="22"/>
              </w:rPr>
            </w:pPr>
            <w:r w:rsidRPr="00B67761">
              <w:rPr>
                <w:sz w:val="22"/>
                <w:szCs w:val="22"/>
              </w:rPr>
              <w:t>Individuals</w:t>
            </w:r>
          </w:p>
        </w:tc>
        <w:tc>
          <w:tcPr>
            <w:tcW w:w="1664" w:type="dxa"/>
          </w:tcPr>
          <w:p w14:paraId="130F0F1C" w14:textId="77777777" w:rsidR="00515D4D" w:rsidRPr="00B67761" w:rsidRDefault="00515D4D" w:rsidP="00C94F35">
            <w:pPr>
              <w:pStyle w:val="TBLText"/>
              <w:rPr>
                <w:sz w:val="22"/>
                <w:szCs w:val="22"/>
              </w:rPr>
            </w:pPr>
            <w:r w:rsidRPr="00B67761">
              <w:rPr>
                <w:sz w:val="22"/>
                <w:szCs w:val="22"/>
              </w:rPr>
              <w:t xml:space="preserve">Business </w:t>
            </w:r>
          </w:p>
        </w:tc>
        <w:tc>
          <w:tcPr>
            <w:tcW w:w="1738" w:type="dxa"/>
          </w:tcPr>
          <w:p w14:paraId="43C36576" w14:textId="77777777" w:rsidR="00515D4D" w:rsidRPr="00B67761" w:rsidRDefault="00515D4D" w:rsidP="00C94F35">
            <w:pPr>
              <w:pStyle w:val="TBLText"/>
              <w:rPr>
                <w:sz w:val="22"/>
                <w:szCs w:val="22"/>
              </w:rPr>
            </w:pPr>
            <w:r w:rsidRPr="00B67761">
              <w:rPr>
                <w:sz w:val="22"/>
                <w:szCs w:val="22"/>
              </w:rPr>
              <w:t>Community organisations</w:t>
            </w:r>
          </w:p>
        </w:tc>
        <w:tc>
          <w:tcPr>
            <w:tcW w:w="2222" w:type="dxa"/>
          </w:tcPr>
          <w:p w14:paraId="3A1833DD" w14:textId="77777777" w:rsidR="00515D4D" w:rsidRPr="00B67761" w:rsidRDefault="00515D4D" w:rsidP="00C94F35">
            <w:pPr>
              <w:pStyle w:val="TBLText"/>
              <w:rPr>
                <w:sz w:val="22"/>
                <w:szCs w:val="22"/>
              </w:rPr>
            </w:pPr>
            <w:r w:rsidRPr="00B67761">
              <w:rPr>
                <w:sz w:val="22"/>
                <w:szCs w:val="22"/>
              </w:rPr>
              <w:t>Total change in cost</w:t>
            </w:r>
          </w:p>
        </w:tc>
      </w:tr>
      <w:tr w:rsidR="00515D4D" w:rsidRPr="00947470" w14:paraId="7EBB7E23" w14:textId="77777777" w:rsidTr="00C94F35">
        <w:trPr>
          <w:trHeight w:val="350"/>
        </w:trPr>
        <w:tc>
          <w:tcPr>
            <w:tcW w:w="1985" w:type="dxa"/>
          </w:tcPr>
          <w:p w14:paraId="530B3984" w14:textId="77777777" w:rsidR="00515D4D" w:rsidRDefault="00515D4D" w:rsidP="00C94F35">
            <w:pPr>
              <w:pStyle w:val="TBLText"/>
              <w:rPr>
                <w:sz w:val="22"/>
                <w:szCs w:val="22"/>
              </w:rPr>
            </w:pPr>
            <w:r>
              <w:rPr>
                <w:sz w:val="22"/>
                <w:szCs w:val="22"/>
              </w:rPr>
              <w:t>Low estimate</w:t>
            </w:r>
          </w:p>
        </w:tc>
        <w:tc>
          <w:tcPr>
            <w:tcW w:w="1417" w:type="dxa"/>
          </w:tcPr>
          <w:p w14:paraId="70AA5451" w14:textId="77777777" w:rsidR="00515D4D" w:rsidRPr="00B67761" w:rsidRDefault="00515D4D" w:rsidP="00C94F35">
            <w:pPr>
              <w:pStyle w:val="TBLText"/>
              <w:rPr>
                <w:sz w:val="22"/>
                <w:szCs w:val="22"/>
              </w:rPr>
            </w:pPr>
            <w:r>
              <w:rPr>
                <w:sz w:val="22"/>
                <w:szCs w:val="22"/>
              </w:rPr>
              <w:t>$0</w:t>
            </w:r>
          </w:p>
        </w:tc>
        <w:tc>
          <w:tcPr>
            <w:tcW w:w="1664" w:type="dxa"/>
          </w:tcPr>
          <w:p w14:paraId="51719FAF" w14:textId="7892825D" w:rsidR="00515D4D" w:rsidRPr="00B67761" w:rsidRDefault="00515D4D" w:rsidP="00C94F35">
            <w:pPr>
              <w:pStyle w:val="TBLText"/>
              <w:rPr>
                <w:sz w:val="22"/>
                <w:szCs w:val="22"/>
              </w:rPr>
            </w:pPr>
            <w:r>
              <w:rPr>
                <w:sz w:val="22"/>
                <w:szCs w:val="22"/>
              </w:rPr>
              <w:t>$0.0</w:t>
            </w:r>
            <w:r w:rsidR="005D3AB8">
              <w:rPr>
                <w:sz w:val="22"/>
                <w:szCs w:val="22"/>
              </w:rPr>
              <w:t>06</w:t>
            </w:r>
          </w:p>
        </w:tc>
        <w:tc>
          <w:tcPr>
            <w:tcW w:w="1738" w:type="dxa"/>
          </w:tcPr>
          <w:p w14:paraId="0F07EAF2" w14:textId="77777777" w:rsidR="00515D4D" w:rsidRPr="00B67761" w:rsidRDefault="00515D4D" w:rsidP="00C94F35">
            <w:pPr>
              <w:pStyle w:val="TBLText"/>
              <w:rPr>
                <w:sz w:val="22"/>
                <w:szCs w:val="22"/>
              </w:rPr>
            </w:pPr>
            <w:r>
              <w:rPr>
                <w:sz w:val="22"/>
                <w:szCs w:val="22"/>
              </w:rPr>
              <w:t>$0</w:t>
            </w:r>
          </w:p>
        </w:tc>
        <w:tc>
          <w:tcPr>
            <w:tcW w:w="2222" w:type="dxa"/>
          </w:tcPr>
          <w:p w14:paraId="3DCD0EBF" w14:textId="5CEEFF0E" w:rsidR="00515D4D" w:rsidRPr="00B67761" w:rsidRDefault="00F65C16" w:rsidP="00C94F35">
            <w:pPr>
              <w:pStyle w:val="TBLText"/>
              <w:rPr>
                <w:sz w:val="22"/>
                <w:szCs w:val="22"/>
              </w:rPr>
            </w:pPr>
            <w:r>
              <w:rPr>
                <w:sz w:val="22"/>
                <w:szCs w:val="22"/>
              </w:rPr>
              <w:t>$0.0</w:t>
            </w:r>
            <w:r w:rsidR="000C0013">
              <w:rPr>
                <w:sz w:val="22"/>
                <w:szCs w:val="22"/>
              </w:rPr>
              <w:t>06</w:t>
            </w:r>
          </w:p>
        </w:tc>
      </w:tr>
      <w:tr w:rsidR="00515D4D" w:rsidRPr="00995541" w14:paraId="03B800B7" w14:textId="77777777" w:rsidTr="00C94F35">
        <w:trPr>
          <w:trHeight w:val="350"/>
        </w:trPr>
        <w:tc>
          <w:tcPr>
            <w:tcW w:w="1985" w:type="dxa"/>
          </w:tcPr>
          <w:p w14:paraId="79E3133A" w14:textId="77777777" w:rsidR="00515D4D" w:rsidRPr="00B67761" w:rsidRDefault="00515D4D" w:rsidP="00C94F35">
            <w:pPr>
              <w:pStyle w:val="TBLText"/>
              <w:rPr>
                <w:sz w:val="22"/>
                <w:szCs w:val="22"/>
              </w:rPr>
            </w:pPr>
            <w:r>
              <w:rPr>
                <w:sz w:val="22"/>
                <w:szCs w:val="22"/>
              </w:rPr>
              <w:t>High estimate</w:t>
            </w:r>
          </w:p>
        </w:tc>
        <w:tc>
          <w:tcPr>
            <w:tcW w:w="1417" w:type="dxa"/>
          </w:tcPr>
          <w:p w14:paraId="1765847F" w14:textId="77777777" w:rsidR="00515D4D" w:rsidRPr="00B67761" w:rsidRDefault="00515D4D" w:rsidP="00C94F35">
            <w:pPr>
              <w:pStyle w:val="TBLText"/>
              <w:rPr>
                <w:sz w:val="22"/>
                <w:szCs w:val="22"/>
              </w:rPr>
            </w:pPr>
            <w:r w:rsidRPr="00B67761">
              <w:rPr>
                <w:sz w:val="22"/>
                <w:szCs w:val="22"/>
              </w:rPr>
              <w:t>$0</w:t>
            </w:r>
          </w:p>
        </w:tc>
        <w:tc>
          <w:tcPr>
            <w:tcW w:w="1664" w:type="dxa"/>
          </w:tcPr>
          <w:p w14:paraId="2C98A952" w14:textId="7ED4225A" w:rsidR="00515D4D" w:rsidRPr="00AE2525" w:rsidRDefault="00515D4D" w:rsidP="00C94F35">
            <w:pPr>
              <w:pStyle w:val="TBLText"/>
              <w:rPr>
                <w:sz w:val="22"/>
                <w:szCs w:val="22"/>
              </w:rPr>
            </w:pPr>
            <w:r w:rsidRPr="00AE2525">
              <w:rPr>
                <w:sz w:val="22"/>
                <w:szCs w:val="22"/>
              </w:rPr>
              <w:t>$0.</w:t>
            </w:r>
            <w:r w:rsidR="007A0FB2">
              <w:rPr>
                <w:sz w:val="22"/>
                <w:szCs w:val="22"/>
              </w:rPr>
              <w:t>182</w:t>
            </w:r>
          </w:p>
        </w:tc>
        <w:tc>
          <w:tcPr>
            <w:tcW w:w="1738" w:type="dxa"/>
          </w:tcPr>
          <w:p w14:paraId="77A47691" w14:textId="77777777" w:rsidR="00515D4D" w:rsidRPr="00AE2525" w:rsidRDefault="00515D4D" w:rsidP="00C94F35">
            <w:pPr>
              <w:pStyle w:val="TBLText"/>
              <w:rPr>
                <w:sz w:val="22"/>
                <w:szCs w:val="22"/>
              </w:rPr>
            </w:pPr>
            <w:r w:rsidRPr="00AE2525">
              <w:rPr>
                <w:sz w:val="22"/>
                <w:szCs w:val="22"/>
              </w:rPr>
              <w:t>$0</w:t>
            </w:r>
          </w:p>
        </w:tc>
        <w:tc>
          <w:tcPr>
            <w:tcW w:w="2222" w:type="dxa"/>
          </w:tcPr>
          <w:p w14:paraId="7B659953" w14:textId="35BB0B12" w:rsidR="00515D4D" w:rsidRPr="00AE2525" w:rsidRDefault="00515D4D" w:rsidP="00C94F35">
            <w:pPr>
              <w:pStyle w:val="TBLText"/>
              <w:rPr>
                <w:sz w:val="22"/>
                <w:szCs w:val="22"/>
              </w:rPr>
            </w:pPr>
            <w:r w:rsidRPr="00AE2525">
              <w:rPr>
                <w:sz w:val="22"/>
                <w:szCs w:val="22"/>
              </w:rPr>
              <w:t>$0.</w:t>
            </w:r>
            <w:r w:rsidR="007A0FB2">
              <w:rPr>
                <w:sz w:val="22"/>
                <w:szCs w:val="22"/>
              </w:rPr>
              <w:t>182</w:t>
            </w:r>
          </w:p>
        </w:tc>
      </w:tr>
    </w:tbl>
    <w:p w14:paraId="2463F070" w14:textId="0D4B63A0" w:rsidR="00E50686" w:rsidRDefault="00884B50" w:rsidP="00884B50">
      <w:pPr>
        <w:pStyle w:val="Heading4"/>
      </w:pPr>
      <w:r>
        <w:lastRenderedPageBreak/>
        <w:t>Assumptions</w:t>
      </w:r>
    </w:p>
    <w:p w14:paraId="7E8BFCFC" w14:textId="51901562" w:rsidR="00FD22AC" w:rsidRDefault="00FD22AC" w:rsidP="00F07C72">
      <w:pPr>
        <w:pStyle w:val="Dot-pointlist"/>
      </w:pPr>
      <w:r>
        <w:t>Additional reporting costs for suppliers may vary from $</w:t>
      </w:r>
      <w:r w:rsidR="00197758">
        <w:t>6,069</w:t>
      </w:r>
      <w:r>
        <w:t xml:space="preserve"> to $</w:t>
      </w:r>
      <w:r w:rsidR="007A0FB2">
        <w:t>182,070</w:t>
      </w:r>
      <w:r>
        <w:t xml:space="preserve"> over a</w:t>
      </w:r>
      <w:r w:rsidRPr="00740C6A">
        <w:t xml:space="preserve"> financial</w:t>
      </w:r>
      <w:r>
        <w:t xml:space="preserve"> year.</w:t>
      </w:r>
    </w:p>
    <w:p w14:paraId="41F6B960" w14:textId="79717C95" w:rsidR="00D97CF7" w:rsidRPr="00B73A32" w:rsidRDefault="00D97CF7" w:rsidP="00F07C72">
      <w:pPr>
        <w:pStyle w:val="Dot-pointlist"/>
      </w:pPr>
      <w:r w:rsidRPr="00B73A32">
        <w:t xml:space="preserve">The low estimate is based on: </w:t>
      </w:r>
    </w:p>
    <w:p w14:paraId="23B73EA8" w14:textId="4B1F8A58" w:rsidR="006964DC" w:rsidRDefault="00B82644" w:rsidP="00F07C72">
      <w:pPr>
        <w:pStyle w:val="Dot-pointlist"/>
        <w:numPr>
          <w:ilvl w:val="1"/>
          <w:numId w:val="2"/>
        </w:numPr>
      </w:pPr>
      <w:r>
        <w:t>102 contracts</w:t>
      </w:r>
    </w:p>
    <w:p w14:paraId="3EC64765" w14:textId="6201881E" w:rsidR="00FD22AC" w:rsidRDefault="00FD22AC" w:rsidP="00F07C72">
      <w:pPr>
        <w:pStyle w:val="Dot-pointlist"/>
        <w:numPr>
          <w:ilvl w:val="1"/>
          <w:numId w:val="2"/>
        </w:numPr>
      </w:pPr>
      <w:r>
        <w:t>1 employee spending 2 hours</w:t>
      </w:r>
      <w:r w:rsidR="0051023F">
        <w:t xml:space="preserve"> </w:t>
      </w:r>
      <w:r w:rsidR="00CF0F94">
        <w:t>reporting</w:t>
      </w:r>
      <w:r w:rsidR="0051023F">
        <w:t xml:space="preserve"> per </w:t>
      </w:r>
      <w:r w:rsidR="00847239">
        <w:t xml:space="preserve">financial </w:t>
      </w:r>
      <w:r w:rsidR="00DC3FF8">
        <w:t>year</w:t>
      </w:r>
      <w:r w:rsidR="0051023F">
        <w:t>,</w:t>
      </w:r>
      <w:r w:rsidR="00CF0F94">
        <w:t xml:space="preserve"> </w:t>
      </w:r>
      <w:r w:rsidR="00FC610B">
        <w:t xml:space="preserve">per contract, </w:t>
      </w:r>
      <w:r>
        <w:t>at $29.75</w:t>
      </w:r>
      <w:r w:rsidRPr="00CC1BEB">
        <w:t xml:space="preserve"> </w:t>
      </w:r>
      <w:r w:rsidR="00A1257F">
        <w:t>per hour</w:t>
      </w:r>
      <w:r w:rsidR="00D73C7D" w:rsidRPr="00CC1BEB">
        <w:t xml:space="preserve"> </w:t>
      </w:r>
    </w:p>
    <w:p w14:paraId="1C37B86C" w14:textId="77777777" w:rsidR="00D97CF7" w:rsidRPr="00AE2525" w:rsidRDefault="00D97CF7" w:rsidP="00F07C72">
      <w:pPr>
        <w:pStyle w:val="Dot-pointlist"/>
      </w:pPr>
      <w:r w:rsidRPr="00AE2525">
        <w:t>The high estimate is based on:</w:t>
      </w:r>
    </w:p>
    <w:p w14:paraId="2AE55420" w14:textId="77777777" w:rsidR="00151040" w:rsidRPr="00AE2525" w:rsidRDefault="00151040" w:rsidP="00F07C72">
      <w:pPr>
        <w:pStyle w:val="Dot-pointlist"/>
        <w:numPr>
          <w:ilvl w:val="1"/>
          <w:numId w:val="2"/>
        </w:numPr>
      </w:pPr>
      <w:r w:rsidRPr="00AE2525">
        <w:t>102 contracts</w:t>
      </w:r>
    </w:p>
    <w:p w14:paraId="764275E0" w14:textId="129A8BF4" w:rsidR="00C604B9" w:rsidRPr="00AE2525" w:rsidRDefault="00FD22AC" w:rsidP="00F07C72">
      <w:pPr>
        <w:pStyle w:val="Dot-pointlist"/>
        <w:numPr>
          <w:ilvl w:val="1"/>
          <w:numId w:val="2"/>
        </w:numPr>
      </w:pPr>
      <w:r w:rsidRPr="00AE2525">
        <w:t xml:space="preserve">1 employee spending </w:t>
      </w:r>
      <w:r w:rsidR="00C20BBB" w:rsidRPr="00AE2525">
        <w:t>20</w:t>
      </w:r>
      <w:r w:rsidRPr="00AE2525">
        <w:t xml:space="preserve"> hours </w:t>
      </w:r>
      <w:r w:rsidR="0051023F" w:rsidRPr="00AE2525">
        <w:t xml:space="preserve">reporting per </w:t>
      </w:r>
      <w:r w:rsidR="00847239">
        <w:t xml:space="preserve">financial </w:t>
      </w:r>
      <w:r w:rsidR="00DC3FF8">
        <w:t>year</w:t>
      </w:r>
      <w:r w:rsidR="0051023F" w:rsidRPr="00AE2525">
        <w:t xml:space="preserve">, </w:t>
      </w:r>
      <w:r w:rsidR="00151040" w:rsidRPr="00AE2525">
        <w:t xml:space="preserve">per contract, </w:t>
      </w:r>
      <w:r w:rsidRPr="00AE2525">
        <w:t>at $29.75 per hour</w:t>
      </w:r>
    </w:p>
    <w:p w14:paraId="57ADB7DF" w14:textId="47E7565A" w:rsidR="00FD22AC" w:rsidRPr="00AE2525" w:rsidRDefault="00FD22AC" w:rsidP="00F07C72">
      <w:pPr>
        <w:pStyle w:val="Dot-pointlist"/>
        <w:numPr>
          <w:ilvl w:val="1"/>
          <w:numId w:val="2"/>
        </w:numPr>
      </w:pPr>
      <w:r w:rsidRPr="00AE2525">
        <w:t xml:space="preserve">1 employee spending </w:t>
      </w:r>
      <w:r w:rsidR="00C20BBB" w:rsidRPr="00AE2525">
        <w:t>20</w:t>
      </w:r>
      <w:r w:rsidRPr="00AE2525">
        <w:t xml:space="preserve"> hours </w:t>
      </w:r>
      <w:r w:rsidR="007F7B9F" w:rsidRPr="00AE2525">
        <w:t>assurance checking</w:t>
      </w:r>
      <w:r w:rsidR="00451C67">
        <w:t xml:space="preserve"> per year,</w:t>
      </w:r>
      <w:r w:rsidR="007F7B9F" w:rsidRPr="00AE2525">
        <w:t xml:space="preserve"> </w:t>
      </w:r>
      <w:r w:rsidRPr="00AE2525">
        <w:t xml:space="preserve">at $59.50 per hour, </w:t>
      </w:r>
      <w:r w:rsidR="00151040" w:rsidRPr="00AE2525">
        <w:t>per contract</w:t>
      </w:r>
      <w:r w:rsidR="002572BC" w:rsidRPr="00AE2525">
        <w:rPr>
          <w:rStyle w:val="FootnoteReference"/>
        </w:rPr>
        <w:footnoteReference w:id="111"/>
      </w:r>
    </w:p>
    <w:p w14:paraId="13B1C6FD" w14:textId="67CF02F4" w:rsidR="00F65C16" w:rsidRDefault="00F65C16" w:rsidP="00F07C72">
      <w:pPr>
        <w:pStyle w:val="Dot-pointlist"/>
      </w:pPr>
      <w:r>
        <w:t>The 2 estimates are dependent on</w:t>
      </w:r>
      <w:r w:rsidR="00A1257F" w:rsidRPr="00A1257F">
        <w:t xml:space="preserve"> data integrity and </w:t>
      </w:r>
      <w:r w:rsidR="00A1257F">
        <w:t>assurance</w:t>
      </w:r>
      <w:r w:rsidR="00A1257F" w:rsidRPr="00A1257F">
        <w:t xml:space="preserve"> checks, and supplier</w:t>
      </w:r>
      <w:r w:rsidR="00D77D0A">
        <w:t>s’</w:t>
      </w:r>
      <w:r w:rsidR="00A1257F" w:rsidRPr="00A1257F">
        <w:t xml:space="preserve"> IT systems.</w:t>
      </w:r>
    </w:p>
    <w:p w14:paraId="3FA7C183" w14:textId="1486D54E" w:rsidR="00840054" w:rsidRDefault="00840054" w:rsidP="00F07C72">
      <w:pPr>
        <w:pStyle w:val="Dot-pointlist"/>
      </w:pPr>
      <w:r>
        <w:t>Supplier reporting obligations will be quarterly and a final report provided to their contracting agencies on completion of the contract.</w:t>
      </w:r>
    </w:p>
    <w:p w14:paraId="21B79249" w14:textId="77777777" w:rsidR="00840054" w:rsidRDefault="00840054" w:rsidP="00F07C72">
      <w:pPr>
        <w:pStyle w:val="Dot-pointlist"/>
      </w:pPr>
      <w:r>
        <w:t xml:space="preserve">Additional training may be required by supplier employees to learn the new reporting process and Skills Guarantee compliance and reporting requirements. </w:t>
      </w:r>
    </w:p>
    <w:p w14:paraId="18344DF8" w14:textId="27AB9F05" w:rsidR="00613172" w:rsidRPr="00FB5632" w:rsidRDefault="00840054" w:rsidP="00F07C72">
      <w:pPr>
        <w:pStyle w:val="Dot-pointlist"/>
      </w:pPr>
      <w:r>
        <w:t xml:space="preserve">Additional time and resources </w:t>
      </w:r>
      <w:r w:rsidR="001819AA">
        <w:t>may</w:t>
      </w:r>
      <w:r>
        <w:t xml:space="preserve"> be required to confirm the accuracy and integrity of data entry for reporting and compliance purposes</w:t>
      </w:r>
      <w:r w:rsidR="00003A58">
        <w:t xml:space="preserve">, in addition to the estimated 30 minutes to complete </w:t>
      </w:r>
      <w:r w:rsidR="00C41B66">
        <w:t xml:space="preserve">reporting in </w:t>
      </w:r>
      <w:r w:rsidR="00C41B66" w:rsidRPr="006C7BDC">
        <w:rPr>
          <w:b/>
        </w:rPr>
        <w:t xml:space="preserve">Table </w:t>
      </w:r>
      <w:r w:rsidR="45AF3F6D" w:rsidRPr="006C7BDC">
        <w:rPr>
          <w:b/>
        </w:rPr>
        <w:t>14</w:t>
      </w:r>
      <w:r w:rsidR="001819AA">
        <w:t xml:space="preserve">. </w:t>
      </w:r>
    </w:p>
    <w:sectPr w:rsidR="00613172" w:rsidRPr="00FB5632" w:rsidSect="00907C48">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2A04" w14:textId="77777777" w:rsidR="00476F06" w:rsidRDefault="00476F06" w:rsidP="00CD1E37">
      <w:r>
        <w:separator/>
      </w:r>
    </w:p>
  </w:endnote>
  <w:endnote w:type="continuationSeparator" w:id="0">
    <w:p w14:paraId="45B46944" w14:textId="77777777" w:rsidR="00476F06" w:rsidRDefault="00476F06" w:rsidP="00CD1E37">
      <w:r>
        <w:continuationSeparator/>
      </w:r>
    </w:p>
  </w:endnote>
  <w:endnote w:type="continuationNotice" w:id="1">
    <w:p w14:paraId="2166F653" w14:textId="77777777" w:rsidR="00476F06" w:rsidRDefault="00476F06" w:rsidP="00CD1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B43A3" w14:textId="43959A59" w:rsidR="00B52E71" w:rsidRDefault="00B52E71" w:rsidP="00CD1E37">
    <w:pPr>
      <w:pStyle w:val="Footer"/>
    </w:pPr>
    <w:r>
      <w:rPr>
        <w:noProof/>
        <w:lang w:eastAsia="en-AU"/>
      </w:rPr>
      <mc:AlternateContent>
        <mc:Choice Requires="wps">
          <w:drawing>
            <wp:anchor distT="0" distB="0" distL="0" distR="0" simplePos="0" relativeHeight="251658244" behindDoc="0" locked="0" layoutInCell="1" allowOverlap="1" wp14:anchorId="5D4F2564" wp14:editId="13480627">
              <wp:simplePos x="635" y="635"/>
              <wp:positionH relativeFrom="page">
                <wp:align>center</wp:align>
              </wp:positionH>
              <wp:positionV relativeFrom="page">
                <wp:align>bottom</wp:align>
              </wp:positionV>
              <wp:extent cx="443865" cy="443865"/>
              <wp:effectExtent l="0" t="0" r="1270" b="0"/>
              <wp:wrapNone/>
              <wp:docPr id="2007772660" name="Text Box 2007772660"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0BF2E" w14:textId="3D33157D"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D4F2564" id="_x0000_t202" coordsize="21600,21600" o:spt="202" path="m,l,21600r21600,l21600,xe">
              <v:stroke joinstyle="miter"/>
              <v:path gradientshapeok="t" o:connecttype="rect"/>
            </v:shapetype>
            <v:shape id="Text Box 2007772660" o:spid="_x0000_s1028" type="#_x0000_t202" alt="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380BF2E" w14:textId="3D33157D" w:rsidR="00B52E71" w:rsidRPr="006F66A0" w:rsidRDefault="00B52E71" w:rsidP="00CD1E37">
                    <w:pPr>
                      <w:rPr>
                        <w:noProof/>
                      </w:rPr>
                    </w:pPr>
                    <w:r w:rsidRPr="006F66A0">
                      <w:rPr>
                        <w:noProof/>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6BB5" w14:textId="0106D48F" w:rsidR="00B52E71" w:rsidRDefault="00B52E71" w:rsidP="00CD1E37">
    <w:pPr>
      <w:pStyle w:val="Footer"/>
    </w:pPr>
    <w:r>
      <w:rPr>
        <w:noProof/>
        <w:lang w:eastAsia="en-AU"/>
      </w:rPr>
      <mc:AlternateContent>
        <mc:Choice Requires="wps">
          <w:drawing>
            <wp:anchor distT="0" distB="0" distL="0" distR="0" simplePos="0" relativeHeight="251658245" behindDoc="0" locked="0" layoutInCell="1" allowOverlap="1" wp14:anchorId="5E94D5FB" wp14:editId="32100E76">
              <wp:simplePos x="914400" y="9899650"/>
              <wp:positionH relativeFrom="page">
                <wp:align>center</wp:align>
              </wp:positionH>
              <wp:positionV relativeFrom="page">
                <wp:align>bottom</wp:align>
              </wp:positionV>
              <wp:extent cx="443865" cy="443865"/>
              <wp:effectExtent l="0" t="0" r="1270" b="0"/>
              <wp:wrapNone/>
              <wp:docPr id="246682807" name="Text Box 246682807"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E10040" w14:textId="1ED37669"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94D5FB" id="_x0000_t202" coordsize="21600,21600" o:spt="202" path="m,l,21600r21600,l21600,xe">
              <v:stroke joinstyle="miter"/>
              <v:path gradientshapeok="t" o:connecttype="rect"/>
            </v:shapetype>
            <v:shape id="Text Box 246682807" o:spid="_x0000_s1029" type="#_x0000_t202" alt="OFFICIAL: Sensitiv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CE10040" w14:textId="1ED37669" w:rsidR="00B52E71" w:rsidRPr="006F66A0" w:rsidRDefault="00B52E71" w:rsidP="00CD1E37">
                    <w:pPr>
                      <w:rPr>
                        <w:noProof/>
                      </w:rPr>
                    </w:pPr>
                    <w:r w:rsidRPr="006F66A0">
                      <w:rPr>
                        <w:noProof/>
                      </w:rPr>
                      <w:t>OFFICIAL: Sensitive</w:t>
                    </w:r>
                  </w:p>
                </w:txbxContent>
              </v:textbox>
              <w10:wrap anchorx="page" anchory="page"/>
            </v:shape>
          </w:pict>
        </mc:Fallback>
      </mc:AlternateContent>
    </w:r>
    <w:sdt>
      <w:sdtPr>
        <w:id w:val="-15728892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52C6">
          <w:rPr>
            <w:noProof/>
          </w:rPr>
          <w:t>4</w:t>
        </w:r>
        <w:r>
          <w:rPr>
            <w:noProof/>
          </w:rPr>
          <w:fldChar w:fldCharType="end"/>
        </w:r>
      </w:sdtContent>
    </w:sdt>
  </w:p>
  <w:p w14:paraId="0018A154" w14:textId="4EED0CC9" w:rsidR="00B52E71" w:rsidRDefault="00B52E71" w:rsidP="00CD1E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B2BA" w14:textId="33321AD9" w:rsidR="00B52E71" w:rsidRDefault="00B52E71" w:rsidP="00CD1E37">
    <w:pPr>
      <w:pStyle w:val="Footer"/>
    </w:pPr>
    <w:r>
      <w:rPr>
        <w:noProof/>
        <w:lang w:eastAsia="en-AU"/>
      </w:rPr>
      <mc:AlternateContent>
        <mc:Choice Requires="wps">
          <w:drawing>
            <wp:anchor distT="0" distB="0" distL="0" distR="0" simplePos="0" relativeHeight="251658243" behindDoc="0" locked="0" layoutInCell="1" allowOverlap="1" wp14:anchorId="243CB865" wp14:editId="7FCA62B4">
              <wp:simplePos x="635" y="635"/>
              <wp:positionH relativeFrom="page">
                <wp:align>center</wp:align>
              </wp:positionH>
              <wp:positionV relativeFrom="page">
                <wp:align>bottom</wp:align>
              </wp:positionV>
              <wp:extent cx="443865" cy="443865"/>
              <wp:effectExtent l="0" t="0" r="1270" b="0"/>
              <wp:wrapNone/>
              <wp:docPr id="962484538" name="Text Box 962484538"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22D43" w14:textId="55DF4B90"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3CB865" id="_x0000_t202" coordsize="21600,21600" o:spt="202" path="m,l,21600r21600,l21600,xe">
              <v:stroke joinstyle="miter"/>
              <v:path gradientshapeok="t" o:connecttype="rect"/>
            </v:shapetype>
            <v:shape id="Text Box 962484538" o:spid="_x0000_s1031" type="#_x0000_t202" alt="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F922D43" w14:textId="55DF4B90" w:rsidR="00B52E71" w:rsidRPr="006F66A0" w:rsidRDefault="00B52E71" w:rsidP="00CD1E37">
                    <w:pPr>
                      <w:rPr>
                        <w:noProof/>
                      </w:rPr>
                    </w:pPr>
                    <w:r w:rsidRPr="006F66A0">
                      <w:rPr>
                        <w:noProof/>
                      </w:rPr>
                      <w:t>OFFICIAL: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CFD69" w14:textId="77777777" w:rsidR="00476F06" w:rsidRDefault="00476F06" w:rsidP="00CD1E37">
      <w:r>
        <w:separator/>
      </w:r>
    </w:p>
  </w:footnote>
  <w:footnote w:type="continuationSeparator" w:id="0">
    <w:p w14:paraId="2B2F0943" w14:textId="77777777" w:rsidR="00476F06" w:rsidRDefault="00476F06" w:rsidP="00CD1E37">
      <w:r>
        <w:continuationSeparator/>
      </w:r>
    </w:p>
  </w:footnote>
  <w:footnote w:type="continuationNotice" w:id="1">
    <w:p w14:paraId="2C68CE14" w14:textId="77777777" w:rsidR="00476F06" w:rsidRDefault="00476F06" w:rsidP="00CD1E37"/>
  </w:footnote>
  <w:footnote w:id="2">
    <w:p w14:paraId="4176E2C4" w14:textId="401E6478" w:rsidR="005D4B49" w:rsidRPr="00763650" w:rsidRDefault="005D4B49" w:rsidP="00314A04">
      <w:pPr>
        <w:pStyle w:val="Source"/>
        <w:rPr>
          <w:sz w:val="16"/>
          <w:szCs w:val="16"/>
        </w:rPr>
      </w:pPr>
      <w:r w:rsidRPr="00763650">
        <w:rPr>
          <w:rStyle w:val="FootnoteReference"/>
          <w:sz w:val="16"/>
          <w:szCs w:val="16"/>
        </w:rPr>
        <w:footnoteRef/>
      </w:r>
      <w:r w:rsidRPr="00763650">
        <w:rPr>
          <w:sz w:val="16"/>
          <w:szCs w:val="16"/>
        </w:rPr>
        <w:t xml:space="preserve"> Turnover is </w:t>
      </w:r>
      <w:r w:rsidR="00B821A0" w:rsidRPr="00763650">
        <w:rPr>
          <w:sz w:val="16"/>
          <w:szCs w:val="16"/>
        </w:rPr>
        <w:t>presented</w:t>
      </w:r>
      <w:r w:rsidRPr="00763650">
        <w:rPr>
          <w:sz w:val="16"/>
          <w:szCs w:val="16"/>
        </w:rPr>
        <w:t xml:space="preserve"> as the amount of money taken by a company over a year.</w:t>
      </w:r>
    </w:p>
  </w:footnote>
  <w:footnote w:id="3">
    <w:p w14:paraId="79D21EA1" w14:textId="27BD7167" w:rsidR="00B52E71" w:rsidRPr="00763650" w:rsidRDefault="00B52E71" w:rsidP="00314A04">
      <w:pPr>
        <w:pStyle w:val="Source"/>
        <w:rPr>
          <w:sz w:val="16"/>
          <w:szCs w:val="16"/>
        </w:rPr>
      </w:pPr>
      <w:r w:rsidRPr="005B2373">
        <w:rPr>
          <w:rStyle w:val="FootnoteReference"/>
          <w:sz w:val="16"/>
          <w:szCs w:val="16"/>
        </w:rPr>
        <w:footnoteRef/>
      </w:r>
      <w:r w:rsidRPr="005B2373">
        <w:t xml:space="preserve"> </w:t>
      </w:r>
      <w:r w:rsidRPr="00763650">
        <w:rPr>
          <w:sz w:val="16"/>
          <w:szCs w:val="16"/>
        </w:rPr>
        <w:t xml:space="preserve">Jobs and Skills Australia, Skills Priority List 2023. </w:t>
      </w:r>
      <w:hyperlink r:id="rId1" w:history="1">
        <w:r w:rsidRPr="00763650">
          <w:rPr>
            <w:rStyle w:val="Hyperlink"/>
            <w:sz w:val="16"/>
            <w:szCs w:val="16"/>
          </w:rPr>
          <w:t>https://www.jobsandskills.gov.au/data/skills-priority-list</w:t>
        </w:r>
      </w:hyperlink>
      <w:r w:rsidRPr="00763650">
        <w:rPr>
          <w:sz w:val="16"/>
          <w:szCs w:val="16"/>
        </w:rPr>
        <w:t xml:space="preserve"> </w:t>
      </w:r>
    </w:p>
  </w:footnote>
  <w:footnote w:id="4">
    <w:p w14:paraId="48E7798E" w14:textId="58408E67" w:rsidR="0001508D" w:rsidRPr="0001508D" w:rsidRDefault="0001508D" w:rsidP="00314A04">
      <w:pPr>
        <w:pStyle w:val="Source"/>
        <w:rPr>
          <w:sz w:val="16"/>
          <w:szCs w:val="16"/>
        </w:rPr>
      </w:pPr>
      <w:r w:rsidRPr="00763650">
        <w:rPr>
          <w:rStyle w:val="FootnoteReference"/>
          <w:sz w:val="16"/>
          <w:szCs w:val="16"/>
        </w:rPr>
        <w:footnoteRef/>
      </w:r>
      <w:r w:rsidRPr="00763650">
        <w:rPr>
          <w:sz w:val="16"/>
          <w:szCs w:val="16"/>
        </w:rPr>
        <w:t xml:space="preserve"> </w:t>
      </w:r>
      <w:r w:rsidR="00763650" w:rsidRPr="00763650">
        <w:rPr>
          <w:sz w:val="16"/>
          <w:szCs w:val="16"/>
        </w:rPr>
        <w:t>Jobs and Skills Australia, Employment Projections.</w:t>
      </w:r>
      <w:hyperlink r:id="rId2" w:history="1">
        <w:r w:rsidR="00763650">
          <w:rPr>
            <w:rStyle w:val="Hyperlink"/>
            <w:sz w:val="16"/>
            <w:szCs w:val="16"/>
          </w:rPr>
          <w:t>https://www.jobsandskills.gov.au/data/employment-projections</w:t>
        </w:r>
      </w:hyperlink>
    </w:p>
  </w:footnote>
  <w:footnote w:id="5">
    <w:p w14:paraId="18631445" w14:textId="6A3AB071" w:rsidR="00B52E71" w:rsidRPr="00763650" w:rsidRDefault="00B52E71" w:rsidP="00314A04">
      <w:pPr>
        <w:pStyle w:val="Source"/>
        <w:rPr>
          <w:sz w:val="16"/>
          <w:szCs w:val="16"/>
        </w:rPr>
      </w:pPr>
      <w:r w:rsidRPr="005B2373">
        <w:rPr>
          <w:rStyle w:val="FootnoteReference"/>
          <w:sz w:val="16"/>
          <w:szCs w:val="16"/>
        </w:rPr>
        <w:footnoteRef/>
      </w:r>
      <w:r w:rsidRPr="00763650">
        <w:rPr>
          <w:sz w:val="16"/>
          <w:szCs w:val="16"/>
        </w:rPr>
        <w:t xml:space="preserve"> Jobs and Skills Australia, Skills Priority List 2023. </w:t>
      </w:r>
      <w:hyperlink r:id="rId3" w:history="1">
        <w:r w:rsidRPr="00763650">
          <w:rPr>
            <w:rStyle w:val="Hyperlink"/>
            <w:sz w:val="16"/>
            <w:szCs w:val="16"/>
          </w:rPr>
          <w:t>https://www.jobsandskills.gov.au/data/skills-priority-list</w:t>
        </w:r>
      </w:hyperlink>
    </w:p>
  </w:footnote>
  <w:footnote w:id="6">
    <w:p w14:paraId="3F8ECD7D" w14:textId="32ADBAD6" w:rsidR="00B52E71" w:rsidRPr="00465FC0" w:rsidRDefault="00B52E71" w:rsidP="00314A04">
      <w:pPr>
        <w:pStyle w:val="Source"/>
        <w:rPr>
          <w:sz w:val="16"/>
          <w:szCs w:val="16"/>
        </w:rPr>
      </w:pPr>
      <w:r w:rsidRPr="005B2373">
        <w:rPr>
          <w:rStyle w:val="FootnoteReference"/>
          <w:sz w:val="16"/>
          <w:szCs w:val="16"/>
        </w:rPr>
        <w:footnoteRef/>
      </w:r>
      <w:r w:rsidRPr="00763650">
        <w:rPr>
          <w:sz w:val="16"/>
          <w:szCs w:val="16"/>
        </w:rPr>
        <w:t xml:space="preserve"> Jobs and Skills Australia, Digital skills in the Australian and International economies. </w:t>
      </w:r>
      <w:hyperlink r:id="rId4" w:history="1">
        <w:r w:rsidR="00465FC0" w:rsidRPr="00465FC0">
          <w:rPr>
            <w:rStyle w:val="Hyperlink"/>
            <w:sz w:val="16"/>
            <w:szCs w:val="16"/>
          </w:rPr>
          <w:t>National Skills Commission Annual Report 2020-2021 (jobsandskills.gov.au)</w:t>
        </w:r>
      </w:hyperlink>
      <w:r w:rsidRPr="00465FC0">
        <w:rPr>
          <w:sz w:val="16"/>
          <w:szCs w:val="16"/>
        </w:rPr>
        <w:t xml:space="preserve"> </w:t>
      </w:r>
    </w:p>
  </w:footnote>
  <w:footnote w:id="7">
    <w:p w14:paraId="7BE59CFC" w14:textId="158037F7" w:rsidR="00B52E71" w:rsidRPr="00763650" w:rsidRDefault="00B52E71" w:rsidP="00314A04">
      <w:pPr>
        <w:pStyle w:val="Source"/>
        <w:rPr>
          <w:sz w:val="16"/>
          <w:szCs w:val="16"/>
        </w:rPr>
      </w:pPr>
      <w:r w:rsidRPr="005B2373">
        <w:rPr>
          <w:rStyle w:val="FootnoteReference"/>
          <w:sz w:val="16"/>
          <w:szCs w:val="16"/>
        </w:rPr>
        <w:footnoteRef/>
      </w:r>
      <w:r w:rsidRPr="00763650">
        <w:rPr>
          <w:sz w:val="16"/>
          <w:szCs w:val="16"/>
        </w:rPr>
        <w:t xml:space="preserve"> Jobs and Skills Australia, Skills Priority List 2023. </w:t>
      </w:r>
      <w:hyperlink r:id="rId5" w:history="1">
        <w:r w:rsidRPr="00763650">
          <w:rPr>
            <w:rStyle w:val="Hyperlink"/>
            <w:sz w:val="16"/>
            <w:szCs w:val="16"/>
          </w:rPr>
          <w:t>https://www.jobsandskills.gov.au/data/skills-priority-list</w:t>
        </w:r>
      </w:hyperlink>
    </w:p>
  </w:footnote>
  <w:footnote w:id="8">
    <w:p w14:paraId="2FEEC37C" w14:textId="77777777" w:rsidR="00CF0C60" w:rsidRPr="00763650" w:rsidRDefault="00CF0C60" w:rsidP="00314A04">
      <w:pPr>
        <w:pStyle w:val="Source"/>
        <w:rPr>
          <w:sz w:val="16"/>
          <w:szCs w:val="16"/>
        </w:rPr>
      </w:pPr>
      <w:r w:rsidRPr="005B2373">
        <w:rPr>
          <w:rStyle w:val="FootnoteReference"/>
          <w:sz w:val="16"/>
          <w:szCs w:val="16"/>
        </w:rPr>
        <w:footnoteRef/>
      </w:r>
      <w:r w:rsidRPr="00763650">
        <w:rPr>
          <w:sz w:val="16"/>
          <w:szCs w:val="16"/>
        </w:rPr>
        <w:t xml:space="preserve"> Jobs and Skills Australia, Skills Priority List 2023. </w:t>
      </w:r>
      <w:hyperlink r:id="rId6" w:history="1">
        <w:r w:rsidRPr="00763650">
          <w:rPr>
            <w:rStyle w:val="Hyperlink"/>
            <w:sz w:val="16"/>
            <w:szCs w:val="16"/>
          </w:rPr>
          <w:t>https://www.jobsandskills.gov.au/data/skills-priority-list</w:t>
        </w:r>
      </w:hyperlink>
      <w:r w:rsidRPr="00763650">
        <w:rPr>
          <w:sz w:val="16"/>
          <w:szCs w:val="16"/>
        </w:rPr>
        <w:t xml:space="preserve"> </w:t>
      </w:r>
    </w:p>
  </w:footnote>
  <w:footnote w:id="9">
    <w:p w14:paraId="268C11C6" w14:textId="26088529" w:rsidR="00B05F48" w:rsidRPr="00763650" w:rsidRDefault="00B05F48" w:rsidP="00314A04">
      <w:pPr>
        <w:pStyle w:val="Source"/>
        <w:rPr>
          <w:sz w:val="16"/>
          <w:szCs w:val="16"/>
        </w:rPr>
      </w:pPr>
      <w:r w:rsidRPr="00763650">
        <w:rPr>
          <w:rStyle w:val="FootnoteReference"/>
          <w:sz w:val="16"/>
          <w:szCs w:val="16"/>
        </w:rPr>
        <w:footnoteRef/>
      </w:r>
      <w:r w:rsidRPr="00763650">
        <w:rPr>
          <w:sz w:val="16"/>
          <w:szCs w:val="16"/>
        </w:rPr>
        <w:t xml:space="preserve"> National Centre for Vocational Education Research (NCVER) 2022, </w:t>
      </w:r>
      <w:r w:rsidR="0011697D" w:rsidRPr="00763650">
        <w:rPr>
          <w:sz w:val="16"/>
          <w:szCs w:val="16"/>
        </w:rPr>
        <w:t>Australian vocational education and training statistics:</w:t>
      </w:r>
      <w:r w:rsidR="0011697D">
        <w:rPr>
          <w:sz w:val="16"/>
          <w:szCs w:val="16"/>
        </w:rPr>
        <w:t xml:space="preserve"> </w:t>
      </w:r>
      <w:hyperlink r:id="rId7" w:history="1">
        <w:r w:rsidR="0011697D" w:rsidRPr="0011697D">
          <w:rPr>
            <w:rStyle w:val="Hyperlink"/>
            <w:sz w:val="16"/>
            <w:szCs w:val="16"/>
          </w:rPr>
          <w:t>Apprentices and trainees 2022: June quarter (ncver.edu.au)</w:t>
        </w:r>
      </w:hyperlink>
      <w:r w:rsidRPr="00763650">
        <w:rPr>
          <w:sz w:val="16"/>
          <w:szCs w:val="16"/>
        </w:rPr>
        <w:t xml:space="preserve"> </w:t>
      </w:r>
    </w:p>
  </w:footnote>
  <w:footnote w:id="10">
    <w:p w14:paraId="5F620858" w14:textId="6E84D15D" w:rsidR="5195FBBD" w:rsidRPr="000F0F08" w:rsidRDefault="5195FBBD" w:rsidP="00CD1E37">
      <w:pPr>
        <w:pStyle w:val="FootnoteText"/>
        <w:rPr>
          <w:sz w:val="18"/>
          <w:szCs w:val="18"/>
        </w:rPr>
      </w:pPr>
      <w:r w:rsidRPr="000F0F08">
        <w:rPr>
          <w:rStyle w:val="FootnoteReference"/>
          <w:sz w:val="18"/>
          <w:szCs w:val="18"/>
        </w:rPr>
        <w:footnoteRef/>
      </w:r>
      <w:r w:rsidRPr="000F0F08">
        <w:rPr>
          <w:sz w:val="18"/>
          <w:szCs w:val="18"/>
        </w:rPr>
        <w:t xml:space="preserve"> </w:t>
      </w:r>
      <w:hyperlink r:id="rId8" w:history="1">
        <w:r w:rsidR="00910178" w:rsidRPr="000F0F08">
          <w:rPr>
            <w:rStyle w:val="Hyperlink"/>
            <w:sz w:val="18"/>
            <w:szCs w:val="18"/>
          </w:rPr>
          <w:t xml:space="preserve">Prime Minister and Cabinet, </w:t>
        </w:r>
        <w:r w:rsidRPr="000F0F08">
          <w:rPr>
            <w:rStyle w:val="Hyperlink"/>
            <w:sz w:val="18"/>
            <w:szCs w:val="18"/>
          </w:rPr>
          <w:t>Stereotypes are holding us back</w:t>
        </w:r>
        <w:r w:rsidR="00910178" w:rsidRPr="000F0F08">
          <w:rPr>
            <w:rStyle w:val="Hyperlink"/>
            <w:sz w:val="18"/>
            <w:szCs w:val="18"/>
          </w:rPr>
          <w:t>,</w:t>
        </w:r>
        <w:r w:rsidRPr="000F0F08">
          <w:rPr>
            <w:rStyle w:val="Hyperlink"/>
            <w:sz w:val="18"/>
            <w:szCs w:val="18"/>
          </w:rPr>
          <w:t xml:space="preserve"> National Strategy to Achieve Gender Equality - Discussion Paper </w:t>
        </w:r>
        <w:r w:rsidR="00910178" w:rsidRPr="000F0F08">
          <w:rPr>
            <w:rStyle w:val="Hyperlink"/>
            <w:sz w:val="18"/>
            <w:szCs w:val="18"/>
          </w:rPr>
          <w:t>https://www.</w:t>
        </w:r>
        <w:r w:rsidRPr="000F0F08">
          <w:rPr>
            <w:rStyle w:val="Hyperlink"/>
            <w:sz w:val="18"/>
            <w:szCs w:val="18"/>
          </w:rPr>
          <w:t>pmc.gov.au</w:t>
        </w:r>
        <w:r w:rsidR="00910178" w:rsidRPr="000F0F08">
          <w:rPr>
            <w:rStyle w:val="Hyperlink"/>
            <w:sz w:val="18"/>
            <w:szCs w:val="18"/>
          </w:rPr>
          <w:t>/resources/national-strategy-achieve-gender-equality-discussion-paper/current-state/stereotypes</w:t>
        </w:r>
      </w:hyperlink>
    </w:p>
  </w:footnote>
  <w:footnote w:id="11">
    <w:p w14:paraId="650B1CFC" w14:textId="048F3870" w:rsidR="00C26B99" w:rsidRPr="00016C83" w:rsidRDefault="00C26B99" w:rsidP="00016C83">
      <w:pPr>
        <w:pStyle w:val="Source"/>
        <w:rPr>
          <w:szCs w:val="18"/>
        </w:rPr>
      </w:pPr>
      <w:r w:rsidRPr="00016C83">
        <w:rPr>
          <w:rStyle w:val="FootnoteReference"/>
          <w:szCs w:val="18"/>
        </w:rPr>
        <w:footnoteRef/>
      </w:r>
      <w:r w:rsidRPr="00016C83">
        <w:rPr>
          <w:szCs w:val="18"/>
        </w:rPr>
        <w:t xml:space="preserve"> </w:t>
      </w:r>
      <w:hyperlink r:id="rId9" w:history="1">
        <w:r w:rsidR="00910178" w:rsidRPr="00016C83">
          <w:rPr>
            <w:rStyle w:val="Hyperlink"/>
            <w:szCs w:val="18"/>
          </w:rPr>
          <w:t xml:space="preserve">Jobs and Skills Australia, </w:t>
        </w:r>
        <w:r w:rsidRPr="00016C83">
          <w:rPr>
            <w:rStyle w:val="Hyperlink"/>
            <w:szCs w:val="18"/>
          </w:rPr>
          <w:t xml:space="preserve">Is gender inequality impacting fill rates? </w:t>
        </w:r>
        <w:r w:rsidR="00910178" w:rsidRPr="00016C83">
          <w:rPr>
            <w:rStyle w:val="Hyperlink"/>
            <w:szCs w:val="18"/>
          </w:rPr>
          <w:t>https://www.jobsandskills.gov.au/news/gender-inequality-impacting-fill-rates</w:t>
        </w:r>
      </w:hyperlink>
      <w:r w:rsidR="00246CB0" w:rsidRPr="00016C83">
        <w:rPr>
          <w:szCs w:val="18"/>
        </w:rPr>
        <w:t>; https://www.jobsandskills.gov.au/publications/skills-shortage-quarterly-report-september-2023</w:t>
      </w:r>
    </w:p>
  </w:footnote>
  <w:footnote w:id="12">
    <w:p w14:paraId="564D4559" w14:textId="15F845A4" w:rsidR="00B52E71" w:rsidRPr="00016C83" w:rsidRDefault="00B52E71" w:rsidP="00016C83">
      <w:pPr>
        <w:pStyle w:val="Source"/>
        <w:rPr>
          <w:szCs w:val="18"/>
        </w:rPr>
      </w:pPr>
      <w:r w:rsidRPr="00016C83">
        <w:rPr>
          <w:rStyle w:val="FootnoteReference"/>
          <w:szCs w:val="18"/>
        </w:rPr>
        <w:footnoteRef/>
      </w:r>
      <w:r w:rsidRPr="00016C83">
        <w:rPr>
          <w:szCs w:val="18"/>
        </w:rPr>
        <w:t xml:space="preserve"> Australian Bureau of Statistics, Labour Force, Detailed, Quarterly, cat no. 6291.0.55.001, December 2022 release. abs.gov.au/statistics/labour/employment-and-unemployment/labour-force-australia-detailed/dec-2022</w:t>
      </w:r>
      <w:r w:rsidR="00676085">
        <w:rPr>
          <w:szCs w:val="18"/>
        </w:rPr>
        <w:t xml:space="preserve">. </w:t>
      </w:r>
      <w:r w:rsidRPr="00016C83">
        <w:rPr>
          <w:szCs w:val="18"/>
        </w:rPr>
        <w:t xml:space="preserve"> </w:t>
      </w:r>
    </w:p>
  </w:footnote>
  <w:footnote w:id="13">
    <w:p w14:paraId="59BD08FB" w14:textId="77777777" w:rsidR="00720FB0" w:rsidRDefault="00720FB0" w:rsidP="00720FB0">
      <w:pPr>
        <w:pStyle w:val="FootnoteText"/>
      </w:pPr>
      <w:r>
        <w:rPr>
          <w:rStyle w:val="FootnoteReference"/>
        </w:rPr>
        <w:footnoteRef/>
      </w:r>
      <w:r>
        <w:t xml:space="preserve"> </w:t>
      </w:r>
      <w:r w:rsidRPr="00015CD7">
        <w:rPr>
          <w:sz w:val="18"/>
          <w:szCs w:val="18"/>
        </w:rPr>
        <w:t>Departmental analysis based on NCVER June 2023 quarter data.</w:t>
      </w:r>
    </w:p>
  </w:footnote>
  <w:footnote w:id="14">
    <w:p w14:paraId="06AF1FF1" w14:textId="4B1D4CF0" w:rsidR="00B52E71" w:rsidRPr="00016C83" w:rsidRDefault="00B52E71" w:rsidP="00016C83">
      <w:pPr>
        <w:pStyle w:val="Source"/>
        <w:rPr>
          <w:szCs w:val="18"/>
        </w:rPr>
      </w:pPr>
      <w:r w:rsidRPr="00016C83">
        <w:rPr>
          <w:rStyle w:val="FootnoteReference"/>
          <w:szCs w:val="18"/>
        </w:rPr>
        <w:footnoteRef/>
      </w:r>
      <w:r w:rsidRPr="00016C83">
        <w:rPr>
          <w:szCs w:val="18"/>
        </w:rPr>
        <w:t xml:space="preserve"> Australian Bureau of Statistics, Labour Force, Detailed, Quarterly, cat no. 6291.0.55.001, December 2022 release. abs.gov.au/statistics/labour/employment-and-unemployment/labour-force-australia-detailed/dec-2022. </w:t>
      </w:r>
    </w:p>
  </w:footnote>
  <w:footnote w:id="15">
    <w:p w14:paraId="7E29654B" w14:textId="77777777" w:rsidR="00676056" w:rsidRPr="00016C83" w:rsidRDefault="00676056" w:rsidP="00016C83">
      <w:pPr>
        <w:pStyle w:val="Source"/>
        <w:rPr>
          <w:szCs w:val="18"/>
        </w:rPr>
      </w:pPr>
      <w:r w:rsidRPr="00016C83">
        <w:rPr>
          <w:rStyle w:val="FootnoteReference"/>
          <w:szCs w:val="18"/>
        </w:rPr>
        <w:footnoteRef/>
      </w:r>
      <w:r w:rsidRPr="00016C83">
        <w:rPr>
          <w:szCs w:val="18"/>
        </w:rPr>
        <w:t xml:space="preserve"> Youth Internet Management System (TYIMS) and Apprenticeship Data Management System (ADMS).</w:t>
      </w:r>
    </w:p>
  </w:footnote>
  <w:footnote w:id="16">
    <w:p w14:paraId="151FED41" w14:textId="77777777" w:rsidR="00676056" w:rsidRPr="00D152F9" w:rsidRDefault="00676056" w:rsidP="00016C83">
      <w:pPr>
        <w:pStyle w:val="Source"/>
      </w:pPr>
      <w:r w:rsidRPr="00016C83">
        <w:rPr>
          <w:rStyle w:val="FootnoteReference"/>
          <w:szCs w:val="18"/>
        </w:rPr>
        <w:footnoteRef/>
      </w:r>
      <w:r w:rsidRPr="00016C83">
        <w:rPr>
          <w:szCs w:val="18"/>
        </w:rPr>
        <w:t xml:space="preserve"> Youth Internet Management System (TYIMS) and Apprenticeship Data Management System (ADMS).</w:t>
      </w:r>
    </w:p>
  </w:footnote>
  <w:footnote w:id="17">
    <w:p w14:paraId="78903024" w14:textId="77777777" w:rsidR="00007703" w:rsidRPr="00016C83" w:rsidRDefault="00007703" w:rsidP="00314A04">
      <w:pPr>
        <w:pStyle w:val="Source"/>
        <w:rPr>
          <w:szCs w:val="18"/>
        </w:rPr>
      </w:pPr>
      <w:r w:rsidRPr="00016C83">
        <w:rPr>
          <w:rStyle w:val="FootnoteReference"/>
          <w:szCs w:val="18"/>
        </w:rPr>
        <w:footnoteRef/>
      </w:r>
      <w:r w:rsidRPr="00016C83">
        <w:rPr>
          <w:szCs w:val="18"/>
        </w:rPr>
        <w:t xml:space="preserve"> Women's Economic Equality Taskforce, Department of the Prime Minister and Cabinet (2023), “Women's Economic Equality: A 10-year plan to unleash the full capacity and contribution of women to the Australian economy”. </w:t>
      </w:r>
      <w:hyperlink r:id="rId10">
        <w:r w:rsidRPr="00016C83">
          <w:rPr>
            <w:rStyle w:val="Hyperlink"/>
            <w:szCs w:val="18"/>
          </w:rPr>
          <w:t>https://www.pmc.gov.au/news/womens-economic-equality-taskforce-final-report-government</w:t>
        </w:r>
      </w:hyperlink>
      <w:r w:rsidRPr="00016C83">
        <w:rPr>
          <w:szCs w:val="18"/>
        </w:rPr>
        <w:t xml:space="preserve"> </w:t>
      </w:r>
    </w:p>
  </w:footnote>
  <w:footnote w:id="18">
    <w:p w14:paraId="242A10E7" w14:textId="77777777" w:rsidR="00B52E71" w:rsidRPr="00016C83" w:rsidRDefault="00B52E71" w:rsidP="00314A04">
      <w:pPr>
        <w:pStyle w:val="Source"/>
        <w:rPr>
          <w:szCs w:val="18"/>
        </w:rPr>
      </w:pPr>
      <w:r w:rsidRPr="00016C83">
        <w:rPr>
          <w:rStyle w:val="FootnoteReference"/>
          <w:rFonts w:cstheme="minorHAnsi"/>
          <w:szCs w:val="18"/>
        </w:rPr>
        <w:footnoteRef/>
      </w:r>
      <w:r w:rsidRPr="00016C83">
        <w:rPr>
          <w:szCs w:val="18"/>
        </w:rPr>
        <w:t xml:space="preserve"> Jobs and Skills Australia, Recruitment Experiences and Outlook Survey – October 2023. </w:t>
      </w:r>
      <w:hyperlink r:id="rId11" w:history="1">
        <w:r w:rsidRPr="00016C83">
          <w:rPr>
            <w:rStyle w:val="Hyperlink"/>
            <w:rFonts w:cstheme="minorHAnsi"/>
            <w:szCs w:val="18"/>
          </w:rPr>
          <w:t>https://www.jobsandskills.gov.au/data/recruitment-experiences-and-outlook-survey</w:t>
        </w:r>
      </w:hyperlink>
      <w:r w:rsidRPr="00016C83">
        <w:rPr>
          <w:szCs w:val="18"/>
        </w:rPr>
        <w:t xml:space="preserve">.  </w:t>
      </w:r>
    </w:p>
  </w:footnote>
  <w:footnote w:id="19">
    <w:p w14:paraId="7C25164D" w14:textId="401F58CD" w:rsidR="00B52E71" w:rsidRPr="00016C83" w:rsidRDefault="00B52E71" w:rsidP="00314A04">
      <w:pPr>
        <w:pStyle w:val="Source"/>
        <w:rPr>
          <w:szCs w:val="18"/>
        </w:rPr>
      </w:pPr>
      <w:r w:rsidRPr="00016C83">
        <w:rPr>
          <w:rStyle w:val="FootnoteReference"/>
          <w:szCs w:val="18"/>
        </w:rPr>
        <w:footnoteRef/>
      </w:r>
      <w:r w:rsidRPr="00016C83">
        <w:rPr>
          <w:szCs w:val="18"/>
        </w:rPr>
        <w:t xml:space="preserve"> Australian Bureau of Statistics. (2022, November). </w:t>
      </w:r>
      <w:r w:rsidRPr="00016C83">
        <w:rPr>
          <w:i/>
          <w:szCs w:val="18"/>
        </w:rPr>
        <w:t>Job Vacancies, Australia</w:t>
      </w:r>
      <w:r w:rsidRPr="00016C83">
        <w:rPr>
          <w:szCs w:val="18"/>
        </w:rPr>
        <w:t xml:space="preserve">. ABS. </w:t>
      </w:r>
      <w:hyperlink r:id="rId12" w:history="1">
        <w:r w:rsidRPr="00016C83">
          <w:rPr>
            <w:rStyle w:val="Hyperlink"/>
            <w:szCs w:val="18"/>
          </w:rPr>
          <w:t>www.abs.gov.au/statistics/labour/jobs/job-vacancies-australia/latest-release</w:t>
        </w:r>
      </w:hyperlink>
      <w:r w:rsidRPr="00016C83">
        <w:rPr>
          <w:szCs w:val="18"/>
        </w:rPr>
        <w:t xml:space="preserve">. </w:t>
      </w:r>
    </w:p>
  </w:footnote>
  <w:footnote w:id="20">
    <w:p w14:paraId="3535CAAD" w14:textId="761B560B" w:rsidR="00B52E71" w:rsidRPr="00016C83" w:rsidRDefault="00B52E71" w:rsidP="00CD1E37">
      <w:pPr>
        <w:pStyle w:val="FootnoteText"/>
        <w:rPr>
          <w:sz w:val="18"/>
          <w:szCs w:val="18"/>
        </w:rPr>
      </w:pPr>
      <w:r w:rsidRPr="00016C83">
        <w:rPr>
          <w:rStyle w:val="FootnoteReference"/>
          <w:sz w:val="18"/>
          <w:szCs w:val="18"/>
        </w:rPr>
        <w:footnoteRef/>
      </w:r>
      <w:r w:rsidRPr="00016C83">
        <w:rPr>
          <w:sz w:val="18"/>
          <w:szCs w:val="18"/>
        </w:rPr>
        <w:t xml:space="preserve"> Australian Bureau of Statistics. (2023, August). </w:t>
      </w:r>
      <w:r w:rsidRPr="00016C83">
        <w:rPr>
          <w:i/>
          <w:sz w:val="18"/>
          <w:szCs w:val="18"/>
        </w:rPr>
        <w:t>Job Vacancies, Australia</w:t>
      </w:r>
      <w:r w:rsidRPr="00016C83">
        <w:rPr>
          <w:sz w:val="18"/>
          <w:szCs w:val="18"/>
        </w:rPr>
        <w:t xml:space="preserve">. ABS </w:t>
      </w:r>
      <w:hyperlink r:id="rId13" w:history="1">
        <w:r w:rsidRPr="00016C83">
          <w:rPr>
            <w:rStyle w:val="Hyperlink"/>
            <w:sz w:val="18"/>
            <w:szCs w:val="18"/>
          </w:rPr>
          <w:t>https://www.abs.gov.au/statistics/labour/jobs/job-vacancies-australia/latest-release</w:t>
        </w:r>
      </w:hyperlink>
      <w:r w:rsidRPr="00016C83">
        <w:rPr>
          <w:sz w:val="18"/>
          <w:szCs w:val="18"/>
        </w:rPr>
        <w:t xml:space="preserve"> </w:t>
      </w:r>
    </w:p>
  </w:footnote>
  <w:footnote w:id="21">
    <w:p w14:paraId="7BFE4611" w14:textId="77777777" w:rsidR="00F0345B" w:rsidRPr="00016C83" w:rsidRDefault="00F0345B" w:rsidP="00CD1E37">
      <w:pPr>
        <w:pStyle w:val="FootnoteText"/>
        <w:rPr>
          <w:sz w:val="18"/>
          <w:szCs w:val="18"/>
        </w:rPr>
      </w:pPr>
      <w:r w:rsidRPr="00016C83">
        <w:rPr>
          <w:rStyle w:val="FootnoteReference"/>
          <w:sz w:val="18"/>
          <w:szCs w:val="18"/>
        </w:rPr>
        <w:footnoteRef/>
      </w:r>
      <w:r w:rsidRPr="00016C83">
        <w:rPr>
          <w:sz w:val="18"/>
          <w:szCs w:val="18"/>
        </w:rPr>
        <w:t xml:space="preserve"> </w:t>
      </w:r>
      <w:hyperlink r:id="rId14" w:history="1">
        <w:r w:rsidRPr="00016C83">
          <w:rPr>
            <w:rStyle w:val="Hyperlink"/>
            <w:sz w:val="18"/>
            <w:szCs w:val="18"/>
          </w:rPr>
          <w:t>Cyber Skills Report | CyberCX</w:t>
        </w:r>
      </w:hyperlink>
      <w:r w:rsidRPr="00016C83">
        <w:rPr>
          <w:sz w:val="18"/>
          <w:szCs w:val="18"/>
        </w:rPr>
        <w:t xml:space="preserve"> 2022</w:t>
      </w:r>
    </w:p>
  </w:footnote>
  <w:footnote w:id="22">
    <w:p w14:paraId="4623C417" w14:textId="77777777" w:rsidR="00822298" w:rsidRDefault="00822298" w:rsidP="00CD1E37">
      <w:pPr>
        <w:pStyle w:val="FootnoteText"/>
      </w:pPr>
      <w:r w:rsidRPr="00016C83">
        <w:rPr>
          <w:rStyle w:val="FootnoteReference"/>
          <w:sz w:val="18"/>
          <w:szCs w:val="18"/>
        </w:rPr>
        <w:footnoteRef/>
      </w:r>
      <w:r w:rsidRPr="00016C83">
        <w:rPr>
          <w:sz w:val="18"/>
          <w:szCs w:val="18"/>
        </w:rPr>
        <w:t xml:space="preserve"> </w:t>
      </w:r>
      <w:hyperlink r:id="rId15" w:history="1">
        <w:r w:rsidRPr="00016C83">
          <w:rPr>
            <w:rStyle w:val="Hyperlink"/>
            <w:sz w:val="18"/>
            <w:szCs w:val="18"/>
          </w:rPr>
          <w:t>Digital-skills-gap-costing-australian-businesses-9-million-day RMIT Online March 2023</w:t>
        </w:r>
      </w:hyperlink>
    </w:p>
  </w:footnote>
  <w:footnote w:id="23">
    <w:p w14:paraId="5196A8C6" w14:textId="77777777" w:rsidR="00AA06E5" w:rsidRPr="00016C83" w:rsidRDefault="00AA06E5" w:rsidP="00CD1E37">
      <w:pPr>
        <w:pStyle w:val="FootnoteText"/>
        <w:rPr>
          <w:sz w:val="18"/>
          <w:szCs w:val="18"/>
        </w:rPr>
      </w:pPr>
      <w:r w:rsidRPr="00016C83">
        <w:rPr>
          <w:rStyle w:val="FootnoteReference"/>
          <w:sz w:val="18"/>
          <w:szCs w:val="18"/>
        </w:rPr>
        <w:footnoteRef/>
      </w:r>
      <w:r w:rsidRPr="00016C83">
        <w:rPr>
          <w:sz w:val="18"/>
          <w:szCs w:val="18"/>
        </w:rPr>
        <w:t xml:space="preserve"> </w:t>
      </w:r>
      <w:hyperlink r:id="rId16" w:history="1">
        <w:r w:rsidRPr="00016C83">
          <w:rPr>
            <w:rStyle w:val="Hyperlink"/>
            <w:rFonts w:cs="Arial"/>
            <w:color w:val="006ACC"/>
            <w:sz w:val="18"/>
            <w:szCs w:val="18"/>
            <w:shd w:val="clear" w:color="auto" w:fill="FFFFFF"/>
          </w:rPr>
          <w:t>Bridges et al., 2019</w:t>
        </w:r>
      </w:hyperlink>
      <w:r w:rsidRPr="00016C83">
        <w:rPr>
          <w:rFonts w:cs="Arial"/>
          <w:color w:val="333333"/>
          <w:sz w:val="18"/>
          <w:szCs w:val="18"/>
          <w:shd w:val="clear" w:color="auto" w:fill="FFFFFF"/>
        </w:rPr>
        <w:t>, </w:t>
      </w:r>
      <w:hyperlink r:id="rId17" w:history="1">
        <w:r w:rsidRPr="00016C83">
          <w:rPr>
            <w:rStyle w:val="Hyperlink"/>
            <w:rFonts w:cs="Arial"/>
            <w:color w:val="006ACC"/>
            <w:sz w:val="18"/>
            <w:szCs w:val="18"/>
            <w:shd w:val="clear" w:color="auto" w:fill="FFFFFF"/>
          </w:rPr>
          <w:t>2020</w:t>
        </w:r>
      </w:hyperlink>
      <w:r w:rsidRPr="00016C83">
        <w:rPr>
          <w:rFonts w:cs="Arial"/>
          <w:color w:val="333333"/>
          <w:sz w:val="18"/>
          <w:szCs w:val="18"/>
          <w:shd w:val="clear" w:color="auto" w:fill="FFFFFF"/>
        </w:rPr>
        <w:t>; </w:t>
      </w:r>
      <w:hyperlink r:id="rId18" w:history="1">
        <w:r w:rsidRPr="00016C83">
          <w:rPr>
            <w:rStyle w:val="Hyperlink"/>
            <w:rFonts w:cs="Arial"/>
            <w:color w:val="006ACC"/>
            <w:sz w:val="18"/>
            <w:szCs w:val="18"/>
            <w:shd w:val="clear" w:color="auto" w:fill="FFFFFF"/>
          </w:rPr>
          <w:t>Fielden et al., 2000</w:t>
        </w:r>
      </w:hyperlink>
      <w:r w:rsidRPr="00016C83">
        <w:rPr>
          <w:rFonts w:cs="Arial"/>
          <w:color w:val="333333"/>
          <w:sz w:val="18"/>
          <w:szCs w:val="18"/>
          <w:shd w:val="clear" w:color="auto" w:fill="FFFFFF"/>
        </w:rPr>
        <w:t>; </w:t>
      </w:r>
      <w:hyperlink r:id="rId19" w:history="1">
        <w:r w:rsidRPr="00016C83">
          <w:rPr>
            <w:rStyle w:val="Hyperlink"/>
            <w:rFonts w:cs="Arial"/>
            <w:color w:val="006ACC"/>
            <w:sz w:val="18"/>
            <w:szCs w:val="18"/>
            <w:shd w:val="clear" w:color="auto" w:fill="FFFFFF"/>
          </w:rPr>
          <w:t>Galea et al., 2020</w:t>
        </w:r>
      </w:hyperlink>
      <w:r w:rsidRPr="00016C83">
        <w:rPr>
          <w:rFonts w:cs="Arial"/>
          <w:color w:val="333333"/>
          <w:sz w:val="18"/>
          <w:szCs w:val="18"/>
          <w:shd w:val="clear" w:color="auto" w:fill="FFFFFF"/>
        </w:rPr>
        <w:t>; </w:t>
      </w:r>
      <w:hyperlink r:id="rId20" w:history="1">
        <w:r w:rsidRPr="00016C83">
          <w:rPr>
            <w:rStyle w:val="Hyperlink"/>
            <w:rFonts w:cs="Arial"/>
            <w:color w:val="006ACC"/>
            <w:sz w:val="18"/>
            <w:szCs w:val="18"/>
            <w:shd w:val="clear" w:color="auto" w:fill="FFFFFF"/>
          </w:rPr>
          <w:t>MacIsaac and Domene, 2014</w:t>
        </w:r>
      </w:hyperlink>
      <w:r w:rsidRPr="00016C83">
        <w:rPr>
          <w:rFonts w:cs="Arial"/>
          <w:color w:val="333333"/>
          <w:sz w:val="18"/>
          <w:szCs w:val="18"/>
          <w:shd w:val="clear" w:color="auto" w:fill="FFFFFF"/>
        </w:rPr>
        <w:t>; </w:t>
      </w:r>
      <w:hyperlink r:id="rId21" w:history="1">
        <w:r w:rsidRPr="00016C83">
          <w:rPr>
            <w:rStyle w:val="Hyperlink"/>
            <w:rFonts w:cs="Arial"/>
            <w:color w:val="006ACC"/>
            <w:sz w:val="18"/>
            <w:szCs w:val="18"/>
            <w:shd w:val="clear" w:color="auto" w:fill="FFFFFF"/>
          </w:rPr>
          <w:t>Smith, 2013</w:t>
        </w:r>
      </w:hyperlink>
      <w:r w:rsidRPr="00016C83">
        <w:rPr>
          <w:rFonts w:cs="Arial"/>
          <w:color w:val="333333"/>
          <w:sz w:val="18"/>
          <w:szCs w:val="18"/>
          <w:shd w:val="clear" w:color="auto" w:fill="FFFFFF"/>
        </w:rPr>
        <w:t>; </w:t>
      </w:r>
      <w:hyperlink r:id="rId22" w:history="1">
        <w:r w:rsidRPr="00016C83">
          <w:rPr>
            <w:rStyle w:val="Hyperlink"/>
            <w:rFonts w:cs="Arial"/>
            <w:color w:val="006ACC"/>
            <w:sz w:val="18"/>
            <w:szCs w:val="18"/>
            <w:shd w:val="clear" w:color="auto" w:fill="FFFFFF"/>
          </w:rPr>
          <w:t>Wright, 2013</w:t>
        </w:r>
      </w:hyperlink>
      <w:r w:rsidRPr="00016C83">
        <w:rPr>
          <w:rFonts w:cs="Arial"/>
          <w:color w:val="333333"/>
          <w:sz w:val="18"/>
          <w:szCs w:val="18"/>
          <w:shd w:val="clear" w:color="auto" w:fill="FFFFFF"/>
        </w:rPr>
        <w:t>, </w:t>
      </w:r>
      <w:hyperlink r:id="rId23" w:history="1">
        <w:r w:rsidRPr="00016C83">
          <w:rPr>
            <w:rStyle w:val="Hyperlink"/>
            <w:rFonts w:cs="Arial"/>
            <w:color w:val="006ACC"/>
            <w:sz w:val="18"/>
            <w:szCs w:val="18"/>
            <w:shd w:val="clear" w:color="auto" w:fill="FFFFFF"/>
          </w:rPr>
          <w:t>2016</w:t>
        </w:r>
      </w:hyperlink>
      <w:r w:rsidRPr="00016C83">
        <w:rPr>
          <w:sz w:val="18"/>
          <w:szCs w:val="18"/>
        </w:rPr>
        <w:t xml:space="preserve"> (</w:t>
      </w:r>
      <w:hyperlink r:id="rId24" w:history="1">
        <w:r w:rsidRPr="00016C83">
          <w:rPr>
            <w:rStyle w:val="Hyperlink"/>
            <w:sz w:val="18"/>
            <w:szCs w:val="18"/>
          </w:rPr>
          <w:t>https://journals.sagepub.com/doi/full/10.1177/10353046221096270</w:t>
        </w:r>
      </w:hyperlink>
      <w:r w:rsidRPr="00016C83">
        <w:rPr>
          <w:sz w:val="18"/>
          <w:szCs w:val="18"/>
        </w:rPr>
        <w:t xml:space="preserve">) </w:t>
      </w:r>
    </w:p>
  </w:footnote>
  <w:footnote w:id="24">
    <w:p w14:paraId="75D67E25" w14:textId="77777777" w:rsidR="00831B64" w:rsidRPr="00016C83" w:rsidRDefault="00831B64" w:rsidP="00CD1E37">
      <w:pPr>
        <w:pStyle w:val="FootnoteText"/>
        <w:rPr>
          <w:sz w:val="18"/>
          <w:szCs w:val="18"/>
        </w:rPr>
      </w:pPr>
      <w:r w:rsidRPr="00016C83">
        <w:rPr>
          <w:rStyle w:val="FootnoteReference"/>
          <w:sz w:val="18"/>
          <w:szCs w:val="18"/>
        </w:rPr>
        <w:footnoteRef/>
      </w:r>
      <w:r w:rsidRPr="00016C83">
        <w:rPr>
          <w:sz w:val="18"/>
          <w:szCs w:val="18"/>
        </w:rPr>
        <w:t xml:space="preserve"> Derived from the 2019 Apprentice and Trainee Experience and Destination Survey.</w:t>
      </w:r>
    </w:p>
  </w:footnote>
  <w:footnote w:id="25">
    <w:p w14:paraId="40B242BC" w14:textId="77777777" w:rsidR="00831B64" w:rsidRPr="00016C83" w:rsidRDefault="00831B64" w:rsidP="00CD1E37">
      <w:pPr>
        <w:pStyle w:val="FootnoteText"/>
        <w:rPr>
          <w:sz w:val="18"/>
          <w:szCs w:val="18"/>
        </w:rPr>
      </w:pPr>
      <w:r w:rsidRPr="00016C83">
        <w:rPr>
          <w:rStyle w:val="FootnoteReference"/>
          <w:sz w:val="18"/>
          <w:szCs w:val="18"/>
        </w:rPr>
        <w:footnoteRef/>
      </w:r>
      <w:r w:rsidRPr="00016C83">
        <w:rPr>
          <w:sz w:val="18"/>
          <w:szCs w:val="18"/>
        </w:rPr>
        <w:t xml:space="preserve"> P58, </w:t>
      </w:r>
      <w:hyperlink r:id="rId25" w:history="1">
        <w:r w:rsidRPr="00016C83">
          <w:rPr>
            <w:rStyle w:val="Hyperlink"/>
            <w:sz w:val="18"/>
            <w:szCs w:val="18"/>
          </w:rPr>
          <w:t>https://humanrights.gov.au/our-work/sex-discrimination/publications/everyones-business-fourth-national-survey-sexual</w:t>
        </w:r>
      </w:hyperlink>
      <w:r w:rsidRPr="00016C83">
        <w:rPr>
          <w:sz w:val="18"/>
          <w:szCs w:val="18"/>
        </w:rPr>
        <w:t xml:space="preserve">. </w:t>
      </w:r>
    </w:p>
  </w:footnote>
  <w:footnote w:id="26">
    <w:p w14:paraId="1C39C1E5" w14:textId="29ED5C37" w:rsidR="00971711" w:rsidRPr="00016C83" w:rsidRDefault="00971711" w:rsidP="00CD1E37">
      <w:pPr>
        <w:pStyle w:val="FootnoteText"/>
        <w:rPr>
          <w:sz w:val="18"/>
          <w:szCs w:val="18"/>
        </w:rPr>
      </w:pPr>
      <w:r w:rsidRPr="00016C83">
        <w:rPr>
          <w:rStyle w:val="FootnoteReference"/>
          <w:sz w:val="18"/>
          <w:szCs w:val="18"/>
        </w:rPr>
        <w:footnoteRef/>
      </w:r>
      <w:r w:rsidRPr="00016C83">
        <w:rPr>
          <w:sz w:val="18"/>
          <w:szCs w:val="18"/>
        </w:rPr>
        <w:t xml:space="preserve"> 7 News</w:t>
      </w:r>
      <w:r w:rsidR="00E4036C" w:rsidRPr="00016C83">
        <w:rPr>
          <w:sz w:val="18"/>
          <w:szCs w:val="18"/>
        </w:rPr>
        <w:t xml:space="preserve"> </w:t>
      </w:r>
      <w:r w:rsidR="00524D47" w:rsidRPr="00016C83">
        <w:rPr>
          <w:sz w:val="18"/>
          <w:szCs w:val="18"/>
        </w:rPr>
        <w:t>(4 November</w:t>
      </w:r>
      <w:r w:rsidR="003C1732" w:rsidRPr="00016C83">
        <w:rPr>
          <w:sz w:val="18"/>
          <w:szCs w:val="18"/>
        </w:rPr>
        <w:t>.2023</w:t>
      </w:r>
      <w:r w:rsidR="00524D47" w:rsidRPr="00016C83">
        <w:rPr>
          <w:sz w:val="18"/>
          <w:szCs w:val="18"/>
        </w:rPr>
        <w:t>)</w:t>
      </w:r>
      <w:r w:rsidR="003C1732" w:rsidRPr="00016C83">
        <w:rPr>
          <w:sz w:val="18"/>
          <w:szCs w:val="18"/>
        </w:rPr>
        <w:t xml:space="preserve">, </w:t>
      </w:r>
      <w:r w:rsidR="00E4036C" w:rsidRPr="00016C83">
        <w:rPr>
          <w:sz w:val="18"/>
          <w:szCs w:val="18"/>
        </w:rPr>
        <w:t>A day after trying to take her own life, Melbourne tradie Bardie went back to work. She didn’t say a word</w:t>
      </w:r>
      <w:r w:rsidR="005C496B" w:rsidRPr="00016C83">
        <w:rPr>
          <w:sz w:val="18"/>
          <w:szCs w:val="18"/>
        </w:rPr>
        <w:t>. Jac</w:t>
      </w:r>
      <w:r w:rsidR="008434FE" w:rsidRPr="00016C83">
        <w:rPr>
          <w:sz w:val="18"/>
          <w:szCs w:val="18"/>
        </w:rPr>
        <w:t xml:space="preserve">queline Mey. </w:t>
      </w:r>
      <w:hyperlink r:id="rId26" w:history="1">
        <w:r w:rsidR="001C57D2" w:rsidRPr="006514AD">
          <w:rPr>
            <w:rStyle w:val="Hyperlink"/>
            <w:sz w:val="18"/>
            <w:szCs w:val="18"/>
          </w:rPr>
          <w:t>https://7news.com.au/lifestyle/a-day-after-trying-to-take-her-own-life-melbourne-tradie-bardie-went-back-to-work-she-didnt-say-a-word-c-12411970</w:t>
        </w:r>
      </w:hyperlink>
      <w:r w:rsidR="001C57D2">
        <w:rPr>
          <w:sz w:val="18"/>
          <w:szCs w:val="18"/>
        </w:rPr>
        <w:t xml:space="preserve"> </w:t>
      </w:r>
      <w:r w:rsidR="008434FE" w:rsidRPr="00016C83">
        <w:rPr>
          <w:sz w:val="18"/>
          <w:szCs w:val="18"/>
        </w:rPr>
        <w:t xml:space="preserve"> </w:t>
      </w:r>
    </w:p>
  </w:footnote>
  <w:footnote w:id="27">
    <w:p w14:paraId="12C0670E" w14:textId="7F8A3F17" w:rsidR="00566E26" w:rsidRPr="00016C83" w:rsidRDefault="00566E26" w:rsidP="00CD1E37">
      <w:pPr>
        <w:pStyle w:val="FootnoteText"/>
        <w:rPr>
          <w:sz w:val="18"/>
          <w:szCs w:val="18"/>
        </w:rPr>
      </w:pPr>
      <w:r w:rsidRPr="00016C83">
        <w:rPr>
          <w:rStyle w:val="FootnoteReference"/>
          <w:sz w:val="18"/>
          <w:szCs w:val="18"/>
        </w:rPr>
        <w:footnoteRef/>
      </w:r>
      <w:r w:rsidRPr="00016C83">
        <w:rPr>
          <w:sz w:val="18"/>
          <w:szCs w:val="18"/>
        </w:rPr>
        <w:t xml:space="preserve"> NCVER, 17 August 2023, Total VET students and courses 2022, </w:t>
      </w:r>
      <w:hyperlink r:id="rId27" w:history="1">
        <w:r w:rsidR="00737032" w:rsidRPr="006514AD">
          <w:rPr>
            <w:rStyle w:val="Hyperlink"/>
            <w:sz w:val="18"/>
            <w:szCs w:val="18"/>
          </w:rPr>
          <w:t>https://www.ncver.edu.au/research-and-statistics/publications/all-publications/total-vet-students-and-courses-2022</w:t>
        </w:r>
      </w:hyperlink>
      <w:r w:rsidR="00737032">
        <w:rPr>
          <w:sz w:val="18"/>
          <w:szCs w:val="18"/>
        </w:rPr>
        <w:t xml:space="preserve">. </w:t>
      </w:r>
      <w:r w:rsidRPr="00016C83">
        <w:rPr>
          <w:i/>
          <w:iCs/>
          <w:sz w:val="18"/>
          <w:szCs w:val="18"/>
        </w:rPr>
        <w:t xml:space="preserve"> </w:t>
      </w:r>
    </w:p>
  </w:footnote>
  <w:footnote w:id="28">
    <w:p w14:paraId="3EF3472F" w14:textId="77777777" w:rsidR="00B52E71" w:rsidRPr="003607E6" w:rsidRDefault="00B52E71" w:rsidP="00314A04">
      <w:pPr>
        <w:pStyle w:val="Source"/>
      </w:pPr>
      <w:r w:rsidRPr="00016C83">
        <w:rPr>
          <w:rStyle w:val="FootnoteReference"/>
          <w:szCs w:val="18"/>
        </w:rPr>
        <w:footnoteRef/>
      </w:r>
      <w:r w:rsidRPr="00016C83">
        <w:rPr>
          <w:szCs w:val="18"/>
        </w:rPr>
        <w:t xml:space="preserve"> For 2017-18 commencing cohorts. Departmental administration data.</w:t>
      </w:r>
      <w:r w:rsidRPr="003607E6">
        <w:t xml:space="preserve"> </w:t>
      </w:r>
    </w:p>
  </w:footnote>
  <w:footnote w:id="29">
    <w:p w14:paraId="6DA319D5" w14:textId="70BA2C38" w:rsidR="001F62FD" w:rsidRDefault="001F62FD" w:rsidP="00CD1E37">
      <w:pPr>
        <w:pStyle w:val="FootnoteText"/>
      </w:pPr>
      <w:r w:rsidRPr="001C57D2">
        <w:rPr>
          <w:rStyle w:val="FootnoteReference"/>
          <w:sz w:val="18"/>
          <w:szCs w:val="18"/>
        </w:rPr>
        <w:footnoteRef/>
      </w:r>
      <w:r w:rsidRPr="001C57D2">
        <w:rPr>
          <w:sz w:val="18"/>
          <w:szCs w:val="18"/>
        </w:rPr>
        <w:t xml:space="preserve"> Workplace Gender Equality Agency, Case study: Attracting women to a male-dominated industry. </w:t>
      </w:r>
      <w:hyperlink r:id="rId28" w:history="1">
        <w:r w:rsidR="00737032" w:rsidRPr="001C57D2">
          <w:rPr>
            <w:rStyle w:val="Hyperlink"/>
            <w:sz w:val="18"/>
            <w:szCs w:val="18"/>
          </w:rPr>
          <w:t>https://www.wgea.gov.au/sites/default/files/documents/WGEA-St-Barbara.pdf</w:t>
        </w:r>
      </w:hyperlink>
      <w:r w:rsidR="00737032" w:rsidRPr="001C57D2">
        <w:rPr>
          <w:sz w:val="18"/>
          <w:szCs w:val="18"/>
        </w:rPr>
        <w:t xml:space="preserve"> </w:t>
      </w:r>
    </w:p>
  </w:footnote>
  <w:footnote w:id="30">
    <w:p w14:paraId="232D0B6A" w14:textId="77777777" w:rsidR="00B52E71" w:rsidRPr="003607E6" w:rsidRDefault="00B52E71" w:rsidP="00314A04">
      <w:pPr>
        <w:pStyle w:val="Source"/>
      </w:pPr>
      <w:r w:rsidRPr="003607E6">
        <w:rPr>
          <w:rStyle w:val="FootnoteReference"/>
          <w:sz w:val="16"/>
          <w:szCs w:val="16"/>
        </w:rPr>
        <w:footnoteRef/>
      </w:r>
      <w:r w:rsidR="00CA1529" w:rsidRPr="003607E6">
        <w:t xml:space="preserve"> Australian Bureau of Statistics, Labour Force, January 2023 – Participation rate, seasonally adjusted, and unemployment rate, seasonally adjusted.</w:t>
      </w:r>
    </w:p>
  </w:footnote>
  <w:footnote w:id="31">
    <w:p w14:paraId="0E39F48E" w14:textId="348350AF" w:rsidR="00EE61B6" w:rsidRPr="005B2373" w:rsidRDefault="00EE61B6" w:rsidP="00314A04">
      <w:pPr>
        <w:pStyle w:val="Source"/>
      </w:pPr>
      <w:r w:rsidRPr="005B2373">
        <w:rPr>
          <w:rStyle w:val="FootnoteReference"/>
          <w:sz w:val="16"/>
          <w:szCs w:val="16"/>
        </w:rPr>
        <w:footnoteRef/>
      </w:r>
      <w:r w:rsidRPr="005B2373">
        <w:t xml:space="preserve"> Australian Bureau of Statistics, Labour Force, Detailed, Quarterly, cat no. 6291.0.55.001, December 2022 release. abs.gov.au/statistics/labour/employment-and-unemployment/labour-force-australia-detailed/dec-2022</w:t>
      </w:r>
      <w:r w:rsidR="00737032">
        <w:t xml:space="preserve">. </w:t>
      </w:r>
      <w:r w:rsidRPr="005B2373">
        <w:t xml:space="preserve"> </w:t>
      </w:r>
    </w:p>
  </w:footnote>
  <w:footnote w:id="32">
    <w:p w14:paraId="79400A2F" w14:textId="77777777" w:rsidR="0008563E" w:rsidRDefault="0008563E" w:rsidP="0008563E">
      <w:pPr>
        <w:pStyle w:val="FootnoteText"/>
      </w:pPr>
      <w:r>
        <w:rPr>
          <w:rStyle w:val="FootnoteReference"/>
        </w:rPr>
        <w:footnoteRef/>
      </w:r>
      <w:r>
        <w:t xml:space="preserve"> </w:t>
      </w:r>
      <w:r w:rsidRPr="008D145A">
        <w:rPr>
          <w:sz w:val="18"/>
          <w:szCs w:val="18"/>
        </w:rPr>
        <w:t>Based on NCVER June 2023 quarter data.</w:t>
      </w:r>
    </w:p>
  </w:footnote>
  <w:footnote w:id="33">
    <w:p w14:paraId="6A0AE105" w14:textId="77777777" w:rsidR="00B52E71" w:rsidRDefault="00B52E71" w:rsidP="00314A04">
      <w:pPr>
        <w:pStyle w:val="Source"/>
      </w:pPr>
      <w:r w:rsidRPr="003607E6">
        <w:rPr>
          <w:rStyle w:val="FootnoteReference"/>
          <w:sz w:val="16"/>
          <w:szCs w:val="16"/>
        </w:rPr>
        <w:footnoteRef/>
      </w:r>
      <w:r w:rsidRPr="003607E6">
        <w:t xml:space="preserve"> Women's Economic Equality Taskforce, Department of the Prime Minister and Cabinet (2023), “Women's Economic Equality: A 10-year plan to unleash the full capacity and contribution of women to the Australian economy”. </w:t>
      </w:r>
      <w:hyperlink r:id="rId29">
        <w:r w:rsidRPr="003607E6">
          <w:rPr>
            <w:rStyle w:val="Hyperlink"/>
            <w:sz w:val="16"/>
            <w:szCs w:val="16"/>
          </w:rPr>
          <w:t>https://www.pmc.gov.au/news/womens-economic-equality-taskforce-final-report-government</w:t>
        </w:r>
      </w:hyperlink>
      <w:r>
        <w:t xml:space="preserve"> </w:t>
      </w:r>
    </w:p>
  </w:footnote>
  <w:footnote w:id="34">
    <w:p w14:paraId="59137830" w14:textId="65304AB6" w:rsidR="00C53BF9" w:rsidRPr="006761B1" w:rsidRDefault="00C53BF9" w:rsidP="00CD1E37">
      <w:pPr>
        <w:pStyle w:val="FootnoteText"/>
        <w:rPr>
          <w:sz w:val="18"/>
          <w:szCs w:val="18"/>
        </w:rPr>
      </w:pPr>
      <w:r w:rsidRPr="006761B1">
        <w:rPr>
          <w:rStyle w:val="FootnoteReference"/>
          <w:sz w:val="18"/>
          <w:szCs w:val="18"/>
        </w:rPr>
        <w:footnoteRef/>
      </w:r>
      <w:r w:rsidRPr="006761B1">
        <w:rPr>
          <w:sz w:val="18"/>
          <w:szCs w:val="18"/>
        </w:rPr>
        <w:t xml:space="preserve"> </w:t>
      </w:r>
      <w:r w:rsidR="00636429" w:rsidRPr="006761B1">
        <w:rPr>
          <w:sz w:val="18"/>
          <w:szCs w:val="18"/>
        </w:rPr>
        <w:t>NCVER</w:t>
      </w:r>
      <w:r w:rsidRPr="006761B1">
        <w:rPr>
          <w:sz w:val="18"/>
          <w:szCs w:val="18"/>
        </w:rPr>
        <w:t xml:space="preserve">, </w:t>
      </w:r>
      <w:r w:rsidR="000B2BEA" w:rsidRPr="006761B1">
        <w:rPr>
          <w:sz w:val="18"/>
          <w:szCs w:val="18"/>
        </w:rPr>
        <w:t>17 August 2023, Total VET students and courses 2022</w:t>
      </w:r>
      <w:r w:rsidRPr="006761B1">
        <w:rPr>
          <w:sz w:val="18"/>
          <w:szCs w:val="18"/>
        </w:rPr>
        <w:t xml:space="preserve">, </w:t>
      </w:r>
      <w:r w:rsidR="000B2BEA" w:rsidRPr="006761B1">
        <w:rPr>
          <w:sz w:val="18"/>
          <w:szCs w:val="18"/>
        </w:rPr>
        <w:t>https://www.ncver.edu.au/research-and-statistics/publications/all-publications/total-vet-students-and-courses-2022</w:t>
      </w:r>
      <w:r w:rsidRPr="006761B1">
        <w:rPr>
          <w:i/>
          <w:iCs/>
          <w:sz w:val="18"/>
          <w:szCs w:val="18"/>
        </w:rPr>
        <w:t xml:space="preserve">. </w:t>
      </w:r>
    </w:p>
  </w:footnote>
  <w:footnote w:id="35">
    <w:p w14:paraId="1245B928" w14:textId="77777777" w:rsidR="00F044F1" w:rsidRPr="006761B1" w:rsidRDefault="00F044F1" w:rsidP="00314A04">
      <w:pPr>
        <w:pStyle w:val="Source"/>
        <w:rPr>
          <w:szCs w:val="18"/>
        </w:rPr>
      </w:pPr>
      <w:r w:rsidRPr="006761B1">
        <w:rPr>
          <w:rStyle w:val="FootnoteReference"/>
          <w:szCs w:val="18"/>
        </w:rPr>
        <w:footnoteRef/>
      </w:r>
      <w:r w:rsidRPr="006761B1">
        <w:rPr>
          <w:szCs w:val="18"/>
        </w:rPr>
        <w:t xml:space="preserve"> Jobs and Skills Australia, Skills Priority List 2023. </w:t>
      </w:r>
      <w:hyperlink r:id="rId30" w:history="1">
        <w:r w:rsidRPr="006761B1">
          <w:rPr>
            <w:rStyle w:val="Hyperlink"/>
            <w:szCs w:val="18"/>
          </w:rPr>
          <w:t>https://www.jobsandskills.gov.au/data/skills-priority-list</w:t>
        </w:r>
      </w:hyperlink>
      <w:r w:rsidRPr="006761B1">
        <w:rPr>
          <w:szCs w:val="18"/>
        </w:rPr>
        <w:t xml:space="preserve"> </w:t>
      </w:r>
    </w:p>
  </w:footnote>
  <w:footnote w:id="36">
    <w:p w14:paraId="5E9DE72B" w14:textId="12CFAC94" w:rsidR="00F20191" w:rsidRDefault="00F20191" w:rsidP="00CD1E37">
      <w:pPr>
        <w:pStyle w:val="FootnoteText"/>
      </w:pPr>
      <w:r w:rsidRPr="006761B1">
        <w:rPr>
          <w:rStyle w:val="FootnoteReference"/>
          <w:sz w:val="18"/>
          <w:szCs w:val="18"/>
        </w:rPr>
        <w:footnoteRef/>
      </w:r>
      <w:r w:rsidRPr="006761B1">
        <w:rPr>
          <w:sz w:val="18"/>
          <w:szCs w:val="18"/>
        </w:rPr>
        <w:t xml:space="preserve"> </w:t>
      </w:r>
      <w:hyperlink r:id="rId31" w:history="1">
        <w:r w:rsidR="00695BCE" w:rsidRPr="006761B1">
          <w:rPr>
            <w:rStyle w:val="Hyperlink"/>
            <w:sz w:val="18"/>
            <w:szCs w:val="18"/>
          </w:rPr>
          <w:t>Financial Stability Review October 2022, Financial Stress and Contagion Risks in the Residential Construction Industry | Reserve Bank of Australia</w:t>
        </w:r>
      </w:hyperlink>
    </w:p>
  </w:footnote>
  <w:footnote w:id="37">
    <w:p w14:paraId="1832B173" w14:textId="77777777" w:rsidR="00B52E71" w:rsidRPr="00BE7BDA" w:rsidRDefault="00B52E71" w:rsidP="00314A04">
      <w:pPr>
        <w:pStyle w:val="Source"/>
        <w:rPr>
          <w:szCs w:val="18"/>
        </w:rPr>
      </w:pPr>
      <w:r w:rsidRPr="00BE7BDA">
        <w:rPr>
          <w:rStyle w:val="FootnoteReference"/>
          <w:szCs w:val="18"/>
        </w:rPr>
        <w:footnoteRef/>
      </w:r>
      <w:r w:rsidRPr="00BE7BDA">
        <w:rPr>
          <w:szCs w:val="18"/>
        </w:rPr>
        <w:t xml:space="preserve"> </w:t>
      </w:r>
      <w:hyperlink r:id="rId32" w:history="1">
        <w:r w:rsidRPr="00BE7BDA">
          <w:rPr>
            <w:rStyle w:val="Hyperlink"/>
            <w:szCs w:val="18"/>
          </w:rPr>
          <w:t>2023 Skills Priority List – Key Findings Report, Jobs and Skills Australia</w:t>
        </w:r>
      </w:hyperlink>
    </w:p>
  </w:footnote>
  <w:footnote w:id="38">
    <w:p w14:paraId="6BCE4D8F" w14:textId="77777777" w:rsidR="00B52E71" w:rsidRPr="00BE7BDA" w:rsidRDefault="00B52E71" w:rsidP="00314A04">
      <w:pPr>
        <w:pStyle w:val="Source"/>
        <w:rPr>
          <w:szCs w:val="18"/>
        </w:rPr>
      </w:pPr>
      <w:r w:rsidRPr="00BE7BDA">
        <w:rPr>
          <w:rStyle w:val="FootnoteReference"/>
          <w:szCs w:val="18"/>
        </w:rPr>
        <w:footnoteRef/>
      </w:r>
      <w:r w:rsidRPr="00BE7BDA">
        <w:rPr>
          <w:szCs w:val="18"/>
        </w:rPr>
        <w:t xml:space="preserve"> </w:t>
      </w:r>
      <w:hyperlink r:id="rId33" w:history="1">
        <w:r w:rsidRPr="00BE7BDA">
          <w:rPr>
            <w:rStyle w:val="Hyperlink"/>
            <w:szCs w:val="18"/>
          </w:rPr>
          <w:t>Statistics on Australian Government Procurement Contracts | Department of Finance</w:t>
        </w:r>
      </w:hyperlink>
      <w:r w:rsidRPr="00BE7BDA">
        <w:rPr>
          <w:szCs w:val="18"/>
        </w:rPr>
        <w:t xml:space="preserve"> </w:t>
      </w:r>
    </w:p>
  </w:footnote>
  <w:footnote w:id="39">
    <w:p w14:paraId="64825D69" w14:textId="77777777" w:rsidR="00B52E71" w:rsidRDefault="00B52E71" w:rsidP="00314A04">
      <w:pPr>
        <w:pStyle w:val="Source"/>
      </w:pPr>
      <w:r w:rsidRPr="00BE7BDA">
        <w:rPr>
          <w:rStyle w:val="FootnoteReference"/>
          <w:szCs w:val="18"/>
        </w:rPr>
        <w:footnoteRef/>
      </w:r>
      <w:r w:rsidRPr="00BE7BDA">
        <w:rPr>
          <w:szCs w:val="18"/>
        </w:rPr>
        <w:t xml:space="preserve"> </w:t>
      </w:r>
      <w:hyperlink r:id="rId34">
        <w:r w:rsidRPr="00BE7BDA">
          <w:rPr>
            <w:rStyle w:val="Hyperlink"/>
            <w:szCs w:val="18"/>
          </w:rPr>
          <w:t>Statistics on Australian Government Procurement Contracts | Department of Finance</w:t>
        </w:r>
      </w:hyperlink>
    </w:p>
  </w:footnote>
  <w:footnote w:id="40">
    <w:p w14:paraId="08073D63" w14:textId="72868AF0" w:rsidR="003C27C0" w:rsidRPr="00BA0117" w:rsidRDefault="003C27C0" w:rsidP="00CD1E37">
      <w:pPr>
        <w:pStyle w:val="FootnoteText"/>
        <w:rPr>
          <w:sz w:val="18"/>
          <w:szCs w:val="18"/>
        </w:rPr>
      </w:pPr>
      <w:r w:rsidRPr="00BA0117">
        <w:rPr>
          <w:rStyle w:val="FootnoteReference"/>
          <w:sz w:val="18"/>
          <w:szCs w:val="18"/>
        </w:rPr>
        <w:footnoteRef/>
      </w:r>
      <w:r w:rsidRPr="00BA0117">
        <w:rPr>
          <w:sz w:val="18"/>
          <w:szCs w:val="18"/>
        </w:rPr>
        <w:t xml:space="preserve"> </w:t>
      </w:r>
      <w:r w:rsidR="007F39D3" w:rsidRPr="00BA0117">
        <w:rPr>
          <w:sz w:val="18"/>
          <w:szCs w:val="18"/>
        </w:rPr>
        <w:t>Victorian State Government,</w:t>
      </w:r>
      <w:r w:rsidRPr="00BA0117">
        <w:rPr>
          <w:sz w:val="18"/>
          <w:szCs w:val="18"/>
        </w:rPr>
        <w:t xml:space="preserve"> </w:t>
      </w:r>
      <w:r w:rsidR="00B35964" w:rsidRPr="00BA0117">
        <w:rPr>
          <w:sz w:val="18"/>
          <w:szCs w:val="18"/>
        </w:rPr>
        <w:t>Local Jobs First Annual Report 2021–22,</w:t>
      </w:r>
      <w:r w:rsidRPr="00BA0117">
        <w:rPr>
          <w:sz w:val="18"/>
          <w:szCs w:val="18"/>
        </w:rPr>
        <w:t xml:space="preserve"> </w:t>
      </w:r>
      <w:hyperlink r:id="rId35" w:history="1">
        <w:r w:rsidR="001A0AFF" w:rsidRPr="00141B66">
          <w:rPr>
            <w:rStyle w:val="Hyperlink"/>
            <w:sz w:val="18"/>
            <w:szCs w:val="18"/>
          </w:rPr>
          <w:t>https://localjobsfirst.vic.gov.au/__data/assets/pdf_file/0040/189859/Local-Jobs-First-Annual-Report-to-Parliament-2021-2022-PDF-22-mb.pdf</w:t>
        </w:r>
      </w:hyperlink>
      <w:r w:rsidR="001A0AFF">
        <w:rPr>
          <w:sz w:val="18"/>
          <w:szCs w:val="18"/>
        </w:rPr>
        <w:t xml:space="preserve"> </w:t>
      </w:r>
      <w:r w:rsidR="00342E81" w:rsidRPr="00BA0117">
        <w:rPr>
          <w:sz w:val="18"/>
          <w:szCs w:val="18"/>
        </w:rPr>
        <w:t xml:space="preserve"> </w:t>
      </w:r>
    </w:p>
  </w:footnote>
  <w:footnote w:id="41">
    <w:p w14:paraId="032D732C" w14:textId="0AEB99FE" w:rsidR="00F62E86" w:rsidRDefault="00F62E86" w:rsidP="00CD1E37">
      <w:pPr>
        <w:pStyle w:val="FootnoteText"/>
      </w:pPr>
      <w:r w:rsidRPr="00BA0117">
        <w:rPr>
          <w:rStyle w:val="FootnoteReference"/>
          <w:sz w:val="18"/>
          <w:szCs w:val="18"/>
        </w:rPr>
        <w:footnoteRef/>
      </w:r>
      <w:r w:rsidRPr="00BA0117">
        <w:rPr>
          <w:sz w:val="18"/>
          <w:szCs w:val="18"/>
        </w:rPr>
        <w:t xml:space="preserve"> </w:t>
      </w:r>
      <w:hyperlink r:id="rId36" w:anchor="toc-case-studies-and-achievements" w:history="1">
        <w:r w:rsidRPr="00BA0117">
          <w:rPr>
            <w:rStyle w:val="Hyperlink"/>
            <w:sz w:val="18"/>
            <w:szCs w:val="18"/>
          </w:rPr>
          <w:t>Infrastructure Skills Legacy Program | NSW Government</w:t>
        </w:r>
      </w:hyperlink>
    </w:p>
  </w:footnote>
  <w:footnote w:id="42">
    <w:p w14:paraId="3BBD35A2" w14:textId="0F8933B2" w:rsidR="003F173E" w:rsidRDefault="003F173E" w:rsidP="00CD1E37">
      <w:pPr>
        <w:pStyle w:val="FootnoteText"/>
      </w:pPr>
      <w:r>
        <w:rPr>
          <w:rStyle w:val="FootnoteReference"/>
        </w:rPr>
        <w:footnoteRef/>
      </w:r>
      <w:r>
        <w:t xml:space="preserve"> </w:t>
      </w:r>
      <w:hyperlink r:id="rId37" w:history="1">
        <w:r w:rsidRPr="002E7E07">
          <w:rPr>
            <w:rStyle w:val="Hyperlink"/>
            <w:sz w:val="16"/>
            <w:szCs w:val="16"/>
          </w:rPr>
          <w:t>Women in construction | Department of Energy and Climate (epw.qld.gov.au)</w:t>
        </w:r>
      </w:hyperlink>
    </w:p>
  </w:footnote>
  <w:footnote w:id="43">
    <w:p w14:paraId="22659F8E" w14:textId="7FB08672" w:rsidR="008B71F6" w:rsidRDefault="008B71F6" w:rsidP="00CD1E37">
      <w:pPr>
        <w:pStyle w:val="FootnoteText"/>
      </w:pPr>
      <w:r>
        <w:rPr>
          <w:rStyle w:val="FootnoteReference"/>
        </w:rPr>
        <w:footnoteRef/>
      </w:r>
      <w:r>
        <w:t xml:space="preserve"> </w:t>
      </w:r>
      <w:hyperlink r:id="rId38" w:history="1">
        <w:r w:rsidRPr="002E7E07">
          <w:rPr>
            <w:rStyle w:val="Hyperlink"/>
            <w:sz w:val="16"/>
            <w:szCs w:val="16"/>
          </w:rPr>
          <w:t>QLD_11percentStrategy (nawic.com.au)</w:t>
        </w:r>
      </w:hyperlink>
    </w:p>
  </w:footnote>
  <w:footnote w:id="44">
    <w:p w14:paraId="743610FD" w14:textId="77777777" w:rsidR="002D1FE7" w:rsidRPr="006761B1" w:rsidRDefault="002D1FE7" w:rsidP="00CD1E37">
      <w:pPr>
        <w:pStyle w:val="FootnoteText"/>
        <w:rPr>
          <w:sz w:val="18"/>
          <w:szCs w:val="18"/>
        </w:rPr>
      </w:pPr>
      <w:r>
        <w:rPr>
          <w:rStyle w:val="FootnoteReference"/>
        </w:rPr>
        <w:footnoteRef/>
      </w:r>
      <w:r>
        <w:t xml:space="preserve"> </w:t>
      </w:r>
      <w:r w:rsidRPr="006761B1">
        <w:rPr>
          <w:sz w:val="18"/>
          <w:szCs w:val="18"/>
        </w:rPr>
        <w:t>Organisation for Economic Compensation and Development (OECD) (2018) Seven Questions about Apprenticeships: Answers from International Experience, OECD Reviews of Vocational Education and Training, OECD Publishing, Paris</w:t>
      </w:r>
    </w:p>
  </w:footnote>
  <w:footnote w:id="45">
    <w:p w14:paraId="10999F50" w14:textId="4B0D6A8C" w:rsidR="002D1FE7" w:rsidRPr="006761B1" w:rsidRDefault="002D1FE7" w:rsidP="00CD1E37">
      <w:pPr>
        <w:pStyle w:val="FootnoteText"/>
        <w:rPr>
          <w:i/>
          <w:iCs/>
          <w:sz w:val="18"/>
          <w:szCs w:val="18"/>
        </w:rPr>
      </w:pPr>
      <w:r w:rsidRPr="006761B1">
        <w:rPr>
          <w:rStyle w:val="FootnoteReference"/>
          <w:sz w:val="18"/>
          <w:szCs w:val="18"/>
        </w:rPr>
        <w:footnoteRef/>
      </w:r>
      <w:r w:rsidRPr="006761B1">
        <w:rPr>
          <w:sz w:val="18"/>
          <w:szCs w:val="18"/>
        </w:rPr>
        <w:t xml:space="preserve"> Wright and Conley 2020, Advancing gender equality in the construction sector through public procurement: Making effective use of responsive regulation. </w:t>
      </w:r>
      <w:r w:rsidRPr="006761B1">
        <w:rPr>
          <w:i/>
          <w:iCs/>
          <w:sz w:val="18"/>
          <w:szCs w:val="18"/>
        </w:rPr>
        <w:t xml:space="preserve">Economic and Industrial Democracy, </w:t>
      </w:r>
      <w:r w:rsidRPr="006761B1">
        <w:rPr>
          <w:sz w:val="18"/>
          <w:szCs w:val="18"/>
        </w:rPr>
        <w:t xml:space="preserve">vol.41, no.4. </w:t>
      </w:r>
      <w:hyperlink r:id="rId39" w:history="1">
        <w:r w:rsidR="007D7DB8" w:rsidRPr="006514AD">
          <w:rPr>
            <w:rStyle w:val="Hyperlink"/>
            <w:sz w:val="18"/>
            <w:szCs w:val="18"/>
          </w:rPr>
          <w:t>https://doi.org/10.1177/0143831X17745979</w:t>
        </w:r>
      </w:hyperlink>
      <w:r w:rsidR="007D7DB8">
        <w:rPr>
          <w:sz w:val="18"/>
          <w:szCs w:val="18"/>
        </w:rPr>
        <w:t xml:space="preserve"> </w:t>
      </w:r>
    </w:p>
  </w:footnote>
  <w:footnote w:id="46">
    <w:p w14:paraId="70818B4A" w14:textId="4F8D5E74" w:rsidR="002D1FE7" w:rsidRPr="00525BDA" w:rsidRDefault="002D1FE7" w:rsidP="00CD1E37">
      <w:pPr>
        <w:pStyle w:val="FootnoteText"/>
      </w:pPr>
      <w:r w:rsidRPr="006761B1">
        <w:rPr>
          <w:rStyle w:val="FootnoteReference"/>
          <w:sz w:val="18"/>
          <w:szCs w:val="18"/>
        </w:rPr>
        <w:footnoteRef/>
      </w:r>
      <w:r w:rsidRPr="006761B1">
        <w:rPr>
          <w:sz w:val="18"/>
          <w:szCs w:val="18"/>
        </w:rPr>
        <w:t xml:space="preserve"> Wright and Conley 2020, Advancing gender equality in the construction sector through public procurement: Making effective use of responsive regulation. </w:t>
      </w:r>
      <w:r w:rsidRPr="006761B1">
        <w:rPr>
          <w:i/>
          <w:iCs/>
          <w:sz w:val="18"/>
          <w:szCs w:val="18"/>
        </w:rPr>
        <w:t xml:space="preserve">Economic and Industrial Democracy, </w:t>
      </w:r>
      <w:r w:rsidRPr="006761B1">
        <w:rPr>
          <w:sz w:val="18"/>
          <w:szCs w:val="18"/>
        </w:rPr>
        <w:t xml:space="preserve">vol.41, no.4. </w:t>
      </w:r>
      <w:hyperlink r:id="rId40" w:history="1">
        <w:r w:rsidR="007D7DB8" w:rsidRPr="006514AD">
          <w:rPr>
            <w:rStyle w:val="Hyperlink"/>
            <w:sz w:val="18"/>
            <w:szCs w:val="18"/>
          </w:rPr>
          <w:t>https://doi.org/10.1177/0143831X17745979</w:t>
        </w:r>
      </w:hyperlink>
      <w:r w:rsidR="007D7DB8">
        <w:rPr>
          <w:sz w:val="18"/>
          <w:szCs w:val="18"/>
        </w:rPr>
        <w:t xml:space="preserve"> </w:t>
      </w:r>
    </w:p>
  </w:footnote>
  <w:footnote w:id="47">
    <w:p w14:paraId="792AF040" w14:textId="026D26DE" w:rsidR="002D1FE7" w:rsidRDefault="002D1FE7" w:rsidP="00CD1E37">
      <w:pPr>
        <w:pStyle w:val="FootnoteText"/>
      </w:pPr>
      <w:r w:rsidRPr="005A003C">
        <w:rPr>
          <w:rStyle w:val="FootnoteReference"/>
          <w:sz w:val="16"/>
          <w:szCs w:val="16"/>
        </w:rPr>
        <w:footnoteRef/>
      </w:r>
      <w:r w:rsidRPr="005A003C">
        <w:t xml:space="preserve"> </w:t>
      </w:r>
      <w:r w:rsidRPr="006761B1">
        <w:rPr>
          <w:sz w:val="18"/>
          <w:szCs w:val="18"/>
        </w:rPr>
        <w:t xml:space="preserve">Crown Commercial Service, September 2020, Procurement Policy Note 06/20 – taking account of social value in the award of central government contracts, </w:t>
      </w:r>
      <w:hyperlink r:id="rId41" w:history="1">
        <w:r w:rsidR="007D7DB8" w:rsidRPr="006514AD">
          <w:rPr>
            <w:rStyle w:val="Hyperlink"/>
            <w:sz w:val="18"/>
            <w:szCs w:val="18"/>
          </w:rPr>
          <w:t>https://www.gov.uk/government/publications/procurement-policy-note-0620-taking-account-of-social-value-in-the-award-of-central-government-contracts</w:t>
        </w:r>
      </w:hyperlink>
      <w:r w:rsidR="007D7DB8">
        <w:rPr>
          <w:sz w:val="18"/>
          <w:szCs w:val="18"/>
        </w:rPr>
        <w:t xml:space="preserve"> </w:t>
      </w:r>
      <w:r w:rsidRPr="006761B1">
        <w:rPr>
          <w:sz w:val="18"/>
          <w:szCs w:val="18"/>
        </w:rPr>
        <w:t xml:space="preserve"> </w:t>
      </w:r>
    </w:p>
  </w:footnote>
  <w:footnote w:id="48">
    <w:p w14:paraId="7F4FB94A" w14:textId="030758E1" w:rsidR="002D1FE7" w:rsidRPr="006761B1" w:rsidRDefault="002D1FE7" w:rsidP="00CD1E37">
      <w:pPr>
        <w:pStyle w:val="FootnoteText"/>
        <w:rPr>
          <w:sz w:val="18"/>
          <w:szCs w:val="18"/>
        </w:rPr>
      </w:pPr>
      <w:r w:rsidRPr="006761B1">
        <w:rPr>
          <w:rStyle w:val="FootnoteReference"/>
          <w:sz w:val="18"/>
          <w:szCs w:val="18"/>
        </w:rPr>
        <w:footnoteRef/>
      </w:r>
      <w:r w:rsidRPr="006761B1">
        <w:rPr>
          <w:sz w:val="18"/>
          <w:szCs w:val="18"/>
        </w:rPr>
        <w:t xml:space="preserve"> Crown Commercial Service, October 2016, Procurement Policy Note 09/16: Procuring for Growth Balanced Scorecard, </w:t>
      </w:r>
      <w:hyperlink r:id="rId42" w:history="1">
        <w:r w:rsidR="007D7DB8" w:rsidRPr="006514AD">
          <w:rPr>
            <w:rStyle w:val="Hyperlink"/>
            <w:sz w:val="18"/>
            <w:szCs w:val="18"/>
          </w:rPr>
          <w:t>https://www.gov.uk/government/publications/procurement-policy-note-0916-procuring-for-growth-balanced-scorecard</w:t>
        </w:r>
      </w:hyperlink>
      <w:r w:rsidR="007D7DB8">
        <w:rPr>
          <w:sz w:val="18"/>
          <w:szCs w:val="18"/>
        </w:rPr>
        <w:t xml:space="preserve"> </w:t>
      </w:r>
      <w:r w:rsidRPr="006761B1">
        <w:rPr>
          <w:sz w:val="18"/>
          <w:szCs w:val="18"/>
        </w:rPr>
        <w:t xml:space="preserve"> </w:t>
      </w:r>
    </w:p>
  </w:footnote>
  <w:footnote w:id="49">
    <w:p w14:paraId="328EEE37" w14:textId="386C0E67" w:rsidR="001E1E0D" w:rsidRPr="006761B1" w:rsidRDefault="001E1E0D" w:rsidP="00CD1E37">
      <w:pPr>
        <w:pStyle w:val="FootnoteText"/>
        <w:rPr>
          <w:sz w:val="18"/>
          <w:szCs w:val="18"/>
        </w:rPr>
      </w:pPr>
      <w:r w:rsidRPr="006761B1">
        <w:rPr>
          <w:rStyle w:val="FootnoteReference"/>
          <w:sz w:val="18"/>
          <w:szCs w:val="18"/>
        </w:rPr>
        <w:footnoteRef/>
      </w:r>
      <w:r w:rsidRPr="006761B1">
        <w:rPr>
          <w:sz w:val="18"/>
          <w:szCs w:val="18"/>
        </w:rPr>
        <w:t xml:space="preserve"> Government of Canada, Federal Contracts to Help Hire and Train Apprentices, </w:t>
      </w:r>
      <w:hyperlink r:id="rId43" w:history="1">
        <w:r w:rsidR="007D7DB8" w:rsidRPr="006514AD">
          <w:rPr>
            <w:rStyle w:val="Hyperlink"/>
            <w:sz w:val="18"/>
            <w:szCs w:val="18"/>
          </w:rPr>
          <w:t>https://www.canada.ca/en/services/jobs/training/support-skilled-trades-apprentices/contracts.html</w:t>
        </w:r>
      </w:hyperlink>
      <w:r w:rsidR="007D7DB8">
        <w:rPr>
          <w:sz w:val="18"/>
          <w:szCs w:val="18"/>
        </w:rPr>
        <w:t xml:space="preserve"> </w:t>
      </w:r>
      <w:r w:rsidR="00E2040A" w:rsidRPr="006761B1">
        <w:rPr>
          <w:sz w:val="18"/>
          <w:szCs w:val="18"/>
        </w:rPr>
        <w:t xml:space="preserve"> </w:t>
      </w:r>
    </w:p>
  </w:footnote>
  <w:footnote w:id="50">
    <w:p w14:paraId="76BB1ACF" w14:textId="2DFABD56" w:rsidR="004E2A6A" w:rsidRPr="006761B1" w:rsidRDefault="004E2A6A" w:rsidP="00CD1E37">
      <w:pPr>
        <w:pStyle w:val="FootnoteText"/>
        <w:rPr>
          <w:sz w:val="18"/>
          <w:szCs w:val="18"/>
        </w:rPr>
      </w:pPr>
      <w:r w:rsidRPr="006761B1">
        <w:rPr>
          <w:rStyle w:val="FootnoteReference"/>
          <w:sz w:val="18"/>
          <w:szCs w:val="18"/>
        </w:rPr>
        <w:footnoteRef/>
      </w:r>
      <w:r w:rsidRPr="006761B1">
        <w:rPr>
          <w:sz w:val="18"/>
          <w:szCs w:val="18"/>
        </w:rPr>
        <w:t xml:space="preserve"> New Zealand Government Procurement,</w:t>
      </w:r>
      <w:r w:rsidR="008B0DFC" w:rsidRPr="006761B1">
        <w:rPr>
          <w:sz w:val="18"/>
          <w:szCs w:val="18"/>
        </w:rPr>
        <w:t xml:space="preserve"> May 2021,</w:t>
      </w:r>
      <w:r w:rsidRPr="006761B1">
        <w:rPr>
          <w:sz w:val="18"/>
          <w:szCs w:val="18"/>
        </w:rPr>
        <w:t xml:space="preserve"> </w:t>
      </w:r>
      <w:r w:rsidR="002F3BEB" w:rsidRPr="006761B1">
        <w:rPr>
          <w:sz w:val="18"/>
          <w:szCs w:val="18"/>
        </w:rPr>
        <w:t xml:space="preserve">Government Procurement Rules, </w:t>
      </w:r>
      <w:hyperlink r:id="rId44" w:history="1">
        <w:r w:rsidR="00812C17" w:rsidRPr="006761B1">
          <w:rPr>
            <w:rStyle w:val="Hyperlink"/>
            <w:sz w:val="18"/>
            <w:szCs w:val="18"/>
          </w:rPr>
          <w:t>https://www.procurement.govt.nz/broader-outcomes/construction-skills-and-training/</w:t>
        </w:r>
      </w:hyperlink>
      <w:r w:rsidR="00812C17" w:rsidRPr="006761B1">
        <w:rPr>
          <w:sz w:val="18"/>
          <w:szCs w:val="18"/>
        </w:rPr>
        <w:t xml:space="preserve"> </w:t>
      </w:r>
    </w:p>
  </w:footnote>
  <w:footnote w:id="51">
    <w:p w14:paraId="530EBC89" w14:textId="77777777" w:rsidR="00B52E71" w:rsidRDefault="00B52E71" w:rsidP="00314A04">
      <w:pPr>
        <w:pStyle w:val="Source"/>
      </w:pPr>
      <w:r w:rsidRPr="006761B1">
        <w:rPr>
          <w:rStyle w:val="FootnoteReference"/>
          <w:szCs w:val="18"/>
        </w:rPr>
        <w:footnoteRef/>
      </w:r>
      <w:r w:rsidRPr="006761B1">
        <w:rPr>
          <w:szCs w:val="18"/>
        </w:rPr>
        <w:t xml:space="preserve"> </w:t>
      </w:r>
      <w:hyperlink r:id="rId45" w:history="1">
        <w:r w:rsidRPr="006761B1">
          <w:rPr>
            <w:rStyle w:val="Hyperlink"/>
            <w:szCs w:val="18"/>
          </w:rPr>
          <w:t>Australian Apprenticeships Incentive System Factsheet - Department of Employment and Workplace Relations, Australian Government (dewr.gov.au)</w:t>
        </w:r>
      </w:hyperlink>
    </w:p>
  </w:footnote>
  <w:footnote w:id="52">
    <w:p w14:paraId="1F4A5849" w14:textId="226E8493" w:rsidR="003B3C9F" w:rsidRPr="006B102F" w:rsidRDefault="003B3C9F">
      <w:pPr>
        <w:pStyle w:val="FootnoteText"/>
        <w:rPr>
          <w:sz w:val="18"/>
          <w:szCs w:val="18"/>
        </w:rPr>
      </w:pPr>
      <w:r w:rsidRPr="006B102F">
        <w:rPr>
          <w:rStyle w:val="FootnoteReference"/>
          <w:sz w:val="18"/>
          <w:szCs w:val="18"/>
        </w:rPr>
        <w:footnoteRef/>
      </w:r>
      <w:r w:rsidRPr="006B102F">
        <w:rPr>
          <w:sz w:val="18"/>
          <w:szCs w:val="18"/>
        </w:rPr>
        <w:t xml:space="preserve"> MATES in construction </w:t>
      </w:r>
      <w:r w:rsidR="006B102F">
        <w:rPr>
          <w:sz w:val="18"/>
          <w:szCs w:val="18"/>
        </w:rPr>
        <w:t>is</w:t>
      </w:r>
      <w:r w:rsidRPr="006B102F">
        <w:rPr>
          <w:sz w:val="18"/>
          <w:szCs w:val="18"/>
        </w:rPr>
        <w:t xml:space="preserve"> a charity that was established in response to a major report on suicide within the QLD Commercial Building and Construction Industry to </w:t>
      </w:r>
      <w:r w:rsidR="006B102F" w:rsidRPr="006B102F">
        <w:rPr>
          <w:sz w:val="18"/>
          <w:szCs w:val="18"/>
        </w:rPr>
        <w:t>reduce the high level of suicide among Australian construction workers by providing support workers and suicide prevention programs</w:t>
      </w:r>
      <w:r w:rsidR="006B102F">
        <w:rPr>
          <w:sz w:val="18"/>
          <w:szCs w:val="18"/>
        </w:rPr>
        <w:t xml:space="preserve"> on sites. (mates.org.au)</w:t>
      </w:r>
      <w:r w:rsidR="006B102F" w:rsidRPr="006B102F">
        <w:rPr>
          <w:sz w:val="18"/>
          <w:szCs w:val="18"/>
        </w:rPr>
        <w:t xml:space="preserve"> </w:t>
      </w:r>
    </w:p>
  </w:footnote>
  <w:footnote w:id="53">
    <w:p w14:paraId="1C3F6952" w14:textId="551B3130" w:rsidR="003B3C9F" w:rsidRPr="003B3C9F" w:rsidRDefault="003B3C9F">
      <w:pPr>
        <w:pStyle w:val="FootnoteText"/>
        <w:rPr>
          <w:sz w:val="18"/>
          <w:szCs w:val="18"/>
        </w:rPr>
      </w:pPr>
      <w:r w:rsidRPr="003B3C9F">
        <w:rPr>
          <w:rStyle w:val="FootnoteReference"/>
          <w:sz w:val="18"/>
          <w:szCs w:val="18"/>
        </w:rPr>
        <w:footnoteRef/>
      </w:r>
      <w:r w:rsidRPr="003B3C9F">
        <w:rPr>
          <w:sz w:val="18"/>
          <w:szCs w:val="18"/>
        </w:rPr>
        <w:t xml:space="preserve"> Build like a girl is a registered Not-for-profit organisation run by women who want to help more women work in trades</w:t>
      </w:r>
      <w:r>
        <w:rPr>
          <w:sz w:val="18"/>
          <w:szCs w:val="18"/>
        </w:rPr>
        <w:t>, including advice, support, and a jobs board of opportunities</w:t>
      </w:r>
      <w:r w:rsidRPr="003B3C9F">
        <w:rPr>
          <w:sz w:val="18"/>
          <w:szCs w:val="18"/>
        </w:rPr>
        <w:t xml:space="preserve">. </w:t>
      </w:r>
      <w:r>
        <w:rPr>
          <w:sz w:val="18"/>
          <w:szCs w:val="18"/>
        </w:rPr>
        <w:t>(</w:t>
      </w:r>
      <w:r w:rsidRPr="003B3C9F">
        <w:rPr>
          <w:sz w:val="18"/>
          <w:szCs w:val="18"/>
        </w:rPr>
        <w:t>buildlikeagirl.com.au</w:t>
      </w:r>
      <w:r>
        <w:rPr>
          <w:sz w:val="18"/>
          <w:szCs w:val="18"/>
        </w:rPr>
        <w:t>)</w:t>
      </w:r>
    </w:p>
  </w:footnote>
  <w:footnote w:id="54">
    <w:p w14:paraId="2BD815F9" w14:textId="272F9726" w:rsidR="008A342C" w:rsidRPr="008A342C" w:rsidRDefault="008A342C">
      <w:pPr>
        <w:pStyle w:val="FootnoteText"/>
        <w:rPr>
          <w:sz w:val="18"/>
          <w:szCs w:val="18"/>
        </w:rPr>
      </w:pPr>
      <w:r w:rsidRPr="008A342C">
        <w:rPr>
          <w:rStyle w:val="FootnoteReference"/>
          <w:sz w:val="18"/>
          <w:szCs w:val="18"/>
        </w:rPr>
        <w:footnoteRef/>
      </w:r>
      <w:r w:rsidRPr="008A342C">
        <w:rPr>
          <w:sz w:val="18"/>
          <w:szCs w:val="18"/>
        </w:rPr>
        <w:t xml:space="preserve"> </w:t>
      </w:r>
      <w:r>
        <w:rPr>
          <w:sz w:val="18"/>
          <w:szCs w:val="18"/>
        </w:rPr>
        <w:t>The Digital Employment Forum was established by the Tech Council of Australia and Digital Skills Organisation to bring together major technology employers and educators</w:t>
      </w:r>
      <w:r w:rsidR="00705421">
        <w:rPr>
          <w:sz w:val="18"/>
          <w:szCs w:val="18"/>
        </w:rPr>
        <w:t>. (</w:t>
      </w:r>
      <w:r w:rsidRPr="008A342C">
        <w:rPr>
          <w:sz w:val="18"/>
          <w:szCs w:val="18"/>
        </w:rPr>
        <w:t>techcouncil.com.au/wp-content/uploads/2022/08/2022-Getting-to-1.2-million-report.pdf</w:t>
      </w:r>
      <w:r w:rsidR="00705421">
        <w:rPr>
          <w:sz w:val="18"/>
          <w:szCs w:val="18"/>
        </w:rPr>
        <w:t>)</w:t>
      </w:r>
    </w:p>
  </w:footnote>
  <w:footnote w:id="55">
    <w:p w14:paraId="798562CB" w14:textId="0C2A206A" w:rsidR="008B0376" w:rsidRPr="0058510D" w:rsidRDefault="008B0376" w:rsidP="00CD1E37">
      <w:pPr>
        <w:pStyle w:val="FootnoteText"/>
        <w:rPr>
          <w:sz w:val="18"/>
          <w:szCs w:val="18"/>
        </w:rPr>
      </w:pPr>
      <w:r w:rsidRPr="0058510D">
        <w:rPr>
          <w:rStyle w:val="FootnoteReference"/>
          <w:sz w:val="18"/>
          <w:szCs w:val="18"/>
        </w:rPr>
        <w:footnoteRef/>
      </w:r>
      <w:r w:rsidRPr="0058510D">
        <w:rPr>
          <w:sz w:val="18"/>
          <w:szCs w:val="18"/>
        </w:rPr>
        <w:t xml:space="preserve"> </w:t>
      </w:r>
      <w:hyperlink r:id="rId46" w:history="1">
        <w:r w:rsidRPr="0058510D">
          <w:rPr>
            <w:rStyle w:val="Hyperlink"/>
            <w:sz w:val="18"/>
            <w:szCs w:val="18"/>
          </w:rPr>
          <w:t>Aurecon_elevating_women_in_STEM.pdf (wgea.gov.au)</w:t>
        </w:r>
      </w:hyperlink>
      <w:r w:rsidRPr="0058510D">
        <w:rPr>
          <w:sz w:val="18"/>
          <w:szCs w:val="18"/>
        </w:rPr>
        <w:t xml:space="preserve"> </w:t>
      </w:r>
    </w:p>
  </w:footnote>
  <w:footnote w:id="56">
    <w:p w14:paraId="5BE3ACBA" w14:textId="2D794495" w:rsidR="00CB336C" w:rsidRPr="0058510D" w:rsidRDefault="00CB336C" w:rsidP="00CD1E37">
      <w:pPr>
        <w:pStyle w:val="FootnoteText"/>
        <w:rPr>
          <w:sz w:val="18"/>
          <w:szCs w:val="18"/>
        </w:rPr>
      </w:pPr>
      <w:r w:rsidRPr="0058510D">
        <w:rPr>
          <w:rStyle w:val="FootnoteReference"/>
          <w:sz w:val="18"/>
          <w:szCs w:val="18"/>
        </w:rPr>
        <w:footnoteRef/>
      </w:r>
      <w:r w:rsidRPr="0058510D">
        <w:rPr>
          <w:sz w:val="18"/>
          <w:szCs w:val="18"/>
        </w:rPr>
        <w:t xml:space="preserve"> </w:t>
      </w:r>
      <w:hyperlink r:id="rId47" w:history="1">
        <w:r w:rsidRPr="0058510D">
          <w:rPr>
            <w:rStyle w:val="Hyperlink"/>
            <w:sz w:val="18"/>
            <w:szCs w:val="18"/>
          </w:rPr>
          <w:t>MYOB case study: Recruiting women into IT (wgea.gov.au)</w:t>
        </w:r>
      </w:hyperlink>
    </w:p>
  </w:footnote>
  <w:footnote w:id="57">
    <w:p w14:paraId="33A9D831" w14:textId="538E8325" w:rsidR="002A2E72" w:rsidRPr="0058510D" w:rsidRDefault="002A2E72" w:rsidP="00CD1E37">
      <w:pPr>
        <w:pStyle w:val="FootnoteText"/>
        <w:rPr>
          <w:sz w:val="18"/>
          <w:szCs w:val="18"/>
        </w:rPr>
      </w:pPr>
      <w:r w:rsidRPr="0058510D">
        <w:rPr>
          <w:rStyle w:val="FootnoteReference"/>
          <w:sz w:val="18"/>
          <w:szCs w:val="18"/>
        </w:rPr>
        <w:footnoteRef/>
      </w:r>
      <w:r w:rsidRPr="0058510D">
        <w:rPr>
          <w:sz w:val="18"/>
          <w:szCs w:val="18"/>
        </w:rPr>
        <w:t xml:space="preserve"> </w:t>
      </w:r>
      <w:hyperlink r:id="rId48" w:history="1">
        <w:r w:rsidRPr="0058510D">
          <w:rPr>
            <w:rStyle w:val="Hyperlink"/>
            <w:sz w:val="18"/>
            <w:szCs w:val="18"/>
          </w:rPr>
          <w:t>Jobs and Skills Australia, Employment Projections. https://www.jobsandskills.gov.au/data/employment-projections</w:t>
        </w:r>
      </w:hyperlink>
    </w:p>
  </w:footnote>
  <w:footnote w:id="58">
    <w:p w14:paraId="7FD43958" w14:textId="4B749049" w:rsidR="00B52E71" w:rsidRPr="00D0269C" w:rsidRDefault="00B52E71" w:rsidP="00314A04">
      <w:pPr>
        <w:pStyle w:val="Source"/>
      </w:pPr>
      <w:r w:rsidRPr="0058510D">
        <w:rPr>
          <w:rStyle w:val="FootnoteReference"/>
          <w:szCs w:val="18"/>
        </w:rPr>
        <w:footnoteRef/>
      </w:r>
      <w:r w:rsidRPr="0058510D">
        <w:rPr>
          <w:szCs w:val="18"/>
        </w:rPr>
        <w:t xml:space="preserve"> Workplace Gender Equality Agency, Gender segregation in Australia's workforce, April 2019.</w:t>
      </w:r>
      <w:r w:rsidRPr="00D0269C">
        <w:t xml:space="preserve"> </w:t>
      </w:r>
    </w:p>
  </w:footnote>
  <w:footnote w:id="59">
    <w:p w14:paraId="76846418" w14:textId="77777777" w:rsidR="00B52E71" w:rsidRPr="0058510D" w:rsidRDefault="00B52E71" w:rsidP="00314A04">
      <w:pPr>
        <w:pStyle w:val="Source"/>
        <w:rPr>
          <w:szCs w:val="18"/>
        </w:rPr>
      </w:pPr>
      <w:r w:rsidRPr="0058510D">
        <w:rPr>
          <w:rStyle w:val="FootnoteReference"/>
          <w:szCs w:val="18"/>
        </w:rPr>
        <w:footnoteRef/>
      </w:r>
      <w:r w:rsidRPr="0058510D">
        <w:rPr>
          <w:szCs w:val="18"/>
        </w:rPr>
        <w:t xml:space="preserve"> Jobs and Skills Australia 2023. ministers.dewr.gov.au/oconnor/gender-imbalance-workforce-contributing-skills-shortages. </w:t>
      </w:r>
    </w:p>
  </w:footnote>
  <w:footnote w:id="60">
    <w:p w14:paraId="3FB17F92" w14:textId="77777777" w:rsidR="00B52E71" w:rsidRPr="00D0269C" w:rsidRDefault="00B52E71" w:rsidP="00314A04">
      <w:pPr>
        <w:pStyle w:val="Source"/>
      </w:pPr>
      <w:r w:rsidRPr="0058510D">
        <w:rPr>
          <w:rStyle w:val="FootnoteReference"/>
          <w:szCs w:val="18"/>
        </w:rPr>
        <w:footnoteRef/>
      </w:r>
      <w:r w:rsidRPr="0058510D">
        <w:rPr>
          <w:szCs w:val="18"/>
        </w:rPr>
        <w:t xml:space="preserve"> </w:t>
      </w:r>
      <w:r w:rsidRPr="0058510D">
        <w:rPr>
          <w:rStyle w:val="ui-provider"/>
          <w:szCs w:val="18"/>
        </w:rPr>
        <w:t>ABS, Labour Force, Detailed, Quarterly, cat no. 6291.0.55.001, December 2022 release.</w:t>
      </w:r>
    </w:p>
  </w:footnote>
  <w:footnote w:id="61">
    <w:p w14:paraId="06B1AA65" w14:textId="1CD08A8B" w:rsidR="00015CD7" w:rsidRDefault="00015CD7">
      <w:pPr>
        <w:pStyle w:val="FootnoteText"/>
      </w:pPr>
      <w:r>
        <w:rPr>
          <w:rStyle w:val="FootnoteReference"/>
        </w:rPr>
        <w:footnoteRef/>
      </w:r>
      <w:r>
        <w:t xml:space="preserve"> </w:t>
      </w:r>
      <w:r w:rsidRPr="00015CD7">
        <w:rPr>
          <w:sz w:val="18"/>
          <w:szCs w:val="18"/>
        </w:rPr>
        <w:t>Departmental analysis based on NCVER June 2023 quarter data.</w:t>
      </w:r>
    </w:p>
  </w:footnote>
  <w:footnote w:id="62">
    <w:p w14:paraId="68614DB7" w14:textId="77777777" w:rsidR="00B52E71" w:rsidRPr="0058510D" w:rsidRDefault="00B52E71" w:rsidP="00314A04">
      <w:pPr>
        <w:pStyle w:val="Source"/>
        <w:rPr>
          <w:szCs w:val="18"/>
        </w:rPr>
      </w:pPr>
      <w:r w:rsidRPr="0058510D">
        <w:rPr>
          <w:rStyle w:val="FootnoteReference"/>
          <w:szCs w:val="18"/>
        </w:rPr>
        <w:footnoteRef/>
      </w:r>
      <w:r w:rsidRPr="0058510D">
        <w:rPr>
          <w:szCs w:val="18"/>
        </w:rPr>
        <w:t xml:space="preserve"> Department of Employment and Workplace Relations 2022, Australian Skills Guarantee Discussion Paper.</w:t>
      </w:r>
    </w:p>
    <w:p w14:paraId="336ADB49" w14:textId="054A922B" w:rsidR="00B52E71" w:rsidRDefault="00476F06" w:rsidP="00314A04">
      <w:pPr>
        <w:pStyle w:val="Source"/>
      </w:pPr>
      <w:hyperlink r:id="rId49" w:history="1">
        <w:r w:rsidR="00B52E71" w:rsidRPr="0058510D">
          <w:rPr>
            <w:rStyle w:val="Hyperlink"/>
            <w:szCs w:val="18"/>
          </w:rPr>
          <w:t>https://www.dewr.gov.au/australian-skills-guarantee/resources/australian-skills-guarantee-discussion-paper</w:t>
        </w:r>
      </w:hyperlink>
      <w:r w:rsidR="00B52E71" w:rsidRPr="00944EEC">
        <w:rPr>
          <w:sz w:val="16"/>
          <w:szCs w:val="20"/>
        </w:rPr>
        <w:t xml:space="preserve"> </w:t>
      </w:r>
    </w:p>
  </w:footnote>
  <w:footnote w:id="63">
    <w:p w14:paraId="10612413" w14:textId="77777777" w:rsidR="00716912" w:rsidRPr="0058510D" w:rsidRDefault="00716912" w:rsidP="00314A04">
      <w:pPr>
        <w:pStyle w:val="Source"/>
        <w:rPr>
          <w:szCs w:val="18"/>
        </w:rPr>
      </w:pPr>
      <w:r w:rsidRPr="0058510D">
        <w:rPr>
          <w:rStyle w:val="FootnoteReference"/>
          <w:szCs w:val="18"/>
        </w:rPr>
        <w:footnoteRef/>
      </w:r>
      <w:r w:rsidRPr="0058510D">
        <w:rPr>
          <w:szCs w:val="18"/>
        </w:rPr>
        <w:t xml:space="preserve"> Women's Economic Equality Taskforce, Department of the Prime Minister and Cabinet (2023), “Women's Economic Equality: A 10-year plan to unleash the full capacity and contribution of women to the Australian economy”. </w:t>
      </w:r>
      <w:hyperlink r:id="rId50">
        <w:r w:rsidRPr="0058510D">
          <w:rPr>
            <w:rStyle w:val="Hyperlink"/>
            <w:szCs w:val="18"/>
          </w:rPr>
          <w:t>https://www.pmc.gov.au/news/womens-economic-equality-taskforce-final-report-government</w:t>
        </w:r>
      </w:hyperlink>
      <w:r w:rsidRPr="0058510D">
        <w:rPr>
          <w:szCs w:val="18"/>
        </w:rPr>
        <w:t xml:space="preserve"> </w:t>
      </w:r>
    </w:p>
  </w:footnote>
  <w:footnote w:id="64">
    <w:p w14:paraId="1AE51C6C" w14:textId="1D511503" w:rsidR="00CC6EEE" w:rsidRDefault="00CC6EEE" w:rsidP="00CD1E37">
      <w:pPr>
        <w:pStyle w:val="FootnoteText"/>
      </w:pPr>
      <w:r w:rsidRPr="0058510D">
        <w:rPr>
          <w:rStyle w:val="FootnoteReference"/>
          <w:sz w:val="18"/>
          <w:szCs w:val="18"/>
        </w:rPr>
        <w:footnoteRef/>
      </w:r>
      <w:r w:rsidRPr="0058510D">
        <w:rPr>
          <w:sz w:val="18"/>
          <w:szCs w:val="18"/>
        </w:rPr>
        <w:t xml:space="preserve"> </w:t>
      </w:r>
      <w:r w:rsidR="002854AB" w:rsidRPr="0058510D">
        <w:rPr>
          <w:sz w:val="18"/>
          <w:szCs w:val="18"/>
        </w:rPr>
        <w:t>Deloitte</w:t>
      </w:r>
      <w:r w:rsidRPr="0058510D">
        <w:rPr>
          <w:sz w:val="18"/>
          <w:szCs w:val="18"/>
        </w:rPr>
        <w:t xml:space="preserve"> Access Economics, November 2022, Breaking the norm: Unleashing Australia’s Economic Potential, </w:t>
      </w:r>
      <w:hyperlink r:id="rId51" w:history="1">
        <w:r w:rsidR="006E569B" w:rsidRPr="006514AD">
          <w:rPr>
            <w:rStyle w:val="Hyperlink"/>
            <w:sz w:val="18"/>
            <w:szCs w:val="18"/>
          </w:rPr>
          <w:t>https://www.deloitte.com/au/en/services/economics/perspectives/breaking-norm-unleashing-australia-economic-potential.html</w:t>
        </w:r>
      </w:hyperlink>
      <w:r w:rsidR="006E569B">
        <w:rPr>
          <w:sz w:val="18"/>
          <w:szCs w:val="18"/>
        </w:rPr>
        <w:t xml:space="preserve">. </w:t>
      </w:r>
      <w:r w:rsidRPr="00836079">
        <w:t xml:space="preserve"> </w:t>
      </w:r>
    </w:p>
  </w:footnote>
  <w:footnote w:id="65">
    <w:p w14:paraId="62801D78" w14:textId="3E1607A7" w:rsidR="00CC6EEE" w:rsidRPr="0058510D" w:rsidRDefault="00CC6EEE" w:rsidP="00CD1E37">
      <w:pPr>
        <w:pStyle w:val="FootnoteText"/>
        <w:rPr>
          <w:sz w:val="18"/>
          <w:szCs w:val="18"/>
        </w:rPr>
      </w:pPr>
      <w:r w:rsidRPr="0058510D">
        <w:rPr>
          <w:rStyle w:val="FootnoteReference"/>
          <w:sz w:val="18"/>
          <w:szCs w:val="18"/>
        </w:rPr>
        <w:footnoteRef/>
      </w:r>
      <w:r w:rsidRPr="0058510D">
        <w:rPr>
          <w:sz w:val="18"/>
          <w:szCs w:val="18"/>
        </w:rPr>
        <w:t xml:space="preserve"> </w:t>
      </w:r>
      <w:r w:rsidR="00413989" w:rsidRPr="0058510D">
        <w:rPr>
          <w:sz w:val="18"/>
          <w:szCs w:val="18"/>
        </w:rPr>
        <w:t>Deloitte</w:t>
      </w:r>
      <w:r w:rsidRPr="0058510D">
        <w:rPr>
          <w:sz w:val="18"/>
          <w:szCs w:val="18"/>
        </w:rPr>
        <w:t xml:space="preserve"> Access Economics, November 2022, Breaking the norm: Unleashing Australia’s Economic Potential, </w:t>
      </w:r>
      <w:hyperlink r:id="rId52" w:history="1">
        <w:r w:rsidR="006E569B" w:rsidRPr="006514AD">
          <w:rPr>
            <w:rStyle w:val="Hyperlink"/>
            <w:sz w:val="18"/>
            <w:szCs w:val="18"/>
          </w:rPr>
          <w:t>https://www.deloitte.com/au/en/services/economics/perspectives/breaking-norm-unleashing-australia-economic-potential.html</w:t>
        </w:r>
      </w:hyperlink>
      <w:r w:rsidR="006E569B">
        <w:rPr>
          <w:sz w:val="18"/>
          <w:szCs w:val="18"/>
        </w:rPr>
        <w:t xml:space="preserve">. </w:t>
      </w:r>
      <w:r w:rsidRPr="0058510D">
        <w:rPr>
          <w:sz w:val="18"/>
          <w:szCs w:val="18"/>
        </w:rPr>
        <w:t xml:space="preserve"> </w:t>
      </w:r>
    </w:p>
  </w:footnote>
  <w:footnote w:id="66">
    <w:p w14:paraId="7A9BAE41" w14:textId="77777777" w:rsidR="00D52689" w:rsidRPr="005B2373" w:rsidRDefault="00D52689" w:rsidP="00314A04">
      <w:pPr>
        <w:pStyle w:val="Source"/>
        <w:rPr>
          <w:szCs w:val="20"/>
        </w:rPr>
      </w:pPr>
      <w:r w:rsidRPr="0058510D">
        <w:rPr>
          <w:rStyle w:val="FootnoteReference"/>
          <w:rFonts w:cstheme="minorHAnsi"/>
          <w:szCs w:val="18"/>
        </w:rPr>
        <w:footnoteRef/>
      </w:r>
      <w:r w:rsidRPr="0058510D">
        <w:rPr>
          <w:szCs w:val="18"/>
        </w:rPr>
        <w:t xml:space="preserve"> Jobs and Skills Australia, Recruitment Experiences and Outlook Survey – October 2023. </w:t>
      </w:r>
      <w:hyperlink r:id="rId53" w:history="1">
        <w:r w:rsidRPr="0058510D">
          <w:rPr>
            <w:rStyle w:val="Hyperlink"/>
            <w:rFonts w:cstheme="minorHAnsi"/>
            <w:szCs w:val="18"/>
          </w:rPr>
          <w:t>https://www.jobsandskills.gov.au/data/recruitment-experiences-and-outlook-survey</w:t>
        </w:r>
      </w:hyperlink>
      <w:r w:rsidRPr="0058510D">
        <w:rPr>
          <w:szCs w:val="18"/>
        </w:rPr>
        <w:t>.</w:t>
      </w:r>
      <w:r w:rsidRPr="005B2373">
        <w:rPr>
          <w:szCs w:val="20"/>
        </w:rPr>
        <w:t xml:space="preserve">  </w:t>
      </w:r>
    </w:p>
  </w:footnote>
  <w:footnote w:id="67">
    <w:p w14:paraId="61861F14" w14:textId="77777777" w:rsidR="00CD6A24" w:rsidRDefault="00CD6A24" w:rsidP="00CD6A24">
      <w:pPr>
        <w:pStyle w:val="Source"/>
      </w:pPr>
      <w:r w:rsidRPr="00B67761">
        <w:rPr>
          <w:rStyle w:val="FootnoteReference"/>
          <w:szCs w:val="18"/>
        </w:rPr>
        <w:footnoteRef/>
      </w:r>
      <w:r w:rsidRPr="00B67761">
        <w:t xml:space="preserve"> The rate is derived by calculating the number of apprentices and trainees in-training as at June 202</w:t>
      </w:r>
      <w:r>
        <w:t>3</w:t>
      </w:r>
      <w:r w:rsidRPr="00B67761">
        <w:t xml:space="preserve"> as a percentage of employed persons as at May 202</w:t>
      </w:r>
      <w:r>
        <w:t>3</w:t>
      </w:r>
      <w:r w:rsidRPr="00B67761">
        <w:t xml:space="preserve"> in the construction industry. Source: </w:t>
      </w:r>
      <w:r w:rsidRPr="006F1FDF">
        <w:t xml:space="preserve">Australian Bureau of Statistics. (2023, May). Labour Force, Australia. ABS. </w:t>
      </w:r>
      <w:hyperlink r:id="rId54" w:history="1">
        <w:r w:rsidRPr="00141B66">
          <w:rPr>
            <w:rStyle w:val="Hyperlink"/>
          </w:rPr>
          <w:t>https://www.abs.gov.au/statistics/labour/employment-and-unemployment/labour-force-australia/may-2023</w:t>
        </w:r>
      </w:hyperlink>
      <w:r>
        <w:t xml:space="preserve">. </w:t>
      </w:r>
      <w:r w:rsidRPr="00B67761">
        <w:t xml:space="preserve"> </w:t>
      </w:r>
      <w:r w:rsidRPr="00D654A6">
        <w:t>NCVER June 2023</w:t>
      </w:r>
      <w:r w:rsidRPr="00B67761">
        <w:t>, Australian vocational education and training statistics: apprentices and trainees 2022 — June quarter.</w:t>
      </w:r>
    </w:p>
  </w:footnote>
  <w:footnote w:id="68">
    <w:p w14:paraId="58ED01B8" w14:textId="6F01E36C" w:rsidR="008D145A" w:rsidRDefault="008D145A">
      <w:pPr>
        <w:pStyle w:val="FootnoteText"/>
      </w:pPr>
      <w:r>
        <w:rPr>
          <w:rStyle w:val="FootnoteReference"/>
        </w:rPr>
        <w:footnoteRef/>
      </w:r>
      <w:r>
        <w:t xml:space="preserve"> </w:t>
      </w:r>
      <w:r w:rsidRPr="008D145A">
        <w:rPr>
          <w:sz w:val="18"/>
          <w:szCs w:val="18"/>
        </w:rPr>
        <w:t>Based on NCVER June 2023 quarter data.</w:t>
      </w:r>
    </w:p>
  </w:footnote>
  <w:footnote w:id="69">
    <w:p w14:paraId="566FF22F" w14:textId="77777777" w:rsidR="00B52E71" w:rsidRDefault="00B52E71" w:rsidP="00314A04">
      <w:pPr>
        <w:pStyle w:val="Source"/>
      </w:pPr>
      <w:r w:rsidRPr="0058510D">
        <w:rPr>
          <w:rStyle w:val="FootnoteReference"/>
          <w:szCs w:val="18"/>
        </w:rPr>
        <w:footnoteRef/>
      </w:r>
      <w:r w:rsidRPr="0058510D">
        <w:rPr>
          <w:szCs w:val="18"/>
        </w:rPr>
        <w:t xml:space="preserve"> Infrastructure Australia, Infrastructure Market Capacity 2022 Report.  </w:t>
      </w:r>
      <w:hyperlink r:id="rId55" w:history="1">
        <w:r w:rsidRPr="0058510D">
          <w:rPr>
            <w:rStyle w:val="Hyperlink"/>
            <w:szCs w:val="18"/>
          </w:rPr>
          <w:t>https://www.infrastructureaustralia.gov.au/sites/default/files/2022-12/2022_IA_Market-Capacity-Report.pdf</w:t>
        </w:r>
      </w:hyperlink>
      <w:r>
        <w:t xml:space="preserve"> </w:t>
      </w:r>
    </w:p>
  </w:footnote>
  <w:footnote w:id="70">
    <w:p w14:paraId="5520C331" w14:textId="39524EC3" w:rsidR="009D0346" w:rsidRDefault="009D0346">
      <w:pPr>
        <w:pStyle w:val="FootnoteText"/>
      </w:pPr>
      <w:r>
        <w:rPr>
          <w:rStyle w:val="FootnoteReference"/>
        </w:rPr>
        <w:footnoteRef/>
      </w:r>
      <w:r>
        <w:t xml:space="preserve"> </w:t>
      </w:r>
      <w:r w:rsidR="00CE79F3" w:rsidRPr="0013224A">
        <w:rPr>
          <w:sz w:val="18"/>
          <w:szCs w:val="18"/>
        </w:rPr>
        <w:t>World Economic Forum</w:t>
      </w:r>
      <w:r w:rsidR="00AB1048" w:rsidRPr="0013224A">
        <w:rPr>
          <w:sz w:val="18"/>
          <w:szCs w:val="18"/>
        </w:rPr>
        <w:t xml:space="preserve"> (2019), “</w:t>
      </w:r>
      <w:r w:rsidR="003F1F04" w:rsidRPr="0013224A">
        <w:rPr>
          <w:sz w:val="18"/>
          <w:szCs w:val="18"/>
        </w:rPr>
        <w:t xml:space="preserve">The business case for diversity in the workplace is now overwhelming”, </w:t>
      </w:r>
      <w:r w:rsidR="0013224A" w:rsidRPr="0013224A">
        <w:rPr>
          <w:sz w:val="18"/>
          <w:szCs w:val="18"/>
        </w:rPr>
        <w:t xml:space="preserve">https://www.weforum.org/agenda/2019/04/business-case-for-diversity-in-the-workplace/ </w:t>
      </w:r>
    </w:p>
    <w:p w14:paraId="6BDC6AB6" w14:textId="5476301E" w:rsidR="009D0346" w:rsidRDefault="009D0346">
      <w:pPr>
        <w:pStyle w:val="FootnoteText"/>
      </w:pPr>
      <w:r w:rsidRPr="0013224A">
        <w:rPr>
          <w:sz w:val="18"/>
          <w:szCs w:val="18"/>
        </w:rPr>
        <w:t>Kögel, C., et al. (2023), "Gender diversity in senior management and firm productivity: Evidence from nine OECD countries", OECD Productivity Working Papers, No. 34, OECD Publishing, Paris, https://doi.org/10.1787/58ad664a-en.</w:t>
      </w:r>
    </w:p>
  </w:footnote>
  <w:footnote w:id="71">
    <w:p w14:paraId="3CF9E06D" w14:textId="77777777" w:rsidR="00B52E71" w:rsidRPr="0058510D" w:rsidRDefault="00B52E71" w:rsidP="00CD1E37">
      <w:pPr>
        <w:pStyle w:val="FootnoteText"/>
        <w:rPr>
          <w:sz w:val="18"/>
          <w:szCs w:val="18"/>
        </w:rPr>
      </w:pPr>
      <w:r w:rsidRPr="0058510D">
        <w:rPr>
          <w:rStyle w:val="FootnoteReference"/>
          <w:sz w:val="18"/>
          <w:szCs w:val="18"/>
        </w:rPr>
        <w:footnoteRef/>
      </w:r>
      <w:r w:rsidRPr="0058510D">
        <w:rPr>
          <w:sz w:val="18"/>
          <w:szCs w:val="18"/>
        </w:rPr>
        <w:t xml:space="preserve"> Data supplied by the Department of Infrastructure, Transport, Regional Development, Communications and the Arts.    </w:t>
      </w:r>
    </w:p>
  </w:footnote>
  <w:footnote w:id="72">
    <w:p w14:paraId="59238864" w14:textId="77777777" w:rsidR="00B52E71" w:rsidRPr="0058510D" w:rsidRDefault="00B52E71" w:rsidP="00CD1E37">
      <w:pPr>
        <w:pStyle w:val="FootnoteText"/>
        <w:rPr>
          <w:sz w:val="18"/>
          <w:szCs w:val="18"/>
        </w:rPr>
      </w:pPr>
      <w:r w:rsidRPr="0058510D">
        <w:rPr>
          <w:rStyle w:val="FootnoteReference"/>
          <w:sz w:val="18"/>
          <w:szCs w:val="18"/>
        </w:rPr>
        <w:footnoteRef/>
      </w:r>
      <w:r w:rsidRPr="0058510D">
        <w:rPr>
          <w:sz w:val="18"/>
          <w:szCs w:val="18"/>
        </w:rPr>
        <w:t xml:space="preserve"> Data supplied by the Department of Infrastructure, Transport, Regional Development, Communications and the Arts.    </w:t>
      </w:r>
    </w:p>
  </w:footnote>
  <w:footnote w:id="73">
    <w:p w14:paraId="43345984" w14:textId="77777777" w:rsidR="00B52E71" w:rsidRPr="0058510D" w:rsidRDefault="00B52E71" w:rsidP="00CD1E37">
      <w:pPr>
        <w:pStyle w:val="FootnoteText"/>
        <w:rPr>
          <w:sz w:val="18"/>
          <w:szCs w:val="18"/>
        </w:rPr>
      </w:pPr>
      <w:r w:rsidRPr="0058510D">
        <w:rPr>
          <w:rStyle w:val="FootnoteReference"/>
          <w:sz w:val="18"/>
          <w:szCs w:val="18"/>
        </w:rPr>
        <w:footnoteRef/>
      </w:r>
      <w:r w:rsidRPr="0058510D">
        <w:rPr>
          <w:sz w:val="18"/>
          <w:szCs w:val="18"/>
        </w:rPr>
        <w:t xml:space="preserve"> Data supplied by the Department of Infrastructure, Transport, Regional Development, Communications and the Arts.    </w:t>
      </w:r>
    </w:p>
  </w:footnote>
  <w:footnote w:id="74">
    <w:p w14:paraId="73B44439" w14:textId="3F857FD2" w:rsidR="00B52E71" w:rsidRPr="0058510D" w:rsidRDefault="00B52E71" w:rsidP="00314A04">
      <w:pPr>
        <w:pStyle w:val="Source"/>
        <w:rPr>
          <w:szCs w:val="18"/>
        </w:rPr>
      </w:pPr>
      <w:r w:rsidRPr="0058510D">
        <w:rPr>
          <w:rStyle w:val="FootnoteReference"/>
          <w:szCs w:val="18"/>
        </w:rPr>
        <w:footnoteRef/>
      </w:r>
      <w:r w:rsidRPr="0058510D">
        <w:rPr>
          <w:szCs w:val="18"/>
        </w:rPr>
        <w:t xml:space="preserve"> </w:t>
      </w:r>
      <w:hyperlink r:id="rId56" w:history="1">
        <w:r w:rsidRPr="0058510D">
          <w:rPr>
            <w:rStyle w:val="Hyperlink"/>
            <w:szCs w:val="18"/>
          </w:rPr>
          <w:t>FWO - Library Article - K600434 (fairwork.gov.au)</w:t>
        </w:r>
      </w:hyperlink>
    </w:p>
  </w:footnote>
  <w:footnote w:id="75">
    <w:p w14:paraId="2664BCC3" w14:textId="77777777" w:rsidR="00B52E71" w:rsidRDefault="00B52E71" w:rsidP="00314A04">
      <w:pPr>
        <w:pStyle w:val="Source"/>
      </w:pPr>
      <w:r w:rsidRPr="0058510D">
        <w:rPr>
          <w:rStyle w:val="FootnoteReference"/>
          <w:szCs w:val="18"/>
        </w:rPr>
        <w:footnoteRef/>
      </w:r>
      <w:r w:rsidRPr="0058510D">
        <w:rPr>
          <w:szCs w:val="18"/>
        </w:rPr>
        <w:t xml:space="preserve"> NCVER 2022 Australian vocational education and training statistics: apprentices and trainees 2022 — June quarter.</w:t>
      </w:r>
      <w:r>
        <w:t xml:space="preserve">  </w:t>
      </w:r>
    </w:p>
  </w:footnote>
  <w:footnote w:id="76">
    <w:p w14:paraId="5E8D937E" w14:textId="7911A25D" w:rsidR="00B52E71" w:rsidRPr="008A59E1" w:rsidRDefault="00B52E71" w:rsidP="00314A04">
      <w:pPr>
        <w:pStyle w:val="Source"/>
      </w:pPr>
      <w:r w:rsidRPr="008A59E1">
        <w:rPr>
          <w:rStyle w:val="FootnoteReference"/>
          <w:sz w:val="16"/>
          <w:szCs w:val="20"/>
        </w:rPr>
        <w:footnoteRef/>
      </w:r>
      <w:r w:rsidRPr="008A59E1">
        <w:t xml:space="preserve"> </w:t>
      </w:r>
      <w:r w:rsidRPr="00F91BEA">
        <w:rPr>
          <w:rStyle w:val="Hyperlink"/>
        </w:rPr>
        <w:t>Productivity Commission (2020) National Agreement for Skills and Workforce Development Review, www.pc.gov.au</w:t>
      </w:r>
    </w:p>
  </w:footnote>
  <w:footnote w:id="77">
    <w:p w14:paraId="3455F075" w14:textId="4C9BBC27" w:rsidR="00B52E71" w:rsidRPr="00F91BEA" w:rsidRDefault="00B52E71" w:rsidP="00314A04">
      <w:pPr>
        <w:pStyle w:val="Source"/>
        <w:rPr>
          <w:szCs w:val="18"/>
        </w:rPr>
      </w:pPr>
      <w:r w:rsidRPr="00F91BEA">
        <w:rPr>
          <w:rStyle w:val="FootnoteReference"/>
          <w:szCs w:val="18"/>
        </w:rPr>
        <w:footnoteRef/>
      </w:r>
      <w:r w:rsidRPr="00F91BEA">
        <w:rPr>
          <w:szCs w:val="18"/>
        </w:rPr>
        <w:t xml:space="preserve"> </w:t>
      </w:r>
      <w:hyperlink r:id="rId57" w:history="1">
        <w:r w:rsidRPr="00F91BEA">
          <w:rPr>
            <w:rStyle w:val="Hyperlink"/>
            <w:szCs w:val="18"/>
          </w:rPr>
          <w:t>Workplace Gender Equality Act 2012 (legislation.gov.au)</w:t>
        </w:r>
      </w:hyperlink>
    </w:p>
  </w:footnote>
  <w:footnote w:id="78">
    <w:p w14:paraId="71FB5045" w14:textId="6B91C072" w:rsidR="00B52E71" w:rsidRPr="00F91BEA" w:rsidRDefault="00B52E71" w:rsidP="00314A04">
      <w:pPr>
        <w:pStyle w:val="Source"/>
        <w:rPr>
          <w:szCs w:val="18"/>
        </w:rPr>
      </w:pPr>
      <w:r w:rsidRPr="00F91BEA">
        <w:rPr>
          <w:rStyle w:val="FootnoteReference"/>
          <w:szCs w:val="18"/>
        </w:rPr>
        <w:footnoteRef/>
      </w:r>
      <w:r w:rsidRPr="00F91BEA">
        <w:rPr>
          <w:szCs w:val="18"/>
        </w:rPr>
        <w:t xml:space="preserve"> </w:t>
      </w:r>
      <w:hyperlink r:id="rId58" w:history="1">
        <w:r w:rsidRPr="00F91BEA">
          <w:rPr>
            <w:rStyle w:val="Hyperlink"/>
            <w:szCs w:val="18"/>
          </w:rPr>
          <w:t>PMC-WGE-Procurement-Principles.pdf (wgea.gov.au)</w:t>
        </w:r>
      </w:hyperlink>
    </w:p>
  </w:footnote>
  <w:footnote w:id="79">
    <w:p w14:paraId="40FB8622" w14:textId="525F44C1" w:rsidR="00B52E71" w:rsidRPr="00F91BEA" w:rsidRDefault="00B52E71" w:rsidP="00CD1E37">
      <w:pPr>
        <w:pStyle w:val="FootnoteText"/>
        <w:rPr>
          <w:sz w:val="18"/>
          <w:szCs w:val="18"/>
        </w:rPr>
      </w:pPr>
      <w:r w:rsidRPr="00F91BEA">
        <w:rPr>
          <w:rStyle w:val="FootnoteReference"/>
          <w:sz w:val="18"/>
          <w:szCs w:val="18"/>
        </w:rPr>
        <w:footnoteRef/>
      </w:r>
      <w:r w:rsidRPr="00F91BEA">
        <w:rPr>
          <w:sz w:val="18"/>
          <w:szCs w:val="18"/>
        </w:rPr>
        <w:t xml:space="preserve"> </w:t>
      </w:r>
      <w:hyperlink r:id="rId59" w:history="1">
        <w:r w:rsidRPr="00F91BEA">
          <w:rPr>
            <w:rStyle w:val="Hyperlink"/>
            <w:sz w:val="18"/>
            <w:szCs w:val="18"/>
          </w:rPr>
          <w:t>2023: Rental Affordability Snapshot - Anglicare Australia</w:t>
        </w:r>
      </w:hyperlink>
    </w:p>
  </w:footnote>
  <w:footnote w:id="80">
    <w:p w14:paraId="586B6E15" w14:textId="21D74FB0" w:rsidR="00B52E71" w:rsidRPr="008A59E1" w:rsidRDefault="00B52E71" w:rsidP="00314A04">
      <w:pPr>
        <w:pStyle w:val="Source"/>
        <w:rPr>
          <w:sz w:val="16"/>
          <w:szCs w:val="16"/>
        </w:rPr>
      </w:pPr>
      <w:r w:rsidRPr="00F91BEA">
        <w:rPr>
          <w:rStyle w:val="FootnoteReference"/>
          <w:szCs w:val="18"/>
        </w:rPr>
        <w:footnoteRef/>
      </w:r>
      <w:r w:rsidRPr="00F91BEA">
        <w:rPr>
          <w:szCs w:val="18"/>
        </w:rPr>
        <w:t xml:space="preserve"> </w:t>
      </w:r>
      <w:hyperlink r:id="rId60" w:history="1">
        <w:r w:rsidRPr="00F91BEA">
          <w:rPr>
            <w:rStyle w:val="Hyperlink"/>
            <w:szCs w:val="18"/>
          </w:rPr>
          <w:t>Apprentice and trainee pay rates - Fair Work Ombudsman</w:t>
        </w:r>
      </w:hyperlink>
    </w:p>
  </w:footnote>
  <w:footnote w:id="81">
    <w:p w14:paraId="28A9841D" w14:textId="77777777" w:rsidR="00B52E71" w:rsidRPr="00F51961" w:rsidRDefault="00B52E71" w:rsidP="00CD1E37">
      <w:pPr>
        <w:pStyle w:val="FootnoteText"/>
        <w:rPr>
          <w:sz w:val="18"/>
          <w:szCs w:val="18"/>
        </w:rPr>
      </w:pPr>
      <w:r w:rsidRPr="00F51961">
        <w:rPr>
          <w:rStyle w:val="FootnoteReference"/>
          <w:sz w:val="18"/>
          <w:szCs w:val="18"/>
        </w:rPr>
        <w:footnoteRef/>
      </w:r>
      <w:r w:rsidRPr="00F51961">
        <w:rPr>
          <w:sz w:val="18"/>
          <w:szCs w:val="18"/>
        </w:rPr>
        <w:t xml:space="preserve"> </w:t>
      </w:r>
      <w:hyperlink r:id="rId61" w:history="1">
        <w:r w:rsidRPr="00F51961">
          <w:rPr>
            <w:rStyle w:val="Hyperlink"/>
            <w:sz w:val="18"/>
            <w:szCs w:val="18"/>
          </w:rPr>
          <w:t>VET National Data Asset (VNDA) | Jobs and Skills Australia</w:t>
        </w:r>
      </w:hyperlink>
    </w:p>
  </w:footnote>
  <w:footnote w:id="82">
    <w:p w14:paraId="433D0BF2" w14:textId="3A23F529" w:rsidR="00650FC6" w:rsidRPr="005F57AC" w:rsidRDefault="00650FC6" w:rsidP="00CD1E37">
      <w:pPr>
        <w:pStyle w:val="FootnoteText"/>
      </w:pPr>
      <w:r w:rsidRPr="00F51961">
        <w:rPr>
          <w:rStyle w:val="FootnoteReference"/>
          <w:sz w:val="18"/>
          <w:szCs w:val="18"/>
        </w:rPr>
        <w:footnoteRef/>
      </w:r>
      <w:r w:rsidRPr="00F51961">
        <w:rPr>
          <w:sz w:val="18"/>
          <w:szCs w:val="18"/>
        </w:rPr>
        <w:t xml:space="preserve"> Local Jobs First Annual Report to Parliament 2021-22</w:t>
      </w:r>
    </w:p>
  </w:footnote>
  <w:footnote w:id="83">
    <w:p w14:paraId="25A2ACFC" w14:textId="77777777" w:rsidR="00B52E71" w:rsidRPr="00010D56" w:rsidRDefault="00B52E71" w:rsidP="00CD1E37">
      <w:pPr>
        <w:pStyle w:val="FootnoteText"/>
        <w:rPr>
          <w:sz w:val="18"/>
          <w:szCs w:val="18"/>
        </w:rPr>
      </w:pPr>
      <w:r w:rsidRPr="00010D56">
        <w:rPr>
          <w:rStyle w:val="FootnoteReference"/>
          <w:sz w:val="18"/>
          <w:szCs w:val="18"/>
        </w:rPr>
        <w:footnoteRef/>
      </w:r>
      <w:r w:rsidRPr="00010D56">
        <w:rPr>
          <w:sz w:val="18"/>
          <w:szCs w:val="18"/>
        </w:rPr>
        <w:t xml:space="preserve"> </w:t>
      </w:r>
      <w:hyperlink r:id="rId62" w:history="1">
        <w:r w:rsidRPr="00010D56">
          <w:rPr>
            <w:rStyle w:val="Hyperlink"/>
            <w:sz w:val="18"/>
            <w:szCs w:val="18"/>
          </w:rPr>
          <w:t>Financial support for apprentices | Australian Apprenticeships</w:t>
        </w:r>
      </w:hyperlink>
    </w:p>
  </w:footnote>
  <w:footnote w:id="84">
    <w:p w14:paraId="67CF1E31" w14:textId="77777777" w:rsidR="00B52E71" w:rsidRPr="00010D56" w:rsidRDefault="00B52E71" w:rsidP="00314A04">
      <w:pPr>
        <w:pStyle w:val="Source"/>
        <w:rPr>
          <w:szCs w:val="18"/>
        </w:rPr>
      </w:pPr>
      <w:r w:rsidRPr="00010D56">
        <w:rPr>
          <w:rStyle w:val="FootnoteReference"/>
          <w:szCs w:val="18"/>
        </w:rPr>
        <w:footnoteRef/>
      </w:r>
      <w:r w:rsidRPr="00010D56">
        <w:rPr>
          <w:szCs w:val="18"/>
        </w:rPr>
        <w:t xml:space="preserve"> Derived from the 2019 Apprentice and Trainee Experience and Destination Survey.</w:t>
      </w:r>
    </w:p>
  </w:footnote>
  <w:footnote w:id="85">
    <w:p w14:paraId="0FC62475" w14:textId="77777777" w:rsidR="00B52E71" w:rsidRPr="00D152F9" w:rsidRDefault="00B52E71" w:rsidP="00314A04">
      <w:pPr>
        <w:pStyle w:val="Source"/>
      </w:pPr>
      <w:r w:rsidRPr="00010D56">
        <w:rPr>
          <w:rStyle w:val="FootnoteReference"/>
          <w:szCs w:val="18"/>
        </w:rPr>
        <w:footnoteRef/>
      </w:r>
      <w:r w:rsidRPr="00010D56">
        <w:rPr>
          <w:szCs w:val="18"/>
        </w:rPr>
        <w:t xml:space="preserve"> P58, </w:t>
      </w:r>
      <w:hyperlink r:id="rId63" w:history="1">
        <w:r w:rsidRPr="00010D56">
          <w:rPr>
            <w:rStyle w:val="Hyperlink"/>
            <w:szCs w:val="18"/>
          </w:rPr>
          <w:t>https://humanrights.gov.au/our-work/sex-discrimination/publications/everyones-business-fourth-national-survey-sexual</w:t>
        </w:r>
      </w:hyperlink>
      <w:r w:rsidRPr="00010D56">
        <w:rPr>
          <w:szCs w:val="18"/>
        </w:rPr>
        <w:t>.</w:t>
      </w:r>
      <w:r w:rsidRPr="00D152F9">
        <w:t xml:space="preserve"> </w:t>
      </w:r>
    </w:p>
  </w:footnote>
  <w:footnote w:id="86">
    <w:p w14:paraId="2DD64FBE" w14:textId="00433B78" w:rsidR="00B52E71" w:rsidRPr="00010D56" w:rsidRDefault="00B52E71" w:rsidP="00314A04">
      <w:pPr>
        <w:pStyle w:val="Source"/>
        <w:rPr>
          <w:szCs w:val="18"/>
        </w:rPr>
      </w:pPr>
      <w:r w:rsidRPr="00010D56">
        <w:rPr>
          <w:rStyle w:val="FootnoteReference"/>
          <w:szCs w:val="18"/>
        </w:rPr>
        <w:footnoteRef/>
      </w:r>
      <w:r w:rsidRPr="00010D56">
        <w:rPr>
          <w:szCs w:val="18"/>
        </w:rPr>
        <w:t xml:space="preserve"> </w:t>
      </w:r>
      <w:hyperlink r:id="rId64" w:history="1">
        <w:r w:rsidRPr="00010D56">
          <w:rPr>
            <w:rStyle w:val="Hyperlink"/>
            <w:szCs w:val="18"/>
          </w:rPr>
          <w:t>WGEA Review recommendations | WGEA Review Report | PM&amp;C (pmc.gov.au)</w:t>
        </w:r>
      </w:hyperlink>
    </w:p>
  </w:footnote>
  <w:footnote w:id="87">
    <w:p w14:paraId="49AA69F8" w14:textId="1FB7853E" w:rsidR="00B52E71" w:rsidRPr="00010D56" w:rsidRDefault="00B52E71" w:rsidP="00314A04">
      <w:pPr>
        <w:pStyle w:val="Source"/>
        <w:rPr>
          <w:szCs w:val="18"/>
        </w:rPr>
      </w:pPr>
      <w:r w:rsidRPr="00010D56">
        <w:rPr>
          <w:rStyle w:val="FootnoteReference"/>
          <w:szCs w:val="18"/>
        </w:rPr>
        <w:footnoteRef/>
      </w:r>
      <w:r w:rsidRPr="00010D56">
        <w:rPr>
          <w:szCs w:val="18"/>
        </w:rPr>
        <w:t xml:space="preserve"> Gender Equality Insights 2016: Inside Australia’s gender pay gap, (p 19) </w:t>
      </w:r>
      <w:hyperlink r:id="rId65" w:history="1">
        <w:r w:rsidRPr="00010D56">
          <w:rPr>
            <w:rStyle w:val="Hyperlink"/>
            <w:szCs w:val="18"/>
          </w:rPr>
          <w:t>https://www.wgea.gov.au/sites/default/files/documents/BCEC_WGEA_Gender_Pay_Equity_Insights_2016_Report.pdf</w:t>
        </w:r>
      </w:hyperlink>
      <w:r w:rsidRPr="00010D56">
        <w:rPr>
          <w:szCs w:val="18"/>
        </w:rPr>
        <w:t xml:space="preserve">. </w:t>
      </w:r>
    </w:p>
  </w:footnote>
  <w:footnote w:id="88">
    <w:p w14:paraId="0A5AEDF3" w14:textId="77777777" w:rsidR="00B52E71" w:rsidRPr="00010D56" w:rsidRDefault="00B52E71" w:rsidP="00314A04">
      <w:pPr>
        <w:pStyle w:val="Source"/>
        <w:rPr>
          <w:szCs w:val="18"/>
        </w:rPr>
      </w:pPr>
      <w:r w:rsidRPr="00010D56">
        <w:rPr>
          <w:rStyle w:val="FootnoteReference"/>
          <w:szCs w:val="18"/>
        </w:rPr>
        <w:footnoteRef/>
      </w:r>
      <w:r w:rsidRPr="00010D56">
        <w:rPr>
          <w:szCs w:val="18"/>
        </w:rPr>
        <w:t xml:space="preserve"> </w:t>
      </w:r>
      <w:r w:rsidRPr="00010D56">
        <w:rPr>
          <w:rStyle w:val="ui-provider"/>
          <w:szCs w:val="18"/>
        </w:rPr>
        <w:t>Workplace Gender Equality Agency, Employer Census Data, November 2022.</w:t>
      </w:r>
      <w:r w:rsidRPr="00010D56">
        <w:rPr>
          <w:szCs w:val="18"/>
        </w:rPr>
        <w:t xml:space="preserve"> </w:t>
      </w:r>
    </w:p>
  </w:footnote>
  <w:footnote w:id="89">
    <w:p w14:paraId="5D673661" w14:textId="77777777" w:rsidR="00B52E71" w:rsidRPr="00010D56" w:rsidRDefault="00B52E71" w:rsidP="00CD1E37">
      <w:pPr>
        <w:pStyle w:val="FootnoteText"/>
        <w:rPr>
          <w:rStyle w:val="ui-provider"/>
          <w:sz w:val="18"/>
          <w:szCs w:val="18"/>
        </w:rPr>
      </w:pPr>
      <w:r w:rsidRPr="00010D56">
        <w:rPr>
          <w:rStyle w:val="FootnoteReference"/>
          <w:sz w:val="18"/>
          <w:szCs w:val="18"/>
        </w:rPr>
        <w:footnoteRef/>
      </w:r>
      <w:r w:rsidRPr="00010D56">
        <w:rPr>
          <w:sz w:val="18"/>
          <w:szCs w:val="18"/>
        </w:rPr>
        <w:t xml:space="preserve"> </w:t>
      </w:r>
      <w:r w:rsidRPr="00010D56">
        <w:rPr>
          <w:rStyle w:val="ui-provider"/>
          <w:sz w:val="18"/>
          <w:szCs w:val="18"/>
        </w:rPr>
        <w:t xml:space="preserve">Workplace Gender Equality Agency, She’s Price(d)less Report, Fourth Edition, July 2022 </w:t>
      </w:r>
    </w:p>
  </w:footnote>
  <w:footnote w:id="90">
    <w:p w14:paraId="0247EA85" w14:textId="77777777" w:rsidR="00B52E71" w:rsidRDefault="00B52E71" w:rsidP="00CD1E37">
      <w:pPr>
        <w:pStyle w:val="FootnoteText"/>
      </w:pPr>
      <w:r w:rsidRPr="00010D56">
        <w:rPr>
          <w:rStyle w:val="FootnoteReference"/>
          <w:sz w:val="18"/>
          <w:szCs w:val="18"/>
        </w:rPr>
        <w:footnoteRef/>
      </w:r>
      <w:r w:rsidRPr="00010D56">
        <w:rPr>
          <w:sz w:val="18"/>
          <w:szCs w:val="18"/>
        </w:rPr>
        <w:t xml:space="preserve"> </w:t>
      </w:r>
      <w:hyperlink r:id="rId66" w:anchor="women-in-trades-2" w:history="1">
        <w:r w:rsidRPr="00010D56">
          <w:rPr>
            <w:rStyle w:val="Hyperlink"/>
            <w:sz w:val="18"/>
            <w:szCs w:val="18"/>
          </w:rPr>
          <w:t>Support for priority cohorts | Australian Apprenticeships</w:t>
        </w:r>
      </w:hyperlink>
    </w:p>
  </w:footnote>
  <w:footnote w:id="91">
    <w:p w14:paraId="44B68405" w14:textId="77777777" w:rsidR="00B52E71" w:rsidRDefault="00B52E71" w:rsidP="00CD1E37">
      <w:pPr>
        <w:pStyle w:val="FootnoteText"/>
      </w:pPr>
      <w:r w:rsidRPr="0081783E">
        <w:rPr>
          <w:rStyle w:val="FootnoteReference"/>
          <w:sz w:val="18"/>
          <w:szCs w:val="18"/>
        </w:rPr>
        <w:footnoteRef/>
      </w:r>
      <w:r w:rsidRPr="0081783E">
        <w:rPr>
          <w:sz w:val="18"/>
          <w:szCs w:val="18"/>
        </w:rPr>
        <w:t xml:space="preserve"> Department of Employment and Workplace Relations, Australian Skills Guarantee Consultation Summary, July 2023: </w:t>
      </w:r>
      <w:hyperlink r:id="rId67" w:history="1">
        <w:r w:rsidRPr="0081783E">
          <w:rPr>
            <w:rStyle w:val="Hyperlink"/>
            <w:sz w:val="18"/>
            <w:szCs w:val="18"/>
          </w:rPr>
          <w:t>https://www.dewr.gov.au/australian-skills-guarantee/resources/australian-skills-guarantee-consultation-summary</w:t>
        </w:r>
      </w:hyperlink>
      <w:r w:rsidRPr="0081783E">
        <w:rPr>
          <w:sz w:val="18"/>
          <w:szCs w:val="18"/>
        </w:rPr>
        <w:t xml:space="preserve"> </w:t>
      </w:r>
    </w:p>
  </w:footnote>
  <w:footnote w:id="92">
    <w:p w14:paraId="1AD8EF08" w14:textId="77777777" w:rsidR="0020043C" w:rsidRPr="00555E5A" w:rsidRDefault="0020043C" w:rsidP="00CD1E37">
      <w:pPr>
        <w:rPr>
          <w:rStyle w:val="eop"/>
          <w:rFonts w:cstheme="minorHAnsi"/>
          <w:sz w:val="16"/>
          <w:szCs w:val="16"/>
        </w:rPr>
      </w:pPr>
      <w:r>
        <w:rPr>
          <w:rStyle w:val="FootnoteReference"/>
        </w:rPr>
        <w:footnoteRef/>
      </w:r>
      <w:r>
        <w:t xml:space="preserve"> </w:t>
      </w:r>
      <w:r w:rsidRPr="007F4537">
        <w:rPr>
          <w:sz w:val="18"/>
          <w:szCs w:val="18"/>
        </w:rPr>
        <w:t xml:space="preserve">Committee for Economic Development of Australia Occupational Segregation Report 2023 </w:t>
      </w:r>
      <w:hyperlink r:id="rId68" w:history="1">
        <w:r w:rsidRPr="007F4537">
          <w:rPr>
            <w:rStyle w:val="Hyperlink"/>
            <w:sz w:val="18"/>
            <w:szCs w:val="18"/>
          </w:rPr>
          <w:t>occupational-gender-segregation-ceda_1.pdf (windows.net)</w:t>
        </w:r>
      </w:hyperlink>
    </w:p>
    <w:p w14:paraId="0F56CA52" w14:textId="77777777" w:rsidR="0020043C" w:rsidRDefault="0020043C" w:rsidP="00CD1E37">
      <w:pPr>
        <w:pStyle w:val="FootnoteText"/>
      </w:pPr>
    </w:p>
  </w:footnote>
  <w:footnote w:id="93">
    <w:p w14:paraId="38E2482C" w14:textId="09D59291" w:rsidR="00B52E71" w:rsidRDefault="00B52E71" w:rsidP="00B67761">
      <w:pPr>
        <w:pStyle w:val="Source"/>
      </w:pPr>
      <w:r w:rsidRPr="00B67761">
        <w:rPr>
          <w:rStyle w:val="FootnoteReference"/>
          <w:szCs w:val="18"/>
        </w:rPr>
        <w:footnoteRef/>
      </w:r>
      <w:r w:rsidRPr="00B67761">
        <w:t xml:space="preserve"> The rate is derived by calculating the number of apprentices and trainees in-training as at June 202</w:t>
      </w:r>
      <w:r w:rsidR="008107F9">
        <w:t>3</w:t>
      </w:r>
      <w:r w:rsidRPr="00B67761">
        <w:t xml:space="preserve"> as a percentage of employed persons as at May 202</w:t>
      </w:r>
      <w:r w:rsidR="008107F9">
        <w:t>3</w:t>
      </w:r>
      <w:r w:rsidRPr="00B67761">
        <w:t xml:space="preserve"> in the construction industry. Source: </w:t>
      </w:r>
      <w:r w:rsidR="006F1FDF" w:rsidRPr="006F1FDF">
        <w:t xml:space="preserve">Australian Bureau of Statistics. (2023, May). Labour Force, Australia. ABS. </w:t>
      </w:r>
      <w:hyperlink r:id="rId69" w:history="1">
        <w:r w:rsidR="006F1FDF" w:rsidRPr="00141B66">
          <w:rPr>
            <w:rStyle w:val="Hyperlink"/>
          </w:rPr>
          <w:t>https://www.abs.gov.au/statistics/labour/employment-and-unemployment/labour-force-australia/may-2023</w:t>
        </w:r>
      </w:hyperlink>
      <w:r w:rsidR="006F1FDF">
        <w:t xml:space="preserve">. </w:t>
      </w:r>
      <w:r w:rsidRPr="00B67761">
        <w:t xml:space="preserve"> </w:t>
      </w:r>
      <w:r w:rsidR="00D654A6" w:rsidRPr="00D654A6">
        <w:t>NCVER June 2023</w:t>
      </w:r>
      <w:r w:rsidRPr="00B67761">
        <w:t>, Australian vocational education and training statistics: apprentices and trainees 2022 — June quarter.</w:t>
      </w:r>
    </w:p>
  </w:footnote>
  <w:footnote w:id="94">
    <w:p w14:paraId="31C9AE1A" w14:textId="672547D6" w:rsidR="00B52E71" w:rsidRPr="00E86FB8" w:rsidRDefault="00B52E71" w:rsidP="00314A04">
      <w:pPr>
        <w:pStyle w:val="Source"/>
        <w:rPr>
          <w:szCs w:val="18"/>
        </w:rPr>
      </w:pPr>
      <w:r w:rsidRPr="00E86FB8">
        <w:rPr>
          <w:rStyle w:val="FootnoteReference"/>
          <w:szCs w:val="18"/>
        </w:rPr>
        <w:footnoteRef/>
      </w:r>
      <w:r w:rsidRPr="00E86FB8">
        <w:rPr>
          <w:szCs w:val="18"/>
        </w:rPr>
        <w:t xml:space="preserve"> </w:t>
      </w:r>
      <w:hyperlink r:id="rId70" w:history="1">
        <w:r w:rsidRPr="00E86FB8">
          <w:rPr>
            <w:rStyle w:val="Hyperlink"/>
            <w:szCs w:val="18"/>
          </w:rPr>
          <w:t>Australian Apprenticeships Support Network (AASN) | Australian Apprenticeships</w:t>
        </w:r>
      </w:hyperlink>
    </w:p>
  </w:footnote>
  <w:footnote w:id="95">
    <w:p w14:paraId="2128DA16" w14:textId="77777777" w:rsidR="00B52E71" w:rsidRPr="00E86FB8" w:rsidRDefault="00B52E71" w:rsidP="00314A04">
      <w:pPr>
        <w:pStyle w:val="Source"/>
        <w:rPr>
          <w:szCs w:val="18"/>
        </w:rPr>
      </w:pPr>
      <w:r w:rsidRPr="00E86FB8">
        <w:rPr>
          <w:rStyle w:val="FootnoteReference"/>
          <w:szCs w:val="18"/>
        </w:rPr>
        <w:footnoteRef/>
      </w:r>
      <w:r w:rsidRPr="00E86FB8">
        <w:rPr>
          <w:szCs w:val="18"/>
        </w:rPr>
        <w:t xml:space="preserve"> </w:t>
      </w:r>
      <w:hyperlink r:id="rId71" w:history="1">
        <w:r w:rsidRPr="00E86FB8">
          <w:rPr>
            <w:rStyle w:val="Hyperlink"/>
            <w:szCs w:val="18"/>
          </w:rPr>
          <w:t>Financial support for employers | Australian Apprenticeships</w:t>
        </w:r>
      </w:hyperlink>
    </w:p>
  </w:footnote>
  <w:footnote w:id="96">
    <w:p w14:paraId="37435223" w14:textId="77777777" w:rsidR="00B52E71" w:rsidRPr="00E86FB8" w:rsidRDefault="00B52E71" w:rsidP="00314A04">
      <w:pPr>
        <w:pStyle w:val="Source"/>
        <w:rPr>
          <w:szCs w:val="18"/>
        </w:rPr>
      </w:pPr>
      <w:r w:rsidRPr="00E86FB8">
        <w:rPr>
          <w:rStyle w:val="FootnoteReference"/>
          <w:szCs w:val="18"/>
        </w:rPr>
        <w:footnoteRef/>
      </w:r>
      <w:r w:rsidRPr="00E86FB8">
        <w:rPr>
          <w:szCs w:val="18"/>
        </w:rPr>
        <w:t xml:space="preserve"> </w:t>
      </w:r>
      <w:hyperlink r:id="rId72" w:history="1">
        <w:r w:rsidRPr="00E86FB8">
          <w:rPr>
            <w:rStyle w:val="Hyperlink"/>
            <w:rFonts w:eastAsia="Times New Roman"/>
            <w:szCs w:val="18"/>
          </w:rPr>
          <w:t>Australian Apprenticeships Priority List</w:t>
        </w:r>
      </w:hyperlink>
    </w:p>
  </w:footnote>
  <w:footnote w:id="97">
    <w:p w14:paraId="2CB2E1E2" w14:textId="77777777" w:rsidR="00B52E71" w:rsidRDefault="00B52E71" w:rsidP="00314A04">
      <w:pPr>
        <w:pStyle w:val="Source"/>
        <w:rPr>
          <w:sz w:val="16"/>
          <w:szCs w:val="16"/>
        </w:rPr>
      </w:pPr>
      <w:r w:rsidRPr="00E86FB8">
        <w:rPr>
          <w:rStyle w:val="FootnoteReference"/>
          <w:szCs w:val="18"/>
        </w:rPr>
        <w:footnoteRef/>
      </w:r>
      <w:r w:rsidRPr="00E86FB8">
        <w:rPr>
          <w:szCs w:val="18"/>
        </w:rPr>
        <w:t xml:space="preserve"> </w:t>
      </w:r>
      <w:hyperlink r:id="rId73" w:anchor="get-free-training-through-fee-free-tafe-courses-1">
        <w:r w:rsidRPr="00E86FB8">
          <w:rPr>
            <w:rStyle w:val="Hyperlink"/>
            <w:szCs w:val="18"/>
          </w:rPr>
          <w:t>Support for priority cohorts | Australian Apprenticeships</w:t>
        </w:r>
      </w:hyperlink>
    </w:p>
  </w:footnote>
  <w:footnote w:id="98">
    <w:p w14:paraId="10F6EBC9" w14:textId="77777777" w:rsidR="00B52E71" w:rsidRPr="00B67761" w:rsidRDefault="00B52E71" w:rsidP="00CD1E37">
      <w:pPr>
        <w:pStyle w:val="FootnoteText"/>
        <w:rPr>
          <w:sz w:val="18"/>
          <w:szCs w:val="18"/>
        </w:rPr>
      </w:pPr>
      <w:r w:rsidRPr="00B67761">
        <w:rPr>
          <w:rStyle w:val="FootnoteReference"/>
          <w:rFonts w:cstheme="minorHAnsi"/>
          <w:sz w:val="18"/>
          <w:szCs w:val="18"/>
        </w:rPr>
        <w:footnoteRef/>
      </w:r>
      <w:r w:rsidRPr="00B67761">
        <w:rPr>
          <w:sz w:val="18"/>
          <w:szCs w:val="18"/>
        </w:rPr>
        <w:t xml:space="preserve"> Infrastructure Australia, </w:t>
      </w:r>
      <w:r w:rsidRPr="00B67761">
        <w:rPr>
          <w:i/>
          <w:iCs/>
          <w:sz w:val="18"/>
          <w:szCs w:val="18"/>
        </w:rPr>
        <w:t xml:space="preserve">Infrastructure Market Capacity, </w:t>
      </w:r>
      <w:r w:rsidRPr="00B67761">
        <w:rPr>
          <w:sz w:val="18"/>
          <w:szCs w:val="18"/>
        </w:rPr>
        <w:t>November 2022.</w:t>
      </w:r>
    </w:p>
  </w:footnote>
  <w:footnote w:id="99">
    <w:p w14:paraId="66722A6C" w14:textId="77777777" w:rsidR="00B52E71" w:rsidRPr="00B67761" w:rsidRDefault="00B52E71" w:rsidP="00CD1E37">
      <w:pPr>
        <w:pStyle w:val="FootnoteText"/>
        <w:rPr>
          <w:sz w:val="18"/>
          <w:szCs w:val="18"/>
        </w:rPr>
      </w:pPr>
      <w:r w:rsidRPr="00B67761">
        <w:rPr>
          <w:rStyle w:val="FootnoteReference"/>
          <w:rFonts w:cstheme="minorHAnsi"/>
          <w:sz w:val="18"/>
          <w:szCs w:val="18"/>
        </w:rPr>
        <w:footnoteRef/>
      </w:r>
      <w:r w:rsidRPr="00B67761">
        <w:rPr>
          <w:sz w:val="18"/>
          <w:szCs w:val="18"/>
        </w:rPr>
        <w:t xml:space="preserve"> Infrastructure Australia, </w:t>
      </w:r>
      <w:r w:rsidRPr="00B67761">
        <w:rPr>
          <w:i/>
          <w:iCs/>
          <w:sz w:val="18"/>
          <w:szCs w:val="18"/>
        </w:rPr>
        <w:t xml:space="preserve">Infrastructure Market Capacity, </w:t>
      </w:r>
      <w:r w:rsidRPr="00B67761">
        <w:rPr>
          <w:sz w:val="18"/>
          <w:szCs w:val="18"/>
        </w:rPr>
        <w:t>November 2022.</w:t>
      </w:r>
    </w:p>
  </w:footnote>
  <w:footnote w:id="100">
    <w:p w14:paraId="39C902ED" w14:textId="77777777" w:rsidR="00B52E71" w:rsidRDefault="00B52E71" w:rsidP="00CD1E37">
      <w:pPr>
        <w:pStyle w:val="FootnoteText"/>
      </w:pPr>
      <w:r w:rsidRPr="00B67761">
        <w:rPr>
          <w:rStyle w:val="FootnoteReference"/>
          <w:rFonts w:cstheme="minorHAnsi"/>
          <w:sz w:val="18"/>
          <w:szCs w:val="18"/>
        </w:rPr>
        <w:footnoteRef/>
      </w:r>
      <w:r w:rsidRPr="00B67761">
        <w:rPr>
          <w:sz w:val="18"/>
          <w:szCs w:val="18"/>
        </w:rPr>
        <w:t xml:space="preserve"> Infrastructure Australia, </w:t>
      </w:r>
      <w:r w:rsidRPr="00B67761">
        <w:rPr>
          <w:i/>
          <w:iCs/>
          <w:sz w:val="18"/>
          <w:szCs w:val="18"/>
        </w:rPr>
        <w:t xml:space="preserve">Infrastructure Market Capacity, </w:t>
      </w:r>
      <w:r w:rsidRPr="00B67761">
        <w:rPr>
          <w:sz w:val="18"/>
          <w:szCs w:val="18"/>
        </w:rPr>
        <w:t>November 2022.</w:t>
      </w:r>
    </w:p>
  </w:footnote>
  <w:footnote w:id="101">
    <w:p w14:paraId="1B2769D7" w14:textId="2041E35C" w:rsidR="00AB01B5" w:rsidRDefault="00AB01B5">
      <w:pPr>
        <w:pStyle w:val="FootnoteText"/>
      </w:pPr>
      <w:r>
        <w:rPr>
          <w:rStyle w:val="FootnoteReference"/>
        </w:rPr>
        <w:footnoteRef/>
      </w:r>
      <w:r>
        <w:t xml:space="preserve"> </w:t>
      </w:r>
      <w:r w:rsidRPr="005552C4">
        <w:rPr>
          <w:sz w:val="18"/>
          <w:szCs w:val="18"/>
        </w:rPr>
        <w:t>This assumption uses the number of Skills Guarantee contracts commencing in the 22–23 FY as a proxy.</w:t>
      </w:r>
    </w:p>
  </w:footnote>
  <w:footnote w:id="102">
    <w:p w14:paraId="6AF93AF3" w14:textId="77777777" w:rsidR="008F3A2C" w:rsidRPr="00216DDF" w:rsidRDefault="008F3A2C" w:rsidP="008F3A2C">
      <w:pPr>
        <w:pStyle w:val="FootnoteText"/>
        <w:rPr>
          <w:sz w:val="18"/>
          <w:szCs w:val="18"/>
        </w:rPr>
      </w:pPr>
      <w:r w:rsidRPr="00216DDF">
        <w:rPr>
          <w:rStyle w:val="FootnoteReference"/>
          <w:sz w:val="18"/>
          <w:szCs w:val="18"/>
        </w:rPr>
        <w:footnoteRef/>
      </w:r>
      <w:r w:rsidRPr="00216DDF">
        <w:rPr>
          <w:sz w:val="18"/>
          <w:szCs w:val="18"/>
        </w:rPr>
        <w:t xml:space="preserve"> The hourly rate is based on an annual salary at $200,000 plus oncosts.</w:t>
      </w:r>
    </w:p>
  </w:footnote>
  <w:footnote w:id="103">
    <w:p w14:paraId="07EE4168" w14:textId="5CC300BD" w:rsidR="00AB01B5" w:rsidRDefault="00AB01B5" w:rsidP="00AB01B5">
      <w:pPr>
        <w:pStyle w:val="FootnoteText"/>
      </w:pPr>
      <w:r>
        <w:rPr>
          <w:rStyle w:val="FootnoteReference"/>
        </w:rPr>
        <w:footnoteRef/>
      </w:r>
      <w:r>
        <w:t xml:space="preserve"> </w:t>
      </w:r>
      <w:r w:rsidRPr="005E1F17">
        <w:rPr>
          <w:sz w:val="18"/>
          <w:szCs w:val="18"/>
        </w:rPr>
        <w:t>This assumption uses the number of Skills Guarantee contracts commencing in the 22–23 FY as a proxy.</w:t>
      </w:r>
    </w:p>
  </w:footnote>
  <w:footnote w:id="104">
    <w:p w14:paraId="533582C1" w14:textId="77777777" w:rsidR="003535AE" w:rsidRPr="00216DDF" w:rsidRDefault="003535AE" w:rsidP="003535AE">
      <w:pPr>
        <w:pStyle w:val="FootnoteText"/>
        <w:rPr>
          <w:sz w:val="18"/>
          <w:szCs w:val="18"/>
        </w:rPr>
      </w:pPr>
      <w:r w:rsidRPr="00216DDF">
        <w:rPr>
          <w:rStyle w:val="FootnoteReference"/>
          <w:sz w:val="18"/>
          <w:szCs w:val="18"/>
        </w:rPr>
        <w:footnoteRef/>
      </w:r>
      <w:r w:rsidRPr="00216DDF">
        <w:rPr>
          <w:sz w:val="18"/>
          <w:szCs w:val="18"/>
        </w:rPr>
        <w:t xml:space="preserve"> The hourly rate is based on an annual salary at $200,000 plus oncosts.</w:t>
      </w:r>
    </w:p>
  </w:footnote>
  <w:footnote w:id="105">
    <w:p w14:paraId="0CF09246" w14:textId="77777777" w:rsidR="00A02513" w:rsidRPr="0081783E" w:rsidRDefault="00A02513" w:rsidP="00A02513">
      <w:pPr>
        <w:pStyle w:val="FootnoteText"/>
        <w:rPr>
          <w:sz w:val="18"/>
          <w:szCs w:val="18"/>
        </w:rPr>
      </w:pPr>
      <w:r w:rsidRPr="0081783E">
        <w:rPr>
          <w:rStyle w:val="FootnoteReference"/>
          <w:sz w:val="18"/>
          <w:szCs w:val="18"/>
        </w:rPr>
        <w:footnoteRef/>
      </w:r>
      <w:r w:rsidRPr="0081783E">
        <w:rPr>
          <w:sz w:val="18"/>
          <w:szCs w:val="18"/>
        </w:rPr>
        <w:t xml:space="preserve"> The hourly rate is based on an annual salary at $50,000 plus oncosts.</w:t>
      </w:r>
    </w:p>
  </w:footnote>
  <w:footnote w:id="106">
    <w:p w14:paraId="04282E06" w14:textId="77777777" w:rsidR="00A02513" w:rsidRDefault="00A02513" w:rsidP="00A02513">
      <w:pPr>
        <w:pStyle w:val="FootnoteText"/>
      </w:pPr>
      <w:r>
        <w:rPr>
          <w:rStyle w:val="FootnoteReference"/>
        </w:rPr>
        <w:footnoteRef/>
      </w:r>
      <w:r>
        <w:t xml:space="preserve"> </w:t>
      </w:r>
      <w:r w:rsidRPr="005552C4">
        <w:rPr>
          <w:sz w:val="18"/>
          <w:szCs w:val="18"/>
        </w:rPr>
        <w:t>This assumption uses the number of different suppliers on Skills Guarantee contracts which commenced in the 22–23 FY as a proxy.</w:t>
      </w:r>
    </w:p>
  </w:footnote>
  <w:footnote w:id="107">
    <w:p w14:paraId="6C159119" w14:textId="77777777" w:rsidR="00FD0656" w:rsidRDefault="00FD0656" w:rsidP="00FD0656">
      <w:pPr>
        <w:pStyle w:val="FootnoteText"/>
      </w:pPr>
      <w:r>
        <w:rPr>
          <w:rStyle w:val="FootnoteReference"/>
        </w:rPr>
        <w:footnoteRef/>
      </w:r>
      <w:r>
        <w:t xml:space="preserve"> </w:t>
      </w:r>
      <w:r w:rsidRPr="005552C4">
        <w:rPr>
          <w:sz w:val="18"/>
          <w:szCs w:val="18"/>
        </w:rPr>
        <w:t>This assumption uses the number of different suppliers on Skills Guarantee contracts which commenced in the 22–23 FY as a proxy.</w:t>
      </w:r>
    </w:p>
  </w:footnote>
  <w:footnote w:id="108">
    <w:p w14:paraId="30B0EFD6" w14:textId="77777777" w:rsidR="00A02513" w:rsidRDefault="00A02513" w:rsidP="00A02513">
      <w:pPr>
        <w:pStyle w:val="FootnoteText"/>
      </w:pPr>
      <w:r>
        <w:rPr>
          <w:rStyle w:val="FootnoteReference"/>
        </w:rPr>
        <w:footnoteRef/>
      </w:r>
      <w:r>
        <w:t xml:space="preserve"> </w:t>
      </w:r>
      <w:r w:rsidRPr="005E1F17">
        <w:rPr>
          <w:sz w:val="18"/>
          <w:szCs w:val="18"/>
        </w:rPr>
        <w:t>This assumption uses the number of different suppliers on Skills Guarantee contracts which commenced in the 22–23 FY as a proxy.</w:t>
      </w:r>
    </w:p>
  </w:footnote>
  <w:footnote w:id="109">
    <w:p w14:paraId="0EEDBF42" w14:textId="77777777" w:rsidR="00A02513" w:rsidRPr="002237F5" w:rsidRDefault="00A02513" w:rsidP="00A02513">
      <w:pPr>
        <w:pStyle w:val="FootnoteText"/>
      </w:pPr>
      <w:r w:rsidRPr="0081783E">
        <w:rPr>
          <w:rStyle w:val="FootnoteReference"/>
          <w:sz w:val="18"/>
          <w:szCs w:val="18"/>
        </w:rPr>
        <w:footnoteRef/>
      </w:r>
      <w:r w:rsidRPr="0081783E">
        <w:rPr>
          <w:sz w:val="18"/>
          <w:szCs w:val="18"/>
        </w:rPr>
        <w:t xml:space="preserve"> Number of estimated construction and building services in scope for the Skills Guarantee based on 2022-2023 AusTender data.</w:t>
      </w:r>
    </w:p>
  </w:footnote>
  <w:footnote w:id="110">
    <w:p w14:paraId="22676BC7" w14:textId="77777777" w:rsidR="00664805" w:rsidRPr="00D412B2" w:rsidRDefault="00664805" w:rsidP="00CD1E37">
      <w:pPr>
        <w:pStyle w:val="FootnoteText"/>
      </w:pPr>
      <w:r w:rsidRPr="0081783E">
        <w:rPr>
          <w:rStyle w:val="FootnoteReference"/>
          <w:sz w:val="18"/>
          <w:szCs w:val="18"/>
        </w:rPr>
        <w:footnoteRef/>
      </w:r>
      <w:r w:rsidRPr="0081783E">
        <w:rPr>
          <w:sz w:val="18"/>
          <w:szCs w:val="18"/>
        </w:rPr>
        <w:t xml:space="preserve"> </w:t>
      </w:r>
      <w:r w:rsidRPr="0081783E">
        <w:rPr>
          <w:rStyle w:val="normaltextrun"/>
          <w:rFonts w:cs="Calibri"/>
          <w:color w:val="000000" w:themeColor="text1"/>
          <w:sz w:val="18"/>
          <w:szCs w:val="18"/>
          <w:shd w:val="clear" w:color="auto" w:fill="FFFFFF"/>
        </w:rPr>
        <w:t>This figure only projects the number of new contracts as the Skills Guarantee will only apply to new procurements; AusTender contracts includes the Building and Construction and Maintenance Services, Education and Training Services, Engineering and Research and Technology Based Services, Management and Business Professionals and Administrative Services, Public Utilities and Public Sector Related Services categories based on the UNSPSC codes referenced in the draft Procurement Connected Policy (PCP) for inclusion in the Skills Guarantee PCP.</w:t>
      </w:r>
    </w:p>
  </w:footnote>
  <w:footnote w:id="111">
    <w:p w14:paraId="10E89536" w14:textId="6F1D032D" w:rsidR="002572BC" w:rsidRDefault="002572BC" w:rsidP="002572BC">
      <w:pPr>
        <w:pStyle w:val="FootnoteText"/>
      </w:pPr>
      <w:r w:rsidRPr="00B67761">
        <w:rPr>
          <w:rStyle w:val="FootnoteReference"/>
          <w:sz w:val="18"/>
          <w:szCs w:val="18"/>
        </w:rPr>
        <w:footnoteRef/>
      </w:r>
      <w:r w:rsidRPr="00B67761">
        <w:rPr>
          <w:sz w:val="18"/>
          <w:szCs w:val="18"/>
        </w:rPr>
        <w:t xml:space="preserve"> The hourly rate</w:t>
      </w:r>
      <w:r>
        <w:rPr>
          <w:sz w:val="18"/>
          <w:szCs w:val="18"/>
        </w:rPr>
        <w:t>s are</w:t>
      </w:r>
      <w:r w:rsidRPr="00B67761">
        <w:rPr>
          <w:sz w:val="18"/>
          <w:szCs w:val="18"/>
        </w:rPr>
        <w:t xml:space="preserve"> based on an annual salary of $50,000 plus oncosts for </w:t>
      </w:r>
      <w:r>
        <w:rPr>
          <w:sz w:val="18"/>
          <w:szCs w:val="18"/>
        </w:rPr>
        <w:t>1</w:t>
      </w:r>
      <w:r w:rsidRPr="00B67761">
        <w:rPr>
          <w:sz w:val="18"/>
          <w:szCs w:val="18"/>
        </w:rPr>
        <w:t xml:space="preserve"> reporting employee and an annual salary of $100,000 plus oncosts for a manager reviewing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BEF5" w14:textId="2CDFF42D" w:rsidR="00B52E71" w:rsidRDefault="00B52E71" w:rsidP="00CD1E37">
    <w:pPr>
      <w:pStyle w:val="Header"/>
    </w:pPr>
    <w:r>
      <w:rPr>
        <w:noProof/>
        <w:lang w:eastAsia="en-AU"/>
      </w:rPr>
      <mc:AlternateContent>
        <mc:Choice Requires="wps">
          <w:drawing>
            <wp:anchor distT="0" distB="0" distL="0" distR="0" simplePos="0" relativeHeight="251658241" behindDoc="0" locked="0" layoutInCell="1" allowOverlap="1" wp14:anchorId="26A73A3E" wp14:editId="51B52D49">
              <wp:simplePos x="635" y="635"/>
              <wp:positionH relativeFrom="page">
                <wp:align>center</wp:align>
              </wp:positionH>
              <wp:positionV relativeFrom="page">
                <wp:align>top</wp:align>
              </wp:positionV>
              <wp:extent cx="443865" cy="443865"/>
              <wp:effectExtent l="0" t="0" r="1270" b="1270"/>
              <wp:wrapNone/>
              <wp:docPr id="1797221129" name="Text Box 1797221129"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6C357" w14:textId="69C0C229"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73A3E" id="_x0000_t202" coordsize="21600,21600" o:spt="202" path="m,l,21600r21600,l21600,xe">
              <v:stroke joinstyle="miter"/>
              <v:path gradientshapeok="t" o:connecttype="rect"/>
            </v:shapetype>
            <v:shape id="Text Box 1797221129" o:spid="_x0000_s1026" type="#_x0000_t202" alt="OFFICIAL: 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46C357" w14:textId="69C0C229" w:rsidR="00B52E71" w:rsidRPr="006F66A0" w:rsidRDefault="00B52E71" w:rsidP="00CD1E37">
                    <w:pPr>
                      <w:rPr>
                        <w:noProof/>
                      </w:rPr>
                    </w:pPr>
                    <w:r w:rsidRPr="006F66A0">
                      <w:rPr>
                        <w:noProof/>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70F81" w14:textId="7A92AB4B" w:rsidR="00B52E71" w:rsidRDefault="00B52E71" w:rsidP="00CD1E37">
    <w:pPr>
      <w:pStyle w:val="Header"/>
    </w:pPr>
    <w:r>
      <w:rPr>
        <w:noProof/>
        <w:lang w:eastAsia="en-AU"/>
      </w:rPr>
      <mc:AlternateContent>
        <mc:Choice Requires="wps">
          <w:drawing>
            <wp:anchor distT="0" distB="0" distL="0" distR="0" simplePos="0" relativeHeight="251658242" behindDoc="0" locked="0" layoutInCell="1" allowOverlap="1" wp14:anchorId="67C2534E" wp14:editId="5CAB0367">
              <wp:simplePos x="914400" y="450850"/>
              <wp:positionH relativeFrom="page">
                <wp:align>center</wp:align>
              </wp:positionH>
              <wp:positionV relativeFrom="page">
                <wp:align>top</wp:align>
              </wp:positionV>
              <wp:extent cx="443865" cy="443865"/>
              <wp:effectExtent l="0" t="0" r="1270" b="1270"/>
              <wp:wrapNone/>
              <wp:docPr id="1165918335" name="Text Box 1165918335"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E41300" w14:textId="73B9BAD8"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C2534E" id="_x0000_t202" coordsize="21600,21600" o:spt="202" path="m,l,21600r21600,l21600,xe">
              <v:stroke joinstyle="miter"/>
              <v:path gradientshapeok="t" o:connecttype="rect"/>
            </v:shapetype>
            <v:shape id="Text Box 1165918335" o:spid="_x0000_s1027" type="#_x0000_t202" alt="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E41300" w14:textId="73B9BAD8" w:rsidR="00B52E71" w:rsidRPr="006F66A0" w:rsidRDefault="00B52E71" w:rsidP="00CD1E37">
                    <w:pPr>
                      <w:rPr>
                        <w:noProof/>
                      </w:rPr>
                    </w:pPr>
                    <w:r w:rsidRPr="006F66A0">
                      <w:rPr>
                        <w:noProof/>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1D5B" w14:textId="66032FC9" w:rsidR="00B52E71" w:rsidRDefault="00B52E71" w:rsidP="00CD1E37">
    <w:pPr>
      <w:pStyle w:val="Header"/>
    </w:pPr>
    <w:r>
      <w:rPr>
        <w:noProof/>
        <w:lang w:eastAsia="en-AU"/>
      </w:rPr>
      <mc:AlternateContent>
        <mc:Choice Requires="wps">
          <w:drawing>
            <wp:anchor distT="0" distB="0" distL="0" distR="0" simplePos="0" relativeHeight="251658240" behindDoc="0" locked="0" layoutInCell="1" allowOverlap="1" wp14:anchorId="234D16E0" wp14:editId="4A9B17F9">
              <wp:simplePos x="635" y="635"/>
              <wp:positionH relativeFrom="page">
                <wp:align>center</wp:align>
              </wp:positionH>
              <wp:positionV relativeFrom="page">
                <wp:align>top</wp:align>
              </wp:positionV>
              <wp:extent cx="443865" cy="443865"/>
              <wp:effectExtent l="0" t="0" r="1270" b="1270"/>
              <wp:wrapNone/>
              <wp:docPr id="1757094323" name="Text Box 1757094323"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864B4" w14:textId="49DC2C8D" w:rsidR="00B52E71" w:rsidRPr="006F66A0" w:rsidRDefault="00B52E71" w:rsidP="00CD1E37">
                          <w:pPr>
                            <w:rPr>
                              <w:noProof/>
                            </w:rPr>
                          </w:pPr>
                          <w:r w:rsidRPr="006F66A0">
                            <w:rPr>
                              <w:noProof/>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D16E0" id="_x0000_t202" coordsize="21600,21600" o:spt="202" path="m,l,21600r21600,l21600,xe">
              <v:stroke joinstyle="miter"/>
              <v:path gradientshapeok="t" o:connecttype="rect"/>
            </v:shapetype>
            <v:shape id="Text Box 1757094323" o:spid="_x0000_s1030" type="#_x0000_t202" alt="OFFICIAL: 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31864B4" w14:textId="49DC2C8D" w:rsidR="00B52E71" w:rsidRPr="006F66A0" w:rsidRDefault="00B52E71" w:rsidP="00CD1E37">
                    <w:pPr>
                      <w:rPr>
                        <w:noProof/>
                      </w:rPr>
                    </w:pPr>
                    <w:r w:rsidRPr="006F66A0">
                      <w:rPr>
                        <w:noProof/>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BB269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157457"/>
    <w:multiLevelType w:val="multilevel"/>
    <w:tmpl w:val="3AECE86E"/>
    <w:name w:val="List number"/>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B901325"/>
    <w:multiLevelType w:val="hybridMultilevel"/>
    <w:tmpl w:val="2988A2B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701948"/>
    <w:multiLevelType w:val="hybridMultilevel"/>
    <w:tmpl w:val="468CF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95347F"/>
    <w:multiLevelType w:val="multilevel"/>
    <w:tmpl w:val="49CC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CA13D7"/>
    <w:multiLevelType w:val="hybridMultilevel"/>
    <w:tmpl w:val="B9FC8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53E4C"/>
    <w:multiLevelType w:val="multilevel"/>
    <w:tmpl w:val="AC84CDD6"/>
    <w:name w:val="List number2"/>
    <w:lvl w:ilvl="0">
      <w:start w:val="1"/>
      <w:numFmt w:val="bullet"/>
      <w:pStyle w:val="ListBullet"/>
      <w:lvlText w:val=""/>
      <w:lvlJc w:val="left"/>
      <w:pPr>
        <w:ind w:left="783"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591ACC"/>
    <w:multiLevelType w:val="hybridMultilevel"/>
    <w:tmpl w:val="53DEF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A96A34"/>
    <w:multiLevelType w:val="multilevel"/>
    <w:tmpl w:val="1DD82DA6"/>
    <w:name w:val="List number3"/>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8AD2734"/>
    <w:multiLevelType w:val="hybridMultilevel"/>
    <w:tmpl w:val="3208AF48"/>
    <w:lvl w:ilvl="0" w:tplc="0E7AAE6A">
      <w:start w:val="1"/>
      <w:numFmt w:val="bullet"/>
      <w:lvlText w:val=""/>
      <w:lvlJc w:val="left"/>
      <w:pPr>
        <w:ind w:left="720"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9A0B1E"/>
    <w:multiLevelType w:val="hybridMultilevel"/>
    <w:tmpl w:val="675EDDCC"/>
    <w:lvl w:ilvl="0" w:tplc="6A1ADB16">
      <w:start w:val="1"/>
      <w:numFmt w:val="bullet"/>
      <w:lvlText w:val=""/>
      <w:lvlJc w:val="left"/>
      <w:pPr>
        <w:ind w:left="1440" w:hanging="360"/>
      </w:pPr>
      <w:rPr>
        <w:rFonts w:ascii="Symbol" w:hAnsi="Symbol"/>
      </w:rPr>
    </w:lvl>
    <w:lvl w:ilvl="1" w:tplc="95B6E732">
      <w:start w:val="1"/>
      <w:numFmt w:val="bullet"/>
      <w:lvlText w:val=""/>
      <w:lvlJc w:val="left"/>
      <w:pPr>
        <w:ind w:left="1440" w:hanging="360"/>
      </w:pPr>
      <w:rPr>
        <w:rFonts w:ascii="Symbol" w:hAnsi="Symbol"/>
      </w:rPr>
    </w:lvl>
    <w:lvl w:ilvl="2" w:tplc="29A4D8E6">
      <w:start w:val="1"/>
      <w:numFmt w:val="bullet"/>
      <w:lvlText w:val=""/>
      <w:lvlJc w:val="left"/>
      <w:pPr>
        <w:ind w:left="1440" w:hanging="360"/>
      </w:pPr>
      <w:rPr>
        <w:rFonts w:ascii="Symbol" w:hAnsi="Symbol"/>
      </w:rPr>
    </w:lvl>
    <w:lvl w:ilvl="3" w:tplc="6F463A8C">
      <w:start w:val="1"/>
      <w:numFmt w:val="bullet"/>
      <w:lvlText w:val=""/>
      <w:lvlJc w:val="left"/>
      <w:pPr>
        <w:ind w:left="1440" w:hanging="360"/>
      </w:pPr>
      <w:rPr>
        <w:rFonts w:ascii="Symbol" w:hAnsi="Symbol"/>
      </w:rPr>
    </w:lvl>
    <w:lvl w:ilvl="4" w:tplc="90C8B356">
      <w:start w:val="1"/>
      <w:numFmt w:val="bullet"/>
      <w:lvlText w:val=""/>
      <w:lvlJc w:val="left"/>
      <w:pPr>
        <w:ind w:left="1440" w:hanging="360"/>
      </w:pPr>
      <w:rPr>
        <w:rFonts w:ascii="Symbol" w:hAnsi="Symbol"/>
      </w:rPr>
    </w:lvl>
    <w:lvl w:ilvl="5" w:tplc="669624F2">
      <w:start w:val="1"/>
      <w:numFmt w:val="bullet"/>
      <w:lvlText w:val=""/>
      <w:lvlJc w:val="left"/>
      <w:pPr>
        <w:ind w:left="1440" w:hanging="360"/>
      </w:pPr>
      <w:rPr>
        <w:rFonts w:ascii="Symbol" w:hAnsi="Symbol"/>
      </w:rPr>
    </w:lvl>
    <w:lvl w:ilvl="6" w:tplc="C86EA964">
      <w:start w:val="1"/>
      <w:numFmt w:val="bullet"/>
      <w:lvlText w:val=""/>
      <w:lvlJc w:val="left"/>
      <w:pPr>
        <w:ind w:left="1440" w:hanging="360"/>
      </w:pPr>
      <w:rPr>
        <w:rFonts w:ascii="Symbol" w:hAnsi="Symbol"/>
      </w:rPr>
    </w:lvl>
    <w:lvl w:ilvl="7" w:tplc="F26E13AE">
      <w:start w:val="1"/>
      <w:numFmt w:val="bullet"/>
      <w:lvlText w:val=""/>
      <w:lvlJc w:val="left"/>
      <w:pPr>
        <w:ind w:left="1440" w:hanging="360"/>
      </w:pPr>
      <w:rPr>
        <w:rFonts w:ascii="Symbol" w:hAnsi="Symbol"/>
      </w:rPr>
    </w:lvl>
    <w:lvl w:ilvl="8" w:tplc="75A0F1A2">
      <w:start w:val="1"/>
      <w:numFmt w:val="bullet"/>
      <w:lvlText w:val=""/>
      <w:lvlJc w:val="left"/>
      <w:pPr>
        <w:ind w:left="1440" w:hanging="360"/>
      </w:pPr>
      <w:rPr>
        <w:rFonts w:ascii="Symbol" w:hAnsi="Symbol"/>
      </w:rPr>
    </w:lvl>
  </w:abstractNum>
  <w:abstractNum w:abstractNumId="12" w15:restartNumberingAfterBreak="0">
    <w:nsid w:val="61B70420"/>
    <w:multiLevelType w:val="hybridMultilevel"/>
    <w:tmpl w:val="F8FC5F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FEA2253"/>
    <w:multiLevelType w:val="multilevel"/>
    <w:tmpl w:val="6B9A6C7A"/>
    <w:lvl w:ilvl="0">
      <w:start w:val="1"/>
      <w:numFmt w:val="decimal"/>
      <w:pStyle w:val="ListNumber"/>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7"/>
  </w:num>
  <w:num w:numId="3">
    <w:abstractNumId w:val="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4"/>
  </w:num>
  <w:num w:numId="9">
    <w:abstractNumId w:val="3"/>
  </w:num>
  <w:num w:numId="10">
    <w:abstractNumId w:val="13"/>
  </w:num>
  <w:num w:numId="11">
    <w:abstractNumId w:val="6"/>
  </w:num>
  <w:num w:numId="12">
    <w:abstractNumId w:val="11"/>
  </w:num>
  <w:num w:numId="13">
    <w:abstractNumId w:val="2"/>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DD"/>
    <w:rsid w:val="00000064"/>
    <w:rsid w:val="000000F0"/>
    <w:rsid w:val="0000036B"/>
    <w:rsid w:val="00000B25"/>
    <w:rsid w:val="00000B40"/>
    <w:rsid w:val="00000F74"/>
    <w:rsid w:val="00000F7B"/>
    <w:rsid w:val="00001033"/>
    <w:rsid w:val="0000115D"/>
    <w:rsid w:val="00001788"/>
    <w:rsid w:val="0000178C"/>
    <w:rsid w:val="00001A0F"/>
    <w:rsid w:val="00001A70"/>
    <w:rsid w:val="00001B11"/>
    <w:rsid w:val="00001BAD"/>
    <w:rsid w:val="00001CA9"/>
    <w:rsid w:val="00001D8B"/>
    <w:rsid w:val="00001E20"/>
    <w:rsid w:val="00002020"/>
    <w:rsid w:val="0000236B"/>
    <w:rsid w:val="000023A2"/>
    <w:rsid w:val="00002B77"/>
    <w:rsid w:val="00002C1C"/>
    <w:rsid w:val="00002DD9"/>
    <w:rsid w:val="00002EA7"/>
    <w:rsid w:val="0000309A"/>
    <w:rsid w:val="00003101"/>
    <w:rsid w:val="0000326F"/>
    <w:rsid w:val="0000381F"/>
    <w:rsid w:val="000038E9"/>
    <w:rsid w:val="00003A58"/>
    <w:rsid w:val="00003C99"/>
    <w:rsid w:val="00003CF7"/>
    <w:rsid w:val="00004234"/>
    <w:rsid w:val="000043C0"/>
    <w:rsid w:val="00004802"/>
    <w:rsid w:val="00004A54"/>
    <w:rsid w:val="00004DBF"/>
    <w:rsid w:val="00004E7E"/>
    <w:rsid w:val="00005687"/>
    <w:rsid w:val="00005B52"/>
    <w:rsid w:val="00006091"/>
    <w:rsid w:val="00006281"/>
    <w:rsid w:val="0000631E"/>
    <w:rsid w:val="00006654"/>
    <w:rsid w:val="00006714"/>
    <w:rsid w:val="00006B3B"/>
    <w:rsid w:val="00006BBC"/>
    <w:rsid w:val="00006BE4"/>
    <w:rsid w:val="00006BFC"/>
    <w:rsid w:val="00007098"/>
    <w:rsid w:val="00007370"/>
    <w:rsid w:val="00007703"/>
    <w:rsid w:val="000079BD"/>
    <w:rsid w:val="00007C39"/>
    <w:rsid w:val="00007CB7"/>
    <w:rsid w:val="00007EB5"/>
    <w:rsid w:val="00007F0F"/>
    <w:rsid w:val="00010AC0"/>
    <w:rsid w:val="00010D56"/>
    <w:rsid w:val="0001107E"/>
    <w:rsid w:val="000110F6"/>
    <w:rsid w:val="000113B4"/>
    <w:rsid w:val="000113B5"/>
    <w:rsid w:val="000115EA"/>
    <w:rsid w:val="00011778"/>
    <w:rsid w:val="00011C9B"/>
    <w:rsid w:val="00011CA6"/>
    <w:rsid w:val="00011E16"/>
    <w:rsid w:val="00012750"/>
    <w:rsid w:val="000129EA"/>
    <w:rsid w:val="00012D10"/>
    <w:rsid w:val="0001306B"/>
    <w:rsid w:val="00013159"/>
    <w:rsid w:val="000131DA"/>
    <w:rsid w:val="00013262"/>
    <w:rsid w:val="0001338D"/>
    <w:rsid w:val="0001340F"/>
    <w:rsid w:val="0001354B"/>
    <w:rsid w:val="00013564"/>
    <w:rsid w:val="0001369C"/>
    <w:rsid w:val="00013C26"/>
    <w:rsid w:val="000140CA"/>
    <w:rsid w:val="00014229"/>
    <w:rsid w:val="00014429"/>
    <w:rsid w:val="000144AD"/>
    <w:rsid w:val="00014537"/>
    <w:rsid w:val="000145C7"/>
    <w:rsid w:val="00014978"/>
    <w:rsid w:val="00014FDC"/>
    <w:rsid w:val="0001508D"/>
    <w:rsid w:val="00015880"/>
    <w:rsid w:val="00015BB2"/>
    <w:rsid w:val="00015CD7"/>
    <w:rsid w:val="00015D73"/>
    <w:rsid w:val="0001624E"/>
    <w:rsid w:val="000162CC"/>
    <w:rsid w:val="00016386"/>
    <w:rsid w:val="000163A4"/>
    <w:rsid w:val="000168CD"/>
    <w:rsid w:val="00016B91"/>
    <w:rsid w:val="00016C83"/>
    <w:rsid w:val="000171C7"/>
    <w:rsid w:val="000173E7"/>
    <w:rsid w:val="00017491"/>
    <w:rsid w:val="000174F6"/>
    <w:rsid w:val="000176A7"/>
    <w:rsid w:val="0001783B"/>
    <w:rsid w:val="000178CB"/>
    <w:rsid w:val="000178D3"/>
    <w:rsid w:val="00017919"/>
    <w:rsid w:val="00017B06"/>
    <w:rsid w:val="00017BAA"/>
    <w:rsid w:val="00017C4D"/>
    <w:rsid w:val="00017DFC"/>
    <w:rsid w:val="00017E61"/>
    <w:rsid w:val="00020174"/>
    <w:rsid w:val="00020179"/>
    <w:rsid w:val="00020722"/>
    <w:rsid w:val="00020E89"/>
    <w:rsid w:val="000210CA"/>
    <w:rsid w:val="0002135F"/>
    <w:rsid w:val="00021853"/>
    <w:rsid w:val="00021BD5"/>
    <w:rsid w:val="00021C68"/>
    <w:rsid w:val="00021EFD"/>
    <w:rsid w:val="0002205B"/>
    <w:rsid w:val="00022148"/>
    <w:rsid w:val="0002227A"/>
    <w:rsid w:val="00022310"/>
    <w:rsid w:val="000223C6"/>
    <w:rsid w:val="00022A71"/>
    <w:rsid w:val="00022AA9"/>
    <w:rsid w:val="00022ACF"/>
    <w:rsid w:val="00022CDA"/>
    <w:rsid w:val="00022EC3"/>
    <w:rsid w:val="00022FC7"/>
    <w:rsid w:val="000230E1"/>
    <w:rsid w:val="0002325D"/>
    <w:rsid w:val="00023802"/>
    <w:rsid w:val="00023A47"/>
    <w:rsid w:val="00023B62"/>
    <w:rsid w:val="00023BB6"/>
    <w:rsid w:val="00023C30"/>
    <w:rsid w:val="00024218"/>
    <w:rsid w:val="000242F0"/>
    <w:rsid w:val="0002447A"/>
    <w:rsid w:val="000244CC"/>
    <w:rsid w:val="00024691"/>
    <w:rsid w:val="0002478E"/>
    <w:rsid w:val="00024A77"/>
    <w:rsid w:val="00024ACD"/>
    <w:rsid w:val="00024B68"/>
    <w:rsid w:val="00024CA0"/>
    <w:rsid w:val="00025143"/>
    <w:rsid w:val="00025A0B"/>
    <w:rsid w:val="00025B0C"/>
    <w:rsid w:val="00025B34"/>
    <w:rsid w:val="00025FCB"/>
    <w:rsid w:val="0002603D"/>
    <w:rsid w:val="00026104"/>
    <w:rsid w:val="00026488"/>
    <w:rsid w:val="000264B9"/>
    <w:rsid w:val="000265B0"/>
    <w:rsid w:val="0002683C"/>
    <w:rsid w:val="0002694D"/>
    <w:rsid w:val="00026A25"/>
    <w:rsid w:val="00026AC5"/>
    <w:rsid w:val="00026DF6"/>
    <w:rsid w:val="00027079"/>
    <w:rsid w:val="00027083"/>
    <w:rsid w:val="000272CC"/>
    <w:rsid w:val="00027C4B"/>
    <w:rsid w:val="000301C7"/>
    <w:rsid w:val="00030240"/>
    <w:rsid w:val="00030248"/>
    <w:rsid w:val="000303F4"/>
    <w:rsid w:val="00030751"/>
    <w:rsid w:val="00030D19"/>
    <w:rsid w:val="00030EB2"/>
    <w:rsid w:val="000311FE"/>
    <w:rsid w:val="0003170A"/>
    <w:rsid w:val="00031824"/>
    <w:rsid w:val="00031AAD"/>
    <w:rsid w:val="00031B62"/>
    <w:rsid w:val="00031C9E"/>
    <w:rsid w:val="00031CB8"/>
    <w:rsid w:val="00031D8F"/>
    <w:rsid w:val="00031E51"/>
    <w:rsid w:val="00031ECC"/>
    <w:rsid w:val="00032819"/>
    <w:rsid w:val="00032A00"/>
    <w:rsid w:val="00032E03"/>
    <w:rsid w:val="00032E13"/>
    <w:rsid w:val="00033316"/>
    <w:rsid w:val="00033585"/>
    <w:rsid w:val="000338C1"/>
    <w:rsid w:val="00033924"/>
    <w:rsid w:val="000339AF"/>
    <w:rsid w:val="00033D9A"/>
    <w:rsid w:val="00033E75"/>
    <w:rsid w:val="00033FB8"/>
    <w:rsid w:val="00034480"/>
    <w:rsid w:val="000348F2"/>
    <w:rsid w:val="000349B2"/>
    <w:rsid w:val="00034BBF"/>
    <w:rsid w:val="00034C5A"/>
    <w:rsid w:val="00034DD8"/>
    <w:rsid w:val="00034F45"/>
    <w:rsid w:val="00034FEF"/>
    <w:rsid w:val="00035038"/>
    <w:rsid w:val="00035129"/>
    <w:rsid w:val="000351B2"/>
    <w:rsid w:val="000352CC"/>
    <w:rsid w:val="00035363"/>
    <w:rsid w:val="000357A4"/>
    <w:rsid w:val="00035B1D"/>
    <w:rsid w:val="00036165"/>
    <w:rsid w:val="0003686C"/>
    <w:rsid w:val="0003692A"/>
    <w:rsid w:val="000369F7"/>
    <w:rsid w:val="00036DCA"/>
    <w:rsid w:val="00036FEA"/>
    <w:rsid w:val="0003725B"/>
    <w:rsid w:val="0003767C"/>
    <w:rsid w:val="00037860"/>
    <w:rsid w:val="00037975"/>
    <w:rsid w:val="00037BAB"/>
    <w:rsid w:val="00037CFF"/>
    <w:rsid w:val="00037F0D"/>
    <w:rsid w:val="00037FF2"/>
    <w:rsid w:val="000406F9"/>
    <w:rsid w:val="0004081F"/>
    <w:rsid w:val="00040B54"/>
    <w:rsid w:val="00040CB5"/>
    <w:rsid w:val="0004121E"/>
    <w:rsid w:val="000413D2"/>
    <w:rsid w:val="0004183D"/>
    <w:rsid w:val="00041A7B"/>
    <w:rsid w:val="00041BFD"/>
    <w:rsid w:val="000422C1"/>
    <w:rsid w:val="00042327"/>
    <w:rsid w:val="00042985"/>
    <w:rsid w:val="00042B77"/>
    <w:rsid w:val="00042C4B"/>
    <w:rsid w:val="00042D24"/>
    <w:rsid w:val="00042EF8"/>
    <w:rsid w:val="00042F36"/>
    <w:rsid w:val="00043300"/>
    <w:rsid w:val="00043532"/>
    <w:rsid w:val="00043C95"/>
    <w:rsid w:val="0004401F"/>
    <w:rsid w:val="00044155"/>
    <w:rsid w:val="00044287"/>
    <w:rsid w:val="0004433D"/>
    <w:rsid w:val="000446E3"/>
    <w:rsid w:val="00044EDA"/>
    <w:rsid w:val="000452DA"/>
    <w:rsid w:val="000452DD"/>
    <w:rsid w:val="000453FD"/>
    <w:rsid w:val="000454B0"/>
    <w:rsid w:val="00045B22"/>
    <w:rsid w:val="00045FDD"/>
    <w:rsid w:val="0004609E"/>
    <w:rsid w:val="0004660F"/>
    <w:rsid w:val="00046F26"/>
    <w:rsid w:val="0004703D"/>
    <w:rsid w:val="0004716E"/>
    <w:rsid w:val="000473C1"/>
    <w:rsid w:val="0004750C"/>
    <w:rsid w:val="0004791E"/>
    <w:rsid w:val="000479E4"/>
    <w:rsid w:val="00047A2C"/>
    <w:rsid w:val="00047CBB"/>
    <w:rsid w:val="00047D4A"/>
    <w:rsid w:val="00047E70"/>
    <w:rsid w:val="00050645"/>
    <w:rsid w:val="000507DA"/>
    <w:rsid w:val="00050A7E"/>
    <w:rsid w:val="00050BB4"/>
    <w:rsid w:val="00050D4B"/>
    <w:rsid w:val="00050DD3"/>
    <w:rsid w:val="00050FF9"/>
    <w:rsid w:val="000510AB"/>
    <w:rsid w:val="000516D0"/>
    <w:rsid w:val="00051A57"/>
    <w:rsid w:val="00051B78"/>
    <w:rsid w:val="00051EFC"/>
    <w:rsid w:val="0005225F"/>
    <w:rsid w:val="00052704"/>
    <w:rsid w:val="00052737"/>
    <w:rsid w:val="00052864"/>
    <w:rsid w:val="00052F09"/>
    <w:rsid w:val="00052FBA"/>
    <w:rsid w:val="00053068"/>
    <w:rsid w:val="000531B8"/>
    <w:rsid w:val="000536B2"/>
    <w:rsid w:val="00053B65"/>
    <w:rsid w:val="00053E7D"/>
    <w:rsid w:val="00053EF5"/>
    <w:rsid w:val="00054263"/>
    <w:rsid w:val="000544A2"/>
    <w:rsid w:val="00054523"/>
    <w:rsid w:val="0005467B"/>
    <w:rsid w:val="000547EC"/>
    <w:rsid w:val="000548FC"/>
    <w:rsid w:val="0005491B"/>
    <w:rsid w:val="00054C66"/>
    <w:rsid w:val="00054FC8"/>
    <w:rsid w:val="0005528C"/>
    <w:rsid w:val="0005596A"/>
    <w:rsid w:val="00055AB9"/>
    <w:rsid w:val="00055C25"/>
    <w:rsid w:val="00055DB5"/>
    <w:rsid w:val="00055DFD"/>
    <w:rsid w:val="00056281"/>
    <w:rsid w:val="00056497"/>
    <w:rsid w:val="000564F4"/>
    <w:rsid w:val="0005651A"/>
    <w:rsid w:val="00056555"/>
    <w:rsid w:val="00056564"/>
    <w:rsid w:val="00056CD6"/>
    <w:rsid w:val="00056F86"/>
    <w:rsid w:val="00057175"/>
    <w:rsid w:val="00057520"/>
    <w:rsid w:val="00057649"/>
    <w:rsid w:val="00057707"/>
    <w:rsid w:val="00057831"/>
    <w:rsid w:val="00057E67"/>
    <w:rsid w:val="00060098"/>
    <w:rsid w:val="00060174"/>
    <w:rsid w:val="000602D3"/>
    <w:rsid w:val="000608C5"/>
    <w:rsid w:val="00060921"/>
    <w:rsid w:val="00060E6B"/>
    <w:rsid w:val="00061046"/>
    <w:rsid w:val="00061374"/>
    <w:rsid w:val="000614C7"/>
    <w:rsid w:val="00061719"/>
    <w:rsid w:val="000619FA"/>
    <w:rsid w:val="00061BEA"/>
    <w:rsid w:val="00061E46"/>
    <w:rsid w:val="00063246"/>
    <w:rsid w:val="000636D4"/>
    <w:rsid w:val="0006374F"/>
    <w:rsid w:val="000637A4"/>
    <w:rsid w:val="00063C58"/>
    <w:rsid w:val="00063D8F"/>
    <w:rsid w:val="0006426A"/>
    <w:rsid w:val="000643CE"/>
    <w:rsid w:val="000646A0"/>
    <w:rsid w:val="00064950"/>
    <w:rsid w:val="00064CB5"/>
    <w:rsid w:val="00064D40"/>
    <w:rsid w:val="00064DE4"/>
    <w:rsid w:val="00064E29"/>
    <w:rsid w:val="00065040"/>
    <w:rsid w:val="000651C8"/>
    <w:rsid w:val="00065287"/>
    <w:rsid w:val="000652A9"/>
    <w:rsid w:val="000653BA"/>
    <w:rsid w:val="000653D9"/>
    <w:rsid w:val="000657DF"/>
    <w:rsid w:val="00065F81"/>
    <w:rsid w:val="000664F1"/>
    <w:rsid w:val="00066B85"/>
    <w:rsid w:val="00066CAA"/>
    <w:rsid w:val="00066CBE"/>
    <w:rsid w:val="00066DC3"/>
    <w:rsid w:val="00066F99"/>
    <w:rsid w:val="00067301"/>
    <w:rsid w:val="0006746F"/>
    <w:rsid w:val="000674BD"/>
    <w:rsid w:val="000674C1"/>
    <w:rsid w:val="000674D3"/>
    <w:rsid w:val="000679D2"/>
    <w:rsid w:val="00067DD6"/>
    <w:rsid w:val="00070761"/>
    <w:rsid w:val="00070823"/>
    <w:rsid w:val="00070EE1"/>
    <w:rsid w:val="000710EE"/>
    <w:rsid w:val="00071757"/>
    <w:rsid w:val="000718D4"/>
    <w:rsid w:val="00071912"/>
    <w:rsid w:val="00071926"/>
    <w:rsid w:val="00071A6C"/>
    <w:rsid w:val="00071E7B"/>
    <w:rsid w:val="00071F11"/>
    <w:rsid w:val="0007232F"/>
    <w:rsid w:val="00072373"/>
    <w:rsid w:val="000727B1"/>
    <w:rsid w:val="000727F1"/>
    <w:rsid w:val="00072EB8"/>
    <w:rsid w:val="00072FBC"/>
    <w:rsid w:val="0007333D"/>
    <w:rsid w:val="00073634"/>
    <w:rsid w:val="000736D9"/>
    <w:rsid w:val="00073864"/>
    <w:rsid w:val="00073976"/>
    <w:rsid w:val="000739C8"/>
    <w:rsid w:val="000739ED"/>
    <w:rsid w:val="00073A8A"/>
    <w:rsid w:val="00073BD5"/>
    <w:rsid w:val="00073BDC"/>
    <w:rsid w:val="00073C0A"/>
    <w:rsid w:val="00073D21"/>
    <w:rsid w:val="00073DA1"/>
    <w:rsid w:val="00073FE6"/>
    <w:rsid w:val="0007460F"/>
    <w:rsid w:val="000749AD"/>
    <w:rsid w:val="00074A93"/>
    <w:rsid w:val="00074D22"/>
    <w:rsid w:val="00074FE6"/>
    <w:rsid w:val="000751CA"/>
    <w:rsid w:val="00075230"/>
    <w:rsid w:val="0007552B"/>
    <w:rsid w:val="00075695"/>
    <w:rsid w:val="00075917"/>
    <w:rsid w:val="00075A84"/>
    <w:rsid w:val="00075E4D"/>
    <w:rsid w:val="000762A0"/>
    <w:rsid w:val="00076396"/>
    <w:rsid w:val="000769AA"/>
    <w:rsid w:val="000769AB"/>
    <w:rsid w:val="00076AED"/>
    <w:rsid w:val="0007745D"/>
    <w:rsid w:val="0007748C"/>
    <w:rsid w:val="000774F4"/>
    <w:rsid w:val="000775FB"/>
    <w:rsid w:val="000779C4"/>
    <w:rsid w:val="00077E70"/>
    <w:rsid w:val="00077EA1"/>
    <w:rsid w:val="00077FF9"/>
    <w:rsid w:val="0008072C"/>
    <w:rsid w:val="00080FDD"/>
    <w:rsid w:val="0008111B"/>
    <w:rsid w:val="0008129D"/>
    <w:rsid w:val="000814CC"/>
    <w:rsid w:val="00081663"/>
    <w:rsid w:val="00081736"/>
    <w:rsid w:val="0008182D"/>
    <w:rsid w:val="000818BD"/>
    <w:rsid w:val="000818DA"/>
    <w:rsid w:val="000819C3"/>
    <w:rsid w:val="00081A13"/>
    <w:rsid w:val="00081B42"/>
    <w:rsid w:val="00081C1F"/>
    <w:rsid w:val="00082032"/>
    <w:rsid w:val="00082040"/>
    <w:rsid w:val="000821A3"/>
    <w:rsid w:val="000821D5"/>
    <w:rsid w:val="000824ED"/>
    <w:rsid w:val="000828DB"/>
    <w:rsid w:val="00082C28"/>
    <w:rsid w:val="00082DE0"/>
    <w:rsid w:val="00082E63"/>
    <w:rsid w:val="00083206"/>
    <w:rsid w:val="000837FC"/>
    <w:rsid w:val="00083DB0"/>
    <w:rsid w:val="00083FF6"/>
    <w:rsid w:val="00084444"/>
    <w:rsid w:val="000847E0"/>
    <w:rsid w:val="00084849"/>
    <w:rsid w:val="00084E39"/>
    <w:rsid w:val="00084E4C"/>
    <w:rsid w:val="00084F5A"/>
    <w:rsid w:val="0008563E"/>
    <w:rsid w:val="00085975"/>
    <w:rsid w:val="000859BA"/>
    <w:rsid w:val="000859C7"/>
    <w:rsid w:val="00085BBF"/>
    <w:rsid w:val="00085CC5"/>
    <w:rsid w:val="00085ED0"/>
    <w:rsid w:val="00086264"/>
    <w:rsid w:val="00086436"/>
    <w:rsid w:val="00086834"/>
    <w:rsid w:val="000868AA"/>
    <w:rsid w:val="000869A6"/>
    <w:rsid w:val="00086CAF"/>
    <w:rsid w:val="000870B8"/>
    <w:rsid w:val="00087390"/>
    <w:rsid w:val="00087414"/>
    <w:rsid w:val="00087C85"/>
    <w:rsid w:val="000901DB"/>
    <w:rsid w:val="000908FD"/>
    <w:rsid w:val="00090A91"/>
    <w:rsid w:val="00090C90"/>
    <w:rsid w:val="00090CC5"/>
    <w:rsid w:val="00090FF1"/>
    <w:rsid w:val="0009106D"/>
    <w:rsid w:val="000917D9"/>
    <w:rsid w:val="00091841"/>
    <w:rsid w:val="00091A28"/>
    <w:rsid w:val="00091A41"/>
    <w:rsid w:val="00091D33"/>
    <w:rsid w:val="00091F3D"/>
    <w:rsid w:val="000921C2"/>
    <w:rsid w:val="00092522"/>
    <w:rsid w:val="000927A6"/>
    <w:rsid w:val="00092E9C"/>
    <w:rsid w:val="00092F07"/>
    <w:rsid w:val="00092FDD"/>
    <w:rsid w:val="000931B0"/>
    <w:rsid w:val="00093707"/>
    <w:rsid w:val="000938E9"/>
    <w:rsid w:val="00093E0A"/>
    <w:rsid w:val="00094029"/>
    <w:rsid w:val="000949C2"/>
    <w:rsid w:val="00094A1B"/>
    <w:rsid w:val="00094ABD"/>
    <w:rsid w:val="00094B4C"/>
    <w:rsid w:val="00094B90"/>
    <w:rsid w:val="00094E29"/>
    <w:rsid w:val="00094FB9"/>
    <w:rsid w:val="00095059"/>
    <w:rsid w:val="00095283"/>
    <w:rsid w:val="000952EA"/>
    <w:rsid w:val="000952FA"/>
    <w:rsid w:val="000953E0"/>
    <w:rsid w:val="000957E2"/>
    <w:rsid w:val="00095AD3"/>
    <w:rsid w:val="00095C80"/>
    <w:rsid w:val="00095C8E"/>
    <w:rsid w:val="00096199"/>
    <w:rsid w:val="000966D8"/>
    <w:rsid w:val="00096870"/>
    <w:rsid w:val="000968D2"/>
    <w:rsid w:val="00096973"/>
    <w:rsid w:val="00096C6C"/>
    <w:rsid w:val="00097042"/>
    <w:rsid w:val="000970F2"/>
    <w:rsid w:val="000973CD"/>
    <w:rsid w:val="000974EC"/>
    <w:rsid w:val="00097547"/>
    <w:rsid w:val="00097B3B"/>
    <w:rsid w:val="00097B55"/>
    <w:rsid w:val="00097C95"/>
    <w:rsid w:val="00097DB3"/>
    <w:rsid w:val="000A0016"/>
    <w:rsid w:val="000A0032"/>
    <w:rsid w:val="000A00F0"/>
    <w:rsid w:val="000A010E"/>
    <w:rsid w:val="000A0126"/>
    <w:rsid w:val="000A0769"/>
    <w:rsid w:val="000A0FF5"/>
    <w:rsid w:val="000A1214"/>
    <w:rsid w:val="000A1704"/>
    <w:rsid w:val="000A1783"/>
    <w:rsid w:val="000A1EF8"/>
    <w:rsid w:val="000A2046"/>
    <w:rsid w:val="000A20AE"/>
    <w:rsid w:val="000A2123"/>
    <w:rsid w:val="000A21D4"/>
    <w:rsid w:val="000A224C"/>
    <w:rsid w:val="000A23C1"/>
    <w:rsid w:val="000A23E0"/>
    <w:rsid w:val="000A29CB"/>
    <w:rsid w:val="000A2AEA"/>
    <w:rsid w:val="000A2DED"/>
    <w:rsid w:val="000A2E0D"/>
    <w:rsid w:val="000A3370"/>
    <w:rsid w:val="000A33CB"/>
    <w:rsid w:val="000A364B"/>
    <w:rsid w:val="000A3761"/>
    <w:rsid w:val="000A37C1"/>
    <w:rsid w:val="000A38A6"/>
    <w:rsid w:val="000A3C0E"/>
    <w:rsid w:val="000A3D94"/>
    <w:rsid w:val="000A431B"/>
    <w:rsid w:val="000A499B"/>
    <w:rsid w:val="000A4CDF"/>
    <w:rsid w:val="000A6024"/>
    <w:rsid w:val="000A6123"/>
    <w:rsid w:val="000A620D"/>
    <w:rsid w:val="000A6480"/>
    <w:rsid w:val="000A65FB"/>
    <w:rsid w:val="000A6700"/>
    <w:rsid w:val="000A673D"/>
    <w:rsid w:val="000A6762"/>
    <w:rsid w:val="000A68FB"/>
    <w:rsid w:val="000A6966"/>
    <w:rsid w:val="000A6C37"/>
    <w:rsid w:val="000A6C44"/>
    <w:rsid w:val="000A6CE4"/>
    <w:rsid w:val="000A6E36"/>
    <w:rsid w:val="000A6EA7"/>
    <w:rsid w:val="000A7164"/>
    <w:rsid w:val="000A72BC"/>
    <w:rsid w:val="000A750E"/>
    <w:rsid w:val="000A7652"/>
    <w:rsid w:val="000A79D4"/>
    <w:rsid w:val="000A79E7"/>
    <w:rsid w:val="000A7C43"/>
    <w:rsid w:val="000A7C6B"/>
    <w:rsid w:val="000A7D1E"/>
    <w:rsid w:val="000B04C1"/>
    <w:rsid w:val="000B062F"/>
    <w:rsid w:val="000B07AF"/>
    <w:rsid w:val="000B08F0"/>
    <w:rsid w:val="000B0E0D"/>
    <w:rsid w:val="000B1004"/>
    <w:rsid w:val="000B11E3"/>
    <w:rsid w:val="000B13EA"/>
    <w:rsid w:val="000B14D9"/>
    <w:rsid w:val="000B15D0"/>
    <w:rsid w:val="000B18E6"/>
    <w:rsid w:val="000B1B17"/>
    <w:rsid w:val="000B220B"/>
    <w:rsid w:val="000B24FA"/>
    <w:rsid w:val="000B2518"/>
    <w:rsid w:val="000B2544"/>
    <w:rsid w:val="000B2997"/>
    <w:rsid w:val="000B2BEA"/>
    <w:rsid w:val="000B2D1E"/>
    <w:rsid w:val="000B3390"/>
    <w:rsid w:val="000B33A0"/>
    <w:rsid w:val="000B33D3"/>
    <w:rsid w:val="000B3465"/>
    <w:rsid w:val="000B3651"/>
    <w:rsid w:val="000B37A7"/>
    <w:rsid w:val="000B37EE"/>
    <w:rsid w:val="000B3876"/>
    <w:rsid w:val="000B38A5"/>
    <w:rsid w:val="000B3CBB"/>
    <w:rsid w:val="000B3D51"/>
    <w:rsid w:val="000B3DFB"/>
    <w:rsid w:val="000B468C"/>
    <w:rsid w:val="000B4723"/>
    <w:rsid w:val="000B479E"/>
    <w:rsid w:val="000B4C06"/>
    <w:rsid w:val="000B4D27"/>
    <w:rsid w:val="000B4D5C"/>
    <w:rsid w:val="000B4EA5"/>
    <w:rsid w:val="000B4ED8"/>
    <w:rsid w:val="000B5213"/>
    <w:rsid w:val="000B53D0"/>
    <w:rsid w:val="000B5532"/>
    <w:rsid w:val="000B5A61"/>
    <w:rsid w:val="000B5A7C"/>
    <w:rsid w:val="000B5BDA"/>
    <w:rsid w:val="000B5CF2"/>
    <w:rsid w:val="000B5EAF"/>
    <w:rsid w:val="000B606F"/>
    <w:rsid w:val="000B6338"/>
    <w:rsid w:val="000B64AE"/>
    <w:rsid w:val="000B6B37"/>
    <w:rsid w:val="000B6DAC"/>
    <w:rsid w:val="000B6E19"/>
    <w:rsid w:val="000B7081"/>
    <w:rsid w:val="000B796E"/>
    <w:rsid w:val="000B7C64"/>
    <w:rsid w:val="000C0013"/>
    <w:rsid w:val="000C0379"/>
    <w:rsid w:val="000C05DB"/>
    <w:rsid w:val="000C077C"/>
    <w:rsid w:val="000C08FB"/>
    <w:rsid w:val="000C09F6"/>
    <w:rsid w:val="000C0AB0"/>
    <w:rsid w:val="000C0C8B"/>
    <w:rsid w:val="000C0F42"/>
    <w:rsid w:val="000C1533"/>
    <w:rsid w:val="000C182D"/>
    <w:rsid w:val="000C1A93"/>
    <w:rsid w:val="000C1CE4"/>
    <w:rsid w:val="000C1EC5"/>
    <w:rsid w:val="000C1F0C"/>
    <w:rsid w:val="000C201B"/>
    <w:rsid w:val="000C2142"/>
    <w:rsid w:val="000C2384"/>
    <w:rsid w:val="000C26EE"/>
    <w:rsid w:val="000C28A2"/>
    <w:rsid w:val="000C2922"/>
    <w:rsid w:val="000C2A1F"/>
    <w:rsid w:val="000C2A76"/>
    <w:rsid w:val="000C3202"/>
    <w:rsid w:val="000C330F"/>
    <w:rsid w:val="000C37AE"/>
    <w:rsid w:val="000C37F4"/>
    <w:rsid w:val="000C3A0B"/>
    <w:rsid w:val="000C3BC1"/>
    <w:rsid w:val="000C3C05"/>
    <w:rsid w:val="000C3D51"/>
    <w:rsid w:val="000C3DA0"/>
    <w:rsid w:val="000C40D1"/>
    <w:rsid w:val="000C4195"/>
    <w:rsid w:val="000C44A6"/>
    <w:rsid w:val="000C44B6"/>
    <w:rsid w:val="000C4668"/>
    <w:rsid w:val="000C4890"/>
    <w:rsid w:val="000C4A0A"/>
    <w:rsid w:val="000C507D"/>
    <w:rsid w:val="000C513F"/>
    <w:rsid w:val="000C52FF"/>
    <w:rsid w:val="000C55AA"/>
    <w:rsid w:val="000C568F"/>
    <w:rsid w:val="000C58EB"/>
    <w:rsid w:val="000C58F0"/>
    <w:rsid w:val="000C593D"/>
    <w:rsid w:val="000C5CA5"/>
    <w:rsid w:val="000C5DD2"/>
    <w:rsid w:val="000C5E11"/>
    <w:rsid w:val="000C6118"/>
    <w:rsid w:val="000C66C5"/>
    <w:rsid w:val="000C682B"/>
    <w:rsid w:val="000C6905"/>
    <w:rsid w:val="000C6C28"/>
    <w:rsid w:val="000C6F54"/>
    <w:rsid w:val="000C6FF4"/>
    <w:rsid w:val="000C72F5"/>
    <w:rsid w:val="000C76EC"/>
    <w:rsid w:val="000C790B"/>
    <w:rsid w:val="000C7B7F"/>
    <w:rsid w:val="000C7F0B"/>
    <w:rsid w:val="000C7F21"/>
    <w:rsid w:val="000D0258"/>
    <w:rsid w:val="000D02BE"/>
    <w:rsid w:val="000D0698"/>
    <w:rsid w:val="000D0709"/>
    <w:rsid w:val="000D0950"/>
    <w:rsid w:val="000D0BC7"/>
    <w:rsid w:val="000D0EA5"/>
    <w:rsid w:val="000D114D"/>
    <w:rsid w:val="000D1DD4"/>
    <w:rsid w:val="000D20BA"/>
    <w:rsid w:val="000D21D7"/>
    <w:rsid w:val="000D22F8"/>
    <w:rsid w:val="000D26DB"/>
    <w:rsid w:val="000D2B44"/>
    <w:rsid w:val="000D2B4C"/>
    <w:rsid w:val="000D2D4D"/>
    <w:rsid w:val="000D2E3E"/>
    <w:rsid w:val="000D2EE6"/>
    <w:rsid w:val="000D2FCF"/>
    <w:rsid w:val="000D3079"/>
    <w:rsid w:val="000D32A0"/>
    <w:rsid w:val="000D37BF"/>
    <w:rsid w:val="000D3A43"/>
    <w:rsid w:val="000D3A4B"/>
    <w:rsid w:val="000D3A6D"/>
    <w:rsid w:val="000D3AA3"/>
    <w:rsid w:val="000D3CDA"/>
    <w:rsid w:val="000D4377"/>
    <w:rsid w:val="000D470A"/>
    <w:rsid w:val="000D476B"/>
    <w:rsid w:val="000D47FB"/>
    <w:rsid w:val="000D48E9"/>
    <w:rsid w:val="000D4A5E"/>
    <w:rsid w:val="000D4B62"/>
    <w:rsid w:val="000D4BED"/>
    <w:rsid w:val="000D4EDA"/>
    <w:rsid w:val="000D4F44"/>
    <w:rsid w:val="000D53A8"/>
    <w:rsid w:val="000D542E"/>
    <w:rsid w:val="000D552F"/>
    <w:rsid w:val="000D5964"/>
    <w:rsid w:val="000D5E56"/>
    <w:rsid w:val="000D64B5"/>
    <w:rsid w:val="000D6AD9"/>
    <w:rsid w:val="000D6D2C"/>
    <w:rsid w:val="000D6ED4"/>
    <w:rsid w:val="000D7072"/>
    <w:rsid w:val="000D7261"/>
    <w:rsid w:val="000D77D0"/>
    <w:rsid w:val="000D7AAF"/>
    <w:rsid w:val="000D7BE2"/>
    <w:rsid w:val="000D7F59"/>
    <w:rsid w:val="000E0158"/>
    <w:rsid w:val="000E01DD"/>
    <w:rsid w:val="000E075C"/>
    <w:rsid w:val="000E086F"/>
    <w:rsid w:val="000E0A06"/>
    <w:rsid w:val="000E0ECE"/>
    <w:rsid w:val="000E0F2C"/>
    <w:rsid w:val="000E11A9"/>
    <w:rsid w:val="000E1252"/>
    <w:rsid w:val="000E127B"/>
    <w:rsid w:val="000E12DF"/>
    <w:rsid w:val="000E133C"/>
    <w:rsid w:val="000E1B55"/>
    <w:rsid w:val="000E1B97"/>
    <w:rsid w:val="000E1BC7"/>
    <w:rsid w:val="000E1CF0"/>
    <w:rsid w:val="000E1F2B"/>
    <w:rsid w:val="000E2501"/>
    <w:rsid w:val="000E25A4"/>
    <w:rsid w:val="000E284C"/>
    <w:rsid w:val="000E29F2"/>
    <w:rsid w:val="000E2B8D"/>
    <w:rsid w:val="000E2D2F"/>
    <w:rsid w:val="000E3083"/>
    <w:rsid w:val="000E3182"/>
    <w:rsid w:val="000E36AA"/>
    <w:rsid w:val="000E3718"/>
    <w:rsid w:val="000E3730"/>
    <w:rsid w:val="000E3C6A"/>
    <w:rsid w:val="000E3FD8"/>
    <w:rsid w:val="000E4053"/>
    <w:rsid w:val="000E414F"/>
    <w:rsid w:val="000E4154"/>
    <w:rsid w:val="000E4315"/>
    <w:rsid w:val="000E46FE"/>
    <w:rsid w:val="000E48AD"/>
    <w:rsid w:val="000E4B30"/>
    <w:rsid w:val="000E53C6"/>
    <w:rsid w:val="000E53EE"/>
    <w:rsid w:val="000E56B3"/>
    <w:rsid w:val="000E5A39"/>
    <w:rsid w:val="000E5D8E"/>
    <w:rsid w:val="000E5E42"/>
    <w:rsid w:val="000E614C"/>
    <w:rsid w:val="000E62B1"/>
    <w:rsid w:val="000E63B4"/>
    <w:rsid w:val="000E66FD"/>
    <w:rsid w:val="000E6AEB"/>
    <w:rsid w:val="000E6BE1"/>
    <w:rsid w:val="000E6CC1"/>
    <w:rsid w:val="000E6F8E"/>
    <w:rsid w:val="000E700F"/>
    <w:rsid w:val="000E7207"/>
    <w:rsid w:val="000E736E"/>
    <w:rsid w:val="000E75B8"/>
    <w:rsid w:val="000E762F"/>
    <w:rsid w:val="000E7951"/>
    <w:rsid w:val="000E79C2"/>
    <w:rsid w:val="000E79E8"/>
    <w:rsid w:val="000E7DE5"/>
    <w:rsid w:val="000E7E0B"/>
    <w:rsid w:val="000E7E5E"/>
    <w:rsid w:val="000F0389"/>
    <w:rsid w:val="000F0680"/>
    <w:rsid w:val="000F0783"/>
    <w:rsid w:val="000F08FF"/>
    <w:rsid w:val="000F0DC0"/>
    <w:rsid w:val="000F0E5D"/>
    <w:rsid w:val="000F0F08"/>
    <w:rsid w:val="000F11D9"/>
    <w:rsid w:val="000F13E4"/>
    <w:rsid w:val="000F147D"/>
    <w:rsid w:val="000F1AA8"/>
    <w:rsid w:val="000F1C60"/>
    <w:rsid w:val="000F23E5"/>
    <w:rsid w:val="000F26EE"/>
    <w:rsid w:val="000F2890"/>
    <w:rsid w:val="000F2E97"/>
    <w:rsid w:val="000F34DB"/>
    <w:rsid w:val="000F3B46"/>
    <w:rsid w:val="000F3C29"/>
    <w:rsid w:val="000F3E7A"/>
    <w:rsid w:val="000F43AB"/>
    <w:rsid w:val="000F459D"/>
    <w:rsid w:val="000F4676"/>
    <w:rsid w:val="000F4785"/>
    <w:rsid w:val="000F4A55"/>
    <w:rsid w:val="000F4F09"/>
    <w:rsid w:val="000F5907"/>
    <w:rsid w:val="000F5978"/>
    <w:rsid w:val="000F5FDB"/>
    <w:rsid w:val="000F6366"/>
    <w:rsid w:val="000F6597"/>
    <w:rsid w:val="000F6656"/>
    <w:rsid w:val="000F67AB"/>
    <w:rsid w:val="000F681F"/>
    <w:rsid w:val="000F6861"/>
    <w:rsid w:val="000F6AAD"/>
    <w:rsid w:val="000F71E1"/>
    <w:rsid w:val="000F7993"/>
    <w:rsid w:val="000F7DD2"/>
    <w:rsid w:val="000F7DEF"/>
    <w:rsid w:val="00100110"/>
    <w:rsid w:val="00100290"/>
    <w:rsid w:val="00100583"/>
    <w:rsid w:val="00100629"/>
    <w:rsid w:val="00100660"/>
    <w:rsid w:val="00100791"/>
    <w:rsid w:val="001008C3"/>
    <w:rsid w:val="001008D1"/>
    <w:rsid w:val="00100989"/>
    <w:rsid w:val="00100BDD"/>
    <w:rsid w:val="00101021"/>
    <w:rsid w:val="001011F8"/>
    <w:rsid w:val="0010189B"/>
    <w:rsid w:val="00101949"/>
    <w:rsid w:val="00101A1F"/>
    <w:rsid w:val="00101AEF"/>
    <w:rsid w:val="00101DEC"/>
    <w:rsid w:val="00101E45"/>
    <w:rsid w:val="0010206B"/>
    <w:rsid w:val="001021F0"/>
    <w:rsid w:val="00102844"/>
    <w:rsid w:val="00102AC3"/>
    <w:rsid w:val="00102C28"/>
    <w:rsid w:val="00102DDC"/>
    <w:rsid w:val="001032BA"/>
    <w:rsid w:val="001033EF"/>
    <w:rsid w:val="0010344C"/>
    <w:rsid w:val="0010348F"/>
    <w:rsid w:val="0010374F"/>
    <w:rsid w:val="00103900"/>
    <w:rsid w:val="00103ACA"/>
    <w:rsid w:val="00103D58"/>
    <w:rsid w:val="00103EF7"/>
    <w:rsid w:val="00103FEC"/>
    <w:rsid w:val="00104711"/>
    <w:rsid w:val="00104785"/>
    <w:rsid w:val="00104818"/>
    <w:rsid w:val="0010498F"/>
    <w:rsid w:val="00104D52"/>
    <w:rsid w:val="0010513C"/>
    <w:rsid w:val="0010539B"/>
    <w:rsid w:val="0010567E"/>
    <w:rsid w:val="00105C6B"/>
    <w:rsid w:val="001060FE"/>
    <w:rsid w:val="00106101"/>
    <w:rsid w:val="00106598"/>
    <w:rsid w:val="001065B3"/>
    <w:rsid w:val="001066A9"/>
    <w:rsid w:val="001066FE"/>
    <w:rsid w:val="00106CF1"/>
    <w:rsid w:val="001072F3"/>
    <w:rsid w:val="00107303"/>
    <w:rsid w:val="0010768E"/>
    <w:rsid w:val="00107A1B"/>
    <w:rsid w:val="0011007C"/>
    <w:rsid w:val="0011014E"/>
    <w:rsid w:val="00110269"/>
    <w:rsid w:val="001103F5"/>
    <w:rsid w:val="001106D0"/>
    <w:rsid w:val="001107F1"/>
    <w:rsid w:val="0011082C"/>
    <w:rsid w:val="00110B8F"/>
    <w:rsid w:val="00110C0A"/>
    <w:rsid w:val="00110E60"/>
    <w:rsid w:val="00110F7B"/>
    <w:rsid w:val="0011141A"/>
    <w:rsid w:val="001114CD"/>
    <w:rsid w:val="00111822"/>
    <w:rsid w:val="00111924"/>
    <w:rsid w:val="00111C5D"/>
    <w:rsid w:val="00111C93"/>
    <w:rsid w:val="0011204F"/>
    <w:rsid w:val="00112055"/>
    <w:rsid w:val="0011209D"/>
    <w:rsid w:val="0011229A"/>
    <w:rsid w:val="0011249D"/>
    <w:rsid w:val="00112945"/>
    <w:rsid w:val="00112A33"/>
    <w:rsid w:val="00112AAF"/>
    <w:rsid w:val="00112CE7"/>
    <w:rsid w:val="00112E7D"/>
    <w:rsid w:val="00112F49"/>
    <w:rsid w:val="001133A3"/>
    <w:rsid w:val="001136DF"/>
    <w:rsid w:val="00113C48"/>
    <w:rsid w:val="00113CB3"/>
    <w:rsid w:val="001145F1"/>
    <w:rsid w:val="0011460D"/>
    <w:rsid w:val="00114774"/>
    <w:rsid w:val="00114FB1"/>
    <w:rsid w:val="001151A8"/>
    <w:rsid w:val="0011530E"/>
    <w:rsid w:val="001154F2"/>
    <w:rsid w:val="00115681"/>
    <w:rsid w:val="001157B8"/>
    <w:rsid w:val="00115C60"/>
    <w:rsid w:val="00115E11"/>
    <w:rsid w:val="00115E61"/>
    <w:rsid w:val="00115FC8"/>
    <w:rsid w:val="00116033"/>
    <w:rsid w:val="00116251"/>
    <w:rsid w:val="00116540"/>
    <w:rsid w:val="001166A1"/>
    <w:rsid w:val="001167F5"/>
    <w:rsid w:val="0011684C"/>
    <w:rsid w:val="0011697D"/>
    <w:rsid w:val="00116B7F"/>
    <w:rsid w:val="00116F16"/>
    <w:rsid w:val="00117038"/>
    <w:rsid w:val="00117173"/>
    <w:rsid w:val="001172E6"/>
    <w:rsid w:val="001173DA"/>
    <w:rsid w:val="00117588"/>
    <w:rsid w:val="00117810"/>
    <w:rsid w:val="00117A81"/>
    <w:rsid w:val="00117A9F"/>
    <w:rsid w:val="00117BC9"/>
    <w:rsid w:val="00117D5D"/>
    <w:rsid w:val="00117FC9"/>
    <w:rsid w:val="00117FDF"/>
    <w:rsid w:val="0012000C"/>
    <w:rsid w:val="00120420"/>
    <w:rsid w:val="001208F5"/>
    <w:rsid w:val="00120C9E"/>
    <w:rsid w:val="0012119F"/>
    <w:rsid w:val="001211B2"/>
    <w:rsid w:val="00121330"/>
    <w:rsid w:val="001214CC"/>
    <w:rsid w:val="001214EA"/>
    <w:rsid w:val="001214F3"/>
    <w:rsid w:val="00121A79"/>
    <w:rsid w:val="00121BFE"/>
    <w:rsid w:val="00121ED3"/>
    <w:rsid w:val="00122261"/>
    <w:rsid w:val="00122336"/>
    <w:rsid w:val="001224C3"/>
    <w:rsid w:val="00122911"/>
    <w:rsid w:val="001229D5"/>
    <w:rsid w:val="00122BFC"/>
    <w:rsid w:val="00122EC9"/>
    <w:rsid w:val="00123365"/>
    <w:rsid w:val="001239C6"/>
    <w:rsid w:val="00123C29"/>
    <w:rsid w:val="00123D02"/>
    <w:rsid w:val="00123FF7"/>
    <w:rsid w:val="00124A41"/>
    <w:rsid w:val="00124B74"/>
    <w:rsid w:val="00124B8C"/>
    <w:rsid w:val="001254B5"/>
    <w:rsid w:val="00125DEA"/>
    <w:rsid w:val="00125EE1"/>
    <w:rsid w:val="00125F1D"/>
    <w:rsid w:val="001260A4"/>
    <w:rsid w:val="00126151"/>
    <w:rsid w:val="001261BD"/>
    <w:rsid w:val="001262F5"/>
    <w:rsid w:val="001263D3"/>
    <w:rsid w:val="001264EE"/>
    <w:rsid w:val="0012651A"/>
    <w:rsid w:val="001268F4"/>
    <w:rsid w:val="00126A19"/>
    <w:rsid w:val="00126B06"/>
    <w:rsid w:val="00126DAF"/>
    <w:rsid w:val="00127663"/>
    <w:rsid w:val="00127AE2"/>
    <w:rsid w:val="00127BDE"/>
    <w:rsid w:val="001301EE"/>
    <w:rsid w:val="0013034D"/>
    <w:rsid w:val="00130750"/>
    <w:rsid w:val="0013081E"/>
    <w:rsid w:val="001309B8"/>
    <w:rsid w:val="00130AFB"/>
    <w:rsid w:val="00130CED"/>
    <w:rsid w:val="00130F24"/>
    <w:rsid w:val="00131038"/>
    <w:rsid w:val="001313E5"/>
    <w:rsid w:val="001316B5"/>
    <w:rsid w:val="001318E8"/>
    <w:rsid w:val="00132076"/>
    <w:rsid w:val="0013224A"/>
    <w:rsid w:val="001323A6"/>
    <w:rsid w:val="00132429"/>
    <w:rsid w:val="001326B4"/>
    <w:rsid w:val="00132E02"/>
    <w:rsid w:val="00132E77"/>
    <w:rsid w:val="0013301A"/>
    <w:rsid w:val="00133142"/>
    <w:rsid w:val="001331F0"/>
    <w:rsid w:val="001334AB"/>
    <w:rsid w:val="0013353E"/>
    <w:rsid w:val="001335D5"/>
    <w:rsid w:val="00133631"/>
    <w:rsid w:val="001339B5"/>
    <w:rsid w:val="00133A19"/>
    <w:rsid w:val="00133A9E"/>
    <w:rsid w:val="00133AE5"/>
    <w:rsid w:val="00133D97"/>
    <w:rsid w:val="001346CC"/>
    <w:rsid w:val="001347BB"/>
    <w:rsid w:val="00134884"/>
    <w:rsid w:val="00134A1E"/>
    <w:rsid w:val="00134BBF"/>
    <w:rsid w:val="00134E21"/>
    <w:rsid w:val="00134E3A"/>
    <w:rsid w:val="00134F58"/>
    <w:rsid w:val="00134F5B"/>
    <w:rsid w:val="0013545C"/>
    <w:rsid w:val="00135637"/>
    <w:rsid w:val="00135693"/>
    <w:rsid w:val="00135DBA"/>
    <w:rsid w:val="00135F4D"/>
    <w:rsid w:val="001362FE"/>
    <w:rsid w:val="0013640B"/>
    <w:rsid w:val="00136536"/>
    <w:rsid w:val="0013661F"/>
    <w:rsid w:val="001368DC"/>
    <w:rsid w:val="00136986"/>
    <w:rsid w:val="00136A81"/>
    <w:rsid w:val="0013726C"/>
    <w:rsid w:val="00137463"/>
    <w:rsid w:val="001374B7"/>
    <w:rsid w:val="001374F8"/>
    <w:rsid w:val="00137734"/>
    <w:rsid w:val="00137B4D"/>
    <w:rsid w:val="00137E6D"/>
    <w:rsid w:val="00137ECA"/>
    <w:rsid w:val="00140600"/>
    <w:rsid w:val="00140663"/>
    <w:rsid w:val="00140AA3"/>
    <w:rsid w:val="00140CCA"/>
    <w:rsid w:val="00141299"/>
    <w:rsid w:val="00141C5E"/>
    <w:rsid w:val="00141F8E"/>
    <w:rsid w:val="0014230D"/>
    <w:rsid w:val="00142354"/>
    <w:rsid w:val="00142427"/>
    <w:rsid w:val="0014274C"/>
    <w:rsid w:val="001427AC"/>
    <w:rsid w:val="0014283D"/>
    <w:rsid w:val="00142894"/>
    <w:rsid w:val="00142D6C"/>
    <w:rsid w:val="00143143"/>
    <w:rsid w:val="001431E4"/>
    <w:rsid w:val="0014389E"/>
    <w:rsid w:val="00143921"/>
    <w:rsid w:val="00143AE8"/>
    <w:rsid w:val="00144083"/>
    <w:rsid w:val="00144140"/>
    <w:rsid w:val="001441E5"/>
    <w:rsid w:val="00144308"/>
    <w:rsid w:val="0014477D"/>
    <w:rsid w:val="0014499C"/>
    <w:rsid w:val="00144F99"/>
    <w:rsid w:val="00144FB4"/>
    <w:rsid w:val="0014504A"/>
    <w:rsid w:val="00145113"/>
    <w:rsid w:val="00145153"/>
    <w:rsid w:val="001452EF"/>
    <w:rsid w:val="0014543F"/>
    <w:rsid w:val="00145661"/>
    <w:rsid w:val="001456BB"/>
    <w:rsid w:val="00145787"/>
    <w:rsid w:val="0014587D"/>
    <w:rsid w:val="00145A8F"/>
    <w:rsid w:val="00145BE8"/>
    <w:rsid w:val="00145BFD"/>
    <w:rsid w:val="00145CE7"/>
    <w:rsid w:val="00145E08"/>
    <w:rsid w:val="00146058"/>
    <w:rsid w:val="00146134"/>
    <w:rsid w:val="00146231"/>
    <w:rsid w:val="00146441"/>
    <w:rsid w:val="00146581"/>
    <w:rsid w:val="00146593"/>
    <w:rsid w:val="001472C8"/>
    <w:rsid w:val="0014734D"/>
    <w:rsid w:val="00147708"/>
    <w:rsid w:val="00147BCF"/>
    <w:rsid w:val="00147E9C"/>
    <w:rsid w:val="001500B7"/>
    <w:rsid w:val="001500D2"/>
    <w:rsid w:val="001506BC"/>
    <w:rsid w:val="001509CA"/>
    <w:rsid w:val="00150CD3"/>
    <w:rsid w:val="00150E37"/>
    <w:rsid w:val="00150E8E"/>
    <w:rsid w:val="00151040"/>
    <w:rsid w:val="001513F9"/>
    <w:rsid w:val="00151D05"/>
    <w:rsid w:val="00151DD7"/>
    <w:rsid w:val="00151EA1"/>
    <w:rsid w:val="00152286"/>
    <w:rsid w:val="00152438"/>
    <w:rsid w:val="001525D6"/>
    <w:rsid w:val="00152641"/>
    <w:rsid w:val="0015280B"/>
    <w:rsid w:val="00152812"/>
    <w:rsid w:val="001528BE"/>
    <w:rsid w:val="00152901"/>
    <w:rsid w:val="0015293B"/>
    <w:rsid w:val="00152C20"/>
    <w:rsid w:val="00152D12"/>
    <w:rsid w:val="00152DF9"/>
    <w:rsid w:val="00153241"/>
    <w:rsid w:val="00153326"/>
    <w:rsid w:val="00153421"/>
    <w:rsid w:val="00153730"/>
    <w:rsid w:val="00153A1F"/>
    <w:rsid w:val="00153EE9"/>
    <w:rsid w:val="00153F71"/>
    <w:rsid w:val="001540D4"/>
    <w:rsid w:val="00154244"/>
    <w:rsid w:val="001542D6"/>
    <w:rsid w:val="001543F8"/>
    <w:rsid w:val="0015451E"/>
    <w:rsid w:val="001546A7"/>
    <w:rsid w:val="0015492A"/>
    <w:rsid w:val="00154D9C"/>
    <w:rsid w:val="00154DFA"/>
    <w:rsid w:val="00155366"/>
    <w:rsid w:val="001554B0"/>
    <w:rsid w:val="00155761"/>
    <w:rsid w:val="00155793"/>
    <w:rsid w:val="00155A7A"/>
    <w:rsid w:val="001565EE"/>
    <w:rsid w:val="0015667E"/>
    <w:rsid w:val="00156B44"/>
    <w:rsid w:val="00156CF8"/>
    <w:rsid w:val="00156E4E"/>
    <w:rsid w:val="00157027"/>
    <w:rsid w:val="00157309"/>
    <w:rsid w:val="00157323"/>
    <w:rsid w:val="00157778"/>
    <w:rsid w:val="00157943"/>
    <w:rsid w:val="0015795A"/>
    <w:rsid w:val="00157A11"/>
    <w:rsid w:val="00157B9D"/>
    <w:rsid w:val="00157EA3"/>
    <w:rsid w:val="00157F86"/>
    <w:rsid w:val="00160643"/>
    <w:rsid w:val="0016079B"/>
    <w:rsid w:val="00160A12"/>
    <w:rsid w:val="0016125E"/>
    <w:rsid w:val="00161473"/>
    <w:rsid w:val="00161525"/>
    <w:rsid w:val="00161676"/>
    <w:rsid w:val="00161684"/>
    <w:rsid w:val="00161B41"/>
    <w:rsid w:val="00161E43"/>
    <w:rsid w:val="00161F3E"/>
    <w:rsid w:val="001625EB"/>
    <w:rsid w:val="00162676"/>
    <w:rsid w:val="00162790"/>
    <w:rsid w:val="00162A19"/>
    <w:rsid w:val="00162DA5"/>
    <w:rsid w:val="00163127"/>
    <w:rsid w:val="0016331A"/>
    <w:rsid w:val="0016342C"/>
    <w:rsid w:val="001639C7"/>
    <w:rsid w:val="00163B57"/>
    <w:rsid w:val="00163C3D"/>
    <w:rsid w:val="00163F29"/>
    <w:rsid w:val="00164095"/>
    <w:rsid w:val="00164584"/>
    <w:rsid w:val="00164899"/>
    <w:rsid w:val="001649F8"/>
    <w:rsid w:val="00164BD5"/>
    <w:rsid w:val="00164D37"/>
    <w:rsid w:val="00164DD0"/>
    <w:rsid w:val="001659B3"/>
    <w:rsid w:val="001659F0"/>
    <w:rsid w:val="00166979"/>
    <w:rsid w:val="001669F7"/>
    <w:rsid w:val="00166AA6"/>
    <w:rsid w:val="00166CA6"/>
    <w:rsid w:val="00166DCC"/>
    <w:rsid w:val="00166F14"/>
    <w:rsid w:val="00166F2A"/>
    <w:rsid w:val="001670ED"/>
    <w:rsid w:val="0016762B"/>
    <w:rsid w:val="00167641"/>
    <w:rsid w:val="001676C5"/>
    <w:rsid w:val="0016787E"/>
    <w:rsid w:val="0016799B"/>
    <w:rsid w:val="001679EB"/>
    <w:rsid w:val="00167B40"/>
    <w:rsid w:val="00167FB7"/>
    <w:rsid w:val="00170074"/>
    <w:rsid w:val="0017021B"/>
    <w:rsid w:val="00170383"/>
    <w:rsid w:val="00170633"/>
    <w:rsid w:val="001707A1"/>
    <w:rsid w:val="00170BA0"/>
    <w:rsid w:val="00170F47"/>
    <w:rsid w:val="001710AB"/>
    <w:rsid w:val="001711EF"/>
    <w:rsid w:val="00171776"/>
    <w:rsid w:val="00171B7C"/>
    <w:rsid w:val="00171E3A"/>
    <w:rsid w:val="00171E4D"/>
    <w:rsid w:val="00171F9A"/>
    <w:rsid w:val="00172090"/>
    <w:rsid w:val="001720EB"/>
    <w:rsid w:val="0017210F"/>
    <w:rsid w:val="001721E7"/>
    <w:rsid w:val="00172512"/>
    <w:rsid w:val="0017265F"/>
    <w:rsid w:val="00172881"/>
    <w:rsid w:val="00172A9D"/>
    <w:rsid w:val="00172AAD"/>
    <w:rsid w:val="00172B84"/>
    <w:rsid w:val="00172F4A"/>
    <w:rsid w:val="0017316E"/>
    <w:rsid w:val="00173187"/>
    <w:rsid w:val="001731E1"/>
    <w:rsid w:val="00173602"/>
    <w:rsid w:val="00173AF8"/>
    <w:rsid w:val="00173BD1"/>
    <w:rsid w:val="00173C42"/>
    <w:rsid w:val="00173CCA"/>
    <w:rsid w:val="00173D8A"/>
    <w:rsid w:val="00173EC9"/>
    <w:rsid w:val="00173FC3"/>
    <w:rsid w:val="00173FDC"/>
    <w:rsid w:val="0017416C"/>
    <w:rsid w:val="0017423D"/>
    <w:rsid w:val="0017429D"/>
    <w:rsid w:val="001744B7"/>
    <w:rsid w:val="0017464C"/>
    <w:rsid w:val="0017468E"/>
    <w:rsid w:val="001748CA"/>
    <w:rsid w:val="00174E35"/>
    <w:rsid w:val="00174E4C"/>
    <w:rsid w:val="00175031"/>
    <w:rsid w:val="0017535D"/>
    <w:rsid w:val="0017538B"/>
    <w:rsid w:val="001756EA"/>
    <w:rsid w:val="00175F7D"/>
    <w:rsid w:val="00176177"/>
    <w:rsid w:val="001761E0"/>
    <w:rsid w:val="0017620F"/>
    <w:rsid w:val="001764A0"/>
    <w:rsid w:val="001764CE"/>
    <w:rsid w:val="00176879"/>
    <w:rsid w:val="001768BE"/>
    <w:rsid w:val="00176C3C"/>
    <w:rsid w:val="00176FF4"/>
    <w:rsid w:val="00177597"/>
    <w:rsid w:val="0017771A"/>
    <w:rsid w:val="00177997"/>
    <w:rsid w:val="001779E2"/>
    <w:rsid w:val="00177B1D"/>
    <w:rsid w:val="00177C1A"/>
    <w:rsid w:val="00180173"/>
    <w:rsid w:val="0018031C"/>
    <w:rsid w:val="0018036C"/>
    <w:rsid w:val="00180B72"/>
    <w:rsid w:val="00180C67"/>
    <w:rsid w:val="0018106C"/>
    <w:rsid w:val="001814C0"/>
    <w:rsid w:val="001815BD"/>
    <w:rsid w:val="001819AA"/>
    <w:rsid w:val="00181AA4"/>
    <w:rsid w:val="00181ECC"/>
    <w:rsid w:val="00181F2C"/>
    <w:rsid w:val="00181F41"/>
    <w:rsid w:val="0018206E"/>
    <w:rsid w:val="00182153"/>
    <w:rsid w:val="001824FF"/>
    <w:rsid w:val="00182921"/>
    <w:rsid w:val="00182E18"/>
    <w:rsid w:val="00182FDE"/>
    <w:rsid w:val="001830DC"/>
    <w:rsid w:val="0018358E"/>
    <w:rsid w:val="001837EB"/>
    <w:rsid w:val="00183DB7"/>
    <w:rsid w:val="00183E31"/>
    <w:rsid w:val="001841D5"/>
    <w:rsid w:val="001843DC"/>
    <w:rsid w:val="001845EA"/>
    <w:rsid w:val="001847E6"/>
    <w:rsid w:val="00184942"/>
    <w:rsid w:val="0018494B"/>
    <w:rsid w:val="001849AA"/>
    <w:rsid w:val="00184A74"/>
    <w:rsid w:val="00184B49"/>
    <w:rsid w:val="00184E85"/>
    <w:rsid w:val="00184F4E"/>
    <w:rsid w:val="00184FAA"/>
    <w:rsid w:val="00184FB3"/>
    <w:rsid w:val="001854A5"/>
    <w:rsid w:val="001854E4"/>
    <w:rsid w:val="00185819"/>
    <w:rsid w:val="001858F7"/>
    <w:rsid w:val="00185C12"/>
    <w:rsid w:val="00186190"/>
    <w:rsid w:val="00186370"/>
    <w:rsid w:val="00186534"/>
    <w:rsid w:val="00186552"/>
    <w:rsid w:val="0018661D"/>
    <w:rsid w:val="00186B38"/>
    <w:rsid w:val="00186BCA"/>
    <w:rsid w:val="00186ED2"/>
    <w:rsid w:val="0018758C"/>
    <w:rsid w:val="00187623"/>
    <w:rsid w:val="0018771F"/>
    <w:rsid w:val="00187763"/>
    <w:rsid w:val="00187A5D"/>
    <w:rsid w:val="00187B6F"/>
    <w:rsid w:val="001900DF"/>
    <w:rsid w:val="0019015D"/>
    <w:rsid w:val="00190383"/>
    <w:rsid w:val="001906D5"/>
    <w:rsid w:val="00190820"/>
    <w:rsid w:val="00190C9D"/>
    <w:rsid w:val="00190D71"/>
    <w:rsid w:val="00191033"/>
    <w:rsid w:val="0019114F"/>
    <w:rsid w:val="0019133B"/>
    <w:rsid w:val="001913AF"/>
    <w:rsid w:val="00191431"/>
    <w:rsid w:val="00191568"/>
    <w:rsid w:val="001918D0"/>
    <w:rsid w:val="00191A00"/>
    <w:rsid w:val="00191A83"/>
    <w:rsid w:val="00191CC5"/>
    <w:rsid w:val="001920CC"/>
    <w:rsid w:val="00192425"/>
    <w:rsid w:val="001924D8"/>
    <w:rsid w:val="001925AC"/>
    <w:rsid w:val="00192840"/>
    <w:rsid w:val="0019287B"/>
    <w:rsid w:val="00192ADE"/>
    <w:rsid w:val="00192B5F"/>
    <w:rsid w:val="00192C53"/>
    <w:rsid w:val="0019313C"/>
    <w:rsid w:val="0019318D"/>
    <w:rsid w:val="00193395"/>
    <w:rsid w:val="001934B4"/>
    <w:rsid w:val="00193547"/>
    <w:rsid w:val="001936D4"/>
    <w:rsid w:val="0019398A"/>
    <w:rsid w:val="00193AE8"/>
    <w:rsid w:val="00193C03"/>
    <w:rsid w:val="00193C79"/>
    <w:rsid w:val="00193F78"/>
    <w:rsid w:val="00194042"/>
    <w:rsid w:val="001941D6"/>
    <w:rsid w:val="00194336"/>
    <w:rsid w:val="00194602"/>
    <w:rsid w:val="00194637"/>
    <w:rsid w:val="0019471D"/>
    <w:rsid w:val="0019495C"/>
    <w:rsid w:val="001949AF"/>
    <w:rsid w:val="00194ED5"/>
    <w:rsid w:val="00194FCF"/>
    <w:rsid w:val="0019505D"/>
    <w:rsid w:val="001950FD"/>
    <w:rsid w:val="0019514F"/>
    <w:rsid w:val="00195270"/>
    <w:rsid w:val="00195316"/>
    <w:rsid w:val="00195566"/>
    <w:rsid w:val="00195830"/>
    <w:rsid w:val="00195849"/>
    <w:rsid w:val="00195896"/>
    <w:rsid w:val="00195A1B"/>
    <w:rsid w:val="00195E12"/>
    <w:rsid w:val="00195F96"/>
    <w:rsid w:val="001965BF"/>
    <w:rsid w:val="00196995"/>
    <w:rsid w:val="00196D6B"/>
    <w:rsid w:val="00197369"/>
    <w:rsid w:val="00197582"/>
    <w:rsid w:val="00197758"/>
    <w:rsid w:val="00197E21"/>
    <w:rsid w:val="001A0501"/>
    <w:rsid w:val="001A0629"/>
    <w:rsid w:val="001A07F7"/>
    <w:rsid w:val="001A0AFF"/>
    <w:rsid w:val="001A1459"/>
    <w:rsid w:val="001A165E"/>
    <w:rsid w:val="001A195B"/>
    <w:rsid w:val="001A19DE"/>
    <w:rsid w:val="001A1A64"/>
    <w:rsid w:val="001A1C57"/>
    <w:rsid w:val="001A1D4A"/>
    <w:rsid w:val="001A1F46"/>
    <w:rsid w:val="001A2177"/>
    <w:rsid w:val="001A311B"/>
    <w:rsid w:val="001A364D"/>
    <w:rsid w:val="001A3A8B"/>
    <w:rsid w:val="001A44A4"/>
    <w:rsid w:val="001A451E"/>
    <w:rsid w:val="001A4BE7"/>
    <w:rsid w:val="001A4CAD"/>
    <w:rsid w:val="001A4D98"/>
    <w:rsid w:val="001A50E7"/>
    <w:rsid w:val="001A50F9"/>
    <w:rsid w:val="001A523E"/>
    <w:rsid w:val="001A549F"/>
    <w:rsid w:val="001A5640"/>
    <w:rsid w:val="001A57E5"/>
    <w:rsid w:val="001A59B3"/>
    <w:rsid w:val="001A5DD7"/>
    <w:rsid w:val="001A5EC0"/>
    <w:rsid w:val="001A6204"/>
    <w:rsid w:val="001A6CEA"/>
    <w:rsid w:val="001A6FC9"/>
    <w:rsid w:val="001A737F"/>
    <w:rsid w:val="001A7482"/>
    <w:rsid w:val="001A7B15"/>
    <w:rsid w:val="001A7C73"/>
    <w:rsid w:val="001B0236"/>
    <w:rsid w:val="001B03F3"/>
    <w:rsid w:val="001B0482"/>
    <w:rsid w:val="001B058D"/>
    <w:rsid w:val="001B0989"/>
    <w:rsid w:val="001B0A55"/>
    <w:rsid w:val="001B0C96"/>
    <w:rsid w:val="001B1722"/>
    <w:rsid w:val="001B175D"/>
    <w:rsid w:val="001B1AA2"/>
    <w:rsid w:val="001B2010"/>
    <w:rsid w:val="001B23E5"/>
    <w:rsid w:val="001B241D"/>
    <w:rsid w:val="001B25A1"/>
    <w:rsid w:val="001B2802"/>
    <w:rsid w:val="001B2A5F"/>
    <w:rsid w:val="001B2F34"/>
    <w:rsid w:val="001B2F42"/>
    <w:rsid w:val="001B2F53"/>
    <w:rsid w:val="001B3010"/>
    <w:rsid w:val="001B305D"/>
    <w:rsid w:val="001B331E"/>
    <w:rsid w:val="001B3DBC"/>
    <w:rsid w:val="001B40AB"/>
    <w:rsid w:val="001B4147"/>
    <w:rsid w:val="001B4171"/>
    <w:rsid w:val="001B4342"/>
    <w:rsid w:val="001B4376"/>
    <w:rsid w:val="001B482F"/>
    <w:rsid w:val="001B4A83"/>
    <w:rsid w:val="001B4E15"/>
    <w:rsid w:val="001B524F"/>
    <w:rsid w:val="001B56A5"/>
    <w:rsid w:val="001B56E0"/>
    <w:rsid w:val="001B5A05"/>
    <w:rsid w:val="001B6329"/>
    <w:rsid w:val="001B641B"/>
    <w:rsid w:val="001B65B1"/>
    <w:rsid w:val="001B65FA"/>
    <w:rsid w:val="001B6720"/>
    <w:rsid w:val="001B683C"/>
    <w:rsid w:val="001B691F"/>
    <w:rsid w:val="001B6EF0"/>
    <w:rsid w:val="001B7088"/>
    <w:rsid w:val="001B7497"/>
    <w:rsid w:val="001B76B4"/>
    <w:rsid w:val="001B780B"/>
    <w:rsid w:val="001B791B"/>
    <w:rsid w:val="001B7C9A"/>
    <w:rsid w:val="001B7CF4"/>
    <w:rsid w:val="001B7F79"/>
    <w:rsid w:val="001C01FA"/>
    <w:rsid w:val="001C021B"/>
    <w:rsid w:val="001C02F3"/>
    <w:rsid w:val="001C03A1"/>
    <w:rsid w:val="001C03B5"/>
    <w:rsid w:val="001C042C"/>
    <w:rsid w:val="001C071A"/>
    <w:rsid w:val="001C0DB5"/>
    <w:rsid w:val="001C0E81"/>
    <w:rsid w:val="001C0FE4"/>
    <w:rsid w:val="001C114D"/>
    <w:rsid w:val="001C1168"/>
    <w:rsid w:val="001C17ED"/>
    <w:rsid w:val="001C1A53"/>
    <w:rsid w:val="001C1B5B"/>
    <w:rsid w:val="001C1C62"/>
    <w:rsid w:val="001C1C83"/>
    <w:rsid w:val="001C1CAD"/>
    <w:rsid w:val="001C2176"/>
    <w:rsid w:val="001C2274"/>
    <w:rsid w:val="001C2352"/>
    <w:rsid w:val="001C2429"/>
    <w:rsid w:val="001C2613"/>
    <w:rsid w:val="001C277D"/>
    <w:rsid w:val="001C320A"/>
    <w:rsid w:val="001C3231"/>
    <w:rsid w:val="001C370E"/>
    <w:rsid w:val="001C382E"/>
    <w:rsid w:val="001C3884"/>
    <w:rsid w:val="001C38FB"/>
    <w:rsid w:val="001C4015"/>
    <w:rsid w:val="001C4096"/>
    <w:rsid w:val="001C4616"/>
    <w:rsid w:val="001C4741"/>
    <w:rsid w:val="001C494E"/>
    <w:rsid w:val="001C4BAE"/>
    <w:rsid w:val="001C4DCA"/>
    <w:rsid w:val="001C4DE3"/>
    <w:rsid w:val="001C4F7E"/>
    <w:rsid w:val="001C5034"/>
    <w:rsid w:val="001C524E"/>
    <w:rsid w:val="001C5303"/>
    <w:rsid w:val="001C5427"/>
    <w:rsid w:val="001C549A"/>
    <w:rsid w:val="001C567C"/>
    <w:rsid w:val="001C57CC"/>
    <w:rsid w:val="001C57D2"/>
    <w:rsid w:val="001C5881"/>
    <w:rsid w:val="001C5957"/>
    <w:rsid w:val="001C5CDF"/>
    <w:rsid w:val="001C6205"/>
    <w:rsid w:val="001C6258"/>
    <w:rsid w:val="001C6893"/>
    <w:rsid w:val="001C6AFD"/>
    <w:rsid w:val="001C6C63"/>
    <w:rsid w:val="001C6DC5"/>
    <w:rsid w:val="001C6DED"/>
    <w:rsid w:val="001C6E79"/>
    <w:rsid w:val="001C7468"/>
    <w:rsid w:val="001C7485"/>
    <w:rsid w:val="001C7633"/>
    <w:rsid w:val="001C7692"/>
    <w:rsid w:val="001C76A1"/>
    <w:rsid w:val="001C7872"/>
    <w:rsid w:val="001C7C78"/>
    <w:rsid w:val="001D013E"/>
    <w:rsid w:val="001D0202"/>
    <w:rsid w:val="001D0228"/>
    <w:rsid w:val="001D053D"/>
    <w:rsid w:val="001D0696"/>
    <w:rsid w:val="001D085F"/>
    <w:rsid w:val="001D08D7"/>
    <w:rsid w:val="001D0BE0"/>
    <w:rsid w:val="001D0C37"/>
    <w:rsid w:val="001D0D2C"/>
    <w:rsid w:val="001D0DE6"/>
    <w:rsid w:val="001D0E5F"/>
    <w:rsid w:val="001D0FC7"/>
    <w:rsid w:val="001D1295"/>
    <w:rsid w:val="001D15A4"/>
    <w:rsid w:val="001D165A"/>
    <w:rsid w:val="001D183F"/>
    <w:rsid w:val="001D1A37"/>
    <w:rsid w:val="001D1FC1"/>
    <w:rsid w:val="001D2196"/>
    <w:rsid w:val="001D22B9"/>
    <w:rsid w:val="001D243F"/>
    <w:rsid w:val="001D25F6"/>
    <w:rsid w:val="001D293B"/>
    <w:rsid w:val="001D2DD4"/>
    <w:rsid w:val="001D2E72"/>
    <w:rsid w:val="001D2E8B"/>
    <w:rsid w:val="001D2ED8"/>
    <w:rsid w:val="001D2FCB"/>
    <w:rsid w:val="001D32EA"/>
    <w:rsid w:val="001D3458"/>
    <w:rsid w:val="001D37F1"/>
    <w:rsid w:val="001D3A99"/>
    <w:rsid w:val="001D3B6F"/>
    <w:rsid w:val="001D4106"/>
    <w:rsid w:val="001D44E2"/>
    <w:rsid w:val="001D45E8"/>
    <w:rsid w:val="001D49E2"/>
    <w:rsid w:val="001D4B55"/>
    <w:rsid w:val="001D4D9F"/>
    <w:rsid w:val="001D59A1"/>
    <w:rsid w:val="001D601F"/>
    <w:rsid w:val="001D60C1"/>
    <w:rsid w:val="001D6268"/>
    <w:rsid w:val="001D637F"/>
    <w:rsid w:val="001D6793"/>
    <w:rsid w:val="001D687C"/>
    <w:rsid w:val="001D69E9"/>
    <w:rsid w:val="001D721A"/>
    <w:rsid w:val="001D721C"/>
    <w:rsid w:val="001D77D6"/>
    <w:rsid w:val="001D7B92"/>
    <w:rsid w:val="001D7CCC"/>
    <w:rsid w:val="001D7F04"/>
    <w:rsid w:val="001D7F8C"/>
    <w:rsid w:val="001E0197"/>
    <w:rsid w:val="001E02FE"/>
    <w:rsid w:val="001E0425"/>
    <w:rsid w:val="001E0469"/>
    <w:rsid w:val="001E0778"/>
    <w:rsid w:val="001E07DC"/>
    <w:rsid w:val="001E08BB"/>
    <w:rsid w:val="001E1476"/>
    <w:rsid w:val="001E1624"/>
    <w:rsid w:val="001E1648"/>
    <w:rsid w:val="001E19FA"/>
    <w:rsid w:val="001E1B97"/>
    <w:rsid w:val="001E1E0D"/>
    <w:rsid w:val="001E2133"/>
    <w:rsid w:val="001E2397"/>
    <w:rsid w:val="001E2449"/>
    <w:rsid w:val="001E24D8"/>
    <w:rsid w:val="001E269B"/>
    <w:rsid w:val="001E2811"/>
    <w:rsid w:val="001E28D4"/>
    <w:rsid w:val="001E2B4C"/>
    <w:rsid w:val="001E2D99"/>
    <w:rsid w:val="001E2F2C"/>
    <w:rsid w:val="001E32C5"/>
    <w:rsid w:val="001E3620"/>
    <w:rsid w:val="001E39E2"/>
    <w:rsid w:val="001E3BC3"/>
    <w:rsid w:val="001E3F62"/>
    <w:rsid w:val="001E3F92"/>
    <w:rsid w:val="001E43C4"/>
    <w:rsid w:val="001E494C"/>
    <w:rsid w:val="001E4A50"/>
    <w:rsid w:val="001E53B7"/>
    <w:rsid w:val="001E55CF"/>
    <w:rsid w:val="001E55DD"/>
    <w:rsid w:val="001E5758"/>
    <w:rsid w:val="001E576A"/>
    <w:rsid w:val="001E59D3"/>
    <w:rsid w:val="001E5E4D"/>
    <w:rsid w:val="001E66DF"/>
    <w:rsid w:val="001E6830"/>
    <w:rsid w:val="001E6832"/>
    <w:rsid w:val="001E6E26"/>
    <w:rsid w:val="001E6E66"/>
    <w:rsid w:val="001E6E75"/>
    <w:rsid w:val="001E721F"/>
    <w:rsid w:val="001E72E2"/>
    <w:rsid w:val="001E7417"/>
    <w:rsid w:val="001E77F4"/>
    <w:rsid w:val="001E7DF2"/>
    <w:rsid w:val="001E7EA0"/>
    <w:rsid w:val="001F001F"/>
    <w:rsid w:val="001F0289"/>
    <w:rsid w:val="001F0426"/>
    <w:rsid w:val="001F0776"/>
    <w:rsid w:val="001F07E4"/>
    <w:rsid w:val="001F0D1E"/>
    <w:rsid w:val="001F108E"/>
    <w:rsid w:val="001F12C0"/>
    <w:rsid w:val="001F13D5"/>
    <w:rsid w:val="001F14C8"/>
    <w:rsid w:val="001F160B"/>
    <w:rsid w:val="001F1622"/>
    <w:rsid w:val="001F18A7"/>
    <w:rsid w:val="001F1C49"/>
    <w:rsid w:val="001F1EA7"/>
    <w:rsid w:val="001F1FDB"/>
    <w:rsid w:val="001F2194"/>
    <w:rsid w:val="001F2359"/>
    <w:rsid w:val="001F2462"/>
    <w:rsid w:val="001F265D"/>
    <w:rsid w:val="001F2A85"/>
    <w:rsid w:val="001F2EC6"/>
    <w:rsid w:val="001F32BB"/>
    <w:rsid w:val="001F3303"/>
    <w:rsid w:val="001F3633"/>
    <w:rsid w:val="001F36FB"/>
    <w:rsid w:val="001F37F5"/>
    <w:rsid w:val="001F3B64"/>
    <w:rsid w:val="001F426C"/>
    <w:rsid w:val="001F4368"/>
    <w:rsid w:val="001F4704"/>
    <w:rsid w:val="001F4709"/>
    <w:rsid w:val="001F4932"/>
    <w:rsid w:val="001F498B"/>
    <w:rsid w:val="001F4AAE"/>
    <w:rsid w:val="001F555E"/>
    <w:rsid w:val="001F5910"/>
    <w:rsid w:val="001F5C2F"/>
    <w:rsid w:val="001F5FCC"/>
    <w:rsid w:val="001F62B8"/>
    <w:rsid w:val="001F62FD"/>
    <w:rsid w:val="001F64D9"/>
    <w:rsid w:val="001F6615"/>
    <w:rsid w:val="001F68EE"/>
    <w:rsid w:val="001F69AA"/>
    <w:rsid w:val="001F6CF6"/>
    <w:rsid w:val="001F6DD5"/>
    <w:rsid w:val="001F6E32"/>
    <w:rsid w:val="001F713A"/>
    <w:rsid w:val="001F7246"/>
    <w:rsid w:val="001F753D"/>
    <w:rsid w:val="001F7846"/>
    <w:rsid w:val="001F789D"/>
    <w:rsid w:val="001F78F6"/>
    <w:rsid w:val="001F7A02"/>
    <w:rsid w:val="001F7D8E"/>
    <w:rsid w:val="0020010A"/>
    <w:rsid w:val="0020043C"/>
    <w:rsid w:val="002006A2"/>
    <w:rsid w:val="00200762"/>
    <w:rsid w:val="00200C43"/>
    <w:rsid w:val="00200D3B"/>
    <w:rsid w:val="00200F00"/>
    <w:rsid w:val="0020109B"/>
    <w:rsid w:val="0020146D"/>
    <w:rsid w:val="0020174D"/>
    <w:rsid w:val="0020187C"/>
    <w:rsid w:val="002022ED"/>
    <w:rsid w:val="00202310"/>
    <w:rsid w:val="0020270E"/>
    <w:rsid w:val="00202A7D"/>
    <w:rsid w:val="00202F4E"/>
    <w:rsid w:val="00203223"/>
    <w:rsid w:val="00203404"/>
    <w:rsid w:val="002034E9"/>
    <w:rsid w:val="00203ACE"/>
    <w:rsid w:val="00203CC7"/>
    <w:rsid w:val="00203DA8"/>
    <w:rsid w:val="002040DA"/>
    <w:rsid w:val="002040E9"/>
    <w:rsid w:val="00204973"/>
    <w:rsid w:val="00204B84"/>
    <w:rsid w:val="00204DA6"/>
    <w:rsid w:val="00204F1C"/>
    <w:rsid w:val="00204F6A"/>
    <w:rsid w:val="00205002"/>
    <w:rsid w:val="0020557B"/>
    <w:rsid w:val="00205BEE"/>
    <w:rsid w:val="00205DE5"/>
    <w:rsid w:val="00205E92"/>
    <w:rsid w:val="00206906"/>
    <w:rsid w:val="002069F3"/>
    <w:rsid w:val="00206BC0"/>
    <w:rsid w:val="00207028"/>
    <w:rsid w:val="00207240"/>
    <w:rsid w:val="00207652"/>
    <w:rsid w:val="002078B8"/>
    <w:rsid w:val="0020798D"/>
    <w:rsid w:val="00210149"/>
    <w:rsid w:val="002105CF"/>
    <w:rsid w:val="00210A96"/>
    <w:rsid w:val="00210C8F"/>
    <w:rsid w:val="00210DC9"/>
    <w:rsid w:val="00210E0A"/>
    <w:rsid w:val="00211033"/>
    <w:rsid w:val="0021104B"/>
    <w:rsid w:val="00211496"/>
    <w:rsid w:val="00211721"/>
    <w:rsid w:val="00211ACB"/>
    <w:rsid w:val="00211DF8"/>
    <w:rsid w:val="00211E7A"/>
    <w:rsid w:val="00211F81"/>
    <w:rsid w:val="00211FB0"/>
    <w:rsid w:val="00212160"/>
    <w:rsid w:val="002123A1"/>
    <w:rsid w:val="00212CD7"/>
    <w:rsid w:val="00212E75"/>
    <w:rsid w:val="0021300B"/>
    <w:rsid w:val="0021342C"/>
    <w:rsid w:val="00213615"/>
    <w:rsid w:val="00213857"/>
    <w:rsid w:val="002138FE"/>
    <w:rsid w:val="00213901"/>
    <w:rsid w:val="00213D90"/>
    <w:rsid w:val="00213E8F"/>
    <w:rsid w:val="00213F14"/>
    <w:rsid w:val="00213F56"/>
    <w:rsid w:val="002147CC"/>
    <w:rsid w:val="00214934"/>
    <w:rsid w:val="00214B22"/>
    <w:rsid w:val="00214E17"/>
    <w:rsid w:val="00214F3C"/>
    <w:rsid w:val="00215470"/>
    <w:rsid w:val="00215497"/>
    <w:rsid w:val="00215817"/>
    <w:rsid w:val="002159D0"/>
    <w:rsid w:val="00215A6F"/>
    <w:rsid w:val="00215A78"/>
    <w:rsid w:val="00215B98"/>
    <w:rsid w:val="00215BEA"/>
    <w:rsid w:val="00215C69"/>
    <w:rsid w:val="00215F93"/>
    <w:rsid w:val="002162BB"/>
    <w:rsid w:val="002162D1"/>
    <w:rsid w:val="0021631A"/>
    <w:rsid w:val="002163A4"/>
    <w:rsid w:val="00216649"/>
    <w:rsid w:val="00216652"/>
    <w:rsid w:val="0021698C"/>
    <w:rsid w:val="00216D3A"/>
    <w:rsid w:val="00216DDF"/>
    <w:rsid w:val="002170B6"/>
    <w:rsid w:val="002175F3"/>
    <w:rsid w:val="0021775A"/>
    <w:rsid w:val="002177BD"/>
    <w:rsid w:val="0021785F"/>
    <w:rsid w:val="002210C3"/>
    <w:rsid w:val="0022112F"/>
    <w:rsid w:val="0022115C"/>
    <w:rsid w:val="0022131C"/>
    <w:rsid w:val="002213D8"/>
    <w:rsid w:val="002216F2"/>
    <w:rsid w:val="00221995"/>
    <w:rsid w:val="002219BB"/>
    <w:rsid w:val="00221DA0"/>
    <w:rsid w:val="00222089"/>
    <w:rsid w:val="002221AF"/>
    <w:rsid w:val="002223C5"/>
    <w:rsid w:val="0022250D"/>
    <w:rsid w:val="002226BD"/>
    <w:rsid w:val="002228BC"/>
    <w:rsid w:val="00222916"/>
    <w:rsid w:val="00222CBD"/>
    <w:rsid w:val="00223082"/>
    <w:rsid w:val="00223161"/>
    <w:rsid w:val="0022328B"/>
    <w:rsid w:val="0022332F"/>
    <w:rsid w:val="00223569"/>
    <w:rsid w:val="002235EF"/>
    <w:rsid w:val="002236D0"/>
    <w:rsid w:val="002237F5"/>
    <w:rsid w:val="00223CF3"/>
    <w:rsid w:val="00223FAF"/>
    <w:rsid w:val="002241A6"/>
    <w:rsid w:val="00224420"/>
    <w:rsid w:val="00224469"/>
    <w:rsid w:val="002244BE"/>
    <w:rsid w:val="002245A7"/>
    <w:rsid w:val="002248DC"/>
    <w:rsid w:val="00224BD1"/>
    <w:rsid w:val="00224CCA"/>
    <w:rsid w:val="00224FDE"/>
    <w:rsid w:val="00224FE9"/>
    <w:rsid w:val="0022534F"/>
    <w:rsid w:val="00225487"/>
    <w:rsid w:val="0022557B"/>
    <w:rsid w:val="0022577D"/>
    <w:rsid w:val="00225AE1"/>
    <w:rsid w:val="00225D13"/>
    <w:rsid w:val="00225D6D"/>
    <w:rsid w:val="00226093"/>
    <w:rsid w:val="0022622C"/>
    <w:rsid w:val="002267C7"/>
    <w:rsid w:val="002269EF"/>
    <w:rsid w:val="00226AEA"/>
    <w:rsid w:val="00226C2D"/>
    <w:rsid w:val="00226E16"/>
    <w:rsid w:val="002270FA"/>
    <w:rsid w:val="002271E0"/>
    <w:rsid w:val="0022721C"/>
    <w:rsid w:val="002272AC"/>
    <w:rsid w:val="00227AEC"/>
    <w:rsid w:val="00227DF7"/>
    <w:rsid w:val="00230138"/>
    <w:rsid w:val="00230236"/>
    <w:rsid w:val="002302B0"/>
    <w:rsid w:val="00230421"/>
    <w:rsid w:val="00230446"/>
    <w:rsid w:val="002304F2"/>
    <w:rsid w:val="00230663"/>
    <w:rsid w:val="00230675"/>
    <w:rsid w:val="00230694"/>
    <w:rsid w:val="00230875"/>
    <w:rsid w:val="002309AA"/>
    <w:rsid w:val="002309B9"/>
    <w:rsid w:val="00230BF6"/>
    <w:rsid w:val="00230D8F"/>
    <w:rsid w:val="00230FA2"/>
    <w:rsid w:val="0023106E"/>
    <w:rsid w:val="00231132"/>
    <w:rsid w:val="002314C4"/>
    <w:rsid w:val="002314D0"/>
    <w:rsid w:val="00231505"/>
    <w:rsid w:val="0023187D"/>
    <w:rsid w:val="00231A0E"/>
    <w:rsid w:val="00231BB2"/>
    <w:rsid w:val="00231CB4"/>
    <w:rsid w:val="00232071"/>
    <w:rsid w:val="0023242F"/>
    <w:rsid w:val="0023259E"/>
    <w:rsid w:val="002326D2"/>
    <w:rsid w:val="002326DD"/>
    <w:rsid w:val="00232881"/>
    <w:rsid w:val="00232A09"/>
    <w:rsid w:val="00232A1E"/>
    <w:rsid w:val="00232B76"/>
    <w:rsid w:val="00233232"/>
    <w:rsid w:val="00233535"/>
    <w:rsid w:val="0023358A"/>
    <w:rsid w:val="00233B5F"/>
    <w:rsid w:val="00233FE3"/>
    <w:rsid w:val="0023410F"/>
    <w:rsid w:val="00234518"/>
    <w:rsid w:val="0023452A"/>
    <w:rsid w:val="002349E2"/>
    <w:rsid w:val="00234BC7"/>
    <w:rsid w:val="00234E43"/>
    <w:rsid w:val="00235042"/>
    <w:rsid w:val="0023509F"/>
    <w:rsid w:val="0023510C"/>
    <w:rsid w:val="0023543F"/>
    <w:rsid w:val="00235853"/>
    <w:rsid w:val="00235B6C"/>
    <w:rsid w:val="00236059"/>
    <w:rsid w:val="002360A2"/>
    <w:rsid w:val="00236570"/>
    <w:rsid w:val="00236615"/>
    <w:rsid w:val="0023663D"/>
    <w:rsid w:val="00236651"/>
    <w:rsid w:val="002369E6"/>
    <w:rsid w:val="00236A9C"/>
    <w:rsid w:val="00236AB8"/>
    <w:rsid w:val="00236DC1"/>
    <w:rsid w:val="00236FC6"/>
    <w:rsid w:val="00237192"/>
    <w:rsid w:val="0023744B"/>
    <w:rsid w:val="002375FD"/>
    <w:rsid w:val="00237A53"/>
    <w:rsid w:val="00237A6E"/>
    <w:rsid w:val="00237A9E"/>
    <w:rsid w:val="00237EAE"/>
    <w:rsid w:val="002403C5"/>
    <w:rsid w:val="00240933"/>
    <w:rsid w:val="002409E7"/>
    <w:rsid w:val="00240A61"/>
    <w:rsid w:val="00240BF2"/>
    <w:rsid w:val="00240C4B"/>
    <w:rsid w:val="00240DB4"/>
    <w:rsid w:val="00241005"/>
    <w:rsid w:val="00241043"/>
    <w:rsid w:val="002410C8"/>
    <w:rsid w:val="002411C2"/>
    <w:rsid w:val="002411E8"/>
    <w:rsid w:val="00241433"/>
    <w:rsid w:val="00241A59"/>
    <w:rsid w:val="00241AF6"/>
    <w:rsid w:val="00241C59"/>
    <w:rsid w:val="00242548"/>
    <w:rsid w:val="00242556"/>
    <w:rsid w:val="00242958"/>
    <w:rsid w:val="00242CF7"/>
    <w:rsid w:val="00242F91"/>
    <w:rsid w:val="00242FFF"/>
    <w:rsid w:val="00243015"/>
    <w:rsid w:val="00243395"/>
    <w:rsid w:val="00243626"/>
    <w:rsid w:val="0024364C"/>
    <w:rsid w:val="002437D1"/>
    <w:rsid w:val="002438AC"/>
    <w:rsid w:val="00243A49"/>
    <w:rsid w:val="00243A8B"/>
    <w:rsid w:val="00243BFB"/>
    <w:rsid w:val="00243D1D"/>
    <w:rsid w:val="00243D26"/>
    <w:rsid w:val="00244269"/>
    <w:rsid w:val="002443F4"/>
    <w:rsid w:val="002448EB"/>
    <w:rsid w:val="00244A9E"/>
    <w:rsid w:val="00244BFE"/>
    <w:rsid w:val="00244C25"/>
    <w:rsid w:val="00244E7B"/>
    <w:rsid w:val="002450F1"/>
    <w:rsid w:val="00245340"/>
    <w:rsid w:val="002454E1"/>
    <w:rsid w:val="00245614"/>
    <w:rsid w:val="0024571A"/>
    <w:rsid w:val="002458EE"/>
    <w:rsid w:val="002459C1"/>
    <w:rsid w:val="00245BB1"/>
    <w:rsid w:val="00245CBC"/>
    <w:rsid w:val="00245FB8"/>
    <w:rsid w:val="002464A3"/>
    <w:rsid w:val="0024654A"/>
    <w:rsid w:val="00246566"/>
    <w:rsid w:val="00246746"/>
    <w:rsid w:val="002469DC"/>
    <w:rsid w:val="002469E1"/>
    <w:rsid w:val="00246BA4"/>
    <w:rsid w:val="00246C70"/>
    <w:rsid w:val="00246CB0"/>
    <w:rsid w:val="0024705A"/>
    <w:rsid w:val="00247102"/>
    <w:rsid w:val="0024729C"/>
    <w:rsid w:val="002475A2"/>
    <w:rsid w:val="00247BD8"/>
    <w:rsid w:val="00247BFF"/>
    <w:rsid w:val="0025032F"/>
    <w:rsid w:val="0025064F"/>
    <w:rsid w:val="0025074D"/>
    <w:rsid w:val="00250D84"/>
    <w:rsid w:val="00250DEF"/>
    <w:rsid w:val="00250E55"/>
    <w:rsid w:val="00250EE3"/>
    <w:rsid w:val="0025113C"/>
    <w:rsid w:val="00251158"/>
    <w:rsid w:val="002512C4"/>
    <w:rsid w:val="00251413"/>
    <w:rsid w:val="00251749"/>
    <w:rsid w:val="00251808"/>
    <w:rsid w:val="0025195D"/>
    <w:rsid w:val="00251EF8"/>
    <w:rsid w:val="00251F45"/>
    <w:rsid w:val="00252500"/>
    <w:rsid w:val="00252C76"/>
    <w:rsid w:val="002530F3"/>
    <w:rsid w:val="00253271"/>
    <w:rsid w:val="00253480"/>
    <w:rsid w:val="002536A1"/>
    <w:rsid w:val="002539AC"/>
    <w:rsid w:val="00253AE3"/>
    <w:rsid w:val="00253E88"/>
    <w:rsid w:val="00254297"/>
    <w:rsid w:val="00254370"/>
    <w:rsid w:val="0025446F"/>
    <w:rsid w:val="0025456A"/>
    <w:rsid w:val="002545FF"/>
    <w:rsid w:val="0025475F"/>
    <w:rsid w:val="002547A4"/>
    <w:rsid w:val="0025486C"/>
    <w:rsid w:val="002549BA"/>
    <w:rsid w:val="002549BB"/>
    <w:rsid w:val="00254AE7"/>
    <w:rsid w:val="00254DBE"/>
    <w:rsid w:val="002552BF"/>
    <w:rsid w:val="00255347"/>
    <w:rsid w:val="002553CA"/>
    <w:rsid w:val="00255579"/>
    <w:rsid w:val="0025585F"/>
    <w:rsid w:val="00255A3B"/>
    <w:rsid w:val="00255D0D"/>
    <w:rsid w:val="00255E97"/>
    <w:rsid w:val="002561C2"/>
    <w:rsid w:val="00256274"/>
    <w:rsid w:val="002562C1"/>
    <w:rsid w:val="002562C2"/>
    <w:rsid w:val="00256647"/>
    <w:rsid w:val="00256B00"/>
    <w:rsid w:val="00256B3B"/>
    <w:rsid w:val="00256DA9"/>
    <w:rsid w:val="00256E90"/>
    <w:rsid w:val="002572BC"/>
    <w:rsid w:val="00257419"/>
    <w:rsid w:val="00257421"/>
    <w:rsid w:val="00257B3D"/>
    <w:rsid w:val="00257E72"/>
    <w:rsid w:val="00257F47"/>
    <w:rsid w:val="002601C6"/>
    <w:rsid w:val="00260EC0"/>
    <w:rsid w:val="002616C7"/>
    <w:rsid w:val="00261800"/>
    <w:rsid w:val="00261BB7"/>
    <w:rsid w:val="00261C29"/>
    <w:rsid w:val="00261C67"/>
    <w:rsid w:val="00261D38"/>
    <w:rsid w:val="00261EBD"/>
    <w:rsid w:val="00261FCF"/>
    <w:rsid w:val="002626C5"/>
    <w:rsid w:val="00262761"/>
    <w:rsid w:val="00262799"/>
    <w:rsid w:val="0026287F"/>
    <w:rsid w:val="00262D08"/>
    <w:rsid w:val="00262EF2"/>
    <w:rsid w:val="00262FBE"/>
    <w:rsid w:val="00262FEB"/>
    <w:rsid w:val="0026312D"/>
    <w:rsid w:val="002631DC"/>
    <w:rsid w:val="0026333E"/>
    <w:rsid w:val="00263376"/>
    <w:rsid w:val="0026339B"/>
    <w:rsid w:val="00263494"/>
    <w:rsid w:val="0026357E"/>
    <w:rsid w:val="002635EE"/>
    <w:rsid w:val="002637AE"/>
    <w:rsid w:val="0026383C"/>
    <w:rsid w:val="00263A4A"/>
    <w:rsid w:val="00263A5B"/>
    <w:rsid w:val="00263C50"/>
    <w:rsid w:val="00263D13"/>
    <w:rsid w:val="00263F98"/>
    <w:rsid w:val="0026409A"/>
    <w:rsid w:val="002644F4"/>
    <w:rsid w:val="00264B96"/>
    <w:rsid w:val="00264C09"/>
    <w:rsid w:val="00264D94"/>
    <w:rsid w:val="00264DA9"/>
    <w:rsid w:val="00264E46"/>
    <w:rsid w:val="0026503D"/>
    <w:rsid w:val="00265146"/>
    <w:rsid w:val="0026517F"/>
    <w:rsid w:val="00265709"/>
    <w:rsid w:val="00265EC6"/>
    <w:rsid w:val="00266118"/>
    <w:rsid w:val="00266182"/>
    <w:rsid w:val="002664EF"/>
    <w:rsid w:val="002668C6"/>
    <w:rsid w:val="002669F6"/>
    <w:rsid w:val="00267134"/>
    <w:rsid w:val="002671B0"/>
    <w:rsid w:val="00267272"/>
    <w:rsid w:val="00267352"/>
    <w:rsid w:val="002679AE"/>
    <w:rsid w:val="002679C3"/>
    <w:rsid w:val="00267A1D"/>
    <w:rsid w:val="00267CFF"/>
    <w:rsid w:val="00267E12"/>
    <w:rsid w:val="002702CD"/>
    <w:rsid w:val="00270C1E"/>
    <w:rsid w:val="002711CA"/>
    <w:rsid w:val="00271251"/>
    <w:rsid w:val="00271624"/>
    <w:rsid w:val="00271D41"/>
    <w:rsid w:val="00271D5D"/>
    <w:rsid w:val="00271D85"/>
    <w:rsid w:val="0027205B"/>
    <w:rsid w:val="002721DB"/>
    <w:rsid w:val="00272308"/>
    <w:rsid w:val="00272752"/>
    <w:rsid w:val="00272EC5"/>
    <w:rsid w:val="00272FDE"/>
    <w:rsid w:val="002736F5"/>
    <w:rsid w:val="00273857"/>
    <w:rsid w:val="002739A1"/>
    <w:rsid w:val="00273EB3"/>
    <w:rsid w:val="00273FAC"/>
    <w:rsid w:val="00274170"/>
    <w:rsid w:val="00274267"/>
    <w:rsid w:val="002742A7"/>
    <w:rsid w:val="00274D76"/>
    <w:rsid w:val="00274E75"/>
    <w:rsid w:val="00275017"/>
    <w:rsid w:val="00275242"/>
    <w:rsid w:val="00275529"/>
    <w:rsid w:val="002759C0"/>
    <w:rsid w:val="00275CA9"/>
    <w:rsid w:val="00275EE8"/>
    <w:rsid w:val="0027643C"/>
    <w:rsid w:val="00276D71"/>
    <w:rsid w:val="002771FF"/>
    <w:rsid w:val="0027782F"/>
    <w:rsid w:val="002805D5"/>
    <w:rsid w:val="002805E9"/>
    <w:rsid w:val="00280D4D"/>
    <w:rsid w:val="00280EC3"/>
    <w:rsid w:val="00280F90"/>
    <w:rsid w:val="00280FA9"/>
    <w:rsid w:val="0028104E"/>
    <w:rsid w:val="00281568"/>
    <w:rsid w:val="00281712"/>
    <w:rsid w:val="0028189A"/>
    <w:rsid w:val="00281F5E"/>
    <w:rsid w:val="0028221E"/>
    <w:rsid w:val="00282541"/>
    <w:rsid w:val="00282C5F"/>
    <w:rsid w:val="00282EA7"/>
    <w:rsid w:val="00282F8B"/>
    <w:rsid w:val="0028318C"/>
    <w:rsid w:val="0028320D"/>
    <w:rsid w:val="002832BA"/>
    <w:rsid w:val="002834F5"/>
    <w:rsid w:val="002837FB"/>
    <w:rsid w:val="00283970"/>
    <w:rsid w:val="00283981"/>
    <w:rsid w:val="00283DF1"/>
    <w:rsid w:val="0028435F"/>
    <w:rsid w:val="0028486D"/>
    <w:rsid w:val="002848D2"/>
    <w:rsid w:val="00284A21"/>
    <w:rsid w:val="00284A31"/>
    <w:rsid w:val="00284C35"/>
    <w:rsid w:val="0028545E"/>
    <w:rsid w:val="002854AB"/>
    <w:rsid w:val="00285595"/>
    <w:rsid w:val="002855D4"/>
    <w:rsid w:val="002856AF"/>
    <w:rsid w:val="0028583D"/>
    <w:rsid w:val="002858B0"/>
    <w:rsid w:val="00285BE0"/>
    <w:rsid w:val="00285C8F"/>
    <w:rsid w:val="0028600E"/>
    <w:rsid w:val="00286095"/>
    <w:rsid w:val="002862F9"/>
    <w:rsid w:val="00286661"/>
    <w:rsid w:val="00286AA6"/>
    <w:rsid w:val="00287110"/>
    <w:rsid w:val="002879A1"/>
    <w:rsid w:val="00287BC8"/>
    <w:rsid w:val="00287F1A"/>
    <w:rsid w:val="00287F4B"/>
    <w:rsid w:val="002901D0"/>
    <w:rsid w:val="002908E0"/>
    <w:rsid w:val="002909C4"/>
    <w:rsid w:val="00290AE4"/>
    <w:rsid w:val="00290D9D"/>
    <w:rsid w:val="00290EC4"/>
    <w:rsid w:val="002911DA"/>
    <w:rsid w:val="00291607"/>
    <w:rsid w:val="002918A1"/>
    <w:rsid w:val="00291AB0"/>
    <w:rsid w:val="00291CB8"/>
    <w:rsid w:val="00292008"/>
    <w:rsid w:val="002920EE"/>
    <w:rsid w:val="00292184"/>
    <w:rsid w:val="002922D7"/>
    <w:rsid w:val="002923DA"/>
    <w:rsid w:val="002924E3"/>
    <w:rsid w:val="00292624"/>
    <w:rsid w:val="002928DA"/>
    <w:rsid w:val="00292963"/>
    <w:rsid w:val="002929E3"/>
    <w:rsid w:val="00293552"/>
    <w:rsid w:val="00293D58"/>
    <w:rsid w:val="0029439D"/>
    <w:rsid w:val="002943E1"/>
    <w:rsid w:val="00294469"/>
    <w:rsid w:val="00294524"/>
    <w:rsid w:val="002949E9"/>
    <w:rsid w:val="00294A75"/>
    <w:rsid w:val="00294E3A"/>
    <w:rsid w:val="00294EAD"/>
    <w:rsid w:val="00294F4F"/>
    <w:rsid w:val="00294FA8"/>
    <w:rsid w:val="002950B6"/>
    <w:rsid w:val="00295339"/>
    <w:rsid w:val="0029547C"/>
    <w:rsid w:val="00295CA5"/>
    <w:rsid w:val="00295FB8"/>
    <w:rsid w:val="00295FE6"/>
    <w:rsid w:val="00296282"/>
    <w:rsid w:val="002962C0"/>
    <w:rsid w:val="0029672B"/>
    <w:rsid w:val="002967A7"/>
    <w:rsid w:val="00296BDA"/>
    <w:rsid w:val="00296D7E"/>
    <w:rsid w:val="00296EFC"/>
    <w:rsid w:val="00296F9D"/>
    <w:rsid w:val="002971F4"/>
    <w:rsid w:val="0029773C"/>
    <w:rsid w:val="00297FA9"/>
    <w:rsid w:val="002A0203"/>
    <w:rsid w:val="002A026A"/>
    <w:rsid w:val="002A06D5"/>
    <w:rsid w:val="002A078D"/>
    <w:rsid w:val="002A0C2C"/>
    <w:rsid w:val="002A0F79"/>
    <w:rsid w:val="002A1041"/>
    <w:rsid w:val="002A145E"/>
    <w:rsid w:val="002A1471"/>
    <w:rsid w:val="002A164D"/>
    <w:rsid w:val="002A1705"/>
    <w:rsid w:val="002A1918"/>
    <w:rsid w:val="002A1E5A"/>
    <w:rsid w:val="002A1F6D"/>
    <w:rsid w:val="002A2298"/>
    <w:rsid w:val="002A2344"/>
    <w:rsid w:val="002A2357"/>
    <w:rsid w:val="002A235D"/>
    <w:rsid w:val="002A26ED"/>
    <w:rsid w:val="002A2A8A"/>
    <w:rsid w:val="002A2B21"/>
    <w:rsid w:val="002A2B52"/>
    <w:rsid w:val="002A2E72"/>
    <w:rsid w:val="002A2F62"/>
    <w:rsid w:val="002A302E"/>
    <w:rsid w:val="002A31D4"/>
    <w:rsid w:val="002A338E"/>
    <w:rsid w:val="002A3532"/>
    <w:rsid w:val="002A361B"/>
    <w:rsid w:val="002A4011"/>
    <w:rsid w:val="002A40EA"/>
    <w:rsid w:val="002A4259"/>
    <w:rsid w:val="002A4280"/>
    <w:rsid w:val="002A42D6"/>
    <w:rsid w:val="002A4403"/>
    <w:rsid w:val="002A445E"/>
    <w:rsid w:val="002A451F"/>
    <w:rsid w:val="002A4713"/>
    <w:rsid w:val="002A4857"/>
    <w:rsid w:val="002A4B58"/>
    <w:rsid w:val="002A4CD1"/>
    <w:rsid w:val="002A4CE1"/>
    <w:rsid w:val="002A4D41"/>
    <w:rsid w:val="002A4FC1"/>
    <w:rsid w:val="002A5528"/>
    <w:rsid w:val="002A5594"/>
    <w:rsid w:val="002A56B5"/>
    <w:rsid w:val="002A58DA"/>
    <w:rsid w:val="002A59BC"/>
    <w:rsid w:val="002A5B0A"/>
    <w:rsid w:val="002A5B23"/>
    <w:rsid w:val="002A5B5C"/>
    <w:rsid w:val="002A5BA9"/>
    <w:rsid w:val="002A5DA0"/>
    <w:rsid w:val="002A5E71"/>
    <w:rsid w:val="002A6022"/>
    <w:rsid w:val="002A61C7"/>
    <w:rsid w:val="002A643E"/>
    <w:rsid w:val="002A64EF"/>
    <w:rsid w:val="002A6777"/>
    <w:rsid w:val="002A69C4"/>
    <w:rsid w:val="002A6C98"/>
    <w:rsid w:val="002A6F8D"/>
    <w:rsid w:val="002A73AE"/>
    <w:rsid w:val="002A7437"/>
    <w:rsid w:val="002A74AE"/>
    <w:rsid w:val="002A7573"/>
    <w:rsid w:val="002A7692"/>
    <w:rsid w:val="002A774A"/>
    <w:rsid w:val="002A7A3F"/>
    <w:rsid w:val="002A7B36"/>
    <w:rsid w:val="002A7C27"/>
    <w:rsid w:val="002A7DBD"/>
    <w:rsid w:val="002B0C28"/>
    <w:rsid w:val="002B0C51"/>
    <w:rsid w:val="002B0C9C"/>
    <w:rsid w:val="002B0CD0"/>
    <w:rsid w:val="002B1056"/>
    <w:rsid w:val="002B123B"/>
    <w:rsid w:val="002B1672"/>
    <w:rsid w:val="002B1703"/>
    <w:rsid w:val="002B1A4A"/>
    <w:rsid w:val="002B1AE9"/>
    <w:rsid w:val="002B1AF3"/>
    <w:rsid w:val="002B206F"/>
    <w:rsid w:val="002B2116"/>
    <w:rsid w:val="002B2175"/>
    <w:rsid w:val="002B23CC"/>
    <w:rsid w:val="002B24A4"/>
    <w:rsid w:val="002B24B0"/>
    <w:rsid w:val="002B24EF"/>
    <w:rsid w:val="002B25D2"/>
    <w:rsid w:val="002B29F7"/>
    <w:rsid w:val="002B2C0D"/>
    <w:rsid w:val="002B2C55"/>
    <w:rsid w:val="002B2F1A"/>
    <w:rsid w:val="002B30E9"/>
    <w:rsid w:val="002B31A6"/>
    <w:rsid w:val="002B33D6"/>
    <w:rsid w:val="002B36DF"/>
    <w:rsid w:val="002B3A9A"/>
    <w:rsid w:val="002B3CED"/>
    <w:rsid w:val="002B3D18"/>
    <w:rsid w:val="002B3FFC"/>
    <w:rsid w:val="002B4049"/>
    <w:rsid w:val="002B4527"/>
    <w:rsid w:val="002B4747"/>
    <w:rsid w:val="002B4DD1"/>
    <w:rsid w:val="002B51C0"/>
    <w:rsid w:val="002B5204"/>
    <w:rsid w:val="002B58AB"/>
    <w:rsid w:val="002B5ACD"/>
    <w:rsid w:val="002B5B82"/>
    <w:rsid w:val="002B5E2E"/>
    <w:rsid w:val="002B6069"/>
    <w:rsid w:val="002B64E3"/>
    <w:rsid w:val="002B6729"/>
    <w:rsid w:val="002B68EA"/>
    <w:rsid w:val="002B6AFA"/>
    <w:rsid w:val="002B6B7D"/>
    <w:rsid w:val="002B6C91"/>
    <w:rsid w:val="002B6EA3"/>
    <w:rsid w:val="002B6EA6"/>
    <w:rsid w:val="002B71EA"/>
    <w:rsid w:val="002B73C8"/>
    <w:rsid w:val="002B76DE"/>
    <w:rsid w:val="002B7A15"/>
    <w:rsid w:val="002B7A1A"/>
    <w:rsid w:val="002B7A70"/>
    <w:rsid w:val="002B7BC0"/>
    <w:rsid w:val="002B7D32"/>
    <w:rsid w:val="002C0225"/>
    <w:rsid w:val="002C0315"/>
    <w:rsid w:val="002C036D"/>
    <w:rsid w:val="002C0440"/>
    <w:rsid w:val="002C05F5"/>
    <w:rsid w:val="002C06F1"/>
    <w:rsid w:val="002C0AB1"/>
    <w:rsid w:val="002C0C41"/>
    <w:rsid w:val="002C1056"/>
    <w:rsid w:val="002C1455"/>
    <w:rsid w:val="002C14F1"/>
    <w:rsid w:val="002C2457"/>
    <w:rsid w:val="002C2641"/>
    <w:rsid w:val="002C2B6F"/>
    <w:rsid w:val="002C2E1B"/>
    <w:rsid w:val="002C2E1F"/>
    <w:rsid w:val="002C30F8"/>
    <w:rsid w:val="002C310E"/>
    <w:rsid w:val="002C32D6"/>
    <w:rsid w:val="002C34EE"/>
    <w:rsid w:val="002C3928"/>
    <w:rsid w:val="002C3CD7"/>
    <w:rsid w:val="002C3CE6"/>
    <w:rsid w:val="002C3EB5"/>
    <w:rsid w:val="002C4018"/>
    <w:rsid w:val="002C42CF"/>
    <w:rsid w:val="002C43A9"/>
    <w:rsid w:val="002C4550"/>
    <w:rsid w:val="002C4A96"/>
    <w:rsid w:val="002C4E4C"/>
    <w:rsid w:val="002C4F27"/>
    <w:rsid w:val="002C521A"/>
    <w:rsid w:val="002C5244"/>
    <w:rsid w:val="002C5875"/>
    <w:rsid w:val="002C5982"/>
    <w:rsid w:val="002C5E43"/>
    <w:rsid w:val="002C5EC3"/>
    <w:rsid w:val="002C60B9"/>
    <w:rsid w:val="002C60D3"/>
    <w:rsid w:val="002C683C"/>
    <w:rsid w:val="002C6954"/>
    <w:rsid w:val="002C6D4A"/>
    <w:rsid w:val="002C6E34"/>
    <w:rsid w:val="002C7415"/>
    <w:rsid w:val="002C75FA"/>
    <w:rsid w:val="002C7C1F"/>
    <w:rsid w:val="002D009B"/>
    <w:rsid w:val="002D0227"/>
    <w:rsid w:val="002D044A"/>
    <w:rsid w:val="002D0511"/>
    <w:rsid w:val="002D0881"/>
    <w:rsid w:val="002D0DE8"/>
    <w:rsid w:val="002D0EC5"/>
    <w:rsid w:val="002D0F00"/>
    <w:rsid w:val="002D0F3B"/>
    <w:rsid w:val="002D1528"/>
    <w:rsid w:val="002D165D"/>
    <w:rsid w:val="002D17B4"/>
    <w:rsid w:val="002D1869"/>
    <w:rsid w:val="002D1D0C"/>
    <w:rsid w:val="002D1FE7"/>
    <w:rsid w:val="002D2144"/>
    <w:rsid w:val="002D22F8"/>
    <w:rsid w:val="002D25E1"/>
    <w:rsid w:val="002D2921"/>
    <w:rsid w:val="002D2A8E"/>
    <w:rsid w:val="002D30CD"/>
    <w:rsid w:val="002D3385"/>
    <w:rsid w:val="002D35D1"/>
    <w:rsid w:val="002D376A"/>
    <w:rsid w:val="002D3869"/>
    <w:rsid w:val="002D3975"/>
    <w:rsid w:val="002D40F2"/>
    <w:rsid w:val="002D44D6"/>
    <w:rsid w:val="002D465F"/>
    <w:rsid w:val="002D46C0"/>
    <w:rsid w:val="002D47E1"/>
    <w:rsid w:val="002D4971"/>
    <w:rsid w:val="002D49D1"/>
    <w:rsid w:val="002D4A66"/>
    <w:rsid w:val="002D4FC1"/>
    <w:rsid w:val="002D59AF"/>
    <w:rsid w:val="002D59D3"/>
    <w:rsid w:val="002D5A93"/>
    <w:rsid w:val="002D5EDA"/>
    <w:rsid w:val="002D6264"/>
    <w:rsid w:val="002D62D9"/>
    <w:rsid w:val="002D653B"/>
    <w:rsid w:val="002D659B"/>
    <w:rsid w:val="002D66C3"/>
    <w:rsid w:val="002D6774"/>
    <w:rsid w:val="002D68B8"/>
    <w:rsid w:val="002D6A79"/>
    <w:rsid w:val="002D6DB9"/>
    <w:rsid w:val="002D6F45"/>
    <w:rsid w:val="002D7032"/>
    <w:rsid w:val="002D719A"/>
    <w:rsid w:val="002D73CE"/>
    <w:rsid w:val="002D7B7F"/>
    <w:rsid w:val="002D7CDF"/>
    <w:rsid w:val="002D7DE1"/>
    <w:rsid w:val="002E00D4"/>
    <w:rsid w:val="002E0579"/>
    <w:rsid w:val="002E05BC"/>
    <w:rsid w:val="002E09E6"/>
    <w:rsid w:val="002E0DC6"/>
    <w:rsid w:val="002E11B1"/>
    <w:rsid w:val="002E13A5"/>
    <w:rsid w:val="002E15E8"/>
    <w:rsid w:val="002E1633"/>
    <w:rsid w:val="002E167B"/>
    <w:rsid w:val="002E168A"/>
    <w:rsid w:val="002E1841"/>
    <w:rsid w:val="002E1B90"/>
    <w:rsid w:val="002E1F59"/>
    <w:rsid w:val="002E22FD"/>
    <w:rsid w:val="002E237D"/>
    <w:rsid w:val="002E2B17"/>
    <w:rsid w:val="002E2B7A"/>
    <w:rsid w:val="002E2BCE"/>
    <w:rsid w:val="002E3116"/>
    <w:rsid w:val="002E318F"/>
    <w:rsid w:val="002E3405"/>
    <w:rsid w:val="002E3421"/>
    <w:rsid w:val="002E3A02"/>
    <w:rsid w:val="002E3F10"/>
    <w:rsid w:val="002E426B"/>
    <w:rsid w:val="002E4765"/>
    <w:rsid w:val="002E4853"/>
    <w:rsid w:val="002E49AB"/>
    <w:rsid w:val="002E4C4A"/>
    <w:rsid w:val="002E501A"/>
    <w:rsid w:val="002E50B6"/>
    <w:rsid w:val="002E51D9"/>
    <w:rsid w:val="002E52DE"/>
    <w:rsid w:val="002E589A"/>
    <w:rsid w:val="002E5CA3"/>
    <w:rsid w:val="002E6160"/>
    <w:rsid w:val="002E62D9"/>
    <w:rsid w:val="002E65FF"/>
    <w:rsid w:val="002E661D"/>
    <w:rsid w:val="002E6B19"/>
    <w:rsid w:val="002E6E1E"/>
    <w:rsid w:val="002E7832"/>
    <w:rsid w:val="002E79E4"/>
    <w:rsid w:val="002E7B8F"/>
    <w:rsid w:val="002E7C1A"/>
    <w:rsid w:val="002E7D22"/>
    <w:rsid w:val="002E7E07"/>
    <w:rsid w:val="002F0141"/>
    <w:rsid w:val="002F02CB"/>
    <w:rsid w:val="002F042A"/>
    <w:rsid w:val="002F048A"/>
    <w:rsid w:val="002F077F"/>
    <w:rsid w:val="002F078B"/>
    <w:rsid w:val="002F0927"/>
    <w:rsid w:val="002F0974"/>
    <w:rsid w:val="002F0B8D"/>
    <w:rsid w:val="002F0C0C"/>
    <w:rsid w:val="002F1468"/>
    <w:rsid w:val="002F1A10"/>
    <w:rsid w:val="002F1A34"/>
    <w:rsid w:val="002F1A97"/>
    <w:rsid w:val="002F1C3C"/>
    <w:rsid w:val="002F2089"/>
    <w:rsid w:val="002F22F6"/>
    <w:rsid w:val="002F2502"/>
    <w:rsid w:val="002F262E"/>
    <w:rsid w:val="002F2918"/>
    <w:rsid w:val="002F29E1"/>
    <w:rsid w:val="002F2B7C"/>
    <w:rsid w:val="002F2CD4"/>
    <w:rsid w:val="002F2CEC"/>
    <w:rsid w:val="002F2ED6"/>
    <w:rsid w:val="002F2EDF"/>
    <w:rsid w:val="002F3500"/>
    <w:rsid w:val="002F3746"/>
    <w:rsid w:val="002F3779"/>
    <w:rsid w:val="002F3BEB"/>
    <w:rsid w:val="002F3FBC"/>
    <w:rsid w:val="002F4188"/>
    <w:rsid w:val="002F41F7"/>
    <w:rsid w:val="002F4467"/>
    <w:rsid w:val="002F4C10"/>
    <w:rsid w:val="002F4D61"/>
    <w:rsid w:val="002F4E5E"/>
    <w:rsid w:val="002F4F1D"/>
    <w:rsid w:val="002F54B7"/>
    <w:rsid w:val="002F5585"/>
    <w:rsid w:val="002F5D28"/>
    <w:rsid w:val="002F5DD5"/>
    <w:rsid w:val="002F5E9D"/>
    <w:rsid w:val="002F5F0C"/>
    <w:rsid w:val="002F60C8"/>
    <w:rsid w:val="002F6579"/>
    <w:rsid w:val="002F68CC"/>
    <w:rsid w:val="002F69E8"/>
    <w:rsid w:val="002F6B1C"/>
    <w:rsid w:val="002F6C7F"/>
    <w:rsid w:val="002F7123"/>
    <w:rsid w:val="002F76C6"/>
    <w:rsid w:val="002F77DE"/>
    <w:rsid w:val="002F7BE7"/>
    <w:rsid w:val="002F7D0B"/>
    <w:rsid w:val="002F7D47"/>
    <w:rsid w:val="00300118"/>
    <w:rsid w:val="00300136"/>
    <w:rsid w:val="00300475"/>
    <w:rsid w:val="0030049A"/>
    <w:rsid w:val="003004CD"/>
    <w:rsid w:val="00300968"/>
    <w:rsid w:val="00300A72"/>
    <w:rsid w:val="00300F47"/>
    <w:rsid w:val="00301039"/>
    <w:rsid w:val="00301269"/>
    <w:rsid w:val="0030127F"/>
    <w:rsid w:val="0030137B"/>
    <w:rsid w:val="00301580"/>
    <w:rsid w:val="00301935"/>
    <w:rsid w:val="00301BE3"/>
    <w:rsid w:val="00301C21"/>
    <w:rsid w:val="00301E91"/>
    <w:rsid w:val="00301F4E"/>
    <w:rsid w:val="00302147"/>
    <w:rsid w:val="00302430"/>
    <w:rsid w:val="003029E5"/>
    <w:rsid w:val="00303364"/>
    <w:rsid w:val="003034ED"/>
    <w:rsid w:val="00303C2C"/>
    <w:rsid w:val="00303DDD"/>
    <w:rsid w:val="003045C9"/>
    <w:rsid w:val="0030481E"/>
    <w:rsid w:val="00304A5C"/>
    <w:rsid w:val="00304AC4"/>
    <w:rsid w:val="00304B8A"/>
    <w:rsid w:val="00304C94"/>
    <w:rsid w:val="00304F5C"/>
    <w:rsid w:val="00305071"/>
    <w:rsid w:val="0030527B"/>
    <w:rsid w:val="00305307"/>
    <w:rsid w:val="003053CD"/>
    <w:rsid w:val="0030548A"/>
    <w:rsid w:val="00305814"/>
    <w:rsid w:val="003058EC"/>
    <w:rsid w:val="0030598D"/>
    <w:rsid w:val="003059CD"/>
    <w:rsid w:val="00305D6E"/>
    <w:rsid w:val="00305D76"/>
    <w:rsid w:val="00306275"/>
    <w:rsid w:val="003065E7"/>
    <w:rsid w:val="003066F5"/>
    <w:rsid w:val="003068C8"/>
    <w:rsid w:val="00306A59"/>
    <w:rsid w:val="00306AC7"/>
    <w:rsid w:val="00306B52"/>
    <w:rsid w:val="003071A6"/>
    <w:rsid w:val="00307207"/>
    <w:rsid w:val="0030767A"/>
    <w:rsid w:val="00307AB1"/>
    <w:rsid w:val="003102B8"/>
    <w:rsid w:val="00310385"/>
    <w:rsid w:val="0031048D"/>
    <w:rsid w:val="00310885"/>
    <w:rsid w:val="00310998"/>
    <w:rsid w:val="00310B27"/>
    <w:rsid w:val="00310BD4"/>
    <w:rsid w:val="00310E17"/>
    <w:rsid w:val="0031176A"/>
    <w:rsid w:val="00311794"/>
    <w:rsid w:val="0031209D"/>
    <w:rsid w:val="0031240D"/>
    <w:rsid w:val="003124E6"/>
    <w:rsid w:val="0031252D"/>
    <w:rsid w:val="0031253E"/>
    <w:rsid w:val="00312AB4"/>
    <w:rsid w:val="00313331"/>
    <w:rsid w:val="003133BE"/>
    <w:rsid w:val="003134E0"/>
    <w:rsid w:val="00313804"/>
    <w:rsid w:val="00313DE8"/>
    <w:rsid w:val="00313E1B"/>
    <w:rsid w:val="00313E70"/>
    <w:rsid w:val="00313EEA"/>
    <w:rsid w:val="00314477"/>
    <w:rsid w:val="003144AD"/>
    <w:rsid w:val="003144DB"/>
    <w:rsid w:val="00314721"/>
    <w:rsid w:val="00314818"/>
    <w:rsid w:val="00314A04"/>
    <w:rsid w:val="00314A90"/>
    <w:rsid w:val="00314B32"/>
    <w:rsid w:val="0031509E"/>
    <w:rsid w:val="00315403"/>
    <w:rsid w:val="003154E9"/>
    <w:rsid w:val="003157F6"/>
    <w:rsid w:val="00315B3C"/>
    <w:rsid w:val="00315E8C"/>
    <w:rsid w:val="00315EAA"/>
    <w:rsid w:val="003160F3"/>
    <w:rsid w:val="00316160"/>
    <w:rsid w:val="00316220"/>
    <w:rsid w:val="003164F2"/>
    <w:rsid w:val="00316624"/>
    <w:rsid w:val="003169D9"/>
    <w:rsid w:val="00316E50"/>
    <w:rsid w:val="0031713F"/>
    <w:rsid w:val="00317347"/>
    <w:rsid w:val="003176E2"/>
    <w:rsid w:val="0031790F"/>
    <w:rsid w:val="00317DEB"/>
    <w:rsid w:val="003201AD"/>
    <w:rsid w:val="003206EC"/>
    <w:rsid w:val="00320A3E"/>
    <w:rsid w:val="00320CA5"/>
    <w:rsid w:val="00321222"/>
    <w:rsid w:val="00321344"/>
    <w:rsid w:val="00321652"/>
    <w:rsid w:val="00321663"/>
    <w:rsid w:val="003218B2"/>
    <w:rsid w:val="00321AB2"/>
    <w:rsid w:val="00321B55"/>
    <w:rsid w:val="00321DFB"/>
    <w:rsid w:val="00322AAC"/>
    <w:rsid w:val="00322DC7"/>
    <w:rsid w:val="00322E4A"/>
    <w:rsid w:val="00323347"/>
    <w:rsid w:val="00323451"/>
    <w:rsid w:val="003235DA"/>
    <w:rsid w:val="003236A8"/>
    <w:rsid w:val="003236C3"/>
    <w:rsid w:val="003237D2"/>
    <w:rsid w:val="00323CEC"/>
    <w:rsid w:val="0032419C"/>
    <w:rsid w:val="0032422F"/>
    <w:rsid w:val="00324B24"/>
    <w:rsid w:val="00324B5C"/>
    <w:rsid w:val="00324CCD"/>
    <w:rsid w:val="003250E1"/>
    <w:rsid w:val="0032535D"/>
    <w:rsid w:val="003255BA"/>
    <w:rsid w:val="0032587E"/>
    <w:rsid w:val="00325EC0"/>
    <w:rsid w:val="00325F32"/>
    <w:rsid w:val="003262A0"/>
    <w:rsid w:val="0032631E"/>
    <w:rsid w:val="00326555"/>
    <w:rsid w:val="00326A66"/>
    <w:rsid w:val="00326E6C"/>
    <w:rsid w:val="00326F25"/>
    <w:rsid w:val="003273C0"/>
    <w:rsid w:val="00327459"/>
    <w:rsid w:val="0032757E"/>
    <w:rsid w:val="00327D71"/>
    <w:rsid w:val="00327E53"/>
    <w:rsid w:val="00327F75"/>
    <w:rsid w:val="00330233"/>
    <w:rsid w:val="0033066C"/>
    <w:rsid w:val="00330CE0"/>
    <w:rsid w:val="00330FFA"/>
    <w:rsid w:val="00331108"/>
    <w:rsid w:val="003311B2"/>
    <w:rsid w:val="003311FE"/>
    <w:rsid w:val="00331345"/>
    <w:rsid w:val="003313E5"/>
    <w:rsid w:val="00331731"/>
    <w:rsid w:val="003317EF"/>
    <w:rsid w:val="00331952"/>
    <w:rsid w:val="00331C21"/>
    <w:rsid w:val="00331E12"/>
    <w:rsid w:val="00331EB1"/>
    <w:rsid w:val="00332028"/>
    <w:rsid w:val="0033223F"/>
    <w:rsid w:val="00332372"/>
    <w:rsid w:val="00332569"/>
    <w:rsid w:val="00332A84"/>
    <w:rsid w:val="00333151"/>
    <w:rsid w:val="003331EB"/>
    <w:rsid w:val="00333488"/>
    <w:rsid w:val="003334B2"/>
    <w:rsid w:val="003334CE"/>
    <w:rsid w:val="003337A4"/>
    <w:rsid w:val="00333AA0"/>
    <w:rsid w:val="00333C00"/>
    <w:rsid w:val="00333DCC"/>
    <w:rsid w:val="00334527"/>
    <w:rsid w:val="003346FA"/>
    <w:rsid w:val="00334792"/>
    <w:rsid w:val="00334B42"/>
    <w:rsid w:val="00334D79"/>
    <w:rsid w:val="00334FD6"/>
    <w:rsid w:val="00335119"/>
    <w:rsid w:val="003351F2"/>
    <w:rsid w:val="0033534F"/>
    <w:rsid w:val="003353DF"/>
    <w:rsid w:val="0033562A"/>
    <w:rsid w:val="00335771"/>
    <w:rsid w:val="00335ABC"/>
    <w:rsid w:val="00335DAD"/>
    <w:rsid w:val="00336435"/>
    <w:rsid w:val="003366A1"/>
    <w:rsid w:val="0033680F"/>
    <w:rsid w:val="0033698C"/>
    <w:rsid w:val="00336E7F"/>
    <w:rsid w:val="00336FE8"/>
    <w:rsid w:val="003373FA"/>
    <w:rsid w:val="00337561"/>
    <w:rsid w:val="00337AD3"/>
    <w:rsid w:val="00337B4B"/>
    <w:rsid w:val="00337B94"/>
    <w:rsid w:val="00337C67"/>
    <w:rsid w:val="00337EC5"/>
    <w:rsid w:val="00337FAF"/>
    <w:rsid w:val="0034028D"/>
    <w:rsid w:val="003405F3"/>
    <w:rsid w:val="00340832"/>
    <w:rsid w:val="00340CD8"/>
    <w:rsid w:val="00340E41"/>
    <w:rsid w:val="0034175E"/>
    <w:rsid w:val="00341762"/>
    <w:rsid w:val="0034198C"/>
    <w:rsid w:val="003419E2"/>
    <w:rsid w:val="00341C56"/>
    <w:rsid w:val="003429A0"/>
    <w:rsid w:val="00342C3A"/>
    <w:rsid w:val="00342E81"/>
    <w:rsid w:val="00342E84"/>
    <w:rsid w:val="00343300"/>
    <w:rsid w:val="00343484"/>
    <w:rsid w:val="003434F5"/>
    <w:rsid w:val="00343515"/>
    <w:rsid w:val="00343A0F"/>
    <w:rsid w:val="00343D6E"/>
    <w:rsid w:val="00343EEF"/>
    <w:rsid w:val="00344058"/>
    <w:rsid w:val="003441F0"/>
    <w:rsid w:val="003445F1"/>
    <w:rsid w:val="00344877"/>
    <w:rsid w:val="00344B32"/>
    <w:rsid w:val="00344C59"/>
    <w:rsid w:val="00344EDA"/>
    <w:rsid w:val="003451D9"/>
    <w:rsid w:val="00345215"/>
    <w:rsid w:val="003454E1"/>
    <w:rsid w:val="00345607"/>
    <w:rsid w:val="00345667"/>
    <w:rsid w:val="00345D59"/>
    <w:rsid w:val="00345E73"/>
    <w:rsid w:val="00346143"/>
    <w:rsid w:val="003465BB"/>
    <w:rsid w:val="00346723"/>
    <w:rsid w:val="00346D3D"/>
    <w:rsid w:val="00347160"/>
    <w:rsid w:val="003471EC"/>
    <w:rsid w:val="00347663"/>
    <w:rsid w:val="00347AEA"/>
    <w:rsid w:val="003503C2"/>
    <w:rsid w:val="0035070C"/>
    <w:rsid w:val="003507C7"/>
    <w:rsid w:val="003508C2"/>
    <w:rsid w:val="0035092F"/>
    <w:rsid w:val="0035097D"/>
    <w:rsid w:val="003509E6"/>
    <w:rsid w:val="00350AF2"/>
    <w:rsid w:val="00350F22"/>
    <w:rsid w:val="00351351"/>
    <w:rsid w:val="003513B4"/>
    <w:rsid w:val="0035151F"/>
    <w:rsid w:val="00351603"/>
    <w:rsid w:val="00351DDD"/>
    <w:rsid w:val="00351EB3"/>
    <w:rsid w:val="003520CF"/>
    <w:rsid w:val="00352473"/>
    <w:rsid w:val="0035250B"/>
    <w:rsid w:val="003529D1"/>
    <w:rsid w:val="00352BB3"/>
    <w:rsid w:val="00352E82"/>
    <w:rsid w:val="00352EA8"/>
    <w:rsid w:val="00352EC5"/>
    <w:rsid w:val="00352FFD"/>
    <w:rsid w:val="003531F6"/>
    <w:rsid w:val="0035337F"/>
    <w:rsid w:val="00353399"/>
    <w:rsid w:val="003535AE"/>
    <w:rsid w:val="003535C4"/>
    <w:rsid w:val="003536B8"/>
    <w:rsid w:val="00353EEC"/>
    <w:rsid w:val="00353F8F"/>
    <w:rsid w:val="00354219"/>
    <w:rsid w:val="00354370"/>
    <w:rsid w:val="00354463"/>
    <w:rsid w:val="00354A05"/>
    <w:rsid w:val="00354E70"/>
    <w:rsid w:val="00354FA8"/>
    <w:rsid w:val="00354FE8"/>
    <w:rsid w:val="003552BC"/>
    <w:rsid w:val="0035532E"/>
    <w:rsid w:val="0035554E"/>
    <w:rsid w:val="00355640"/>
    <w:rsid w:val="00355828"/>
    <w:rsid w:val="00355923"/>
    <w:rsid w:val="00355939"/>
    <w:rsid w:val="00355A4D"/>
    <w:rsid w:val="00355F60"/>
    <w:rsid w:val="003561FE"/>
    <w:rsid w:val="00356801"/>
    <w:rsid w:val="00356FA4"/>
    <w:rsid w:val="003577A8"/>
    <w:rsid w:val="00357FF8"/>
    <w:rsid w:val="0036013B"/>
    <w:rsid w:val="00360702"/>
    <w:rsid w:val="00360748"/>
    <w:rsid w:val="003607C9"/>
    <w:rsid w:val="003607E6"/>
    <w:rsid w:val="00360A5C"/>
    <w:rsid w:val="00360B4B"/>
    <w:rsid w:val="00360E9E"/>
    <w:rsid w:val="00361028"/>
    <w:rsid w:val="0036134C"/>
    <w:rsid w:val="003615E1"/>
    <w:rsid w:val="00361655"/>
    <w:rsid w:val="003617FE"/>
    <w:rsid w:val="00361807"/>
    <w:rsid w:val="00362033"/>
    <w:rsid w:val="00362072"/>
    <w:rsid w:val="0036216B"/>
    <w:rsid w:val="003623B8"/>
    <w:rsid w:val="003623FA"/>
    <w:rsid w:val="0036243C"/>
    <w:rsid w:val="003625CC"/>
    <w:rsid w:val="003626C8"/>
    <w:rsid w:val="0036272B"/>
    <w:rsid w:val="0036299E"/>
    <w:rsid w:val="00362ADA"/>
    <w:rsid w:val="00362E25"/>
    <w:rsid w:val="00363185"/>
    <w:rsid w:val="00363303"/>
    <w:rsid w:val="00363639"/>
    <w:rsid w:val="00363946"/>
    <w:rsid w:val="003639EE"/>
    <w:rsid w:val="00363A81"/>
    <w:rsid w:val="00363BD5"/>
    <w:rsid w:val="00363C0D"/>
    <w:rsid w:val="00363F2D"/>
    <w:rsid w:val="00363FA4"/>
    <w:rsid w:val="003643B1"/>
    <w:rsid w:val="00364774"/>
    <w:rsid w:val="00364801"/>
    <w:rsid w:val="00364AF0"/>
    <w:rsid w:val="00364B73"/>
    <w:rsid w:val="00364B93"/>
    <w:rsid w:val="00364C97"/>
    <w:rsid w:val="00364CEC"/>
    <w:rsid w:val="00364ED6"/>
    <w:rsid w:val="00364F20"/>
    <w:rsid w:val="00365120"/>
    <w:rsid w:val="00365705"/>
    <w:rsid w:val="00365738"/>
    <w:rsid w:val="00365805"/>
    <w:rsid w:val="00365939"/>
    <w:rsid w:val="00365B69"/>
    <w:rsid w:val="00365D44"/>
    <w:rsid w:val="00365D84"/>
    <w:rsid w:val="003662E4"/>
    <w:rsid w:val="003667C0"/>
    <w:rsid w:val="00366804"/>
    <w:rsid w:val="00366B2A"/>
    <w:rsid w:val="00366DF2"/>
    <w:rsid w:val="00367321"/>
    <w:rsid w:val="003677A0"/>
    <w:rsid w:val="0036785F"/>
    <w:rsid w:val="003678CF"/>
    <w:rsid w:val="00367A89"/>
    <w:rsid w:val="00367F27"/>
    <w:rsid w:val="003702BE"/>
    <w:rsid w:val="003706D0"/>
    <w:rsid w:val="00370882"/>
    <w:rsid w:val="0037089D"/>
    <w:rsid w:val="00370B65"/>
    <w:rsid w:val="00370BDE"/>
    <w:rsid w:val="00370F37"/>
    <w:rsid w:val="00370FFC"/>
    <w:rsid w:val="003710EB"/>
    <w:rsid w:val="00371225"/>
    <w:rsid w:val="00371B8E"/>
    <w:rsid w:val="00371D07"/>
    <w:rsid w:val="00371DB2"/>
    <w:rsid w:val="00371E9D"/>
    <w:rsid w:val="0037231B"/>
    <w:rsid w:val="0037233D"/>
    <w:rsid w:val="00372BD7"/>
    <w:rsid w:val="00372C68"/>
    <w:rsid w:val="00372FCC"/>
    <w:rsid w:val="003732FF"/>
    <w:rsid w:val="00373442"/>
    <w:rsid w:val="0037345F"/>
    <w:rsid w:val="00373834"/>
    <w:rsid w:val="00373BAD"/>
    <w:rsid w:val="00373C2C"/>
    <w:rsid w:val="00373D29"/>
    <w:rsid w:val="00373DFD"/>
    <w:rsid w:val="00373E16"/>
    <w:rsid w:val="00373EFB"/>
    <w:rsid w:val="00374330"/>
    <w:rsid w:val="003744C2"/>
    <w:rsid w:val="003746F5"/>
    <w:rsid w:val="0037482A"/>
    <w:rsid w:val="00374BF8"/>
    <w:rsid w:val="00374C4C"/>
    <w:rsid w:val="00374E46"/>
    <w:rsid w:val="00374F29"/>
    <w:rsid w:val="0037594F"/>
    <w:rsid w:val="003759B3"/>
    <w:rsid w:val="00375B68"/>
    <w:rsid w:val="00376177"/>
    <w:rsid w:val="0037648A"/>
    <w:rsid w:val="00376563"/>
    <w:rsid w:val="003765BE"/>
    <w:rsid w:val="0037662F"/>
    <w:rsid w:val="0037677A"/>
    <w:rsid w:val="00376A67"/>
    <w:rsid w:val="00376BEA"/>
    <w:rsid w:val="00376F66"/>
    <w:rsid w:val="003770DB"/>
    <w:rsid w:val="00377144"/>
    <w:rsid w:val="00377312"/>
    <w:rsid w:val="00377488"/>
    <w:rsid w:val="003775AC"/>
    <w:rsid w:val="003777E6"/>
    <w:rsid w:val="0037781A"/>
    <w:rsid w:val="0037784D"/>
    <w:rsid w:val="0037795F"/>
    <w:rsid w:val="00377995"/>
    <w:rsid w:val="00377A12"/>
    <w:rsid w:val="0038016E"/>
    <w:rsid w:val="0038029D"/>
    <w:rsid w:val="003802EE"/>
    <w:rsid w:val="00380642"/>
    <w:rsid w:val="0038076C"/>
    <w:rsid w:val="00380A97"/>
    <w:rsid w:val="0038107F"/>
    <w:rsid w:val="003810E1"/>
    <w:rsid w:val="0038122E"/>
    <w:rsid w:val="003812D0"/>
    <w:rsid w:val="0038146C"/>
    <w:rsid w:val="0038173E"/>
    <w:rsid w:val="0038182E"/>
    <w:rsid w:val="0038192B"/>
    <w:rsid w:val="00381D1A"/>
    <w:rsid w:val="00381E23"/>
    <w:rsid w:val="00381F55"/>
    <w:rsid w:val="0038200A"/>
    <w:rsid w:val="0038204D"/>
    <w:rsid w:val="00382609"/>
    <w:rsid w:val="00382997"/>
    <w:rsid w:val="00382B16"/>
    <w:rsid w:val="00382BC5"/>
    <w:rsid w:val="00382C0E"/>
    <w:rsid w:val="00383269"/>
    <w:rsid w:val="0038348A"/>
    <w:rsid w:val="00383C75"/>
    <w:rsid w:val="00383C87"/>
    <w:rsid w:val="00383D26"/>
    <w:rsid w:val="00383E1C"/>
    <w:rsid w:val="00383ED8"/>
    <w:rsid w:val="00384256"/>
    <w:rsid w:val="003844DE"/>
    <w:rsid w:val="00384802"/>
    <w:rsid w:val="0038486E"/>
    <w:rsid w:val="00384CD0"/>
    <w:rsid w:val="00384D14"/>
    <w:rsid w:val="00384D28"/>
    <w:rsid w:val="00384EE1"/>
    <w:rsid w:val="00385408"/>
    <w:rsid w:val="00385777"/>
    <w:rsid w:val="003858CA"/>
    <w:rsid w:val="003858FB"/>
    <w:rsid w:val="00385900"/>
    <w:rsid w:val="00385927"/>
    <w:rsid w:val="0038592B"/>
    <w:rsid w:val="00385A37"/>
    <w:rsid w:val="00385BB5"/>
    <w:rsid w:val="00385E1E"/>
    <w:rsid w:val="003860F8"/>
    <w:rsid w:val="00386288"/>
    <w:rsid w:val="00386B1B"/>
    <w:rsid w:val="00386E09"/>
    <w:rsid w:val="00387363"/>
    <w:rsid w:val="00387892"/>
    <w:rsid w:val="00387D5D"/>
    <w:rsid w:val="0039005D"/>
    <w:rsid w:val="003900DE"/>
    <w:rsid w:val="00390D5E"/>
    <w:rsid w:val="00390ED6"/>
    <w:rsid w:val="0039130B"/>
    <w:rsid w:val="003914A7"/>
    <w:rsid w:val="0039159B"/>
    <w:rsid w:val="00391A6B"/>
    <w:rsid w:val="00391B3D"/>
    <w:rsid w:val="00391C57"/>
    <w:rsid w:val="00391EEE"/>
    <w:rsid w:val="00391FD9"/>
    <w:rsid w:val="00392735"/>
    <w:rsid w:val="00392CE4"/>
    <w:rsid w:val="00392D02"/>
    <w:rsid w:val="00392DA7"/>
    <w:rsid w:val="00392DC5"/>
    <w:rsid w:val="00392DC9"/>
    <w:rsid w:val="0039307D"/>
    <w:rsid w:val="0039358F"/>
    <w:rsid w:val="00393630"/>
    <w:rsid w:val="00393ECF"/>
    <w:rsid w:val="0039410C"/>
    <w:rsid w:val="00394385"/>
    <w:rsid w:val="00394801"/>
    <w:rsid w:val="00394840"/>
    <w:rsid w:val="00394BB5"/>
    <w:rsid w:val="00394D9B"/>
    <w:rsid w:val="003952BF"/>
    <w:rsid w:val="00395495"/>
    <w:rsid w:val="00395828"/>
    <w:rsid w:val="0039592A"/>
    <w:rsid w:val="00395A3C"/>
    <w:rsid w:val="00395A96"/>
    <w:rsid w:val="003961F1"/>
    <w:rsid w:val="003962FC"/>
    <w:rsid w:val="003964CC"/>
    <w:rsid w:val="00396629"/>
    <w:rsid w:val="00396834"/>
    <w:rsid w:val="0039683E"/>
    <w:rsid w:val="00396985"/>
    <w:rsid w:val="00396D3F"/>
    <w:rsid w:val="00397015"/>
    <w:rsid w:val="0039711A"/>
    <w:rsid w:val="00397B6B"/>
    <w:rsid w:val="00397C2A"/>
    <w:rsid w:val="00397CFA"/>
    <w:rsid w:val="00397E03"/>
    <w:rsid w:val="00397F59"/>
    <w:rsid w:val="003A0102"/>
    <w:rsid w:val="003A0135"/>
    <w:rsid w:val="003A06FE"/>
    <w:rsid w:val="003A0867"/>
    <w:rsid w:val="003A0D4B"/>
    <w:rsid w:val="003A145C"/>
    <w:rsid w:val="003A14C6"/>
    <w:rsid w:val="003A14D9"/>
    <w:rsid w:val="003A1AF1"/>
    <w:rsid w:val="003A1E7F"/>
    <w:rsid w:val="003A1EE2"/>
    <w:rsid w:val="003A206A"/>
    <w:rsid w:val="003A243D"/>
    <w:rsid w:val="003A25BF"/>
    <w:rsid w:val="003A293A"/>
    <w:rsid w:val="003A2997"/>
    <w:rsid w:val="003A29F6"/>
    <w:rsid w:val="003A2E28"/>
    <w:rsid w:val="003A32B7"/>
    <w:rsid w:val="003A3543"/>
    <w:rsid w:val="003A38E8"/>
    <w:rsid w:val="003A39BD"/>
    <w:rsid w:val="003A3A17"/>
    <w:rsid w:val="003A3B03"/>
    <w:rsid w:val="003A3D58"/>
    <w:rsid w:val="003A3E89"/>
    <w:rsid w:val="003A3EEA"/>
    <w:rsid w:val="003A3FB9"/>
    <w:rsid w:val="003A3FCF"/>
    <w:rsid w:val="003A4A7F"/>
    <w:rsid w:val="003A5252"/>
    <w:rsid w:val="003A5460"/>
    <w:rsid w:val="003A548C"/>
    <w:rsid w:val="003A556A"/>
    <w:rsid w:val="003A588F"/>
    <w:rsid w:val="003A5A03"/>
    <w:rsid w:val="003A62B4"/>
    <w:rsid w:val="003A6461"/>
    <w:rsid w:val="003A675E"/>
    <w:rsid w:val="003A6BF7"/>
    <w:rsid w:val="003A6E24"/>
    <w:rsid w:val="003A6E56"/>
    <w:rsid w:val="003A71C5"/>
    <w:rsid w:val="003A7702"/>
    <w:rsid w:val="003A79B0"/>
    <w:rsid w:val="003A7BE8"/>
    <w:rsid w:val="003A7D26"/>
    <w:rsid w:val="003A7F10"/>
    <w:rsid w:val="003B00A6"/>
    <w:rsid w:val="003B058F"/>
    <w:rsid w:val="003B0BE8"/>
    <w:rsid w:val="003B0D62"/>
    <w:rsid w:val="003B12E6"/>
    <w:rsid w:val="003B17E9"/>
    <w:rsid w:val="003B1957"/>
    <w:rsid w:val="003B1A55"/>
    <w:rsid w:val="003B1BBA"/>
    <w:rsid w:val="003B1BD7"/>
    <w:rsid w:val="003B1CB9"/>
    <w:rsid w:val="003B20C0"/>
    <w:rsid w:val="003B254F"/>
    <w:rsid w:val="003B2559"/>
    <w:rsid w:val="003B26C5"/>
    <w:rsid w:val="003B29AD"/>
    <w:rsid w:val="003B2C5B"/>
    <w:rsid w:val="003B31CA"/>
    <w:rsid w:val="003B38B2"/>
    <w:rsid w:val="003B39F1"/>
    <w:rsid w:val="003B3BC6"/>
    <w:rsid w:val="003B3C9F"/>
    <w:rsid w:val="003B40AE"/>
    <w:rsid w:val="003B42C6"/>
    <w:rsid w:val="003B45B2"/>
    <w:rsid w:val="003B45BD"/>
    <w:rsid w:val="003B4613"/>
    <w:rsid w:val="003B4853"/>
    <w:rsid w:val="003B4ACA"/>
    <w:rsid w:val="003B4CB5"/>
    <w:rsid w:val="003B4E38"/>
    <w:rsid w:val="003B4E95"/>
    <w:rsid w:val="003B52A9"/>
    <w:rsid w:val="003B546C"/>
    <w:rsid w:val="003B572B"/>
    <w:rsid w:val="003B572C"/>
    <w:rsid w:val="003B5D79"/>
    <w:rsid w:val="003B5D93"/>
    <w:rsid w:val="003B6852"/>
    <w:rsid w:val="003B6935"/>
    <w:rsid w:val="003B6A7D"/>
    <w:rsid w:val="003B6B0D"/>
    <w:rsid w:val="003B6B32"/>
    <w:rsid w:val="003B6D7C"/>
    <w:rsid w:val="003B702D"/>
    <w:rsid w:val="003B70B3"/>
    <w:rsid w:val="003B72B9"/>
    <w:rsid w:val="003B74AD"/>
    <w:rsid w:val="003B797C"/>
    <w:rsid w:val="003B7DFF"/>
    <w:rsid w:val="003C004F"/>
    <w:rsid w:val="003C04C1"/>
    <w:rsid w:val="003C0888"/>
    <w:rsid w:val="003C0A36"/>
    <w:rsid w:val="003C0EA7"/>
    <w:rsid w:val="003C1655"/>
    <w:rsid w:val="003C1732"/>
    <w:rsid w:val="003C1978"/>
    <w:rsid w:val="003C19EB"/>
    <w:rsid w:val="003C1B18"/>
    <w:rsid w:val="003C1D22"/>
    <w:rsid w:val="003C1D2C"/>
    <w:rsid w:val="003C1E43"/>
    <w:rsid w:val="003C1E66"/>
    <w:rsid w:val="003C1EDB"/>
    <w:rsid w:val="003C218C"/>
    <w:rsid w:val="003C23D4"/>
    <w:rsid w:val="003C27C0"/>
    <w:rsid w:val="003C2AC3"/>
    <w:rsid w:val="003C2E73"/>
    <w:rsid w:val="003C2EDC"/>
    <w:rsid w:val="003C3042"/>
    <w:rsid w:val="003C30B9"/>
    <w:rsid w:val="003C3952"/>
    <w:rsid w:val="003C397A"/>
    <w:rsid w:val="003C39DB"/>
    <w:rsid w:val="003C3B65"/>
    <w:rsid w:val="003C4170"/>
    <w:rsid w:val="003C435E"/>
    <w:rsid w:val="003C45E1"/>
    <w:rsid w:val="003C477B"/>
    <w:rsid w:val="003C4807"/>
    <w:rsid w:val="003C4BEA"/>
    <w:rsid w:val="003C522A"/>
    <w:rsid w:val="003C52B2"/>
    <w:rsid w:val="003C52FD"/>
    <w:rsid w:val="003C54E9"/>
    <w:rsid w:val="003C5607"/>
    <w:rsid w:val="003C59F1"/>
    <w:rsid w:val="003C5C70"/>
    <w:rsid w:val="003C5FC3"/>
    <w:rsid w:val="003C60D0"/>
    <w:rsid w:val="003C6123"/>
    <w:rsid w:val="003C6346"/>
    <w:rsid w:val="003C64F0"/>
    <w:rsid w:val="003C6F6B"/>
    <w:rsid w:val="003C70CE"/>
    <w:rsid w:val="003C7162"/>
    <w:rsid w:val="003C71F6"/>
    <w:rsid w:val="003C7204"/>
    <w:rsid w:val="003C7A29"/>
    <w:rsid w:val="003C7A52"/>
    <w:rsid w:val="003D04A8"/>
    <w:rsid w:val="003D0D71"/>
    <w:rsid w:val="003D0FFD"/>
    <w:rsid w:val="003D123C"/>
    <w:rsid w:val="003D1258"/>
    <w:rsid w:val="003D1883"/>
    <w:rsid w:val="003D1C3A"/>
    <w:rsid w:val="003D1E82"/>
    <w:rsid w:val="003D211D"/>
    <w:rsid w:val="003D22EF"/>
    <w:rsid w:val="003D2592"/>
    <w:rsid w:val="003D2659"/>
    <w:rsid w:val="003D271E"/>
    <w:rsid w:val="003D2AAC"/>
    <w:rsid w:val="003D2B3B"/>
    <w:rsid w:val="003D2BD1"/>
    <w:rsid w:val="003D3249"/>
    <w:rsid w:val="003D3430"/>
    <w:rsid w:val="003D353E"/>
    <w:rsid w:val="003D3551"/>
    <w:rsid w:val="003D36C6"/>
    <w:rsid w:val="003D38F9"/>
    <w:rsid w:val="003D3C1E"/>
    <w:rsid w:val="003D3C6D"/>
    <w:rsid w:val="003D4125"/>
    <w:rsid w:val="003D4243"/>
    <w:rsid w:val="003D438E"/>
    <w:rsid w:val="003D44EC"/>
    <w:rsid w:val="003D4972"/>
    <w:rsid w:val="003D4B04"/>
    <w:rsid w:val="003D4DAF"/>
    <w:rsid w:val="003D4E25"/>
    <w:rsid w:val="003D4FF5"/>
    <w:rsid w:val="003D517E"/>
    <w:rsid w:val="003D51DF"/>
    <w:rsid w:val="003D5227"/>
    <w:rsid w:val="003D52BC"/>
    <w:rsid w:val="003D53AD"/>
    <w:rsid w:val="003D5A3F"/>
    <w:rsid w:val="003D6464"/>
    <w:rsid w:val="003D666A"/>
    <w:rsid w:val="003D67BE"/>
    <w:rsid w:val="003D6E82"/>
    <w:rsid w:val="003D6EAE"/>
    <w:rsid w:val="003D6F75"/>
    <w:rsid w:val="003D7634"/>
    <w:rsid w:val="003D7952"/>
    <w:rsid w:val="003D7A15"/>
    <w:rsid w:val="003D7B95"/>
    <w:rsid w:val="003D7EC2"/>
    <w:rsid w:val="003E0005"/>
    <w:rsid w:val="003E005C"/>
    <w:rsid w:val="003E0136"/>
    <w:rsid w:val="003E0176"/>
    <w:rsid w:val="003E0407"/>
    <w:rsid w:val="003E0501"/>
    <w:rsid w:val="003E07AE"/>
    <w:rsid w:val="003E080E"/>
    <w:rsid w:val="003E0B8C"/>
    <w:rsid w:val="003E0B9D"/>
    <w:rsid w:val="003E0D18"/>
    <w:rsid w:val="003E16B8"/>
    <w:rsid w:val="003E18CD"/>
    <w:rsid w:val="003E19C4"/>
    <w:rsid w:val="003E2015"/>
    <w:rsid w:val="003E20C3"/>
    <w:rsid w:val="003E2137"/>
    <w:rsid w:val="003E2243"/>
    <w:rsid w:val="003E2638"/>
    <w:rsid w:val="003E2D60"/>
    <w:rsid w:val="003E31E7"/>
    <w:rsid w:val="003E3576"/>
    <w:rsid w:val="003E3728"/>
    <w:rsid w:val="003E37A1"/>
    <w:rsid w:val="003E380B"/>
    <w:rsid w:val="003E3C5F"/>
    <w:rsid w:val="003E3D0F"/>
    <w:rsid w:val="003E3ECD"/>
    <w:rsid w:val="003E4452"/>
    <w:rsid w:val="003E4560"/>
    <w:rsid w:val="003E45EF"/>
    <w:rsid w:val="003E45F2"/>
    <w:rsid w:val="003E46CE"/>
    <w:rsid w:val="003E50C6"/>
    <w:rsid w:val="003E54F3"/>
    <w:rsid w:val="003E5FFD"/>
    <w:rsid w:val="003E6339"/>
    <w:rsid w:val="003E633F"/>
    <w:rsid w:val="003E654C"/>
    <w:rsid w:val="003E6553"/>
    <w:rsid w:val="003E67B7"/>
    <w:rsid w:val="003E6BFD"/>
    <w:rsid w:val="003E6C41"/>
    <w:rsid w:val="003E6CE2"/>
    <w:rsid w:val="003E6FD0"/>
    <w:rsid w:val="003E7178"/>
    <w:rsid w:val="003E72F1"/>
    <w:rsid w:val="003E7470"/>
    <w:rsid w:val="003E7A73"/>
    <w:rsid w:val="003E7ADE"/>
    <w:rsid w:val="003E7C16"/>
    <w:rsid w:val="003E7D54"/>
    <w:rsid w:val="003E7E8D"/>
    <w:rsid w:val="003F03D9"/>
    <w:rsid w:val="003F0539"/>
    <w:rsid w:val="003F0835"/>
    <w:rsid w:val="003F0A17"/>
    <w:rsid w:val="003F0A4E"/>
    <w:rsid w:val="003F0CC3"/>
    <w:rsid w:val="003F0D03"/>
    <w:rsid w:val="003F0DCF"/>
    <w:rsid w:val="003F0E5C"/>
    <w:rsid w:val="003F10F7"/>
    <w:rsid w:val="003F11B5"/>
    <w:rsid w:val="003F1599"/>
    <w:rsid w:val="003F15DF"/>
    <w:rsid w:val="003F169C"/>
    <w:rsid w:val="003F170E"/>
    <w:rsid w:val="003F173E"/>
    <w:rsid w:val="003F1793"/>
    <w:rsid w:val="003F1AD3"/>
    <w:rsid w:val="003F1F04"/>
    <w:rsid w:val="003F2206"/>
    <w:rsid w:val="003F25D5"/>
    <w:rsid w:val="003F2802"/>
    <w:rsid w:val="003F2849"/>
    <w:rsid w:val="003F2BDA"/>
    <w:rsid w:val="003F2D7F"/>
    <w:rsid w:val="003F320A"/>
    <w:rsid w:val="003F33CF"/>
    <w:rsid w:val="003F34DE"/>
    <w:rsid w:val="003F3512"/>
    <w:rsid w:val="003F374B"/>
    <w:rsid w:val="003F3D5A"/>
    <w:rsid w:val="003F44E5"/>
    <w:rsid w:val="003F4684"/>
    <w:rsid w:val="003F4936"/>
    <w:rsid w:val="003F4ABB"/>
    <w:rsid w:val="003F4FB0"/>
    <w:rsid w:val="003F5014"/>
    <w:rsid w:val="003F510A"/>
    <w:rsid w:val="003F53C2"/>
    <w:rsid w:val="003F5518"/>
    <w:rsid w:val="003F5D93"/>
    <w:rsid w:val="003F5E0B"/>
    <w:rsid w:val="003F61D9"/>
    <w:rsid w:val="003F6349"/>
    <w:rsid w:val="003F69A7"/>
    <w:rsid w:val="003F6C76"/>
    <w:rsid w:val="003F72F5"/>
    <w:rsid w:val="003F75DE"/>
    <w:rsid w:val="003F7616"/>
    <w:rsid w:val="003F7741"/>
    <w:rsid w:val="003F7B37"/>
    <w:rsid w:val="004005BE"/>
    <w:rsid w:val="004005CB"/>
    <w:rsid w:val="004006CB"/>
    <w:rsid w:val="00400A69"/>
    <w:rsid w:val="00400C2A"/>
    <w:rsid w:val="00400CBB"/>
    <w:rsid w:val="004012DD"/>
    <w:rsid w:val="004018B2"/>
    <w:rsid w:val="0040193E"/>
    <w:rsid w:val="00401A93"/>
    <w:rsid w:val="00401B2C"/>
    <w:rsid w:val="004020B3"/>
    <w:rsid w:val="004022C2"/>
    <w:rsid w:val="00402616"/>
    <w:rsid w:val="00402691"/>
    <w:rsid w:val="00402C4F"/>
    <w:rsid w:val="00402EE5"/>
    <w:rsid w:val="00403439"/>
    <w:rsid w:val="00403607"/>
    <w:rsid w:val="004036B6"/>
    <w:rsid w:val="0040384A"/>
    <w:rsid w:val="00403A08"/>
    <w:rsid w:val="00403AA3"/>
    <w:rsid w:val="00403AB1"/>
    <w:rsid w:val="00403AEA"/>
    <w:rsid w:val="00403BDF"/>
    <w:rsid w:val="00403C38"/>
    <w:rsid w:val="00403E90"/>
    <w:rsid w:val="00404125"/>
    <w:rsid w:val="00404183"/>
    <w:rsid w:val="004042A4"/>
    <w:rsid w:val="00404522"/>
    <w:rsid w:val="00404A85"/>
    <w:rsid w:val="00404DAD"/>
    <w:rsid w:val="00404E8C"/>
    <w:rsid w:val="0040537E"/>
    <w:rsid w:val="0040549B"/>
    <w:rsid w:val="0040568C"/>
    <w:rsid w:val="00405A5A"/>
    <w:rsid w:val="00405B9C"/>
    <w:rsid w:val="00405E88"/>
    <w:rsid w:val="00406219"/>
    <w:rsid w:val="00406262"/>
    <w:rsid w:val="0040657B"/>
    <w:rsid w:val="004067CB"/>
    <w:rsid w:val="004067DF"/>
    <w:rsid w:val="00406D8B"/>
    <w:rsid w:val="00406DAB"/>
    <w:rsid w:val="00407140"/>
    <w:rsid w:val="004077E0"/>
    <w:rsid w:val="004078B5"/>
    <w:rsid w:val="00407CD0"/>
    <w:rsid w:val="00407D0A"/>
    <w:rsid w:val="00407D0D"/>
    <w:rsid w:val="00407F3A"/>
    <w:rsid w:val="004103EE"/>
    <w:rsid w:val="0041046C"/>
    <w:rsid w:val="00410523"/>
    <w:rsid w:val="004106D2"/>
    <w:rsid w:val="00410D12"/>
    <w:rsid w:val="00410EB4"/>
    <w:rsid w:val="00410F8A"/>
    <w:rsid w:val="00410FAE"/>
    <w:rsid w:val="004112A7"/>
    <w:rsid w:val="00411369"/>
    <w:rsid w:val="0041138F"/>
    <w:rsid w:val="004117C9"/>
    <w:rsid w:val="00411B8A"/>
    <w:rsid w:val="00411D5C"/>
    <w:rsid w:val="004122A5"/>
    <w:rsid w:val="004123A1"/>
    <w:rsid w:val="004126A5"/>
    <w:rsid w:val="00412724"/>
    <w:rsid w:val="00412762"/>
    <w:rsid w:val="004127C5"/>
    <w:rsid w:val="00412C79"/>
    <w:rsid w:val="0041368D"/>
    <w:rsid w:val="004138FD"/>
    <w:rsid w:val="00413981"/>
    <w:rsid w:val="00413989"/>
    <w:rsid w:val="00413A5B"/>
    <w:rsid w:val="00413C9A"/>
    <w:rsid w:val="004145F8"/>
    <w:rsid w:val="00414677"/>
    <w:rsid w:val="00414724"/>
    <w:rsid w:val="00414D53"/>
    <w:rsid w:val="00415374"/>
    <w:rsid w:val="004153C3"/>
    <w:rsid w:val="004158D2"/>
    <w:rsid w:val="0041598B"/>
    <w:rsid w:val="00416049"/>
    <w:rsid w:val="004161CA"/>
    <w:rsid w:val="004162D5"/>
    <w:rsid w:val="004163A1"/>
    <w:rsid w:val="004165DE"/>
    <w:rsid w:val="004168CC"/>
    <w:rsid w:val="00417000"/>
    <w:rsid w:val="00417438"/>
    <w:rsid w:val="00417C03"/>
    <w:rsid w:val="0042027D"/>
    <w:rsid w:val="00420544"/>
    <w:rsid w:val="00420BFA"/>
    <w:rsid w:val="00420C89"/>
    <w:rsid w:val="00421003"/>
    <w:rsid w:val="00421320"/>
    <w:rsid w:val="00421339"/>
    <w:rsid w:val="00421444"/>
    <w:rsid w:val="004214C0"/>
    <w:rsid w:val="0042162D"/>
    <w:rsid w:val="00421AE2"/>
    <w:rsid w:val="00421C7E"/>
    <w:rsid w:val="00421EE9"/>
    <w:rsid w:val="004220B9"/>
    <w:rsid w:val="004226B1"/>
    <w:rsid w:val="00422754"/>
    <w:rsid w:val="0042279E"/>
    <w:rsid w:val="00422871"/>
    <w:rsid w:val="00422920"/>
    <w:rsid w:val="00423101"/>
    <w:rsid w:val="0042320E"/>
    <w:rsid w:val="00423543"/>
    <w:rsid w:val="00423659"/>
    <w:rsid w:val="0042377A"/>
    <w:rsid w:val="0042386E"/>
    <w:rsid w:val="00423C51"/>
    <w:rsid w:val="00423DB7"/>
    <w:rsid w:val="00423FF4"/>
    <w:rsid w:val="004240A0"/>
    <w:rsid w:val="004240F0"/>
    <w:rsid w:val="004242BC"/>
    <w:rsid w:val="004242EB"/>
    <w:rsid w:val="004244A6"/>
    <w:rsid w:val="0042507B"/>
    <w:rsid w:val="00425265"/>
    <w:rsid w:val="00425579"/>
    <w:rsid w:val="0042573A"/>
    <w:rsid w:val="004257A8"/>
    <w:rsid w:val="00425A37"/>
    <w:rsid w:val="00425A6C"/>
    <w:rsid w:val="00425AE2"/>
    <w:rsid w:val="00425D1C"/>
    <w:rsid w:val="00426088"/>
    <w:rsid w:val="00426154"/>
    <w:rsid w:val="00426392"/>
    <w:rsid w:val="004264B8"/>
    <w:rsid w:val="00426D4E"/>
    <w:rsid w:val="004270D1"/>
    <w:rsid w:val="00427352"/>
    <w:rsid w:val="0042748B"/>
    <w:rsid w:val="00427C44"/>
    <w:rsid w:val="00427EEE"/>
    <w:rsid w:val="00427EF0"/>
    <w:rsid w:val="00427FF3"/>
    <w:rsid w:val="00430395"/>
    <w:rsid w:val="00430845"/>
    <w:rsid w:val="00430CF6"/>
    <w:rsid w:val="00430DDF"/>
    <w:rsid w:val="00430E57"/>
    <w:rsid w:val="00431031"/>
    <w:rsid w:val="0043122C"/>
    <w:rsid w:val="00431242"/>
    <w:rsid w:val="00431533"/>
    <w:rsid w:val="00431736"/>
    <w:rsid w:val="004317A7"/>
    <w:rsid w:val="00431933"/>
    <w:rsid w:val="00431AC7"/>
    <w:rsid w:val="00431B03"/>
    <w:rsid w:val="00431FDD"/>
    <w:rsid w:val="0043209B"/>
    <w:rsid w:val="004321CA"/>
    <w:rsid w:val="004324D4"/>
    <w:rsid w:val="00432828"/>
    <w:rsid w:val="004328A2"/>
    <w:rsid w:val="00432901"/>
    <w:rsid w:val="004330F9"/>
    <w:rsid w:val="004337DD"/>
    <w:rsid w:val="0043380B"/>
    <w:rsid w:val="004339B2"/>
    <w:rsid w:val="004344A1"/>
    <w:rsid w:val="0043464F"/>
    <w:rsid w:val="00434CEB"/>
    <w:rsid w:val="00434FE6"/>
    <w:rsid w:val="00435109"/>
    <w:rsid w:val="00435791"/>
    <w:rsid w:val="00435906"/>
    <w:rsid w:val="00435DDF"/>
    <w:rsid w:val="0043637B"/>
    <w:rsid w:val="00436530"/>
    <w:rsid w:val="00436822"/>
    <w:rsid w:val="00436AE3"/>
    <w:rsid w:val="00436EE1"/>
    <w:rsid w:val="00436FC4"/>
    <w:rsid w:val="00437167"/>
    <w:rsid w:val="004372BD"/>
    <w:rsid w:val="00437578"/>
    <w:rsid w:val="00437667"/>
    <w:rsid w:val="004379A1"/>
    <w:rsid w:val="00437A64"/>
    <w:rsid w:val="00437A85"/>
    <w:rsid w:val="00437BB6"/>
    <w:rsid w:val="00440578"/>
    <w:rsid w:val="00440664"/>
    <w:rsid w:val="004407AA"/>
    <w:rsid w:val="00441563"/>
    <w:rsid w:val="0044184E"/>
    <w:rsid w:val="004418EC"/>
    <w:rsid w:val="00441980"/>
    <w:rsid w:val="004419CE"/>
    <w:rsid w:val="00441DEC"/>
    <w:rsid w:val="004420CB"/>
    <w:rsid w:val="0044219B"/>
    <w:rsid w:val="0044226C"/>
    <w:rsid w:val="0044276E"/>
    <w:rsid w:val="00442952"/>
    <w:rsid w:val="00442A9F"/>
    <w:rsid w:val="00442B45"/>
    <w:rsid w:val="00442EF1"/>
    <w:rsid w:val="0044311C"/>
    <w:rsid w:val="0044340E"/>
    <w:rsid w:val="00443581"/>
    <w:rsid w:val="00443965"/>
    <w:rsid w:val="00443B35"/>
    <w:rsid w:val="00443BAF"/>
    <w:rsid w:val="00444427"/>
    <w:rsid w:val="00444429"/>
    <w:rsid w:val="00444535"/>
    <w:rsid w:val="00444536"/>
    <w:rsid w:val="00444588"/>
    <w:rsid w:val="00444682"/>
    <w:rsid w:val="004448D7"/>
    <w:rsid w:val="00444932"/>
    <w:rsid w:val="0044493F"/>
    <w:rsid w:val="00444CB0"/>
    <w:rsid w:val="00445245"/>
    <w:rsid w:val="0044524B"/>
    <w:rsid w:val="0044585D"/>
    <w:rsid w:val="004458CA"/>
    <w:rsid w:val="00445A02"/>
    <w:rsid w:val="00445D93"/>
    <w:rsid w:val="004462C7"/>
    <w:rsid w:val="00446355"/>
    <w:rsid w:val="00446480"/>
    <w:rsid w:val="00446C86"/>
    <w:rsid w:val="00446CC4"/>
    <w:rsid w:val="00446FD6"/>
    <w:rsid w:val="00447064"/>
    <w:rsid w:val="00447131"/>
    <w:rsid w:val="0044721C"/>
    <w:rsid w:val="004472B6"/>
    <w:rsid w:val="004472C0"/>
    <w:rsid w:val="00447582"/>
    <w:rsid w:val="00447666"/>
    <w:rsid w:val="00447BD9"/>
    <w:rsid w:val="0045000B"/>
    <w:rsid w:val="00450442"/>
    <w:rsid w:val="0045097B"/>
    <w:rsid w:val="0045130F"/>
    <w:rsid w:val="00451378"/>
    <w:rsid w:val="00451672"/>
    <w:rsid w:val="00451780"/>
    <w:rsid w:val="0045186D"/>
    <w:rsid w:val="00451C67"/>
    <w:rsid w:val="00451DCD"/>
    <w:rsid w:val="00451E20"/>
    <w:rsid w:val="00452097"/>
    <w:rsid w:val="00452464"/>
    <w:rsid w:val="0045247C"/>
    <w:rsid w:val="00452539"/>
    <w:rsid w:val="004528DD"/>
    <w:rsid w:val="004529EB"/>
    <w:rsid w:val="00452ACD"/>
    <w:rsid w:val="00452BD4"/>
    <w:rsid w:val="00452C81"/>
    <w:rsid w:val="00453779"/>
    <w:rsid w:val="0045385B"/>
    <w:rsid w:val="00453DD2"/>
    <w:rsid w:val="00453F89"/>
    <w:rsid w:val="00454764"/>
    <w:rsid w:val="004547E6"/>
    <w:rsid w:val="00454EFC"/>
    <w:rsid w:val="00455522"/>
    <w:rsid w:val="00455590"/>
    <w:rsid w:val="00455629"/>
    <w:rsid w:val="00455915"/>
    <w:rsid w:val="00455B59"/>
    <w:rsid w:val="00455B7E"/>
    <w:rsid w:val="00455C8A"/>
    <w:rsid w:val="00455DDA"/>
    <w:rsid w:val="00455E40"/>
    <w:rsid w:val="00455E8A"/>
    <w:rsid w:val="00455E8D"/>
    <w:rsid w:val="00455FBB"/>
    <w:rsid w:val="004560A8"/>
    <w:rsid w:val="00456577"/>
    <w:rsid w:val="00456866"/>
    <w:rsid w:val="00456B8B"/>
    <w:rsid w:val="00456D69"/>
    <w:rsid w:val="00456F03"/>
    <w:rsid w:val="004571D0"/>
    <w:rsid w:val="00457488"/>
    <w:rsid w:val="00457754"/>
    <w:rsid w:val="0045794E"/>
    <w:rsid w:val="00457F37"/>
    <w:rsid w:val="00457F96"/>
    <w:rsid w:val="00460200"/>
    <w:rsid w:val="004603FD"/>
    <w:rsid w:val="00460658"/>
    <w:rsid w:val="0046068F"/>
    <w:rsid w:val="004606A1"/>
    <w:rsid w:val="004607B9"/>
    <w:rsid w:val="00460BC1"/>
    <w:rsid w:val="00460D78"/>
    <w:rsid w:val="004616BC"/>
    <w:rsid w:val="0046183B"/>
    <w:rsid w:val="00461A9D"/>
    <w:rsid w:val="00461D89"/>
    <w:rsid w:val="00462197"/>
    <w:rsid w:val="0046235F"/>
    <w:rsid w:val="0046253B"/>
    <w:rsid w:val="00462D1F"/>
    <w:rsid w:val="00462F0B"/>
    <w:rsid w:val="0046338D"/>
    <w:rsid w:val="004633A4"/>
    <w:rsid w:val="004633DB"/>
    <w:rsid w:val="004633DE"/>
    <w:rsid w:val="004634BE"/>
    <w:rsid w:val="0046376A"/>
    <w:rsid w:val="00463ABA"/>
    <w:rsid w:val="00463B3F"/>
    <w:rsid w:val="00463C92"/>
    <w:rsid w:val="004644B3"/>
    <w:rsid w:val="004645F4"/>
    <w:rsid w:val="0046475B"/>
    <w:rsid w:val="00464A9D"/>
    <w:rsid w:val="00464BAD"/>
    <w:rsid w:val="00464D73"/>
    <w:rsid w:val="00464E3F"/>
    <w:rsid w:val="0046523D"/>
    <w:rsid w:val="00465474"/>
    <w:rsid w:val="0046559A"/>
    <w:rsid w:val="00465B46"/>
    <w:rsid w:val="00465FC0"/>
    <w:rsid w:val="0046658A"/>
    <w:rsid w:val="0046668C"/>
    <w:rsid w:val="004666AB"/>
    <w:rsid w:val="004667DA"/>
    <w:rsid w:val="0046688C"/>
    <w:rsid w:val="00466AC8"/>
    <w:rsid w:val="00466CEA"/>
    <w:rsid w:val="00466DAE"/>
    <w:rsid w:val="00467381"/>
    <w:rsid w:val="004677C7"/>
    <w:rsid w:val="0046780C"/>
    <w:rsid w:val="00467C4A"/>
    <w:rsid w:val="00467D77"/>
    <w:rsid w:val="0047004E"/>
    <w:rsid w:val="00470361"/>
    <w:rsid w:val="004704CA"/>
    <w:rsid w:val="0047058F"/>
    <w:rsid w:val="00470612"/>
    <w:rsid w:val="0047073E"/>
    <w:rsid w:val="00470DA1"/>
    <w:rsid w:val="00470EC4"/>
    <w:rsid w:val="00470F7F"/>
    <w:rsid w:val="00470FC9"/>
    <w:rsid w:val="00470FDC"/>
    <w:rsid w:val="004712B0"/>
    <w:rsid w:val="004714FB"/>
    <w:rsid w:val="004715FD"/>
    <w:rsid w:val="0047163A"/>
    <w:rsid w:val="0047177F"/>
    <w:rsid w:val="00471A5D"/>
    <w:rsid w:val="00471AEF"/>
    <w:rsid w:val="00471B39"/>
    <w:rsid w:val="00471BC5"/>
    <w:rsid w:val="00472064"/>
    <w:rsid w:val="0047241C"/>
    <w:rsid w:val="0047268A"/>
    <w:rsid w:val="00472A05"/>
    <w:rsid w:val="00472B91"/>
    <w:rsid w:val="00472E5B"/>
    <w:rsid w:val="00473082"/>
    <w:rsid w:val="00473A0B"/>
    <w:rsid w:val="00473F63"/>
    <w:rsid w:val="0047460E"/>
    <w:rsid w:val="00474865"/>
    <w:rsid w:val="00474899"/>
    <w:rsid w:val="00474EA9"/>
    <w:rsid w:val="004754F0"/>
    <w:rsid w:val="004758C5"/>
    <w:rsid w:val="00475B63"/>
    <w:rsid w:val="00475C6B"/>
    <w:rsid w:val="00475CC3"/>
    <w:rsid w:val="00475EEF"/>
    <w:rsid w:val="00476387"/>
    <w:rsid w:val="00476422"/>
    <w:rsid w:val="00476F06"/>
    <w:rsid w:val="004775B9"/>
    <w:rsid w:val="00477675"/>
    <w:rsid w:val="0048003F"/>
    <w:rsid w:val="004802E8"/>
    <w:rsid w:val="004805D5"/>
    <w:rsid w:val="00480790"/>
    <w:rsid w:val="004807F0"/>
    <w:rsid w:val="00480F99"/>
    <w:rsid w:val="0048104B"/>
    <w:rsid w:val="00481223"/>
    <w:rsid w:val="00481240"/>
    <w:rsid w:val="0048176C"/>
    <w:rsid w:val="0048198E"/>
    <w:rsid w:val="00481C3B"/>
    <w:rsid w:val="00481DBC"/>
    <w:rsid w:val="00481E8A"/>
    <w:rsid w:val="00481F32"/>
    <w:rsid w:val="0048204E"/>
    <w:rsid w:val="004820AC"/>
    <w:rsid w:val="00482336"/>
    <w:rsid w:val="004823B8"/>
    <w:rsid w:val="004824F9"/>
    <w:rsid w:val="004826AA"/>
    <w:rsid w:val="004826F3"/>
    <w:rsid w:val="00482B76"/>
    <w:rsid w:val="00482BAC"/>
    <w:rsid w:val="00482F6C"/>
    <w:rsid w:val="00483122"/>
    <w:rsid w:val="00483187"/>
    <w:rsid w:val="00483613"/>
    <w:rsid w:val="004839BE"/>
    <w:rsid w:val="00483A3A"/>
    <w:rsid w:val="00483EE4"/>
    <w:rsid w:val="00484096"/>
    <w:rsid w:val="0048418F"/>
    <w:rsid w:val="00484486"/>
    <w:rsid w:val="0048448F"/>
    <w:rsid w:val="0048481F"/>
    <w:rsid w:val="0048485A"/>
    <w:rsid w:val="00484F3A"/>
    <w:rsid w:val="00485111"/>
    <w:rsid w:val="00485246"/>
    <w:rsid w:val="004852FD"/>
    <w:rsid w:val="004855AA"/>
    <w:rsid w:val="004860DA"/>
    <w:rsid w:val="00486518"/>
    <w:rsid w:val="00486839"/>
    <w:rsid w:val="004868A3"/>
    <w:rsid w:val="00486D5D"/>
    <w:rsid w:val="00486DF3"/>
    <w:rsid w:val="00486F3C"/>
    <w:rsid w:val="00487138"/>
    <w:rsid w:val="004872CD"/>
    <w:rsid w:val="00487854"/>
    <w:rsid w:val="0048788E"/>
    <w:rsid w:val="00487980"/>
    <w:rsid w:val="00487A26"/>
    <w:rsid w:val="00487AA4"/>
    <w:rsid w:val="00487C9D"/>
    <w:rsid w:val="00487DD8"/>
    <w:rsid w:val="00490246"/>
    <w:rsid w:val="00490296"/>
    <w:rsid w:val="0049036C"/>
    <w:rsid w:val="0049039D"/>
    <w:rsid w:val="00490655"/>
    <w:rsid w:val="004907CB"/>
    <w:rsid w:val="0049099D"/>
    <w:rsid w:val="00490DC1"/>
    <w:rsid w:val="00490DC5"/>
    <w:rsid w:val="00490EEB"/>
    <w:rsid w:val="00490F66"/>
    <w:rsid w:val="00491061"/>
    <w:rsid w:val="0049117E"/>
    <w:rsid w:val="004913FF"/>
    <w:rsid w:val="004916EC"/>
    <w:rsid w:val="00491750"/>
    <w:rsid w:val="004918BA"/>
    <w:rsid w:val="00491A18"/>
    <w:rsid w:val="00491BEC"/>
    <w:rsid w:val="00492214"/>
    <w:rsid w:val="004922DF"/>
    <w:rsid w:val="00492807"/>
    <w:rsid w:val="004928A9"/>
    <w:rsid w:val="00492C6E"/>
    <w:rsid w:val="00493216"/>
    <w:rsid w:val="004936C4"/>
    <w:rsid w:val="00493AAB"/>
    <w:rsid w:val="00493BAA"/>
    <w:rsid w:val="00493EDA"/>
    <w:rsid w:val="00494021"/>
    <w:rsid w:val="00494752"/>
    <w:rsid w:val="0049482F"/>
    <w:rsid w:val="00494897"/>
    <w:rsid w:val="004948FF"/>
    <w:rsid w:val="00494ABA"/>
    <w:rsid w:val="00494B32"/>
    <w:rsid w:val="00494D6E"/>
    <w:rsid w:val="00494FD9"/>
    <w:rsid w:val="00495266"/>
    <w:rsid w:val="0049532E"/>
    <w:rsid w:val="00495638"/>
    <w:rsid w:val="0049568B"/>
    <w:rsid w:val="004958C0"/>
    <w:rsid w:val="004959E4"/>
    <w:rsid w:val="00495DA4"/>
    <w:rsid w:val="00496182"/>
    <w:rsid w:val="0049639B"/>
    <w:rsid w:val="0049648E"/>
    <w:rsid w:val="004964F2"/>
    <w:rsid w:val="0049675E"/>
    <w:rsid w:val="00496823"/>
    <w:rsid w:val="00496A48"/>
    <w:rsid w:val="00496A8B"/>
    <w:rsid w:val="00497206"/>
    <w:rsid w:val="0049732C"/>
    <w:rsid w:val="00497365"/>
    <w:rsid w:val="004976BF"/>
    <w:rsid w:val="00497923"/>
    <w:rsid w:val="00497B9C"/>
    <w:rsid w:val="00497C62"/>
    <w:rsid w:val="00497D47"/>
    <w:rsid w:val="00497FF2"/>
    <w:rsid w:val="004A0205"/>
    <w:rsid w:val="004A02B3"/>
    <w:rsid w:val="004A0430"/>
    <w:rsid w:val="004A04AE"/>
    <w:rsid w:val="004A0A96"/>
    <w:rsid w:val="004A0AD2"/>
    <w:rsid w:val="004A0B7C"/>
    <w:rsid w:val="004A0E57"/>
    <w:rsid w:val="004A102C"/>
    <w:rsid w:val="004A1558"/>
    <w:rsid w:val="004A1568"/>
    <w:rsid w:val="004A1B45"/>
    <w:rsid w:val="004A1B67"/>
    <w:rsid w:val="004A1D2A"/>
    <w:rsid w:val="004A1DF5"/>
    <w:rsid w:val="004A2028"/>
    <w:rsid w:val="004A25AC"/>
    <w:rsid w:val="004A26F3"/>
    <w:rsid w:val="004A2754"/>
    <w:rsid w:val="004A2783"/>
    <w:rsid w:val="004A2876"/>
    <w:rsid w:val="004A2B7E"/>
    <w:rsid w:val="004A2D67"/>
    <w:rsid w:val="004A2F07"/>
    <w:rsid w:val="004A360C"/>
    <w:rsid w:val="004A36E9"/>
    <w:rsid w:val="004A3922"/>
    <w:rsid w:val="004A3B59"/>
    <w:rsid w:val="004A3C07"/>
    <w:rsid w:val="004A3C66"/>
    <w:rsid w:val="004A3F92"/>
    <w:rsid w:val="004A3FB1"/>
    <w:rsid w:val="004A40DF"/>
    <w:rsid w:val="004A412A"/>
    <w:rsid w:val="004A45BA"/>
    <w:rsid w:val="004A4869"/>
    <w:rsid w:val="004A49B1"/>
    <w:rsid w:val="004A4D2C"/>
    <w:rsid w:val="004A4E51"/>
    <w:rsid w:val="004A4E64"/>
    <w:rsid w:val="004A52A4"/>
    <w:rsid w:val="004A5512"/>
    <w:rsid w:val="004A5526"/>
    <w:rsid w:val="004A5CFE"/>
    <w:rsid w:val="004A5F1A"/>
    <w:rsid w:val="004A6083"/>
    <w:rsid w:val="004A60EA"/>
    <w:rsid w:val="004A6323"/>
    <w:rsid w:val="004A6324"/>
    <w:rsid w:val="004A6537"/>
    <w:rsid w:val="004A65A5"/>
    <w:rsid w:val="004A6932"/>
    <w:rsid w:val="004A6D2E"/>
    <w:rsid w:val="004A6E3F"/>
    <w:rsid w:val="004A716D"/>
    <w:rsid w:val="004A7333"/>
    <w:rsid w:val="004A7648"/>
    <w:rsid w:val="004A76F5"/>
    <w:rsid w:val="004A7765"/>
    <w:rsid w:val="004A7BA0"/>
    <w:rsid w:val="004A7C75"/>
    <w:rsid w:val="004A7D5C"/>
    <w:rsid w:val="004A7D94"/>
    <w:rsid w:val="004A7EBF"/>
    <w:rsid w:val="004A7F9C"/>
    <w:rsid w:val="004B02F0"/>
    <w:rsid w:val="004B03B2"/>
    <w:rsid w:val="004B052D"/>
    <w:rsid w:val="004B0CBA"/>
    <w:rsid w:val="004B0EB4"/>
    <w:rsid w:val="004B1032"/>
    <w:rsid w:val="004B118F"/>
    <w:rsid w:val="004B135B"/>
    <w:rsid w:val="004B1376"/>
    <w:rsid w:val="004B1411"/>
    <w:rsid w:val="004B16F2"/>
    <w:rsid w:val="004B18E3"/>
    <w:rsid w:val="004B1ABF"/>
    <w:rsid w:val="004B1BC7"/>
    <w:rsid w:val="004B1C05"/>
    <w:rsid w:val="004B1C2A"/>
    <w:rsid w:val="004B1CC7"/>
    <w:rsid w:val="004B1FDB"/>
    <w:rsid w:val="004B213A"/>
    <w:rsid w:val="004B2205"/>
    <w:rsid w:val="004B23B2"/>
    <w:rsid w:val="004B25F8"/>
    <w:rsid w:val="004B2A38"/>
    <w:rsid w:val="004B2A64"/>
    <w:rsid w:val="004B2F62"/>
    <w:rsid w:val="004B3320"/>
    <w:rsid w:val="004B36B2"/>
    <w:rsid w:val="004B3B06"/>
    <w:rsid w:val="004B3DE1"/>
    <w:rsid w:val="004B3FEC"/>
    <w:rsid w:val="004B4336"/>
    <w:rsid w:val="004B4620"/>
    <w:rsid w:val="004B4AA5"/>
    <w:rsid w:val="004B4C50"/>
    <w:rsid w:val="004B4D02"/>
    <w:rsid w:val="004B4D5F"/>
    <w:rsid w:val="004B524B"/>
    <w:rsid w:val="004B5713"/>
    <w:rsid w:val="004B5986"/>
    <w:rsid w:val="004B603E"/>
    <w:rsid w:val="004B686B"/>
    <w:rsid w:val="004B6887"/>
    <w:rsid w:val="004B68B9"/>
    <w:rsid w:val="004B6B4E"/>
    <w:rsid w:val="004B6CB1"/>
    <w:rsid w:val="004B6F49"/>
    <w:rsid w:val="004B7166"/>
    <w:rsid w:val="004B7576"/>
    <w:rsid w:val="004B7789"/>
    <w:rsid w:val="004B7892"/>
    <w:rsid w:val="004B78E7"/>
    <w:rsid w:val="004B7D32"/>
    <w:rsid w:val="004C0235"/>
    <w:rsid w:val="004C023F"/>
    <w:rsid w:val="004C02BE"/>
    <w:rsid w:val="004C0576"/>
    <w:rsid w:val="004C0792"/>
    <w:rsid w:val="004C0ABB"/>
    <w:rsid w:val="004C0D2C"/>
    <w:rsid w:val="004C111F"/>
    <w:rsid w:val="004C1250"/>
    <w:rsid w:val="004C151F"/>
    <w:rsid w:val="004C184E"/>
    <w:rsid w:val="004C1D74"/>
    <w:rsid w:val="004C2162"/>
    <w:rsid w:val="004C21CA"/>
    <w:rsid w:val="004C24F5"/>
    <w:rsid w:val="004C27A8"/>
    <w:rsid w:val="004C27E7"/>
    <w:rsid w:val="004C286B"/>
    <w:rsid w:val="004C2FD7"/>
    <w:rsid w:val="004C31CE"/>
    <w:rsid w:val="004C3304"/>
    <w:rsid w:val="004C33DC"/>
    <w:rsid w:val="004C34B1"/>
    <w:rsid w:val="004C3684"/>
    <w:rsid w:val="004C36CF"/>
    <w:rsid w:val="004C3904"/>
    <w:rsid w:val="004C39FF"/>
    <w:rsid w:val="004C3C17"/>
    <w:rsid w:val="004C3CAF"/>
    <w:rsid w:val="004C3CBC"/>
    <w:rsid w:val="004C3CD2"/>
    <w:rsid w:val="004C3CE5"/>
    <w:rsid w:val="004C3F5B"/>
    <w:rsid w:val="004C45A1"/>
    <w:rsid w:val="004C47AD"/>
    <w:rsid w:val="004C4C07"/>
    <w:rsid w:val="004C5086"/>
    <w:rsid w:val="004C50F2"/>
    <w:rsid w:val="004C537E"/>
    <w:rsid w:val="004C5496"/>
    <w:rsid w:val="004C567D"/>
    <w:rsid w:val="004C5864"/>
    <w:rsid w:val="004C5884"/>
    <w:rsid w:val="004C596E"/>
    <w:rsid w:val="004C5A5A"/>
    <w:rsid w:val="004C5BD3"/>
    <w:rsid w:val="004C5D89"/>
    <w:rsid w:val="004C5E25"/>
    <w:rsid w:val="004C5FE0"/>
    <w:rsid w:val="004C621F"/>
    <w:rsid w:val="004C65D1"/>
    <w:rsid w:val="004C6893"/>
    <w:rsid w:val="004C69A1"/>
    <w:rsid w:val="004C69B7"/>
    <w:rsid w:val="004C6B15"/>
    <w:rsid w:val="004C6DCA"/>
    <w:rsid w:val="004C7542"/>
    <w:rsid w:val="004C754A"/>
    <w:rsid w:val="004C76E6"/>
    <w:rsid w:val="004C774D"/>
    <w:rsid w:val="004C796D"/>
    <w:rsid w:val="004C7A4D"/>
    <w:rsid w:val="004C7AC8"/>
    <w:rsid w:val="004C7D6A"/>
    <w:rsid w:val="004C7F95"/>
    <w:rsid w:val="004D0103"/>
    <w:rsid w:val="004D01F4"/>
    <w:rsid w:val="004D0474"/>
    <w:rsid w:val="004D057E"/>
    <w:rsid w:val="004D0715"/>
    <w:rsid w:val="004D071B"/>
    <w:rsid w:val="004D0753"/>
    <w:rsid w:val="004D0934"/>
    <w:rsid w:val="004D124A"/>
    <w:rsid w:val="004D12B0"/>
    <w:rsid w:val="004D1332"/>
    <w:rsid w:val="004D1596"/>
    <w:rsid w:val="004D1903"/>
    <w:rsid w:val="004D1A90"/>
    <w:rsid w:val="004D1B6D"/>
    <w:rsid w:val="004D1C16"/>
    <w:rsid w:val="004D1FCF"/>
    <w:rsid w:val="004D2099"/>
    <w:rsid w:val="004D21E2"/>
    <w:rsid w:val="004D23EA"/>
    <w:rsid w:val="004D2403"/>
    <w:rsid w:val="004D25FA"/>
    <w:rsid w:val="004D2723"/>
    <w:rsid w:val="004D2800"/>
    <w:rsid w:val="004D2924"/>
    <w:rsid w:val="004D2A3C"/>
    <w:rsid w:val="004D2ADC"/>
    <w:rsid w:val="004D3283"/>
    <w:rsid w:val="004D33DD"/>
    <w:rsid w:val="004D3796"/>
    <w:rsid w:val="004D3940"/>
    <w:rsid w:val="004D3983"/>
    <w:rsid w:val="004D3E36"/>
    <w:rsid w:val="004D4145"/>
    <w:rsid w:val="004D4224"/>
    <w:rsid w:val="004D4555"/>
    <w:rsid w:val="004D469C"/>
    <w:rsid w:val="004D4878"/>
    <w:rsid w:val="004D48E1"/>
    <w:rsid w:val="004D50BF"/>
    <w:rsid w:val="004D5212"/>
    <w:rsid w:val="004D5274"/>
    <w:rsid w:val="004D5409"/>
    <w:rsid w:val="004D5B91"/>
    <w:rsid w:val="004D5C4E"/>
    <w:rsid w:val="004D5D9F"/>
    <w:rsid w:val="004D5E11"/>
    <w:rsid w:val="004D5E3F"/>
    <w:rsid w:val="004D5E4E"/>
    <w:rsid w:val="004D5FF0"/>
    <w:rsid w:val="004D61C9"/>
    <w:rsid w:val="004D61FD"/>
    <w:rsid w:val="004D64B2"/>
    <w:rsid w:val="004D6712"/>
    <w:rsid w:val="004D676A"/>
    <w:rsid w:val="004D69B2"/>
    <w:rsid w:val="004D6CF0"/>
    <w:rsid w:val="004D715A"/>
    <w:rsid w:val="004D73E2"/>
    <w:rsid w:val="004D758C"/>
    <w:rsid w:val="004D77EF"/>
    <w:rsid w:val="004D7863"/>
    <w:rsid w:val="004D791D"/>
    <w:rsid w:val="004D7B55"/>
    <w:rsid w:val="004D7DC6"/>
    <w:rsid w:val="004E0008"/>
    <w:rsid w:val="004E04B9"/>
    <w:rsid w:val="004E06FE"/>
    <w:rsid w:val="004E0783"/>
    <w:rsid w:val="004E0884"/>
    <w:rsid w:val="004E0ED6"/>
    <w:rsid w:val="004E125E"/>
    <w:rsid w:val="004E151F"/>
    <w:rsid w:val="004E15FB"/>
    <w:rsid w:val="004E1669"/>
    <w:rsid w:val="004E17DA"/>
    <w:rsid w:val="004E1B02"/>
    <w:rsid w:val="004E1C3A"/>
    <w:rsid w:val="004E1CF9"/>
    <w:rsid w:val="004E1E5A"/>
    <w:rsid w:val="004E1E5E"/>
    <w:rsid w:val="004E1EFA"/>
    <w:rsid w:val="004E2299"/>
    <w:rsid w:val="004E2413"/>
    <w:rsid w:val="004E259F"/>
    <w:rsid w:val="004E2A6A"/>
    <w:rsid w:val="004E2D17"/>
    <w:rsid w:val="004E2D46"/>
    <w:rsid w:val="004E2EE7"/>
    <w:rsid w:val="004E303F"/>
    <w:rsid w:val="004E31C9"/>
    <w:rsid w:val="004E31E7"/>
    <w:rsid w:val="004E33A4"/>
    <w:rsid w:val="004E3418"/>
    <w:rsid w:val="004E36AE"/>
    <w:rsid w:val="004E36C4"/>
    <w:rsid w:val="004E37FC"/>
    <w:rsid w:val="004E3A11"/>
    <w:rsid w:val="004E3BAB"/>
    <w:rsid w:val="004E3E94"/>
    <w:rsid w:val="004E3EA8"/>
    <w:rsid w:val="004E4194"/>
    <w:rsid w:val="004E448E"/>
    <w:rsid w:val="004E4813"/>
    <w:rsid w:val="004E488C"/>
    <w:rsid w:val="004E488E"/>
    <w:rsid w:val="004E48FE"/>
    <w:rsid w:val="004E4BFF"/>
    <w:rsid w:val="004E4CBA"/>
    <w:rsid w:val="004E4CE6"/>
    <w:rsid w:val="004E4D06"/>
    <w:rsid w:val="004E5183"/>
    <w:rsid w:val="004E5344"/>
    <w:rsid w:val="004E58C8"/>
    <w:rsid w:val="004E62CD"/>
    <w:rsid w:val="004E63A4"/>
    <w:rsid w:val="004E64A0"/>
    <w:rsid w:val="004E6769"/>
    <w:rsid w:val="004E6C89"/>
    <w:rsid w:val="004E6E68"/>
    <w:rsid w:val="004E6F08"/>
    <w:rsid w:val="004E7061"/>
    <w:rsid w:val="004E7453"/>
    <w:rsid w:val="004E746B"/>
    <w:rsid w:val="004E7A2D"/>
    <w:rsid w:val="004E7B61"/>
    <w:rsid w:val="004E7D8B"/>
    <w:rsid w:val="004F0051"/>
    <w:rsid w:val="004F0232"/>
    <w:rsid w:val="004F044B"/>
    <w:rsid w:val="004F0734"/>
    <w:rsid w:val="004F08B2"/>
    <w:rsid w:val="004F0941"/>
    <w:rsid w:val="004F099D"/>
    <w:rsid w:val="004F0BC5"/>
    <w:rsid w:val="004F0D6C"/>
    <w:rsid w:val="004F0E6B"/>
    <w:rsid w:val="004F136E"/>
    <w:rsid w:val="004F1494"/>
    <w:rsid w:val="004F173C"/>
    <w:rsid w:val="004F182F"/>
    <w:rsid w:val="004F198E"/>
    <w:rsid w:val="004F1A6E"/>
    <w:rsid w:val="004F1B12"/>
    <w:rsid w:val="004F1BC0"/>
    <w:rsid w:val="004F2674"/>
    <w:rsid w:val="004F2997"/>
    <w:rsid w:val="004F2B86"/>
    <w:rsid w:val="004F2C47"/>
    <w:rsid w:val="004F2DC5"/>
    <w:rsid w:val="004F2FC2"/>
    <w:rsid w:val="004F3477"/>
    <w:rsid w:val="004F34FA"/>
    <w:rsid w:val="004F36A4"/>
    <w:rsid w:val="004F3705"/>
    <w:rsid w:val="004F3BDD"/>
    <w:rsid w:val="004F3D2F"/>
    <w:rsid w:val="004F3EC9"/>
    <w:rsid w:val="004F49B9"/>
    <w:rsid w:val="004F4B91"/>
    <w:rsid w:val="004F4C1D"/>
    <w:rsid w:val="004F4C7D"/>
    <w:rsid w:val="004F4CC6"/>
    <w:rsid w:val="004F4E6F"/>
    <w:rsid w:val="004F4EF5"/>
    <w:rsid w:val="004F4F7D"/>
    <w:rsid w:val="004F509D"/>
    <w:rsid w:val="004F5478"/>
    <w:rsid w:val="004F5507"/>
    <w:rsid w:val="004F5839"/>
    <w:rsid w:val="004F599A"/>
    <w:rsid w:val="004F5F11"/>
    <w:rsid w:val="004F5F3B"/>
    <w:rsid w:val="004F615D"/>
    <w:rsid w:val="004F62E2"/>
    <w:rsid w:val="004F637C"/>
    <w:rsid w:val="004F641F"/>
    <w:rsid w:val="004F64F5"/>
    <w:rsid w:val="004F651F"/>
    <w:rsid w:val="004F6640"/>
    <w:rsid w:val="004F697D"/>
    <w:rsid w:val="004F6A04"/>
    <w:rsid w:val="004F6AB4"/>
    <w:rsid w:val="004F7416"/>
    <w:rsid w:val="004F75B4"/>
    <w:rsid w:val="004F7A12"/>
    <w:rsid w:val="004F7DD4"/>
    <w:rsid w:val="00500744"/>
    <w:rsid w:val="00500D9F"/>
    <w:rsid w:val="005015FA"/>
    <w:rsid w:val="0050166A"/>
    <w:rsid w:val="0050188B"/>
    <w:rsid w:val="00501996"/>
    <w:rsid w:val="00501A4D"/>
    <w:rsid w:val="00501C94"/>
    <w:rsid w:val="00501F00"/>
    <w:rsid w:val="00502090"/>
    <w:rsid w:val="00502297"/>
    <w:rsid w:val="005024D4"/>
    <w:rsid w:val="00502ABA"/>
    <w:rsid w:val="005030DC"/>
    <w:rsid w:val="00503604"/>
    <w:rsid w:val="005036B0"/>
    <w:rsid w:val="005039AF"/>
    <w:rsid w:val="00503A23"/>
    <w:rsid w:val="00503C11"/>
    <w:rsid w:val="00504062"/>
    <w:rsid w:val="005040CE"/>
    <w:rsid w:val="005040E4"/>
    <w:rsid w:val="005044E4"/>
    <w:rsid w:val="00504646"/>
    <w:rsid w:val="00504B09"/>
    <w:rsid w:val="00504D6E"/>
    <w:rsid w:val="00504E12"/>
    <w:rsid w:val="00504F34"/>
    <w:rsid w:val="00505028"/>
    <w:rsid w:val="00505361"/>
    <w:rsid w:val="00505518"/>
    <w:rsid w:val="005056BC"/>
    <w:rsid w:val="0050579A"/>
    <w:rsid w:val="00505BE2"/>
    <w:rsid w:val="00505BFD"/>
    <w:rsid w:val="0050616D"/>
    <w:rsid w:val="0050623F"/>
    <w:rsid w:val="0050682C"/>
    <w:rsid w:val="00506B12"/>
    <w:rsid w:val="00506B5A"/>
    <w:rsid w:val="00506D39"/>
    <w:rsid w:val="00506F04"/>
    <w:rsid w:val="00506FA6"/>
    <w:rsid w:val="00507365"/>
    <w:rsid w:val="0050768E"/>
    <w:rsid w:val="00507898"/>
    <w:rsid w:val="00507A4E"/>
    <w:rsid w:val="0051023F"/>
    <w:rsid w:val="00510805"/>
    <w:rsid w:val="00510999"/>
    <w:rsid w:val="00510D5D"/>
    <w:rsid w:val="00510E08"/>
    <w:rsid w:val="00511056"/>
    <w:rsid w:val="0051149B"/>
    <w:rsid w:val="00511577"/>
    <w:rsid w:val="005115BC"/>
    <w:rsid w:val="0051185B"/>
    <w:rsid w:val="00511A97"/>
    <w:rsid w:val="00512213"/>
    <w:rsid w:val="0051252F"/>
    <w:rsid w:val="00512C4B"/>
    <w:rsid w:val="00512CD1"/>
    <w:rsid w:val="00512D58"/>
    <w:rsid w:val="00512D80"/>
    <w:rsid w:val="00512DB0"/>
    <w:rsid w:val="005132F6"/>
    <w:rsid w:val="00513662"/>
    <w:rsid w:val="00513A90"/>
    <w:rsid w:val="00513B2A"/>
    <w:rsid w:val="00513E63"/>
    <w:rsid w:val="00513EB3"/>
    <w:rsid w:val="00514121"/>
    <w:rsid w:val="005142A5"/>
    <w:rsid w:val="00514B7D"/>
    <w:rsid w:val="00514D29"/>
    <w:rsid w:val="00514F40"/>
    <w:rsid w:val="0051517F"/>
    <w:rsid w:val="005151FB"/>
    <w:rsid w:val="005153A3"/>
    <w:rsid w:val="0051541C"/>
    <w:rsid w:val="005155F7"/>
    <w:rsid w:val="00515D4D"/>
    <w:rsid w:val="00515F6F"/>
    <w:rsid w:val="005160F7"/>
    <w:rsid w:val="00516297"/>
    <w:rsid w:val="005162A1"/>
    <w:rsid w:val="00516631"/>
    <w:rsid w:val="0051668C"/>
    <w:rsid w:val="00516913"/>
    <w:rsid w:val="00516B0C"/>
    <w:rsid w:val="00516BC4"/>
    <w:rsid w:val="00516C18"/>
    <w:rsid w:val="00516C47"/>
    <w:rsid w:val="00516F8A"/>
    <w:rsid w:val="0051701D"/>
    <w:rsid w:val="00517098"/>
    <w:rsid w:val="005172D6"/>
    <w:rsid w:val="005174AE"/>
    <w:rsid w:val="0051755D"/>
    <w:rsid w:val="00517C70"/>
    <w:rsid w:val="0052021F"/>
    <w:rsid w:val="00520681"/>
    <w:rsid w:val="00520B28"/>
    <w:rsid w:val="00520B76"/>
    <w:rsid w:val="00520CED"/>
    <w:rsid w:val="00520F35"/>
    <w:rsid w:val="00521099"/>
    <w:rsid w:val="005210B5"/>
    <w:rsid w:val="0052137B"/>
    <w:rsid w:val="005214C1"/>
    <w:rsid w:val="005215C8"/>
    <w:rsid w:val="00521996"/>
    <w:rsid w:val="00521A19"/>
    <w:rsid w:val="00521AEC"/>
    <w:rsid w:val="00521C6D"/>
    <w:rsid w:val="00521F52"/>
    <w:rsid w:val="00522E47"/>
    <w:rsid w:val="005230DF"/>
    <w:rsid w:val="0052326F"/>
    <w:rsid w:val="00523B6B"/>
    <w:rsid w:val="00523DF1"/>
    <w:rsid w:val="00523E09"/>
    <w:rsid w:val="00523F6F"/>
    <w:rsid w:val="00524362"/>
    <w:rsid w:val="00524697"/>
    <w:rsid w:val="005246DA"/>
    <w:rsid w:val="00524708"/>
    <w:rsid w:val="00524C37"/>
    <w:rsid w:val="00524D47"/>
    <w:rsid w:val="00524E83"/>
    <w:rsid w:val="00524E8C"/>
    <w:rsid w:val="005250DF"/>
    <w:rsid w:val="005257FE"/>
    <w:rsid w:val="00525933"/>
    <w:rsid w:val="0052593B"/>
    <w:rsid w:val="00525AE1"/>
    <w:rsid w:val="00525B2C"/>
    <w:rsid w:val="00525B6F"/>
    <w:rsid w:val="005263D7"/>
    <w:rsid w:val="00526B86"/>
    <w:rsid w:val="00526D11"/>
    <w:rsid w:val="005270B3"/>
    <w:rsid w:val="00527686"/>
    <w:rsid w:val="005277D1"/>
    <w:rsid w:val="00527FAF"/>
    <w:rsid w:val="00527FC0"/>
    <w:rsid w:val="00527FF4"/>
    <w:rsid w:val="005300D3"/>
    <w:rsid w:val="005300D7"/>
    <w:rsid w:val="00530144"/>
    <w:rsid w:val="005306A6"/>
    <w:rsid w:val="005307DF"/>
    <w:rsid w:val="005309AC"/>
    <w:rsid w:val="00530B71"/>
    <w:rsid w:val="005310B2"/>
    <w:rsid w:val="005313E8"/>
    <w:rsid w:val="00531624"/>
    <w:rsid w:val="005316E8"/>
    <w:rsid w:val="00531A99"/>
    <w:rsid w:val="00531DAC"/>
    <w:rsid w:val="00532202"/>
    <w:rsid w:val="0053228E"/>
    <w:rsid w:val="00532353"/>
    <w:rsid w:val="00532723"/>
    <w:rsid w:val="0053298C"/>
    <w:rsid w:val="00532A6C"/>
    <w:rsid w:val="00532B60"/>
    <w:rsid w:val="00533042"/>
    <w:rsid w:val="005330BE"/>
    <w:rsid w:val="005333BF"/>
    <w:rsid w:val="005334E8"/>
    <w:rsid w:val="005336E3"/>
    <w:rsid w:val="00533767"/>
    <w:rsid w:val="00533A2E"/>
    <w:rsid w:val="00533A35"/>
    <w:rsid w:val="00533B75"/>
    <w:rsid w:val="00533E42"/>
    <w:rsid w:val="00534624"/>
    <w:rsid w:val="00534BBF"/>
    <w:rsid w:val="00534F83"/>
    <w:rsid w:val="00535576"/>
    <w:rsid w:val="0053565E"/>
    <w:rsid w:val="00535697"/>
    <w:rsid w:val="00535908"/>
    <w:rsid w:val="00535A92"/>
    <w:rsid w:val="00535E3A"/>
    <w:rsid w:val="00535FC8"/>
    <w:rsid w:val="005361E4"/>
    <w:rsid w:val="005363A7"/>
    <w:rsid w:val="0053660C"/>
    <w:rsid w:val="0053668C"/>
    <w:rsid w:val="00536B25"/>
    <w:rsid w:val="00537A8C"/>
    <w:rsid w:val="005401DE"/>
    <w:rsid w:val="0054054A"/>
    <w:rsid w:val="0054063A"/>
    <w:rsid w:val="005406D0"/>
    <w:rsid w:val="005406D8"/>
    <w:rsid w:val="00540BF2"/>
    <w:rsid w:val="00540DD7"/>
    <w:rsid w:val="00541270"/>
    <w:rsid w:val="005412A6"/>
    <w:rsid w:val="00541956"/>
    <w:rsid w:val="00541A86"/>
    <w:rsid w:val="00542059"/>
    <w:rsid w:val="005426F4"/>
    <w:rsid w:val="005428F1"/>
    <w:rsid w:val="00542933"/>
    <w:rsid w:val="005429A6"/>
    <w:rsid w:val="00542A8B"/>
    <w:rsid w:val="00542B8A"/>
    <w:rsid w:val="0054321F"/>
    <w:rsid w:val="00543221"/>
    <w:rsid w:val="005436E5"/>
    <w:rsid w:val="00543A01"/>
    <w:rsid w:val="00544353"/>
    <w:rsid w:val="005446D5"/>
    <w:rsid w:val="00544768"/>
    <w:rsid w:val="0054481E"/>
    <w:rsid w:val="00544C17"/>
    <w:rsid w:val="00544F99"/>
    <w:rsid w:val="00545294"/>
    <w:rsid w:val="00545509"/>
    <w:rsid w:val="00545985"/>
    <w:rsid w:val="00545E28"/>
    <w:rsid w:val="00545E48"/>
    <w:rsid w:val="00546293"/>
    <w:rsid w:val="0054667C"/>
    <w:rsid w:val="00546684"/>
    <w:rsid w:val="0054671E"/>
    <w:rsid w:val="00546850"/>
    <w:rsid w:val="005468BF"/>
    <w:rsid w:val="00546A86"/>
    <w:rsid w:val="00546D7F"/>
    <w:rsid w:val="00546F1B"/>
    <w:rsid w:val="0054735B"/>
    <w:rsid w:val="005475BC"/>
    <w:rsid w:val="0054779F"/>
    <w:rsid w:val="0054793A"/>
    <w:rsid w:val="00547CA0"/>
    <w:rsid w:val="005501F9"/>
    <w:rsid w:val="00550379"/>
    <w:rsid w:val="005507E9"/>
    <w:rsid w:val="005507FB"/>
    <w:rsid w:val="00551206"/>
    <w:rsid w:val="0055174F"/>
    <w:rsid w:val="0055178B"/>
    <w:rsid w:val="00551C53"/>
    <w:rsid w:val="0055280F"/>
    <w:rsid w:val="00552818"/>
    <w:rsid w:val="00552B28"/>
    <w:rsid w:val="00552D3D"/>
    <w:rsid w:val="005531C1"/>
    <w:rsid w:val="0055344C"/>
    <w:rsid w:val="00553645"/>
    <w:rsid w:val="00553670"/>
    <w:rsid w:val="00553E73"/>
    <w:rsid w:val="005540A4"/>
    <w:rsid w:val="00554202"/>
    <w:rsid w:val="00554559"/>
    <w:rsid w:val="00554568"/>
    <w:rsid w:val="005545DC"/>
    <w:rsid w:val="00554CC6"/>
    <w:rsid w:val="00554E5D"/>
    <w:rsid w:val="00554FFC"/>
    <w:rsid w:val="005552C4"/>
    <w:rsid w:val="00555684"/>
    <w:rsid w:val="0055599E"/>
    <w:rsid w:val="00555BC5"/>
    <w:rsid w:val="00555C59"/>
    <w:rsid w:val="00555E5A"/>
    <w:rsid w:val="00556247"/>
    <w:rsid w:val="0055637C"/>
    <w:rsid w:val="0055670B"/>
    <w:rsid w:val="00556CD9"/>
    <w:rsid w:val="00556F5A"/>
    <w:rsid w:val="00556FDD"/>
    <w:rsid w:val="00557028"/>
    <w:rsid w:val="005574E0"/>
    <w:rsid w:val="005574EB"/>
    <w:rsid w:val="005577BB"/>
    <w:rsid w:val="005578B7"/>
    <w:rsid w:val="00557CB4"/>
    <w:rsid w:val="00557E9D"/>
    <w:rsid w:val="005602A8"/>
    <w:rsid w:val="00560619"/>
    <w:rsid w:val="005606E9"/>
    <w:rsid w:val="0056090C"/>
    <w:rsid w:val="00560A73"/>
    <w:rsid w:val="00560B4B"/>
    <w:rsid w:val="00560D68"/>
    <w:rsid w:val="00560E2E"/>
    <w:rsid w:val="0056100F"/>
    <w:rsid w:val="0056104C"/>
    <w:rsid w:val="00561367"/>
    <w:rsid w:val="005617CE"/>
    <w:rsid w:val="0056185F"/>
    <w:rsid w:val="00561BA0"/>
    <w:rsid w:val="00561C60"/>
    <w:rsid w:val="00561D42"/>
    <w:rsid w:val="005620FC"/>
    <w:rsid w:val="00562386"/>
    <w:rsid w:val="00562397"/>
    <w:rsid w:val="0056244D"/>
    <w:rsid w:val="0056247D"/>
    <w:rsid w:val="0056251F"/>
    <w:rsid w:val="00562632"/>
    <w:rsid w:val="00562DE5"/>
    <w:rsid w:val="0056304D"/>
    <w:rsid w:val="0056330F"/>
    <w:rsid w:val="00563373"/>
    <w:rsid w:val="0056340B"/>
    <w:rsid w:val="005635C3"/>
    <w:rsid w:val="00563C1E"/>
    <w:rsid w:val="00563FFE"/>
    <w:rsid w:val="005643F8"/>
    <w:rsid w:val="005645A1"/>
    <w:rsid w:val="005645E2"/>
    <w:rsid w:val="00564A27"/>
    <w:rsid w:val="00564CE7"/>
    <w:rsid w:val="00564D79"/>
    <w:rsid w:val="00564E10"/>
    <w:rsid w:val="00564EC6"/>
    <w:rsid w:val="00564FDD"/>
    <w:rsid w:val="00565051"/>
    <w:rsid w:val="005651AB"/>
    <w:rsid w:val="005651F1"/>
    <w:rsid w:val="005659FB"/>
    <w:rsid w:val="00565D4A"/>
    <w:rsid w:val="00565DDB"/>
    <w:rsid w:val="0056613F"/>
    <w:rsid w:val="00566159"/>
    <w:rsid w:val="0056625D"/>
    <w:rsid w:val="005664C0"/>
    <w:rsid w:val="00566746"/>
    <w:rsid w:val="005668CD"/>
    <w:rsid w:val="00566AA6"/>
    <w:rsid w:val="00566ACC"/>
    <w:rsid w:val="00566E26"/>
    <w:rsid w:val="00566E98"/>
    <w:rsid w:val="005670DC"/>
    <w:rsid w:val="0056715E"/>
    <w:rsid w:val="0056729B"/>
    <w:rsid w:val="0056746F"/>
    <w:rsid w:val="0056750C"/>
    <w:rsid w:val="00567607"/>
    <w:rsid w:val="00567AA5"/>
    <w:rsid w:val="00567AD8"/>
    <w:rsid w:val="00567D7E"/>
    <w:rsid w:val="005701A6"/>
    <w:rsid w:val="0057054E"/>
    <w:rsid w:val="0057075A"/>
    <w:rsid w:val="00570793"/>
    <w:rsid w:val="00570852"/>
    <w:rsid w:val="005711E2"/>
    <w:rsid w:val="0057176C"/>
    <w:rsid w:val="0057187A"/>
    <w:rsid w:val="005718C5"/>
    <w:rsid w:val="005719CF"/>
    <w:rsid w:val="00571A3D"/>
    <w:rsid w:val="00571B1D"/>
    <w:rsid w:val="00571EF9"/>
    <w:rsid w:val="0057232A"/>
    <w:rsid w:val="0057232D"/>
    <w:rsid w:val="0057256E"/>
    <w:rsid w:val="00572688"/>
    <w:rsid w:val="00572B97"/>
    <w:rsid w:val="005736A6"/>
    <w:rsid w:val="00573A6C"/>
    <w:rsid w:val="00573BDB"/>
    <w:rsid w:val="005742BB"/>
    <w:rsid w:val="00574934"/>
    <w:rsid w:val="00574D2E"/>
    <w:rsid w:val="00575006"/>
    <w:rsid w:val="00575134"/>
    <w:rsid w:val="00575232"/>
    <w:rsid w:val="00575285"/>
    <w:rsid w:val="005752C5"/>
    <w:rsid w:val="005754D6"/>
    <w:rsid w:val="005754EC"/>
    <w:rsid w:val="005758AF"/>
    <w:rsid w:val="00575DE6"/>
    <w:rsid w:val="00575E6C"/>
    <w:rsid w:val="00575F0C"/>
    <w:rsid w:val="0057698E"/>
    <w:rsid w:val="00576E34"/>
    <w:rsid w:val="00576F24"/>
    <w:rsid w:val="005770D6"/>
    <w:rsid w:val="005770DA"/>
    <w:rsid w:val="005777E7"/>
    <w:rsid w:val="0057793F"/>
    <w:rsid w:val="0057794B"/>
    <w:rsid w:val="0057799F"/>
    <w:rsid w:val="005779B1"/>
    <w:rsid w:val="00577BE4"/>
    <w:rsid w:val="00577E6F"/>
    <w:rsid w:val="00580018"/>
    <w:rsid w:val="00580034"/>
    <w:rsid w:val="00580056"/>
    <w:rsid w:val="005800D2"/>
    <w:rsid w:val="00580317"/>
    <w:rsid w:val="005806D6"/>
    <w:rsid w:val="005807CD"/>
    <w:rsid w:val="00580912"/>
    <w:rsid w:val="00580972"/>
    <w:rsid w:val="00580B85"/>
    <w:rsid w:val="00580ED9"/>
    <w:rsid w:val="0058126F"/>
    <w:rsid w:val="0058159F"/>
    <w:rsid w:val="005817E0"/>
    <w:rsid w:val="0058184F"/>
    <w:rsid w:val="005818DE"/>
    <w:rsid w:val="0058190D"/>
    <w:rsid w:val="00581EA5"/>
    <w:rsid w:val="00581F25"/>
    <w:rsid w:val="00582086"/>
    <w:rsid w:val="00582562"/>
    <w:rsid w:val="0058268C"/>
    <w:rsid w:val="00582B63"/>
    <w:rsid w:val="0058303E"/>
    <w:rsid w:val="0058318C"/>
    <w:rsid w:val="005833FC"/>
    <w:rsid w:val="005835D4"/>
    <w:rsid w:val="00583CA0"/>
    <w:rsid w:val="00583E2C"/>
    <w:rsid w:val="00583E9A"/>
    <w:rsid w:val="0058468C"/>
    <w:rsid w:val="00584B18"/>
    <w:rsid w:val="00585055"/>
    <w:rsid w:val="0058510D"/>
    <w:rsid w:val="00585377"/>
    <w:rsid w:val="00585483"/>
    <w:rsid w:val="00585486"/>
    <w:rsid w:val="00585830"/>
    <w:rsid w:val="0058591A"/>
    <w:rsid w:val="00585989"/>
    <w:rsid w:val="00585B06"/>
    <w:rsid w:val="00585B47"/>
    <w:rsid w:val="00585BD1"/>
    <w:rsid w:val="005860D7"/>
    <w:rsid w:val="005862A3"/>
    <w:rsid w:val="005864D8"/>
    <w:rsid w:val="0058650C"/>
    <w:rsid w:val="005866E5"/>
    <w:rsid w:val="00586C0C"/>
    <w:rsid w:val="00586C5C"/>
    <w:rsid w:val="00586D51"/>
    <w:rsid w:val="00586E48"/>
    <w:rsid w:val="00586EA8"/>
    <w:rsid w:val="00586F77"/>
    <w:rsid w:val="00586FA0"/>
    <w:rsid w:val="00586FD4"/>
    <w:rsid w:val="00587314"/>
    <w:rsid w:val="005873FF"/>
    <w:rsid w:val="0058743F"/>
    <w:rsid w:val="005874E7"/>
    <w:rsid w:val="00587B1D"/>
    <w:rsid w:val="00590092"/>
    <w:rsid w:val="0059016C"/>
    <w:rsid w:val="005901CE"/>
    <w:rsid w:val="0059079F"/>
    <w:rsid w:val="00590B45"/>
    <w:rsid w:val="00590BAA"/>
    <w:rsid w:val="00590C1B"/>
    <w:rsid w:val="005912F1"/>
    <w:rsid w:val="00591375"/>
    <w:rsid w:val="005913CC"/>
    <w:rsid w:val="00591869"/>
    <w:rsid w:val="005919AB"/>
    <w:rsid w:val="00591AA1"/>
    <w:rsid w:val="00591CAE"/>
    <w:rsid w:val="00591CE2"/>
    <w:rsid w:val="0059258C"/>
    <w:rsid w:val="0059271E"/>
    <w:rsid w:val="005927C2"/>
    <w:rsid w:val="005927D9"/>
    <w:rsid w:val="00592931"/>
    <w:rsid w:val="00592B5A"/>
    <w:rsid w:val="005931B0"/>
    <w:rsid w:val="00593807"/>
    <w:rsid w:val="005938C3"/>
    <w:rsid w:val="005939E1"/>
    <w:rsid w:val="00593FB5"/>
    <w:rsid w:val="0059482C"/>
    <w:rsid w:val="00594BC0"/>
    <w:rsid w:val="00594D0D"/>
    <w:rsid w:val="005950CF"/>
    <w:rsid w:val="005953E3"/>
    <w:rsid w:val="00595603"/>
    <w:rsid w:val="0059572E"/>
    <w:rsid w:val="005957B9"/>
    <w:rsid w:val="00595D78"/>
    <w:rsid w:val="00595DC9"/>
    <w:rsid w:val="00595E42"/>
    <w:rsid w:val="00595EE4"/>
    <w:rsid w:val="00595FA2"/>
    <w:rsid w:val="00596604"/>
    <w:rsid w:val="00596665"/>
    <w:rsid w:val="005969A4"/>
    <w:rsid w:val="005974BB"/>
    <w:rsid w:val="005974E2"/>
    <w:rsid w:val="00597E90"/>
    <w:rsid w:val="005A003C"/>
    <w:rsid w:val="005A015C"/>
    <w:rsid w:val="005A02AC"/>
    <w:rsid w:val="005A03C4"/>
    <w:rsid w:val="005A063F"/>
    <w:rsid w:val="005A07F5"/>
    <w:rsid w:val="005A081A"/>
    <w:rsid w:val="005A0FAB"/>
    <w:rsid w:val="005A113D"/>
    <w:rsid w:val="005A1151"/>
    <w:rsid w:val="005A1630"/>
    <w:rsid w:val="005A2026"/>
    <w:rsid w:val="005A20FB"/>
    <w:rsid w:val="005A23B4"/>
    <w:rsid w:val="005A24C8"/>
    <w:rsid w:val="005A2527"/>
    <w:rsid w:val="005A25AD"/>
    <w:rsid w:val="005A25F8"/>
    <w:rsid w:val="005A2A09"/>
    <w:rsid w:val="005A2A98"/>
    <w:rsid w:val="005A2CCE"/>
    <w:rsid w:val="005A2CE4"/>
    <w:rsid w:val="005A2E59"/>
    <w:rsid w:val="005A2ED6"/>
    <w:rsid w:val="005A2F38"/>
    <w:rsid w:val="005A30B6"/>
    <w:rsid w:val="005A31B2"/>
    <w:rsid w:val="005A32AF"/>
    <w:rsid w:val="005A32EB"/>
    <w:rsid w:val="005A35C0"/>
    <w:rsid w:val="005A365A"/>
    <w:rsid w:val="005A3660"/>
    <w:rsid w:val="005A3804"/>
    <w:rsid w:val="005A3893"/>
    <w:rsid w:val="005A3A0F"/>
    <w:rsid w:val="005A3A20"/>
    <w:rsid w:val="005A3A7C"/>
    <w:rsid w:val="005A41F2"/>
    <w:rsid w:val="005A4350"/>
    <w:rsid w:val="005A4D48"/>
    <w:rsid w:val="005A50AB"/>
    <w:rsid w:val="005A5706"/>
    <w:rsid w:val="005A5884"/>
    <w:rsid w:val="005A58E8"/>
    <w:rsid w:val="005A644D"/>
    <w:rsid w:val="005A6595"/>
    <w:rsid w:val="005A65AF"/>
    <w:rsid w:val="005A670D"/>
    <w:rsid w:val="005A696B"/>
    <w:rsid w:val="005A764C"/>
    <w:rsid w:val="005A7738"/>
    <w:rsid w:val="005A77DC"/>
    <w:rsid w:val="005A7A57"/>
    <w:rsid w:val="005A7DEC"/>
    <w:rsid w:val="005A7F09"/>
    <w:rsid w:val="005B0372"/>
    <w:rsid w:val="005B04B0"/>
    <w:rsid w:val="005B06B5"/>
    <w:rsid w:val="005B06E0"/>
    <w:rsid w:val="005B0DEA"/>
    <w:rsid w:val="005B1005"/>
    <w:rsid w:val="005B113D"/>
    <w:rsid w:val="005B1460"/>
    <w:rsid w:val="005B14E9"/>
    <w:rsid w:val="005B1674"/>
    <w:rsid w:val="005B1AB7"/>
    <w:rsid w:val="005B1C86"/>
    <w:rsid w:val="005B2373"/>
    <w:rsid w:val="005B24C6"/>
    <w:rsid w:val="005B26AD"/>
    <w:rsid w:val="005B2792"/>
    <w:rsid w:val="005B28BB"/>
    <w:rsid w:val="005B29D9"/>
    <w:rsid w:val="005B2C21"/>
    <w:rsid w:val="005B2D1E"/>
    <w:rsid w:val="005B2F1C"/>
    <w:rsid w:val="005B31E6"/>
    <w:rsid w:val="005B34AA"/>
    <w:rsid w:val="005B3508"/>
    <w:rsid w:val="005B3643"/>
    <w:rsid w:val="005B3976"/>
    <w:rsid w:val="005B3B65"/>
    <w:rsid w:val="005B3BAD"/>
    <w:rsid w:val="005B3BF7"/>
    <w:rsid w:val="005B3C4A"/>
    <w:rsid w:val="005B3CA4"/>
    <w:rsid w:val="005B3CD5"/>
    <w:rsid w:val="005B3F72"/>
    <w:rsid w:val="005B4563"/>
    <w:rsid w:val="005B4733"/>
    <w:rsid w:val="005B49E7"/>
    <w:rsid w:val="005B4A76"/>
    <w:rsid w:val="005B4AC7"/>
    <w:rsid w:val="005B4EFA"/>
    <w:rsid w:val="005B531E"/>
    <w:rsid w:val="005B533C"/>
    <w:rsid w:val="005B55C7"/>
    <w:rsid w:val="005B592F"/>
    <w:rsid w:val="005B5B32"/>
    <w:rsid w:val="005B5C35"/>
    <w:rsid w:val="005B5D6E"/>
    <w:rsid w:val="005B616C"/>
    <w:rsid w:val="005B627E"/>
    <w:rsid w:val="005B6367"/>
    <w:rsid w:val="005B6426"/>
    <w:rsid w:val="005B64C6"/>
    <w:rsid w:val="005B64DD"/>
    <w:rsid w:val="005B682E"/>
    <w:rsid w:val="005B6AC7"/>
    <w:rsid w:val="005B6B63"/>
    <w:rsid w:val="005B71B9"/>
    <w:rsid w:val="005B752D"/>
    <w:rsid w:val="005B764A"/>
    <w:rsid w:val="005B7A4A"/>
    <w:rsid w:val="005B7E87"/>
    <w:rsid w:val="005B7FBD"/>
    <w:rsid w:val="005C00D1"/>
    <w:rsid w:val="005C0280"/>
    <w:rsid w:val="005C0532"/>
    <w:rsid w:val="005C0599"/>
    <w:rsid w:val="005C08D7"/>
    <w:rsid w:val="005C08E5"/>
    <w:rsid w:val="005C08FA"/>
    <w:rsid w:val="005C099C"/>
    <w:rsid w:val="005C09D6"/>
    <w:rsid w:val="005C0AD1"/>
    <w:rsid w:val="005C0E55"/>
    <w:rsid w:val="005C1029"/>
    <w:rsid w:val="005C102F"/>
    <w:rsid w:val="005C1228"/>
    <w:rsid w:val="005C1309"/>
    <w:rsid w:val="005C157B"/>
    <w:rsid w:val="005C1709"/>
    <w:rsid w:val="005C1A90"/>
    <w:rsid w:val="005C1BCA"/>
    <w:rsid w:val="005C1E2B"/>
    <w:rsid w:val="005C219E"/>
    <w:rsid w:val="005C24D3"/>
    <w:rsid w:val="005C253E"/>
    <w:rsid w:val="005C26DD"/>
    <w:rsid w:val="005C2714"/>
    <w:rsid w:val="005C275D"/>
    <w:rsid w:val="005C2A84"/>
    <w:rsid w:val="005C2EEA"/>
    <w:rsid w:val="005C318A"/>
    <w:rsid w:val="005C323B"/>
    <w:rsid w:val="005C334D"/>
    <w:rsid w:val="005C3360"/>
    <w:rsid w:val="005C33B2"/>
    <w:rsid w:val="005C3423"/>
    <w:rsid w:val="005C356A"/>
    <w:rsid w:val="005C3808"/>
    <w:rsid w:val="005C3907"/>
    <w:rsid w:val="005C3BAC"/>
    <w:rsid w:val="005C3E1F"/>
    <w:rsid w:val="005C40ED"/>
    <w:rsid w:val="005C4936"/>
    <w:rsid w:val="005C496B"/>
    <w:rsid w:val="005C4E70"/>
    <w:rsid w:val="005C4ED8"/>
    <w:rsid w:val="005C5078"/>
    <w:rsid w:val="005C50E6"/>
    <w:rsid w:val="005C5227"/>
    <w:rsid w:val="005C526A"/>
    <w:rsid w:val="005C5426"/>
    <w:rsid w:val="005C5460"/>
    <w:rsid w:val="005C54C8"/>
    <w:rsid w:val="005C5702"/>
    <w:rsid w:val="005C5732"/>
    <w:rsid w:val="005C5B72"/>
    <w:rsid w:val="005C5C9C"/>
    <w:rsid w:val="005C5CAB"/>
    <w:rsid w:val="005C5CF9"/>
    <w:rsid w:val="005C5E8B"/>
    <w:rsid w:val="005C61E8"/>
    <w:rsid w:val="005C6608"/>
    <w:rsid w:val="005C6862"/>
    <w:rsid w:val="005C6AF8"/>
    <w:rsid w:val="005C6B36"/>
    <w:rsid w:val="005C6B9E"/>
    <w:rsid w:val="005C6CD6"/>
    <w:rsid w:val="005C70CC"/>
    <w:rsid w:val="005C77B6"/>
    <w:rsid w:val="005C7CA2"/>
    <w:rsid w:val="005C7E26"/>
    <w:rsid w:val="005D017B"/>
    <w:rsid w:val="005D01B7"/>
    <w:rsid w:val="005D02AA"/>
    <w:rsid w:val="005D04B3"/>
    <w:rsid w:val="005D089B"/>
    <w:rsid w:val="005D09B7"/>
    <w:rsid w:val="005D0AF4"/>
    <w:rsid w:val="005D0BD9"/>
    <w:rsid w:val="005D0C2D"/>
    <w:rsid w:val="005D1186"/>
    <w:rsid w:val="005D1717"/>
    <w:rsid w:val="005D1DAB"/>
    <w:rsid w:val="005D1E92"/>
    <w:rsid w:val="005D1F89"/>
    <w:rsid w:val="005D209A"/>
    <w:rsid w:val="005D214E"/>
    <w:rsid w:val="005D235A"/>
    <w:rsid w:val="005D2405"/>
    <w:rsid w:val="005D25A6"/>
    <w:rsid w:val="005D25B6"/>
    <w:rsid w:val="005D29A8"/>
    <w:rsid w:val="005D2A01"/>
    <w:rsid w:val="005D2D41"/>
    <w:rsid w:val="005D3396"/>
    <w:rsid w:val="005D3469"/>
    <w:rsid w:val="005D356C"/>
    <w:rsid w:val="005D3598"/>
    <w:rsid w:val="005D369A"/>
    <w:rsid w:val="005D3AB8"/>
    <w:rsid w:val="005D3C96"/>
    <w:rsid w:val="005D3EE1"/>
    <w:rsid w:val="005D4397"/>
    <w:rsid w:val="005D4470"/>
    <w:rsid w:val="005D4B49"/>
    <w:rsid w:val="005D4C75"/>
    <w:rsid w:val="005D4CF5"/>
    <w:rsid w:val="005D4F85"/>
    <w:rsid w:val="005D4FC1"/>
    <w:rsid w:val="005D4FCE"/>
    <w:rsid w:val="005D4FEA"/>
    <w:rsid w:val="005D5498"/>
    <w:rsid w:val="005D56F0"/>
    <w:rsid w:val="005D5836"/>
    <w:rsid w:val="005D5D91"/>
    <w:rsid w:val="005D5DC5"/>
    <w:rsid w:val="005D5E22"/>
    <w:rsid w:val="005D5E5B"/>
    <w:rsid w:val="005D5F0F"/>
    <w:rsid w:val="005D60F5"/>
    <w:rsid w:val="005D6128"/>
    <w:rsid w:val="005D6529"/>
    <w:rsid w:val="005D6637"/>
    <w:rsid w:val="005D6651"/>
    <w:rsid w:val="005D6869"/>
    <w:rsid w:val="005D6978"/>
    <w:rsid w:val="005D6AA2"/>
    <w:rsid w:val="005D6EB4"/>
    <w:rsid w:val="005D722E"/>
    <w:rsid w:val="005D7364"/>
    <w:rsid w:val="005D748A"/>
    <w:rsid w:val="005D74F0"/>
    <w:rsid w:val="005D75E5"/>
    <w:rsid w:val="005D777C"/>
    <w:rsid w:val="005D7D6B"/>
    <w:rsid w:val="005D7F42"/>
    <w:rsid w:val="005E0081"/>
    <w:rsid w:val="005E0099"/>
    <w:rsid w:val="005E0102"/>
    <w:rsid w:val="005E038B"/>
    <w:rsid w:val="005E03C0"/>
    <w:rsid w:val="005E04D7"/>
    <w:rsid w:val="005E0543"/>
    <w:rsid w:val="005E0661"/>
    <w:rsid w:val="005E0A4F"/>
    <w:rsid w:val="005E0FD1"/>
    <w:rsid w:val="005E15A3"/>
    <w:rsid w:val="005E16A7"/>
    <w:rsid w:val="005E18A4"/>
    <w:rsid w:val="005E1ADB"/>
    <w:rsid w:val="005E1AF1"/>
    <w:rsid w:val="005E1C93"/>
    <w:rsid w:val="005E1D01"/>
    <w:rsid w:val="005E1D2B"/>
    <w:rsid w:val="005E24EE"/>
    <w:rsid w:val="005E2865"/>
    <w:rsid w:val="005E286A"/>
    <w:rsid w:val="005E2AA7"/>
    <w:rsid w:val="005E2C11"/>
    <w:rsid w:val="005E2D83"/>
    <w:rsid w:val="005E2E8B"/>
    <w:rsid w:val="005E2EB7"/>
    <w:rsid w:val="005E31E2"/>
    <w:rsid w:val="005E36F4"/>
    <w:rsid w:val="005E3885"/>
    <w:rsid w:val="005E39C5"/>
    <w:rsid w:val="005E3A1B"/>
    <w:rsid w:val="005E3CC9"/>
    <w:rsid w:val="005E3D67"/>
    <w:rsid w:val="005E4165"/>
    <w:rsid w:val="005E4185"/>
    <w:rsid w:val="005E459D"/>
    <w:rsid w:val="005E4828"/>
    <w:rsid w:val="005E4876"/>
    <w:rsid w:val="005E4F19"/>
    <w:rsid w:val="005E569F"/>
    <w:rsid w:val="005E5847"/>
    <w:rsid w:val="005E5D81"/>
    <w:rsid w:val="005E5ED2"/>
    <w:rsid w:val="005E5F32"/>
    <w:rsid w:val="005E6128"/>
    <w:rsid w:val="005E61FF"/>
    <w:rsid w:val="005E6284"/>
    <w:rsid w:val="005E6370"/>
    <w:rsid w:val="005E6452"/>
    <w:rsid w:val="005E66ED"/>
    <w:rsid w:val="005E6C32"/>
    <w:rsid w:val="005E6D51"/>
    <w:rsid w:val="005E6D5B"/>
    <w:rsid w:val="005E7145"/>
    <w:rsid w:val="005E71ED"/>
    <w:rsid w:val="005E7294"/>
    <w:rsid w:val="005E73C2"/>
    <w:rsid w:val="005E7B63"/>
    <w:rsid w:val="005F00D5"/>
    <w:rsid w:val="005F029F"/>
    <w:rsid w:val="005F08AE"/>
    <w:rsid w:val="005F0D3F"/>
    <w:rsid w:val="005F118C"/>
    <w:rsid w:val="005F126D"/>
    <w:rsid w:val="005F155B"/>
    <w:rsid w:val="005F16F0"/>
    <w:rsid w:val="005F1D48"/>
    <w:rsid w:val="005F28C0"/>
    <w:rsid w:val="005F2B32"/>
    <w:rsid w:val="005F2F02"/>
    <w:rsid w:val="005F3191"/>
    <w:rsid w:val="005F319F"/>
    <w:rsid w:val="005F3312"/>
    <w:rsid w:val="005F38B1"/>
    <w:rsid w:val="005F3ACF"/>
    <w:rsid w:val="005F3DAB"/>
    <w:rsid w:val="005F3ED9"/>
    <w:rsid w:val="005F3F17"/>
    <w:rsid w:val="005F443B"/>
    <w:rsid w:val="005F44B9"/>
    <w:rsid w:val="005F458B"/>
    <w:rsid w:val="005F45E8"/>
    <w:rsid w:val="005F4645"/>
    <w:rsid w:val="005F47AA"/>
    <w:rsid w:val="005F5083"/>
    <w:rsid w:val="005F50DC"/>
    <w:rsid w:val="005F5284"/>
    <w:rsid w:val="005F5329"/>
    <w:rsid w:val="005F5525"/>
    <w:rsid w:val="005F5A80"/>
    <w:rsid w:val="005F5DCE"/>
    <w:rsid w:val="005F5E82"/>
    <w:rsid w:val="005F5EAB"/>
    <w:rsid w:val="005F5F9A"/>
    <w:rsid w:val="005F6241"/>
    <w:rsid w:val="005F64F7"/>
    <w:rsid w:val="005F6839"/>
    <w:rsid w:val="005F68DD"/>
    <w:rsid w:val="005F6BA4"/>
    <w:rsid w:val="005F7081"/>
    <w:rsid w:val="005F72D2"/>
    <w:rsid w:val="005F77AF"/>
    <w:rsid w:val="005F77BE"/>
    <w:rsid w:val="005F7868"/>
    <w:rsid w:val="005F7937"/>
    <w:rsid w:val="005F7BFC"/>
    <w:rsid w:val="005F7D47"/>
    <w:rsid w:val="0060037A"/>
    <w:rsid w:val="0060041E"/>
    <w:rsid w:val="006005AB"/>
    <w:rsid w:val="0060065B"/>
    <w:rsid w:val="00600725"/>
    <w:rsid w:val="006007A5"/>
    <w:rsid w:val="006008DD"/>
    <w:rsid w:val="00600C2D"/>
    <w:rsid w:val="00600FB6"/>
    <w:rsid w:val="006013EE"/>
    <w:rsid w:val="006014A1"/>
    <w:rsid w:val="006016D3"/>
    <w:rsid w:val="006016E7"/>
    <w:rsid w:val="0060187D"/>
    <w:rsid w:val="00601967"/>
    <w:rsid w:val="00601A82"/>
    <w:rsid w:val="00601BB3"/>
    <w:rsid w:val="00601C17"/>
    <w:rsid w:val="0060205D"/>
    <w:rsid w:val="00602094"/>
    <w:rsid w:val="00602103"/>
    <w:rsid w:val="006023ED"/>
    <w:rsid w:val="00602583"/>
    <w:rsid w:val="006027D9"/>
    <w:rsid w:val="0060285D"/>
    <w:rsid w:val="0060298E"/>
    <w:rsid w:val="00603327"/>
    <w:rsid w:val="00603B08"/>
    <w:rsid w:val="00603DC8"/>
    <w:rsid w:val="00603DDC"/>
    <w:rsid w:val="00604591"/>
    <w:rsid w:val="00604A0C"/>
    <w:rsid w:val="00604AA5"/>
    <w:rsid w:val="00604D2E"/>
    <w:rsid w:val="00604D57"/>
    <w:rsid w:val="00604EF6"/>
    <w:rsid w:val="006050F0"/>
    <w:rsid w:val="006050F1"/>
    <w:rsid w:val="0060566A"/>
    <w:rsid w:val="00605A9C"/>
    <w:rsid w:val="00605C82"/>
    <w:rsid w:val="00605CDF"/>
    <w:rsid w:val="00605E33"/>
    <w:rsid w:val="006064A0"/>
    <w:rsid w:val="00606602"/>
    <w:rsid w:val="00606DE3"/>
    <w:rsid w:val="00607285"/>
    <w:rsid w:val="00607356"/>
    <w:rsid w:val="00607448"/>
    <w:rsid w:val="00607A13"/>
    <w:rsid w:val="00607B67"/>
    <w:rsid w:val="00607EEB"/>
    <w:rsid w:val="00610377"/>
    <w:rsid w:val="0061057A"/>
    <w:rsid w:val="006105E7"/>
    <w:rsid w:val="006106D4"/>
    <w:rsid w:val="00610837"/>
    <w:rsid w:val="00610B32"/>
    <w:rsid w:val="00610B79"/>
    <w:rsid w:val="00610F70"/>
    <w:rsid w:val="00610F87"/>
    <w:rsid w:val="006115A2"/>
    <w:rsid w:val="006115DA"/>
    <w:rsid w:val="006118F6"/>
    <w:rsid w:val="00611B57"/>
    <w:rsid w:val="00611C4D"/>
    <w:rsid w:val="00611C55"/>
    <w:rsid w:val="0061299C"/>
    <w:rsid w:val="00612B4F"/>
    <w:rsid w:val="00612B9B"/>
    <w:rsid w:val="00612CA5"/>
    <w:rsid w:val="00612EE1"/>
    <w:rsid w:val="00613172"/>
    <w:rsid w:val="0061318C"/>
    <w:rsid w:val="006132D6"/>
    <w:rsid w:val="006132E2"/>
    <w:rsid w:val="006133F9"/>
    <w:rsid w:val="006134D0"/>
    <w:rsid w:val="00613783"/>
    <w:rsid w:val="0061378E"/>
    <w:rsid w:val="006137F9"/>
    <w:rsid w:val="00613888"/>
    <w:rsid w:val="00613A74"/>
    <w:rsid w:val="00613C39"/>
    <w:rsid w:val="00613DB2"/>
    <w:rsid w:val="00613FB3"/>
    <w:rsid w:val="0061407F"/>
    <w:rsid w:val="00614129"/>
    <w:rsid w:val="006141D0"/>
    <w:rsid w:val="0061439C"/>
    <w:rsid w:val="0061450E"/>
    <w:rsid w:val="006145E8"/>
    <w:rsid w:val="006146FC"/>
    <w:rsid w:val="00614A5B"/>
    <w:rsid w:val="00614AF8"/>
    <w:rsid w:val="0061516F"/>
    <w:rsid w:val="00615485"/>
    <w:rsid w:val="006156CF"/>
    <w:rsid w:val="00615713"/>
    <w:rsid w:val="00615808"/>
    <w:rsid w:val="006158AD"/>
    <w:rsid w:val="006158B6"/>
    <w:rsid w:val="00615982"/>
    <w:rsid w:val="00615B3E"/>
    <w:rsid w:val="00615C5E"/>
    <w:rsid w:val="00615EE4"/>
    <w:rsid w:val="00615F34"/>
    <w:rsid w:val="00616154"/>
    <w:rsid w:val="006162B3"/>
    <w:rsid w:val="0061649F"/>
    <w:rsid w:val="00616583"/>
    <w:rsid w:val="00616A07"/>
    <w:rsid w:val="00616BE8"/>
    <w:rsid w:val="00616C14"/>
    <w:rsid w:val="00616CAB"/>
    <w:rsid w:val="006172A9"/>
    <w:rsid w:val="006172DA"/>
    <w:rsid w:val="006172EE"/>
    <w:rsid w:val="00617393"/>
    <w:rsid w:val="006173C1"/>
    <w:rsid w:val="00617415"/>
    <w:rsid w:val="006175DA"/>
    <w:rsid w:val="0061781D"/>
    <w:rsid w:val="006178F9"/>
    <w:rsid w:val="00617A08"/>
    <w:rsid w:val="00617BAE"/>
    <w:rsid w:val="00617E11"/>
    <w:rsid w:val="00617EDC"/>
    <w:rsid w:val="00617FB4"/>
    <w:rsid w:val="0062018F"/>
    <w:rsid w:val="0062023C"/>
    <w:rsid w:val="00620450"/>
    <w:rsid w:val="006206C4"/>
    <w:rsid w:val="00620A50"/>
    <w:rsid w:val="00620A80"/>
    <w:rsid w:val="00621159"/>
    <w:rsid w:val="00621527"/>
    <w:rsid w:val="00621AA8"/>
    <w:rsid w:val="00621EC2"/>
    <w:rsid w:val="0062207A"/>
    <w:rsid w:val="0062221F"/>
    <w:rsid w:val="00622334"/>
    <w:rsid w:val="006224A2"/>
    <w:rsid w:val="00622A09"/>
    <w:rsid w:val="00622B11"/>
    <w:rsid w:val="00622DDB"/>
    <w:rsid w:val="00622E55"/>
    <w:rsid w:val="00623160"/>
    <w:rsid w:val="006234A4"/>
    <w:rsid w:val="00623AE7"/>
    <w:rsid w:val="00623C0E"/>
    <w:rsid w:val="00623EE7"/>
    <w:rsid w:val="0062454F"/>
    <w:rsid w:val="00624854"/>
    <w:rsid w:val="006248C7"/>
    <w:rsid w:val="00624955"/>
    <w:rsid w:val="0062521C"/>
    <w:rsid w:val="006255C7"/>
    <w:rsid w:val="006256F1"/>
    <w:rsid w:val="00625927"/>
    <w:rsid w:val="0062592A"/>
    <w:rsid w:val="00625A88"/>
    <w:rsid w:val="00625AD3"/>
    <w:rsid w:val="00625B3B"/>
    <w:rsid w:val="00625E52"/>
    <w:rsid w:val="006260ED"/>
    <w:rsid w:val="0062626C"/>
    <w:rsid w:val="00626509"/>
    <w:rsid w:val="0062667F"/>
    <w:rsid w:val="00626696"/>
    <w:rsid w:val="006268D4"/>
    <w:rsid w:val="006269ED"/>
    <w:rsid w:val="00626F72"/>
    <w:rsid w:val="006276DE"/>
    <w:rsid w:val="00627967"/>
    <w:rsid w:val="00627DE9"/>
    <w:rsid w:val="0063029E"/>
    <w:rsid w:val="006303E1"/>
    <w:rsid w:val="006309C5"/>
    <w:rsid w:val="00630E86"/>
    <w:rsid w:val="0063122C"/>
    <w:rsid w:val="00631278"/>
    <w:rsid w:val="006312FF"/>
    <w:rsid w:val="006313CA"/>
    <w:rsid w:val="0063177C"/>
    <w:rsid w:val="006319E4"/>
    <w:rsid w:val="00631E7E"/>
    <w:rsid w:val="0063249A"/>
    <w:rsid w:val="006325F3"/>
    <w:rsid w:val="00632957"/>
    <w:rsid w:val="006329DF"/>
    <w:rsid w:val="00632A20"/>
    <w:rsid w:val="00632AFD"/>
    <w:rsid w:val="00632B16"/>
    <w:rsid w:val="00632BD5"/>
    <w:rsid w:val="00632CC1"/>
    <w:rsid w:val="00632F12"/>
    <w:rsid w:val="00633358"/>
    <w:rsid w:val="0063338B"/>
    <w:rsid w:val="00633443"/>
    <w:rsid w:val="006336FC"/>
    <w:rsid w:val="00633A7B"/>
    <w:rsid w:val="00633C4D"/>
    <w:rsid w:val="00634085"/>
    <w:rsid w:val="00634107"/>
    <w:rsid w:val="00634419"/>
    <w:rsid w:val="0063452E"/>
    <w:rsid w:val="006345B9"/>
    <w:rsid w:val="00634815"/>
    <w:rsid w:val="00634849"/>
    <w:rsid w:val="006351E6"/>
    <w:rsid w:val="006352E7"/>
    <w:rsid w:val="006353ED"/>
    <w:rsid w:val="0063550D"/>
    <w:rsid w:val="006356C7"/>
    <w:rsid w:val="00635A50"/>
    <w:rsid w:val="00635E00"/>
    <w:rsid w:val="006361A2"/>
    <w:rsid w:val="00636290"/>
    <w:rsid w:val="00636429"/>
    <w:rsid w:val="00636A1A"/>
    <w:rsid w:val="00636B32"/>
    <w:rsid w:val="00636BEC"/>
    <w:rsid w:val="00636D00"/>
    <w:rsid w:val="00636F57"/>
    <w:rsid w:val="0063717C"/>
    <w:rsid w:val="0063724E"/>
    <w:rsid w:val="00637BCB"/>
    <w:rsid w:val="00637EC5"/>
    <w:rsid w:val="00640723"/>
    <w:rsid w:val="006407E0"/>
    <w:rsid w:val="00640C59"/>
    <w:rsid w:val="00640CBB"/>
    <w:rsid w:val="00640EE3"/>
    <w:rsid w:val="00641139"/>
    <w:rsid w:val="0064152D"/>
    <w:rsid w:val="00641668"/>
    <w:rsid w:val="00641727"/>
    <w:rsid w:val="0064178E"/>
    <w:rsid w:val="0064182A"/>
    <w:rsid w:val="0064188A"/>
    <w:rsid w:val="006419B9"/>
    <w:rsid w:val="00641C58"/>
    <w:rsid w:val="00641CE8"/>
    <w:rsid w:val="00641EA9"/>
    <w:rsid w:val="00641F94"/>
    <w:rsid w:val="0064202D"/>
    <w:rsid w:val="00642075"/>
    <w:rsid w:val="00642389"/>
    <w:rsid w:val="006424B8"/>
    <w:rsid w:val="00642718"/>
    <w:rsid w:val="00642EC3"/>
    <w:rsid w:val="00642F5C"/>
    <w:rsid w:val="00643413"/>
    <w:rsid w:val="006436D3"/>
    <w:rsid w:val="006439C7"/>
    <w:rsid w:val="00643B60"/>
    <w:rsid w:val="00643DDC"/>
    <w:rsid w:val="00643F37"/>
    <w:rsid w:val="00643F70"/>
    <w:rsid w:val="00644031"/>
    <w:rsid w:val="00644038"/>
    <w:rsid w:val="00644237"/>
    <w:rsid w:val="0064425B"/>
    <w:rsid w:val="0064431B"/>
    <w:rsid w:val="0064472E"/>
    <w:rsid w:val="00644888"/>
    <w:rsid w:val="00644A5A"/>
    <w:rsid w:val="00644AE1"/>
    <w:rsid w:val="00644C4B"/>
    <w:rsid w:val="00645117"/>
    <w:rsid w:val="00645401"/>
    <w:rsid w:val="00645504"/>
    <w:rsid w:val="00645649"/>
    <w:rsid w:val="00645E6D"/>
    <w:rsid w:val="006464FC"/>
    <w:rsid w:val="0064653D"/>
    <w:rsid w:val="0064659D"/>
    <w:rsid w:val="00646776"/>
    <w:rsid w:val="00646AB0"/>
    <w:rsid w:val="00646AB5"/>
    <w:rsid w:val="00646DA5"/>
    <w:rsid w:val="0064735A"/>
    <w:rsid w:val="00647CC2"/>
    <w:rsid w:val="00647FED"/>
    <w:rsid w:val="006503B6"/>
    <w:rsid w:val="0065065C"/>
    <w:rsid w:val="00650840"/>
    <w:rsid w:val="00650F86"/>
    <w:rsid w:val="00650FC6"/>
    <w:rsid w:val="00651086"/>
    <w:rsid w:val="00651114"/>
    <w:rsid w:val="00651166"/>
    <w:rsid w:val="006511BC"/>
    <w:rsid w:val="00651236"/>
    <w:rsid w:val="006513AF"/>
    <w:rsid w:val="0065151C"/>
    <w:rsid w:val="00651792"/>
    <w:rsid w:val="00651F9C"/>
    <w:rsid w:val="006526FC"/>
    <w:rsid w:val="006529BE"/>
    <w:rsid w:val="00652B71"/>
    <w:rsid w:val="00652F9E"/>
    <w:rsid w:val="00653080"/>
    <w:rsid w:val="00653106"/>
    <w:rsid w:val="00653333"/>
    <w:rsid w:val="0065341D"/>
    <w:rsid w:val="006535B2"/>
    <w:rsid w:val="00653945"/>
    <w:rsid w:val="0065396D"/>
    <w:rsid w:val="006539FF"/>
    <w:rsid w:val="00653CD1"/>
    <w:rsid w:val="00653E26"/>
    <w:rsid w:val="006541C5"/>
    <w:rsid w:val="0065437E"/>
    <w:rsid w:val="00654616"/>
    <w:rsid w:val="006546D7"/>
    <w:rsid w:val="00654AF1"/>
    <w:rsid w:val="00654C9C"/>
    <w:rsid w:val="00654CA8"/>
    <w:rsid w:val="0065523A"/>
    <w:rsid w:val="00655259"/>
    <w:rsid w:val="0065570A"/>
    <w:rsid w:val="00655769"/>
    <w:rsid w:val="00655934"/>
    <w:rsid w:val="00655B17"/>
    <w:rsid w:val="00655CD1"/>
    <w:rsid w:val="006561F2"/>
    <w:rsid w:val="006562C0"/>
    <w:rsid w:val="0065654D"/>
    <w:rsid w:val="006565B8"/>
    <w:rsid w:val="006565D4"/>
    <w:rsid w:val="00656A3E"/>
    <w:rsid w:val="00657065"/>
    <w:rsid w:val="006570B4"/>
    <w:rsid w:val="0065718F"/>
    <w:rsid w:val="00657267"/>
    <w:rsid w:val="006575C3"/>
    <w:rsid w:val="00657627"/>
    <w:rsid w:val="00657BCB"/>
    <w:rsid w:val="00657EFF"/>
    <w:rsid w:val="00660413"/>
    <w:rsid w:val="0066055E"/>
    <w:rsid w:val="00660638"/>
    <w:rsid w:val="0066082D"/>
    <w:rsid w:val="00660CD8"/>
    <w:rsid w:val="00661031"/>
    <w:rsid w:val="006614B0"/>
    <w:rsid w:val="00661507"/>
    <w:rsid w:val="00661796"/>
    <w:rsid w:val="006617F8"/>
    <w:rsid w:val="0066181F"/>
    <w:rsid w:val="00661AC2"/>
    <w:rsid w:val="00661BC1"/>
    <w:rsid w:val="00661BF7"/>
    <w:rsid w:val="00661CBB"/>
    <w:rsid w:val="00661CF8"/>
    <w:rsid w:val="00662192"/>
    <w:rsid w:val="0066221E"/>
    <w:rsid w:val="0066233D"/>
    <w:rsid w:val="00662395"/>
    <w:rsid w:val="006628DF"/>
    <w:rsid w:val="00662E74"/>
    <w:rsid w:val="00662F5D"/>
    <w:rsid w:val="0066301F"/>
    <w:rsid w:val="00663060"/>
    <w:rsid w:val="006632E0"/>
    <w:rsid w:val="00663374"/>
    <w:rsid w:val="006633A1"/>
    <w:rsid w:val="00663603"/>
    <w:rsid w:val="006638A3"/>
    <w:rsid w:val="00663B4E"/>
    <w:rsid w:val="00663C43"/>
    <w:rsid w:val="00663ECE"/>
    <w:rsid w:val="00663EE8"/>
    <w:rsid w:val="006641FE"/>
    <w:rsid w:val="00664235"/>
    <w:rsid w:val="006642B0"/>
    <w:rsid w:val="00664546"/>
    <w:rsid w:val="00664750"/>
    <w:rsid w:val="00664805"/>
    <w:rsid w:val="006648D5"/>
    <w:rsid w:val="00664D38"/>
    <w:rsid w:val="00664D48"/>
    <w:rsid w:val="0066526C"/>
    <w:rsid w:val="00665276"/>
    <w:rsid w:val="00665359"/>
    <w:rsid w:val="00665681"/>
    <w:rsid w:val="00665F9B"/>
    <w:rsid w:val="00666034"/>
    <w:rsid w:val="00666035"/>
    <w:rsid w:val="006661F2"/>
    <w:rsid w:val="0066622D"/>
    <w:rsid w:val="0066652A"/>
    <w:rsid w:val="0066663B"/>
    <w:rsid w:val="00666F3A"/>
    <w:rsid w:val="00666F4D"/>
    <w:rsid w:val="00666F88"/>
    <w:rsid w:val="00667189"/>
    <w:rsid w:val="0066747A"/>
    <w:rsid w:val="00667863"/>
    <w:rsid w:val="00667912"/>
    <w:rsid w:val="006700AD"/>
    <w:rsid w:val="00670235"/>
    <w:rsid w:val="0067023B"/>
    <w:rsid w:val="00670483"/>
    <w:rsid w:val="006707A2"/>
    <w:rsid w:val="00670A8D"/>
    <w:rsid w:val="00670C3E"/>
    <w:rsid w:val="00670FAD"/>
    <w:rsid w:val="00671818"/>
    <w:rsid w:val="006719C7"/>
    <w:rsid w:val="00671D9E"/>
    <w:rsid w:val="00671E52"/>
    <w:rsid w:val="00671EC1"/>
    <w:rsid w:val="00672015"/>
    <w:rsid w:val="00672136"/>
    <w:rsid w:val="006722AF"/>
    <w:rsid w:val="0067244B"/>
    <w:rsid w:val="006724AD"/>
    <w:rsid w:val="00672A59"/>
    <w:rsid w:val="006730EC"/>
    <w:rsid w:val="006736FA"/>
    <w:rsid w:val="00673ED8"/>
    <w:rsid w:val="006743ED"/>
    <w:rsid w:val="00674818"/>
    <w:rsid w:val="00674895"/>
    <w:rsid w:val="00674AA4"/>
    <w:rsid w:val="00674C02"/>
    <w:rsid w:val="00675AED"/>
    <w:rsid w:val="00675DA6"/>
    <w:rsid w:val="00675EE5"/>
    <w:rsid w:val="00676056"/>
    <w:rsid w:val="00676085"/>
    <w:rsid w:val="006761B1"/>
    <w:rsid w:val="006762DC"/>
    <w:rsid w:val="00676391"/>
    <w:rsid w:val="0067651A"/>
    <w:rsid w:val="006765CA"/>
    <w:rsid w:val="00676694"/>
    <w:rsid w:val="0067678C"/>
    <w:rsid w:val="00676852"/>
    <w:rsid w:val="00676B87"/>
    <w:rsid w:val="0067734E"/>
    <w:rsid w:val="006775FF"/>
    <w:rsid w:val="00677827"/>
    <w:rsid w:val="006779FA"/>
    <w:rsid w:val="00677CCC"/>
    <w:rsid w:val="00677D36"/>
    <w:rsid w:val="00677FA0"/>
    <w:rsid w:val="006802DE"/>
    <w:rsid w:val="006803A2"/>
    <w:rsid w:val="006804EC"/>
    <w:rsid w:val="00680B23"/>
    <w:rsid w:val="00680C07"/>
    <w:rsid w:val="00680C14"/>
    <w:rsid w:val="00680ED8"/>
    <w:rsid w:val="00680F09"/>
    <w:rsid w:val="006816C0"/>
    <w:rsid w:val="00681A29"/>
    <w:rsid w:val="00681B55"/>
    <w:rsid w:val="00681E15"/>
    <w:rsid w:val="00681EC3"/>
    <w:rsid w:val="006822CE"/>
    <w:rsid w:val="0068241B"/>
    <w:rsid w:val="006825DC"/>
    <w:rsid w:val="00682E0E"/>
    <w:rsid w:val="00683036"/>
    <w:rsid w:val="006830F4"/>
    <w:rsid w:val="006835D0"/>
    <w:rsid w:val="006835E6"/>
    <w:rsid w:val="00683694"/>
    <w:rsid w:val="00683A5F"/>
    <w:rsid w:val="00683CB8"/>
    <w:rsid w:val="00683EEB"/>
    <w:rsid w:val="0068413C"/>
    <w:rsid w:val="00684232"/>
    <w:rsid w:val="0068460C"/>
    <w:rsid w:val="00684801"/>
    <w:rsid w:val="00684E74"/>
    <w:rsid w:val="0068545F"/>
    <w:rsid w:val="00685935"/>
    <w:rsid w:val="00685AE7"/>
    <w:rsid w:val="00686048"/>
    <w:rsid w:val="006862FB"/>
    <w:rsid w:val="00686482"/>
    <w:rsid w:val="0068652D"/>
    <w:rsid w:val="00686D80"/>
    <w:rsid w:val="00687179"/>
    <w:rsid w:val="0068719B"/>
    <w:rsid w:val="0068756E"/>
    <w:rsid w:val="00687596"/>
    <w:rsid w:val="00687780"/>
    <w:rsid w:val="00687A10"/>
    <w:rsid w:val="00687A8D"/>
    <w:rsid w:val="00690065"/>
    <w:rsid w:val="00690192"/>
    <w:rsid w:val="0069037F"/>
    <w:rsid w:val="0069073E"/>
    <w:rsid w:val="006907A1"/>
    <w:rsid w:val="006908CB"/>
    <w:rsid w:val="00690A31"/>
    <w:rsid w:val="00690F63"/>
    <w:rsid w:val="00690FB8"/>
    <w:rsid w:val="00690FC7"/>
    <w:rsid w:val="006912FB"/>
    <w:rsid w:val="006914E4"/>
    <w:rsid w:val="006914F9"/>
    <w:rsid w:val="006915C3"/>
    <w:rsid w:val="00691638"/>
    <w:rsid w:val="0069179E"/>
    <w:rsid w:val="00691A5A"/>
    <w:rsid w:val="00691DB0"/>
    <w:rsid w:val="00691F1C"/>
    <w:rsid w:val="00691FE9"/>
    <w:rsid w:val="006926FA"/>
    <w:rsid w:val="00692F18"/>
    <w:rsid w:val="00693298"/>
    <w:rsid w:val="00693420"/>
    <w:rsid w:val="006939CE"/>
    <w:rsid w:val="00693B90"/>
    <w:rsid w:val="00693E6E"/>
    <w:rsid w:val="00693F56"/>
    <w:rsid w:val="00693FD2"/>
    <w:rsid w:val="00693FE3"/>
    <w:rsid w:val="006942AE"/>
    <w:rsid w:val="0069462D"/>
    <w:rsid w:val="0069470C"/>
    <w:rsid w:val="00694711"/>
    <w:rsid w:val="00694AC8"/>
    <w:rsid w:val="00694B66"/>
    <w:rsid w:val="00695475"/>
    <w:rsid w:val="006956BC"/>
    <w:rsid w:val="006957BD"/>
    <w:rsid w:val="0069590B"/>
    <w:rsid w:val="006959BE"/>
    <w:rsid w:val="00695B06"/>
    <w:rsid w:val="00695BCE"/>
    <w:rsid w:val="00695C2E"/>
    <w:rsid w:val="00695EC8"/>
    <w:rsid w:val="00696013"/>
    <w:rsid w:val="0069604E"/>
    <w:rsid w:val="00696283"/>
    <w:rsid w:val="00696451"/>
    <w:rsid w:val="006964DC"/>
    <w:rsid w:val="0069650C"/>
    <w:rsid w:val="006966A5"/>
    <w:rsid w:val="00696860"/>
    <w:rsid w:val="0069719E"/>
    <w:rsid w:val="00697395"/>
    <w:rsid w:val="00697892"/>
    <w:rsid w:val="00697925"/>
    <w:rsid w:val="006A02B6"/>
    <w:rsid w:val="006A03E6"/>
    <w:rsid w:val="006A06FB"/>
    <w:rsid w:val="006A07E5"/>
    <w:rsid w:val="006A095B"/>
    <w:rsid w:val="006A099D"/>
    <w:rsid w:val="006A1242"/>
    <w:rsid w:val="006A12D3"/>
    <w:rsid w:val="006A1848"/>
    <w:rsid w:val="006A1908"/>
    <w:rsid w:val="006A1C29"/>
    <w:rsid w:val="006A1D1C"/>
    <w:rsid w:val="006A1F10"/>
    <w:rsid w:val="006A1F2F"/>
    <w:rsid w:val="006A1F6D"/>
    <w:rsid w:val="006A1F7E"/>
    <w:rsid w:val="006A2081"/>
    <w:rsid w:val="006A24FC"/>
    <w:rsid w:val="006A2799"/>
    <w:rsid w:val="006A27B4"/>
    <w:rsid w:val="006A2EE2"/>
    <w:rsid w:val="006A31E4"/>
    <w:rsid w:val="006A323F"/>
    <w:rsid w:val="006A350F"/>
    <w:rsid w:val="006A3928"/>
    <w:rsid w:val="006A3DA6"/>
    <w:rsid w:val="006A3DD3"/>
    <w:rsid w:val="006A3E5A"/>
    <w:rsid w:val="006A3F1D"/>
    <w:rsid w:val="006A493D"/>
    <w:rsid w:val="006A499A"/>
    <w:rsid w:val="006A4B08"/>
    <w:rsid w:val="006A4B0B"/>
    <w:rsid w:val="006A4BCA"/>
    <w:rsid w:val="006A4E30"/>
    <w:rsid w:val="006A4E63"/>
    <w:rsid w:val="006A54FD"/>
    <w:rsid w:val="006A5A91"/>
    <w:rsid w:val="006A5C09"/>
    <w:rsid w:val="006A5CD2"/>
    <w:rsid w:val="006A6042"/>
    <w:rsid w:val="006A61C5"/>
    <w:rsid w:val="006A6249"/>
    <w:rsid w:val="006A6591"/>
    <w:rsid w:val="006A6667"/>
    <w:rsid w:val="006A6797"/>
    <w:rsid w:val="006A67CC"/>
    <w:rsid w:val="006A6C81"/>
    <w:rsid w:val="006A6E14"/>
    <w:rsid w:val="006A6E92"/>
    <w:rsid w:val="006A70EC"/>
    <w:rsid w:val="006A731F"/>
    <w:rsid w:val="006A74F8"/>
    <w:rsid w:val="006A78BB"/>
    <w:rsid w:val="006A79D5"/>
    <w:rsid w:val="006A7B46"/>
    <w:rsid w:val="006B0046"/>
    <w:rsid w:val="006B035A"/>
    <w:rsid w:val="006B0475"/>
    <w:rsid w:val="006B09B9"/>
    <w:rsid w:val="006B0A25"/>
    <w:rsid w:val="006B0B1F"/>
    <w:rsid w:val="006B102F"/>
    <w:rsid w:val="006B1105"/>
    <w:rsid w:val="006B11EE"/>
    <w:rsid w:val="006B127A"/>
    <w:rsid w:val="006B12B0"/>
    <w:rsid w:val="006B134D"/>
    <w:rsid w:val="006B1446"/>
    <w:rsid w:val="006B1542"/>
    <w:rsid w:val="006B157F"/>
    <w:rsid w:val="006B1CD9"/>
    <w:rsid w:val="006B1E03"/>
    <w:rsid w:val="006B214A"/>
    <w:rsid w:val="006B21D0"/>
    <w:rsid w:val="006B229A"/>
    <w:rsid w:val="006B23DB"/>
    <w:rsid w:val="006B241A"/>
    <w:rsid w:val="006B24BD"/>
    <w:rsid w:val="006B2A99"/>
    <w:rsid w:val="006B2ACE"/>
    <w:rsid w:val="006B2FF8"/>
    <w:rsid w:val="006B30D1"/>
    <w:rsid w:val="006B3488"/>
    <w:rsid w:val="006B35AE"/>
    <w:rsid w:val="006B3AC1"/>
    <w:rsid w:val="006B3C0B"/>
    <w:rsid w:val="006B3C5A"/>
    <w:rsid w:val="006B3CCF"/>
    <w:rsid w:val="006B3DA5"/>
    <w:rsid w:val="006B3DD9"/>
    <w:rsid w:val="006B3F05"/>
    <w:rsid w:val="006B3F41"/>
    <w:rsid w:val="006B45C7"/>
    <w:rsid w:val="006B48CE"/>
    <w:rsid w:val="006B4B96"/>
    <w:rsid w:val="006B55ED"/>
    <w:rsid w:val="006B5733"/>
    <w:rsid w:val="006B630C"/>
    <w:rsid w:val="006B639F"/>
    <w:rsid w:val="006B6406"/>
    <w:rsid w:val="006B69CF"/>
    <w:rsid w:val="006B6A6F"/>
    <w:rsid w:val="006B6CAE"/>
    <w:rsid w:val="006B6F73"/>
    <w:rsid w:val="006B6F94"/>
    <w:rsid w:val="006B70D3"/>
    <w:rsid w:val="006B7364"/>
    <w:rsid w:val="006B7A17"/>
    <w:rsid w:val="006B7BD4"/>
    <w:rsid w:val="006B7C49"/>
    <w:rsid w:val="006B7CE8"/>
    <w:rsid w:val="006B7EF7"/>
    <w:rsid w:val="006C0093"/>
    <w:rsid w:val="006C0157"/>
    <w:rsid w:val="006C01B2"/>
    <w:rsid w:val="006C0B88"/>
    <w:rsid w:val="006C0FCB"/>
    <w:rsid w:val="006C1062"/>
    <w:rsid w:val="006C1214"/>
    <w:rsid w:val="006C1271"/>
    <w:rsid w:val="006C1B30"/>
    <w:rsid w:val="006C1C71"/>
    <w:rsid w:val="006C21CA"/>
    <w:rsid w:val="006C24D9"/>
    <w:rsid w:val="006C25E2"/>
    <w:rsid w:val="006C2715"/>
    <w:rsid w:val="006C2763"/>
    <w:rsid w:val="006C27AC"/>
    <w:rsid w:val="006C294C"/>
    <w:rsid w:val="006C29A0"/>
    <w:rsid w:val="006C2BC4"/>
    <w:rsid w:val="006C30BD"/>
    <w:rsid w:val="006C358F"/>
    <w:rsid w:val="006C3F83"/>
    <w:rsid w:val="006C476F"/>
    <w:rsid w:val="006C4C0D"/>
    <w:rsid w:val="006C4D15"/>
    <w:rsid w:val="006C4DB5"/>
    <w:rsid w:val="006C5003"/>
    <w:rsid w:val="006C5191"/>
    <w:rsid w:val="006C52E4"/>
    <w:rsid w:val="006C5641"/>
    <w:rsid w:val="006C564C"/>
    <w:rsid w:val="006C57C6"/>
    <w:rsid w:val="006C5A40"/>
    <w:rsid w:val="006C5A9C"/>
    <w:rsid w:val="006C5E35"/>
    <w:rsid w:val="006C5FF4"/>
    <w:rsid w:val="006C60D4"/>
    <w:rsid w:val="006C60D8"/>
    <w:rsid w:val="006C6112"/>
    <w:rsid w:val="006C6141"/>
    <w:rsid w:val="006C66C7"/>
    <w:rsid w:val="006C681C"/>
    <w:rsid w:val="006C69BF"/>
    <w:rsid w:val="006C6A8B"/>
    <w:rsid w:val="006C6EB1"/>
    <w:rsid w:val="006C705F"/>
    <w:rsid w:val="006C70A6"/>
    <w:rsid w:val="006C719A"/>
    <w:rsid w:val="006C74A3"/>
    <w:rsid w:val="006C77C5"/>
    <w:rsid w:val="006C7879"/>
    <w:rsid w:val="006C7956"/>
    <w:rsid w:val="006C79CB"/>
    <w:rsid w:val="006C7BDC"/>
    <w:rsid w:val="006D02AD"/>
    <w:rsid w:val="006D0490"/>
    <w:rsid w:val="006D0726"/>
    <w:rsid w:val="006D0761"/>
    <w:rsid w:val="006D0797"/>
    <w:rsid w:val="006D0828"/>
    <w:rsid w:val="006D09CA"/>
    <w:rsid w:val="006D0AF3"/>
    <w:rsid w:val="006D0DC1"/>
    <w:rsid w:val="006D10B4"/>
    <w:rsid w:val="006D15CD"/>
    <w:rsid w:val="006D1603"/>
    <w:rsid w:val="006D17CC"/>
    <w:rsid w:val="006D18CD"/>
    <w:rsid w:val="006D1B73"/>
    <w:rsid w:val="006D1CD1"/>
    <w:rsid w:val="006D1CF7"/>
    <w:rsid w:val="006D1DBC"/>
    <w:rsid w:val="006D2314"/>
    <w:rsid w:val="006D2A3E"/>
    <w:rsid w:val="006D2A58"/>
    <w:rsid w:val="006D2B87"/>
    <w:rsid w:val="006D2BF6"/>
    <w:rsid w:val="006D2BF9"/>
    <w:rsid w:val="006D2E76"/>
    <w:rsid w:val="006D2F15"/>
    <w:rsid w:val="006D311B"/>
    <w:rsid w:val="006D3396"/>
    <w:rsid w:val="006D3684"/>
    <w:rsid w:val="006D3978"/>
    <w:rsid w:val="006D39CD"/>
    <w:rsid w:val="006D3AE2"/>
    <w:rsid w:val="006D3B9B"/>
    <w:rsid w:val="006D3BD4"/>
    <w:rsid w:val="006D3C5B"/>
    <w:rsid w:val="006D4257"/>
    <w:rsid w:val="006D4305"/>
    <w:rsid w:val="006D4312"/>
    <w:rsid w:val="006D47A5"/>
    <w:rsid w:val="006D4A03"/>
    <w:rsid w:val="006D4AD6"/>
    <w:rsid w:val="006D4C17"/>
    <w:rsid w:val="006D4FF3"/>
    <w:rsid w:val="006D52C6"/>
    <w:rsid w:val="006D538C"/>
    <w:rsid w:val="006D54B9"/>
    <w:rsid w:val="006D5693"/>
    <w:rsid w:val="006D571E"/>
    <w:rsid w:val="006D57CE"/>
    <w:rsid w:val="006D5903"/>
    <w:rsid w:val="006D5A29"/>
    <w:rsid w:val="006D5A72"/>
    <w:rsid w:val="006D5C1E"/>
    <w:rsid w:val="006D5D63"/>
    <w:rsid w:val="006D5D82"/>
    <w:rsid w:val="006D5EFB"/>
    <w:rsid w:val="006D6810"/>
    <w:rsid w:val="006D70B1"/>
    <w:rsid w:val="006D7172"/>
    <w:rsid w:val="006D717D"/>
    <w:rsid w:val="006D71AD"/>
    <w:rsid w:val="006D72F2"/>
    <w:rsid w:val="006D73B5"/>
    <w:rsid w:val="006D75A5"/>
    <w:rsid w:val="006D7717"/>
    <w:rsid w:val="006D7A79"/>
    <w:rsid w:val="006D7AB5"/>
    <w:rsid w:val="006D7EE3"/>
    <w:rsid w:val="006D7EF3"/>
    <w:rsid w:val="006D7F88"/>
    <w:rsid w:val="006E004E"/>
    <w:rsid w:val="006E00A5"/>
    <w:rsid w:val="006E00B5"/>
    <w:rsid w:val="006E0142"/>
    <w:rsid w:val="006E0190"/>
    <w:rsid w:val="006E0602"/>
    <w:rsid w:val="006E0752"/>
    <w:rsid w:val="006E0815"/>
    <w:rsid w:val="006E0DF5"/>
    <w:rsid w:val="006E1057"/>
    <w:rsid w:val="006E105D"/>
    <w:rsid w:val="006E1218"/>
    <w:rsid w:val="006E1241"/>
    <w:rsid w:val="006E1300"/>
    <w:rsid w:val="006E13F2"/>
    <w:rsid w:val="006E15A6"/>
    <w:rsid w:val="006E1682"/>
    <w:rsid w:val="006E214E"/>
    <w:rsid w:val="006E2263"/>
    <w:rsid w:val="006E2354"/>
    <w:rsid w:val="006E2556"/>
    <w:rsid w:val="006E2893"/>
    <w:rsid w:val="006E2935"/>
    <w:rsid w:val="006E2B6C"/>
    <w:rsid w:val="006E2BA1"/>
    <w:rsid w:val="006E2BE7"/>
    <w:rsid w:val="006E2DAA"/>
    <w:rsid w:val="006E31D7"/>
    <w:rsid w:val="006E3223"/>
    <w:rsid w:val="006E32E0"/>
    <w:rsid w:val="006E34BB"/>
    <w:rsid w:val="006E37C4"/>
    <w:rsid w:val="006E380A"/>
    <w:rsid w:val="006E3F52"/>
    <w:rsid w:val="006E3F85"/>
    <w:rsid w:val="006E401F"/>
    <w:rsid w:val="006E45DE"/>
    <w:rsid w:val="006E491C"/>
    <w:rsid w:val="006E4B29"/>
    <w:rsid w:val="006E4D1B"/>
    <w:rsid w:val="006E5182"/>
    <w:rsid w:val="006E54A0"/>
    <w:rsid w:val="006E569B"/>
    <w:rsid w:val="006E607C"/>
    <w:rsid w:val="006E622A"/>
    <w:rsid w:val="006E676B"/>
    <w:rsid w:val="006E681E"/>
    <w:rsid w:val="006E6963"/>
    <w:rsid w:val="006E6D2D"/>
    <w:rsid w:val="006E6D70"/>
    <w:rsid w:val="006E6E96"/>
    <w:rsid w:val="006E6FF6"/>
    <w:rsid w:val="006E72C5"/>
    <w:rsid w:val="006E74EF"/>
    <w:rsid w:val="006E7564"/>
    <w:rsid w:val="006E7A3C"/>
    <w:rsid w:val="006E7DC2"/>
    <w:rsid w:val="006F0FFA"/>
    <w:rsid w:val="006F10B7"/>
    <w:rsid w:val="006F146C"/>
    <w:rsid w:val="006F1A49"/>
    <w:rsid w:val="006F1C25"/>
    <w:rsid w:val="006F1CA6"/>
    <w:rsid w:val="006F1DA5"/>
    <w:rsid w:val="006F1FDF"/>
    <w:rsid w:val="006F2352"/>
    <w:rsid w:val="006F2F2B"/>
    <w:rsid w:val="006F3008"/>
    <w:rsid w:val="006F349F"/>
    <w:rsid w:val="006F3568"/>
    <w:rsid w:val="006F360D"/>
    <w:rsid w:val="006F399F"/>
    <w:rsid w:val="006F39CC"/>
    <w:rsid w:val="006F39E8"/>
    <w:rsid w:val="006F3DD4"/>
    <w:rsid w:val="006F4651"/>
    <w:rsid w:val="006F4702"/>
    <w:rsid w:val="006F4B00"/>
    <w:rsid w:val="006F4E0B"/>
    <w:rsid w:val="006F529A"/>
    <w:rsid w:val="006F5CD9"/>
    <w:rsid w:val="006F61BC"/>
    <w:rsid w:val="006F6686"/>
    <w:rsid w:val="006F668F"/>
    <w:rsid w:val="006F66A0"/>
    <w:rsid w:val="006F68DC"/>
    <w:rsid w:val="006F6908"/>
    <w:rsid w:val="006F696A"/>
    <w:rsid w:val="006F6CD6"/>
    <w:rsid w:val="006F6D62"/>
    <w:rsid w:val="006F70B0"/>
    <w:rsid w:val="006F7110"/>
    <w:rsid w:val="006F71E3"/>
    <w:rsid w:val="006F71FF"/>
    <w:rsid w:val="006F72AC"/>
    <w:rsid w:val="006F7495"/>
    <w:rsid w:val="006F75DF"/>
    <w:rsid w:val="006F75FE"/>
    <w:rsid w:val="006F7BB6"/>
    <w:rsid w:val="006F7C06"/>
    <w:rsid w:val="006F7D36"/>
    <w:rsid w:val="006F7D6D"/>
    <w:rsid w:val="006F7D73"/>
    <w:rsid w:val="006F7DC3"/>
    <w:rsid w:val="006F7E2C"/>
    <w:rsid w:val="006F7E8E"/>
    <w:rsid w:val="006F7FAE"/>
    <w:rsid w:val="00700127"/>
    <w:rsid w:val="007002BA"/>
    <w:rsid w:val="007007A6"/>
    <w:rsid w:val="0070099D"/>
    <w:rsid w:val="00700C36"/>
    <w:rsid w:val="007010A7"/>
    <w:rsid w:val="007011CE"/>
    <w:rsid w:val="0070146E"/>
    <w:rsid w:val="00701733"/>
    <w:rsid w:val="00701D0D"/>
    <w:rsid w:val="00701E3C"/>
    <w:rsid w:val="00701FB2"/>
    <w:rsid w:val="0070242E"/>
    <w:rsid w:val="0070286B"/>
    <w:rsid w:val="00702C31"/>
    <w:rsid w:val="00702D71"/>
    <w:rsid w:val="007034E8"/>
    <w:rsid w:val="00703536"/>
    <w:rsid w:val="007036F4"/>
    <w:rsid w:val="00703747"/>
    <w:rsid w:val="0070378D"/>
    <w:rsid w:val="00703D39"/>
    <w:rsid w:val="00703E8E"/>
    <w:rsid w:val="00704409"/>
    <w:rsid w:val="00704539"/>
    <w:rsid w:val="007045BD"/>
    <w:rsid w:val="00704717"/>
    <w:rsid w:val="00704939"/>
    <w:rsid w:val="00704C8D"/>
    <w:rsid w:val="00704D42"/>
    <w:rsid w:val="00705047"/>
    <w:rsid w:val="00705421"/>
    <w:rsid w:val="00705672"/>
    <w:rsid w:val="00705823"/>
    <w:rsid w:val="00705831"/>
    <w:rsid w:val="0070592F"/>
    <w:rsid w:val="00705A20"/>
    <w:rsid w:val="00705A78"/>
    <w:rsid w:val="0070624F"/>
    <w:rsid w:val="00706885"/>
    <w:rsid w:val="007068B3"/>
    <w:rsid w:val="00706A76"/>
    <w:rsid w:val="00706ACF"/>
    <w:rsid w:val="00706D6B"/>
    <w:rsid w:val="00707013"/>
    <w:rsid w:val="00707323"/>
    <w:rsid w:val="00707352"/>
    <w:rsid w:val="0070746A"/>
    <w:rsid w:val="007076DE"/>
    <w:rsid w:val="00707785"/>
    <w:rsid w:val="007077F5"/>
    <w:rsid w:val="007078E4"/>
    <w:rsid w:val="00707923"/>
    <w:rsid w:val="00707A66"/>
    <w:rsid w:val="00707A9B"/>
    <w:rsid w:val="00707ADE"/>
    <w:rsid w:val="00707C74"/>
    <w:rsid w:val="00707D3D"/>
    <w:rsid w:val="00707D79"/>
    <w:rsid w:val="00707E41"/>
    <w:rsid w:val="00710042"/>
    <w:rsid w:val="0071005C"/>
    <w:rsid w:val="007104FE"/>
    <w:rsid w:val="00710607"/>
    <w:rsid w:val="0071060C"/>
    <w:rsid w:val="00710665"/>
    <w:rsid w:val="0071092B"/>
    <w:rsid w:val="007109F5"/>
    <w:rsid w:val="00710AB0"/>
    <w:rsid w:val="00710E53"/>
    <w:rsid w:val="00710EC7"/>
    <w:rsid w:val="00710F6A"/>
    <w:rsid w:val="00711019"/>
    <w:rsid w:val="007112B7"/>
    <w:rsid w:val="007116CE"/>
    <w:rsid w:val="00711859"/>
    <w:rsid w:val="00711B73"/>
    <w:rsid w:val="00711F1C"/>
    <w:rsid w:val="00711F67"/>
    <w:rsid w:val="00712729"/>
    <w:rsid w:val="00712855"/>
    <w:rsid w:val="00712E1B"/>
    <w:rsid w:val="00712E59"/>
    <w:rsid w:val="00713673"/>
    <w:rsid w:val="00713732"/>
    <w:rsid w:val="00713A39"/>
    <w:rsid w:val="0071420F"/>
    <w:rsid w:val="0071428C"/>
    <w:rsid w:val="007147BE"/>
    <w:rsid w:val="00714C3D"/>
    <w:rsid w:val="00714E44"/>
    <w:rsid w:val="00714EEB"/>
    <w:rsid w:val="007150D1"/>
    <w:rsid w:val="00715574"/>
    <w:rsid w:val="00715727"/>
    <w:rsid w:val="00715B41"/>
    <w:rsid w:val="00715B63"/>
    <w:rsid w:val="00715C2D"/>
    <w:rsid w:val="00715D4F"/>
    <w:rsid w:val="00716243"/>
    <w:rsid w:val="00716378"/>
    <w:rsid w:val="007167CB"/>
    <w:rsid w:val="00716912"/>
    <w:rsid w:val="00716AAF"/>
    <w:rsid w:val="00716B4F"/>
    <w:rsid w:val="00716E81"/>
    <w:rsid w:val="00716EDB"/>
    <w:rsid w:val="00716FC8"/>
    <w:rsid w:val="00717657"/>
    <w:rsid w:val="00717B4C"/>
    <w:rsid w:val="00717C78"/>
    <w:rsid w:val="00717D8A"/>
    <w:rsid w:val="00717E77"/>
    <w:rsid w:val="0072036A"/>
    <w:rsid w:val="00720809"/>
    <w:rsid w:val="007209C8"/>
    <w:rsid w:val="00720B20"/>
    <w:rsid w:val="00720BCF"/>
    <w:rsid w:val="00720D78"/>
    <w:rsid w:val="00720E2A"/>
    <w:rsid w:val="00720FB0"/>
    <w:rsid w:val="00721433"/>
    <w:rsid w:val="00721618"/>
    <w:rsid w:val="00721E1C"/>
    <w:rsid w:val="00721E62"/>
    <w:rsid w:val="00721EEB"/>
    <w:rsid w:val="00721F02"/>
    <w:rsid w:val="00722060"/>
    <w:rsid w:val="007226EE"/>
    <w:rsid w:val="00722817"/>
    <w:rsid w:val="00722CFD"/>
    <w:rsid w:val="00722EB2"/>
    <w:rsid w:val="00723257"/>
    <w:rsid w:val="00723440"/>
    <w:rsid w:val="00723577"/>
    <w:rsid w:val="00723AA1"/>
    <w:rsid w:val="00723B95"/>
    <w:rsid w:val="0072453F"/>
    <w:rsid w:val="00724ECD"/>
    <w:rsid w:val="00725290"/>
    <w:rsid w:val="0072554F"/>
    <w:rsid w:val="007259E1"/>
    <w:rsid w:val="00725A23"/>
    <w:rsid w:val="00725C56"/>
    <w:rsid w:val="00725F80"/>
    <w:rsid w:val="007260E0"/>
    <w:rsid w:val="007266A5"/>
    <w:rsid w:val="007267CE"/>
    <w:rsid w:val="00726FBA"/>
    <w:rsid w:val="00727060"/>
    <w:rsid w:val="00727393"/>
    <w:rsid w:val="007273A2"/>
    <w:rsid w:val="00727408"/>
    <w:rsid w:val="00727544"/>
    <w:rsid w:val="0072798E"/>
    <w:rsid w:val="00727BC4"/>
    <w:rsid w:val="00727C17"/>
    <w:rsid w:val="00727C6C"/>
    <w:rsid w:val="00727D45"/>
    <w:rsid w:val="00727D67"/>
    <w:rsid w:val="00727ED0"/>
    <w:rsid w:val="007300A5"/>
    <w:rsid w:val="007300F7"/>
    <w:rsid w:val="007301BB"/>
    <w:rsid w:val="007301FC"/>
    <w:rsid w:val="0073028E"/>
    <w:rsid w:val="007302C6"/>
    <w:rsid w:val="007303FA"/>
    <w:rsid w:val="00730447"/>
    <w:rsid w:val="007304A9"/>
    <w:rsid w:val="00730580"/>
    <w:rsid w:val="00730BDC"/>
    <w:rsid w:val="00730DB2"/>
    <w:rsid w:val="007311FC"/>
    <w:rsid w:val="0073125A"/>
    <w:rsid w:val="0073126C"/>
    <w:rsid w:val="007313F2"/>
    <w:rsid w:val="00731526"/>
    <w:rsid w:val="007315F6"/>
    <w:rsid w:val="00731665"/>
    <w:rsid w:val="00731908"/>
    <w:rsid w:val="00731A06"/>
    <w:rsid w:val="00731A51"/>
    <w:rsid w:val="00731C99"/>
    <w:rsid w:val="00732126"/>
    <w:rsid w:val="007321A8"/>
    <w:rsid w:val="007322C7"/>
    <w:rsid w:val="007323DB"/>
    <w:rsid w:val="00732D1F"/>
    <w:rsid w:val="00733B8D"/>
    <w:rsid w:val="00733C4F"/>
    <w:rsid w:val="00734141"/>
    <w:rsid w:val="00734409"/>
    <w:rsid w:val="007345A6"/>
    <w:rsid w:val="007349AC"/>
    <w:rsid w:val="00734AB5"/>
    <w:rsid w:val="00734E7B"/>
    <w:rsid w:val="00734F0E"/>
    <w:rsid w:val="007354C6"/>
    <w:rsid w:val="00735801"/>
    <w:rsid w:val="00735B00"/>
    <w:rsid w:val="00735B15"/>
    <w:rsid w:val="00735CC6"/>
    <w:rsid w:val="00735EC9"/>
    <w:rsid w:val="00736116"/>
    <w:rsid w:val="0073634C"/>
    <w:rsid w:val="00736358"/>
    <w:rsid w:val="0073662F"/>
    <w:rsid w:val="0073669C"/>
    <w:rsid w:val="00736992"/>
    <w:rsid w:val="00736D55"/>
    <w:rsid w:val="00736E6A"/>
    <w:rsid w:val="00736F93"/>
    <w:rsid w:val="00737032"/>
    <w:rsid w:val="00737038"/>
    <w:rsid w:val="00737494"/>
    <w:rsid w:val="007377E9"/>
    <w:rsid w:val="00737D6C"/>
    <w:rsid w:val="00737DA8"/>
    <w:rsid w:val="007400B1"/>
    <w:rsid w:val="0074030C"/>
    <w:rsid w:val="00740493"/>
    <w:rsid w:val="007404F6"/>
    <w:rsid w:val="0074088A"/>
    <w:rsid w:val="007408D1"/>
    <w:rsid w:val="00740C6A"/>
    <w:rsid w:val="0074124C"/>
    <w:rsid w:val="0074132A"/>
    <w:rsid w:val="007415BB"/>
    <w:rsid w:val="007415EF"/>
    <w:rsid w:val="00741FF4"/>
    <w:rsid w:val="00742206"/>
    <w:rsid w:val="007422D6"/>
    <w:rsid w:val="007424FC"/>
    <w:rsid w:val="007425F5"/>
    <w:rsid w:val="00742729"/>
    <w:rsid w:val="00742814"/>
    <w:rsid w:val="00742891"/>
    <w:rsid w:val="00742B24"/>
    <w:rsid w:val="00742CA2"/>
    <w:rsid w:val="00742CF8"/>
    <w:rsid w:val="00742D95"/>
    <w:rsid w:val="00742E28"/>
    <w:rsid w:val="00742EA5"/>
    <w:rsid w:val="00742F3F"/>
    <w:rsid w:val="00743463"/>
    <w:rsid w:val="0074371C"/>
    <w:rsid w:val="007437AD"/>
    <w:rsid w:val="00743873"/>
    <w:rsid w:val="0074394D"/>
    <w:rsid w:val="00743BC1"/>
    <w:rsid w:val="00743DCB"/>
    <w:rsid w:val="00743DF4"/>
    <w:rsid w:val="00744175"/>
    <w:rsid w:val="00744665"/>
    <w:rsid w:val="0074480E"/>
    <w:rsid w:val="007448D6"/>
    <w:rsid w:val="00744FB7"/>
    <w:rsid w:val="0074507E"/>
    <w:rsid w:val="00745573"/>
    <w:rsid w:val="00745E13"/>
    <w:rsid w:val="007461B5"/>
    <w:rsid w:val="007463CC"/>
    <w:rsid w:val="00746592"/>
    <w:rsid w:val="00746CE0"/>
    <w:rsid w:val="00746EF0"/>
    <w:rsid w:val="00746F1C"/>
    <w:rsid w:val="0074726D"/>
    <w:rsid w:val="007472DC"/>
    <w:rsid w:val="007477B2"/>
    <w:rsid w:val="00747D4A"/>
    <w:rsid w:val="00747F0E"/>
    <w:rsid w:val="00750097"/>
    <w:rsid w:val="007503DB"/>
    <w:rsid w:val="00750416"/>
    <w:rsid w:val="00750609"/>
    <w:rsid w:val="00750786"/>
    <w:rsid w:val="00750797"/>
    <w:rsid w:val="00750836"/>
    <w:rsid w:val="00750C41"/>
    <w:rsid w:val="00750EDE"/>
    <w:rsid w:val="0075103A"/>
    <w:rsid w:val="007511B4"/>
    <w:rsid w:val="00751233"/>
    <w:rsid w:val="007513AC"/>
    <w:rsid w:val="00751648"/>
    <w:rsid w:val="007516BE"/>
    <w:rsid w:val="007517CA"/>
    <w:rsid w:val="00751823"/>
    <w:rsid w:val="00751A8E"/>
    <w:rsid w:val="00751B41"/>
    <w:rsid w:val="00752241"/>
    <w:rsid w:val="00752404"/>
    <w:rsid w:val="00752589"/>
    <w:rsid w:val="007527D8"/>
    <w:rsid w:val="007527F5"/>
    <w:rsid w:val="00752A38"/>
    <w:rsid w:val="00752A50"/>
    <w:rsid w:val="00753063"/>
    <w:rsid w:val="0075327C"/>
    <w:rsid w:val="007533AF"/>
    <w:rsid w:val="007534A3"/>
    <w:rsid w:val="007534B4"/>
    <w:rsid w:val="007534F1"/>
    <w:rsid w:val="00753763"/>
    <w:rsid w:val="0075394C"/>
    <w:rsid w:val="00753A74"/>
    <w:rsid w:val="00753CE5"/>
    <w:rsid w:val="00753EA2"/>
    <w:rsid w:val="007544B9"/>
    <w:rsid w:val="007545D8"/>
    <w:rsid w:val="007546BE"/>
    <w:rsid w:val="00754E59"/>
    <w:rsid w:val="00754EA0"/>
    <w:rsid w:val="00754ECC"/>
    <w:rsid w:val="0075510E"/>
    <w:rsid w:val="007552C3"/>
    <w:rsid w:val="0075566E"/>
    <w:rsid w:val="007556EA"/>
    <w:rsid w:val="00755787"/>
    <w:rsid w:val="007558D1"/>
    <w:rsid w:val="007558FE"/>
    <w:rsid w:val="00755F5F"/>
    <w:rsid w:val="00756075"/>
    <w:rsid w:val="007561B4"/>
    <w:rsid w:val="00756268"/>
    <w:rsid w:val="00756391"/>
    <w:rsid w:val="007564B6"/>
    <w:rsid w:val="00756745"/>
    <w:rsid w:val="007569D9"/>
    <w:rsid w:val="00756C03"/>
    <w:rsid w:val="00756F14"/>
    <w:rsid w:val="00756FE9"/>
    <w:rsid w:val="0075703A"/>
    <w:rsid w:val="007570F7"/>
    <w:rsid w:val="00757104"/>
    <w:rsid w:val="00757324"/>
    <w:rsid w:val="007573DD"/>
    <w:rsid w:val="00757454"/>
    <w:rsid w:val="00757971"/>
    <w:rsid w:val="00757A7B"/>
    <w:rsid w:val="00757AA8"/>
    <w:rsid w:val="00757AE5"/>
    <w:rsid w:val="00757FE0"/>
    <w:rsid w:val="0076009F"/>
    <w:rsid w:val="0076018D"/>
    <w:rsid w:val="00760618"/>
    <w:rsid w:val="0076078A"/>
    <w:rsid w:val="00760A59"/>
    <w:rsid w:val="00760B99"/>
    <w:rsid w:val="00760C78"/>
    <w:rsid w:val="00760D28"/>
    <w:rsid w:val="007615EF"/>
    <w:rsid w:val="00761CFE"/>
    <w:rsid w:val="00761D75"/>
    <w:rsid w:val="00761D92"/>
    <w:rsid w:val="00761E5C"/>
    <w:rsid w:val="00761F62"/>
    <w:rsid w:val="00761FB4"/>
    <w:rsid w:val="0076230C"/>
    <w:rsid w:val="00762318"/>
    <w:rsid w:val="00762A6B"/>
    <w:rsid w:val="00762BE1"/>
    <w:rsid w:val="007632B6"/>
    <w:rsid w:val="0076351A"/>
    <w:rsid w:val="00763650"/>
    <w:rsid w:val="00763A2A"/>
    <w:rsid w:val="00763C6E"/>
    <w:rsid w:val="00763D1A"/>
    <w:rsid w:val="00763DEC"/>
    <w:rsid w:val="0076429B"/>
    <w:rsid w:val="007648F9"/>
    <w:rsid w:val="007649B5"/>
    <w:rsid w:val="00764D4A"/>
    <w:rsid w:val="00764DCF"/>
    <w:rsid w:val="007650B3"/>
    <w:rsid w:val="007653B7"/>
    <w:rsid w:val="007656BF"/>
    <w:rsid w:val="007656E8"/>
    <w:rsid w:val="007656F2"/>
    <w:rsid w:val="007659A3"/>
    <w:rsid w:val="00765A92"/>
    <w:rsid w:val="00766023"/>
    <w:rsid w:val="0076624A"/>
    <w:rsid w:val="0076658D"/>
    <w:rsid w:val="0076680A"/>
    <w:rsid w:val="00766A9F"/>
    <w:rsid w:val="00766BC0"/>
    <w:rsid w:val="00767604"/>
    <w:rsid w:val="00767727"/>
    <w:rsid w:val="00767F00"/>
    <w:rsid w:val="00767F84"/>
    <w:rsid w:val="0077000B"/>
    <w:rsid w:val="007703A8"/>
    <w:rsid w:val="0077050F"/>
    <w:rsid w:val="00770893"/>
    <w:rsid w:val="00770B90"/>
    <w:rsid w:val="00770C15"/>
    <w:rsid w:val="00770DDE"/>
    <w:rsid w:val="00770FC3"/>
    <w:rsid w:val="007712CF"/>
    <w:rsid w:val="007716BE"/>
    <w:rsid w:val="0077173E"/>
    <w:rsid w:val="00771754"/>
    <w:rsid w:val="007718D9"/>
    <w:rsid w:val="007719EA"/>
    <w:rsid w:val="00771A61"/>
    <w:rsid w:val="007723D8"/>
    <w:rsid w:val="00772B3F"/>
    <w:rsid w:val="00772C15"/>
    <w:rsid w:val="00772C59"/>
    <w:rsid w:val="00772F4D"/>
    <w:rsid w:val="0077315C"/>
    <w:rsid w:val="00773206"/>
    <w:rsid w:val="00773478"/>
    <w:rsid w:val="0077374E"/>
    <w:rsid w:val="0077385F"/>
    <w:rsid w:val="007739B7"/>
    <w:rsid w:val="00773A90"/>
    <w:rsid w:val="00773CBB"/>
    <w:rsid w:val="00773F0D"/>
    <w:rsid w:val="00773F30"/>
    <w:rsid w:val="007742D4"/>
    <w:rsid w:val="007746E1"/>
    <w:rsid w:val="00774815"/>
    <w:rsid w:val="00774910"/>
    <w:rsid w:val="00774C8C"/>
    <w:rsid w:val="00774D7C"/>
    <w:rsid w:val="00774F6C"/>
    <w:rsid w:val="0077558C"/>
    <w:rsid w:val="00775DFF"/>
    <w:rsid w:val="00775E62"/>
    <w:rsid w:val="007762A5"/>
    <w:rsid w:val="007762C2"/>
    <w:rsid w:val="007767AA"/>
    <w:rsid w:val="00776AEB"/>
    <w:rsid w:val="00776E87"/>
    <w:rsid w:val="00776EFD"/>
    <w:rsid w:val="00776F09"/>
    <w:rsid w:val="00776FF9"/>
    <w:rsid w:val="007773A3"/>
    <w:rsid w:val="007774EF"/>
    <w:rsid w:val="00777645"/>
    <w:rsid w:val="007776E3"/>
    <w:rsid w:val="0077777D"/>
    <w:rsid w:val="00777820"/>
    <w:rsid w:val="007779CC"/>
    <w:rsid w:val="00777B85"/>
    <w:rsid w:val="00777D01"/>
    <w:rsid w:val="00777D2A"/>
    <w:rsid w:val="007804B7"/>
    <w:rsid w:val="007804D9"/>
    <w:rsid w:val="00780558"/>
    <w:rsid w:val="007806D4"/>
    <w:rsid w:val="00780939"/>
    <w:rsid w:val="00780ADC"/>
    <w:rsid w:val="00780BC4"/>
    <w:rsid w:val="00780F00"/>
    <w:rsid w:val="007811F3"/>
    <w:rsid w:val="0078141F"/>
    <w:rsid w:val="007817F1"/>
    <w:rsid w:val="00781834"/>
    <w:rsid w:val="007818CD"/>
    <w:rsid w:val="007822B1"/>
    <w:rsid w:val="00782320"/>
    <w:rsid w:val="0078236A"/>
    <w:rsid w:val="00782C02"/>
    <w:rsid w:val="007830E1"/>
    <w:rsid w:val="0078320D"/>
    <w:rsid w:val="00783357"/>
    <w:rsid w:val="0078374D"/>
    <w:rsid w:val="00783A8B"/>
    <w:rsid w:val="00783AAA"/>
    <w:rsid w:val="00783DC3"/>
    <w:rsid w:val="007840CB"/>
    <w:rsid w:val="0078432A"/>
    <w:rsid w:val="007843C0"/>
    <w:rsid w:val="00784509"/>
    <w:rsid w:val="00784915"/>
    <w:rsid w:val="00784B47"/>
    <w:rsid w:val="00784EE9"/>
    <w:rsid w:val="007851C1"/>
    <w:rsid w:val="007853B3"/>
    <w:rsid w:val="00785418"/>
    <w:rsid w:val="007854A7"/>
    <w:rsid w:val="00785692"/>
    <w:rsid w:val="00785A49"/>
    <w:rsid w:val="00785AC5"/>
    <w:rsid w:val="00785C0C"/>
    <w:rsid w:val="00785FA5"/>
    <w:rsid w:val="00785FFB"/>
    <w:rsid w:val="00786039"/>
    <w:rsid w:val="0078636A"/>
    <w:rsid w:val="0078647D"/>
    <w:rsid w:val="0078650C"/>
    <w:rsid w:val="0078686F"/>
    <w:rsid w:val="00786B17"/>
    <w:rsid w:val="00786EA7"/>
    <w:rsid w:val="0078700A"/>
    <w:rsid w:val="007870C6"/>
    <w:rsid w:val="007871A2"/>
    <w:rsid w:val="0078727C"/>
    <w:rsid w:val="00787362"/>
    <w:rsid w:val="007875EB"/>
    <w:rsid w:val="007875F9"/>
    <w:rsid w:val="00787625"/>
    <w:rsid w:val="00787C12"/>
    <w:rsid w:val="00787C73"/>
    <w:rsid w:val="00787DD9"/>
    <w:rsid w:val="00787E18"/>
    <w:rsid w:val="00790095"/>
    <w:rsid w:val="007903B0"/>
    <w:rsid w:val="00790A18"/>
    <w:rsid w:val="00790CB7"/>
    <w:rsid w:val="00790E99"/>
    <w:rsid w:val="0079120F"/>
    <w:rsid w:val="0079122B"/>
    <w:rsid w:val="00791690"/>
    <w:rsid w:val="0079197A"/>
    <w:rsid w:val="00791A99"/>
    <w:rsid w:val="00791E46"/>
    <w:rsid w:val="007922C2"/>
    <w:rsid w:val="007926A9"/>
    <w:rsid w:val="007928CA"/>
    <w:rsid w:val="00792DA7"/>
    <w:rsid w:val="00792E4C"/>
    <w:rsid w:val="00792FCF"/>
    <w:rsid w:val="00793029"/>
    <w:rsid w:val="00793195"/>
    <w:rsid w:val="00793708"/>
    <w:rsid w:val="00793E7C"/>
    <w:rsid w:val="0079422E"/>
    <w:rsid w:val="00794774"/>
    <w:rsid w:val="00794809"/>
    <w:rsid w:val="00794C0E"/>
    <w:rsid w:val="00794C30"/>
    <w:rsid w:val="00794C32"/>
    <w:rsid w:val="00794F7E"/>
    <w:rsid w:val="00795225"/>
    <w:rsid w:val="0079562E"/>
    <w:rsid w:val="00795A28"/>
    <w:rsid w:val="00795AC9"/>
    <w:rsid w:val="00795EEE"/>
    <w:rsid w:val="007963A1"/>
    <w:rsid w:val="00796721"/>
    <w:rsid w:val="00797090"/>
    <w:rsid w:val="0079709B"/>
    <w:rsid w:val="007970E5"/>
    <w:rsid w:val="00797264"/>
    <w:rsid w:val="007972C8"/>
    <w:rsid w:val="00797357"/>
    <w:rsid w:val="00797487"/>
    <w:rsid w:val="00797742"/>
    <w:rsid w:val="0079788A"/>
    <w:rsid w:val="00797E43"/>
    <w:rsid w:val="007A0106"/>
    <w:rsid w:val="007A0263"/>
    <w:rsid w:val="007A02B8"/>
    <w:rsid w:val="007A055B"/>
    <w:rsid w:val="007A059E"/>
    <w:rsid w:val="007A05E8"/>
    <w:rsid w:val="007A09AA"/>
    <w:rsid w:val="007A0EF8"/>
    <w:rsid w:val="007A0FB2"/>
    <w:rsid w:val="007A0FBD"/>
    <w:rsid w:val="007A1039"/>
    <w:rsid w:val="007A130B"/>
    <w:rsid w:val="007A1333"/>
    <w:rsid w:val="007A134D"/>
    <w:rsid w:val="007A136E"/>
    <w:rsid w:val="007A150F"/>
    <w:rsid w:val="007A16CC"/>
    <w:rsid w:val="007A16DE"/>
    <w:rsid w:val="007A1720"/>
    <w:rsid w:val="007A1975"/>
    <w:rsid w:val="007A1A2B"/>
    <w:rsid w:val="007A1AEE"/>
    <w:rsid w:val="007A1B97"/>
    <w:rsid w:val="007A1E62"/>
    <w:rsid w:val="007A255D"/>
    <w:rsid w:val="007A2757"/>
    <w:rsid w:val="007A298F"/>
    <w:rsid w:val="007A2AB8"/>
    <w:rsid w:val="007A2B29"/>
    <w:rsid w:val="007A36BD"/>
    <w:rsid w:val="007A3C2E"/>
    <w:rsid w:val="007A3EAC"/>
    <w:rsid w:val="007A407F"/>
    <w:rsid w:val="007A4447"/>
    <w:rsid w:val="007A46E5"/>
    <w:rsid w:val="007A4747"/>
    <w:rsid w:val="007A4A26"/>
    <w:rsid w:val="007A4BAE"/>
    <w:rsid w:val="007A559E"/>
    <w:rsid w:val="007A586F"/>
    <w:rsid w:val="007A5E7F"/>
    <w:rsid w:val="007A5F84"/>
    <w:rsid w:val="007A6192"/>
    <w:rsid w:val="007A6473"/>
    <w:rsid w:val="007A6600"/>
    <w:rsid w:val="007A67E2"/>
    <w:rsid w:val="007A6908"/>
    <w:rsid w:val="007A7721"/>
    <w:rsid w:val="007A78D6"/>
    <w:rsid w:val="007A79D9"/>
    <w:rsid w:val="007A7AA2"/>
    <w:rsid w:val="007A7C00"/>
    <w:rsid w:val="007A7C27"/>
    <w:rsid w:val="007A7C4B"/>
    <w:rsid w:val="007A7C5C"/>
    <w:rsid w:val="007A7D6D"/>
    <w:rsid w:val="007B084C"/>
    <w:rsid w:val="007B0BB9"/>
    <w:rsid w:val="007B0E40"/>
    <w:rsid w:val="007B0F19"/>
    <w:rsid w:val="007B11C9"/>
    <w:rsid w:val="007B12DA"/>
    <w:rsid w:val="007B15AA"/>
    <w:rsid w:val="007B16D9"/>
    <w:rsid w:val="007B1A5A"/>
    <w:rsid w:val="007B1AE2"/>
    <w:rsid w:val="007B1B19"/>
    <w:rsid w:val="007B1B66"/>
    <w:rsid w:val="007B1BC3"/>
    <w:rsid w:val="007B1F9E"/>
    <w:rsid w:val="007B2150"/>
    <w:rsid w:val="007B239F"/>
    <w:rsid w:val="007B266A"/>
    <w:rsid w:val="007B27B5"/>
    <w:rsid w:val="007B29F3"/>
    <w:rsid w:val="007B2C1C"/>
    <w:rsid w:val="007B2EBC"/>
    <w:rsid w:val="007B300D"/>
    <w:rsid w:val="007B30D3"/>
    <w:rsid w:val="007B37E4"/>
    <w:rsid w:val="007B4032"/>
    <w:rsid w:val="007B408C"/>
    <w:rsid w:val="007B4680"/>
    <w:rsid w:val="007B49A2"/>
    <w:rsid w:val="007B4BA4"/>
    <w:rsid w:val="007B4BA7"/>
    <w:rsid w:val="007B4C88"/>
    <w:rsid w:val="007B4D94"/>
    <w:rsid w:val="007B4E9C"/>
    <w:rsid w:val="007B4F0E"/>
    <w:rsid w:val="007B4F7D"/>
    <w:rsid w:val="007B5039"/>
    <w:rsid w:val="007B5431"/>
    <w:rsid w:val="007B5B4A"/>
    <w:rsid w:val="007B5F51"/>
    <w:rsid w:val="007B62A2"/>
    <w:rsid w:val="007B62E5"/>
    <w:rsid w:val="007B63B4"/>
    <w:rsid w:val="007B693B"/>
    <w:rsid w:val="007B6F3B"/>
    <w:rsid w:val="007B702B"/>
    <w:rsid w:val="007B7263"/>
    <w:rsid w:val="007B7524"/>
    <w:rsid w:val="007B7816"/>
    <w:rsid w:val="007B785A"/>
    <w:rsid w:val="007B797D"/>
    <w:rsid w:val="007B79E9"/>
    <w:rsid w:val="007B7AE7"/>
    <w:rsid w:val="007B7B94"/>
    <w:rsid w:val="007B7BCF"/>
    <w:rsid w:val="007B7E8F"/>
    <w:rsid w:val="007B7EC9"/>
    <w:rsid w:val="007C00BA"/>
    <w:rsid w:val="007C017B"/>
    <w:rsid w:val="007C0B35"/>
    <w:rsid w:val="007C0F7A"/>
    <w:rsid w:val="007C1367"/>
    <w:rsid w:val="007C16BB"/>
    <w:rsid w:val="007C1B62"/>
    <w:rsid w:val="007C1E3A"/>
    <w:rsid w:val="007C1F3F"/>
    <w:rsid w:val="007C2679"/>
    <w:rsid w:val="007C2B0E"/>
    <w:rsid w:val="007C2B4D"/>
    <w:rsid w:val="007C2B62"/>
    <w:rsid w:val="007C2D2E"/>
    <w:rsid w:val="007C2DAA"/>
    <w:rsid w:val="007C2E58"/>
    <w:rsid w:val="007C2FB7"/>
    <w:rsid w:val="007C2FE8"/>
    <w:rsid w:val="007C34A9"/>
    <w:rsid w:val="007C3559"/>
    <w:rsid w:val="007C35BF"/>
    <w:rsid w:val="007C3814"/>
    <w:rsid w:val="007C4105"/>
    <w:rsid w:val="007C43FE"/>
    <w:rsid w:val="007C45A2"/>
    <w:rsid w:val="007C471C"/>
    <w:rsid w:val="007C48AC"/>
    <w:rsid w:val="007C49C2"/>
    <w:rsid w:val="007C4BE1"/>
    <w:rsid w:val="007C4C3E"/>
    <w:rsid w:val="007C4E83"/>
    <w:rsid w:val="007C4FC5"/>
    <w:rsid w:val="007C580F"/>
    <w:rsid w:val="007C5ECD"/>
    <w:rsid w:val="007C66B6"/>
    <w:rsid w:val="007C66E1"/>
    <w:rsid w:val="007C68D4"/>
    <w:rsid w:val="007C6C4A"/>
    <w:rsid w:val="007C6D56"/>
    <w:rsid w:val="007C7073"/>
    <w:rsid w:val="007C7124"/>
    <w:rsid w:val="007C749D"/>
    <w:rsid w:val="007C7987"/>
    <w:rsid w:val="007C79B8"/>
    <w:rsid w:val="007C79CE"/>
    <w:rsid w:val="007D0594"/>
    <w:rsid w:val="007D0BD8"/>
    <w:rsid w:val="007D0C79"/>
    <w:rsid w:val="007D0D20"/>
    <w:rsid w:val="007D0FA5"/>
    <w:rsid w:val="007D1309"/>
    <w:rsid w:val="007D148C"/>
    <w:rsid w:val="007D1708"/>
    <w:rsid w:val="007D1CD5"/>
    <w:rsid w:val="007D1F72"/>
    <w:rsid w:val="007D2416"/>
    <w:rsid w:val="007D24EC"/>
    <w:rsid w:val="007D2562"/>
    <w:rsid w:val="007D2730"/>
    <w:rsid w:val="007D2956"/>
    <w:rsid w:val="007D2A22"/>
    <w:rsid w:val="007D2C32"/>
    <w:rsid w:val="007D2FA0"/>
    <w:rsid w:val="007D31F7"/>
    <w:rsid w:val="007D3477"/>
    <w:rsid w:val="007D356C"/>
    <w:rsid w:val="007D36EA"/>
    <w:rsid w:val="007D3AB5"/>
    <w:rsid w:val="007D3AF8"/>
    <w:rsid w:val="007D3C1B"/>
    <w:rsid w:val="007D3F94"/>
    <w:rsid w:val="007D4072"/>
    <w:rsid w:val="007D4236"/>
    <w:rsid w:val="007D42A3"/>
    <w:rsid w:val="007D475E"/>
    <w:rsid w:val="007D48E0"/>
    <w:rsid w:val="007D4955"/>
    <w:rsid w:val="007D4AAF"/>
    <w:rsid w:val="007D4B2E"/>
    <w:rsid w:val="007D4C75"/>
    <w:rsid w:val="007D4C8E"/>
    <w:rsid w:val="007D529B"/>
    <w:rsid w:val="007D5313"/>
    <w:rsid w:val="007D53D5"/>
    <w:rsid w:val="007D567B"/>
    <w:rsid w:val="007D58E2"/>
    <w:rsid w:val="007D5E7D"/>
    <w:rsid w:val="007D5FB1"/>
    <w:rsid w:val="007D60AA"/>
    <w:rsid w:val="007D6339"/>
    <w:rsid w:val="007D656C"/>
    <w:rsid w:val="007D65BF"/>
    <w:rsid w:val="007D65C6"/>
    <w:rsid w:val="007D678E"/>
    <w:rsid w:val="007D69EA"/>
    <w:rsid w:val="007D6B6D"/>
    <w:rsid w:val="007D6C22"/>
    <w:rsid w:val="007D6E87"/>
    <w:rsid w:val="007D6EFA"/>
    <w:rsid w:val="007D708D"/>
    <w:rsid w:val="007D70A7"/>
    <w:rsid w:val="007D726B"/>
    <w:rsid w:val="007D782C"/>
    <w:rsid w:val="007D7A8D"/>
    <w:rsid w:val="007D7AFB"/>
    <w:rsid w:val="007D7DB8"/>
    <w:rsid w:val="007D7F69"/>
    <w:rsid w:val="007E005D"/>
    <w:rsid w:val="007E025A"/>
    <w:rsid w:val="007E02AE"/>
    <w:rsid w:val="007E077F"/>
    <w:rsid w:val="007E09AD"/>
    <w:rsid w:val="007E0CF4"/>
    <w:rsid w:val="007E1188"/>
    <w:rsid w:val="007E1735"/>
    <w:rsid w:val="007E17F2"/>
    <w:rsid w:val="007E1991"/>
    <w:rsid w:val="007E1BA6"/>
    <w:rsid w:val="007E1CD0"/>
    <w:rsid w:val="007E1F12"/>
    <w:rsid w:val="007E1F34"/>
    <w:rsid w:val="007E23FB"/>
    <w:rsid w:val="007E24B1"/>
    <w:rsid w:val="007E2671"/>
    <w:rsid w:val="007E2F40"/>
    <w:rsid w:val="007E35A5"/>
    <w:rsid w:val="007E37AD"/>
    <w:rsid w:val="007E39E9"/>
    <w:rsid w:val="007E3C37"/>
    <w:rsid w:val="007E3CA4"/>
    <w:rsid w:val="007E3D0C"/>
    <w:rsid w:val="007E4017"/>
    <w:rsid w:val="007E40F4"/>
    <w:rsid w:val="007E41C5"/>
    <w:rsid w:val="007E43DC"/>
    <w:rsid w:val="007E4822"/>
    <w:rsid w:val="007E4828"/>
    <w:rsid w:val="007E49A0"/>
    <w:rsid w:val="007E4E33"/>
    <w:rsid w:val="007E5257"/>
    <w:rsid w:val="007E534C"/>
    <w:rsid w:val="007E5410"/>
    <w:rsid w:val="007E558B"/>
    <w:rsid w:val="007E5772"/>
    <w:rsid w:val="007E58FE"/>
    <w:rsid w:val="007E5A90"/>
    <w:rsid w:val="007E5CD8"/>
    <w:rsid w:val="007E61D6"/>
    <w:rsid w:val="007E64F5"/>
    <w:rsid w:val="007E6622"/>
    <w:rsid w:val="007E6680"/>
    <w:rsid w:val="007E66F7"/>
    <w:rsid w:val="007E68BE"/>
    <w:rsid w:val="007E6ACF"/>
    <w:rsid w:val="007E6C5A"/>
    <w:rsid w:val="007E6DAF"/>
    <w:rsid w:val="007E70BB"/>
    <w:rsid w:val="007E73A4"/>
    <w:rsid w:val="007E7C6F"/>
    <w:rsid w:val="007E7CB1"/>
    <w:rsid w:val="007F0335"/>
    <w:rsid w:val="007F0396"/>
    <w:rsid w:val="007F082E"/>
    <w:rsid w:val="007F0AA6"/>
    <w:rsid w:val="007F0CC8"/>
    <w:rsid w:val="007F0F0E"/>
    <w:rsid w:val="007F1341"/>
    <w:rsid w:val="007F13A9"/>
    <w:rsid w:val="007F13FA"/>
    <w:rsid w:val="007F1680"/>
    <w:rsid w:val="007F1699"/>
    <w:rsid w:val="007F16ED"/>
    <w:rsid w:val="007F1736"/>
    <w:rsid w:val="007F196A"/>
    <w:rsid w:val="007F1B19"/>
    <w:rsid w:val="007F1FA6"/>
    <w:rsid w:val="007F23EF"/>
    <w:rsid w:val="007F26E9"/>
    <w:rsid w:val="007F27DD"/>
    <w:rsid w:val="007F2CEC"/>
    <w:rsid w:val="007F2D5B"/>
    <w:rsid w:val="007F2EA0"/>
    <w:rsid w:val="007F2F98"/>
    <w:rsid w:val="007F2FD4"/>
    <w:rsid w:val="007F312F"/>
    <w:rsid w:val="007F323E"/>
    <w:rsid w:val="007F3269"/>
    <w:rsid w:val="007F3655"/>
    <w:rsid w:val="007F39D3"/>
    <w:rsid w:val="007F3A6D"/>
    <w:rsid w:val="007F3A9F"/>
    <w:rsid w:val="007F3F87"/>
    <w:rsid w:val="007F3FBA"/>
    <w:rsid w:val="007F410E"/>
    <w:rsid w:val="007F432A"/>
    <w:rsid w:val="007F4537"/>
    <w:rsid w:val="007F4DFC"/>
    <w:rsid w:val="007F4EF6"/>
    <w:rsid w:val="007F50A3"/>
    <w:rsid w:val="007F5389"/>
    <w:rsid w:val="007F5471"/>
    <w:rsid w:val="007F5680"/>
    <w:rsid w:val="007F5736"/>
    <w:rsid w:val="007F589C"/>
    <w:rsid w:val="007F5A3D"/>
    <w:rsid w:val="007F5C54"/>
    <w:rsid w:val="007F610D"/>
    <w:rsid w:val="007F621E"/>
    <w:rsid w:val="007F68ED"/>
    <w:rsid w:val="007F694B"/>
    <w:rsid w:val="007F6C1D"/>
    <w:rsid w:val="007F6DB6"/>
    <w:rsid w:val="007F6E4A"/>
    <w:rsid w:val="007F71D9"/>
    <w:rsid w:val="007F74A2"/>
    <w:rsid w:val="007F753B"/>
    <w:rsid w:val="007F75A2"/>
    <w:rsid w:val="007F771B"/>
    <w:rsid w:val="007F77AC"/>
    <w:rsid w:val="007F77D1"/>
    <w:rsid w:val="007F77D8"/>
    <w:rsid w:val="007F7A28"/>
    <w:rsid w:val="007F7B9F"/>
    <w:rsid w:val="007F7D90"/>
    <w:rsid w:val="007F7F0D"/>
    <w:rsid w:val="007F7FD5"/>
    <w:rsid w:val="00800D8C"/>
    <w:rsid w:val="0080130C"/>
    <w:rsid w:val="0080148A"/>
    <w:rsid w:val="00801D2D"/>
    <w:rsid w:val="0080201C"/>
    <w:rsid w:val="00802089"/>
    <w:rsid w:val="0080217E"/>
    <w:rsid w:val="008022C6"/>
    <w:rsid w:val="0080237A"/>
    <w:rsid w:val="00802D1A"/>
    <w:rsid w:val="00802DCB"/>
    <w:rsid w:val="00802E46"/>
    <w:rsid w:val="008032AA"/>
    <w:rsid w:val="008035C8"/>
    <w:rsid w:val="00803FCE"/>
    <w:rsid w:val="00804070"/>
    <w:rsid w:val="008041D5"/>
    <w:rsid w:val="00804234"/>
    <w:rsid w:val="00804625"/>
    <w:rsid w:val="008047BB"/>
    <w:rsid w:val="00804935"/>
    <w:rsid w:val="00804A05"/>
    <w:rsid w:val="008051D5"/>
    <w:rsid w:val="008058A4"/>
    <w:rsid w:val="008058F4"/>
    <w:rsid w:val="00805D15"/>
    <w:rsid w:val="00805E1D"/>
    <w:rsid w:val="00806715"/>
    <w:rsid w:val="00806764"/>
    <w:rsid w:val="00806926"/>
    <w:rsid w:val="00806E05"/>
    <w:rsid w:val="00807180"/>
    <w:rsid w:val="00807541"/>
    <w:rsid w:val="008077B0"/>
    <w:rsid w:val="008079D1"/>
    <w:rsid w:val="00807B39"/>
    <w:rsid w:val="00807DD5"/>
    <w:rsid w:val="008101FE"/>
    <w:rsid w:val="00810624"/>
    <w:rsid w:val="00810688"/>
    <w:rsid w:val="008106EF"/>
    <w:rsid w:val="008107F9"/>
    <w:rsid w:val="00810B43"/>
    <w:rsid w:val="00810DD2"/>
    <w:rsid w:val="00810DFD"/>
    <w:rsid w:val="00810EBE"/>
    <w:rsid w:val="00811149"/>
    <w:rsid w:val="00811194"/>
    <w:rsid w:val="0081121C"/>
    <w:rsid w:val="00811405"/>
    <w:rsid w:val="00811614"/>
    <w:rsid w:val="008117FE"/>
    <w:rsid w:val="008118F5"/>
    <w:rsid w:val="00811B4F"/>
    <w:rsid w:val="00811BFB"/>
    <w:rsid w:val="00811E18"/>
    <w:rsid w:val="00811EB4"/>
    <w:rsid w:val="00811F2E"/>
    <w:rsid w:val="00812027"/>
    <w:rsid w:val="008120BF"/>
    <w:rsid w:val="008122A0"/>
    <w:rsid w:val="00812581"/>
    <w:rsid w:val="008125C1"/>
    <w:rsid w:val="0081262C"/>
    <w:rsid w:val="008127DF"/>
    <w:rsid w:val="008129F1"/>
    <w:rsid w:val="00812B83"/>
    <w:rsid w:val="00812C17"/>
    <w:rsid w:val="00813088"/>
    <w:rsid w:val="008136AB"/>
    <w:rsid w:val="008136CC"/>
    <w:rsid w:val="00813ACE"/>
    <w:rsid w:val="00813B38"/>
    <w:rsid w:val="00813D41"/>
    <w:rsid w:val="00813DF0"/>
    <w:rsid w:val="00813E7E"/>
    <w:rsid w:val="00813FCA"/>
    <w:rsid w:val="00813FE6"/>
    <w:rsid w:val="008143BB"/>
    <w:rsid w:val="00814421"/>
    <w:rsid w:val="00814747"/>
    <w:rsid w:val="00814751"/>
    <w:rsid w:val="008147B3"/>
    <w:rsid w:val="00814B0A"/>
    <w:rsid w:val="00814C70"/>
    <w:rsid w:val="00814EE4"/>
    <w:rsid w:val="00814F5B"/>
    <w:rsid w:val="0081551C"/>
    <w:rsid w:val="008157C0"/>
    <w:rsid w:val="008157E1"/>
    <w:rsid w:val="0081582A"/>
    <w:rsid w:val="00815B94"/>
    <w:rsid w:val="00815D81"/>
    <w:rsid w:val="00815DA9"/>
    <w:rsid w:val="00815E86"/>
    <w:rsid w:val="00815F25"/>
    <w:rsid w:val="008161DD"/>
    <w:rsid w:val="0081667C"/>
    <w:rsid w:val="0081669F"/>
    <w:rsid w:val="008166EE"/>
    <w:rsid w:val="008166F0"/>
    <w:rsid w:val="008167B6"/>
    <w:rsid w:val="008168C6"/>
    <w:rsid w:val="008168DC"/>
    <w:rsid w:val="00816B7E"/>
    <w:rsid w:val="00816FA7"/>
    <w:rsid w:val="008170B4"/>
    <w:rsid w:val="008171FF"/>
    <w:rsid w:val="00817384"/>
    <w:rsid w:val="00817482"/>
    <w:rsid w:val="008175DE"/>
    <w:rsid w:val="008176E1"/>
    <w:rsid w:val="0081783E"/>
    <w:rsid w:val="00817868"/>
    <w:rsid w:val="00817B12"/>
    <w:rsid w:val="00817B2C"/>
    <w:rsid w:val="00817BCC"/>
    <w:rsid w:val="00817D8F"/>
    <w:rsid w:val="00817F8A"/>
    <w:rsid w:val="00817FC3"/>
    <w:rsid w:val="008200A0"/>
    <w:rsid w:val="0082043B"/>
    <w:rsid w:val="0082077A"/>
    <w:rsid w:val="008207C7"/>
    <w:rsid w:val="00820818"/>
    <w:rsid w:val="00820B2A"/>
    <w:rsid w:val="00820C82"/>
    <w:rsid w:val="00820D8B"/>
    <w:rsid w:val="00820D96"/>
    <w:rsid w:val="00820E1E"/>
    <w:rsid w:val="00820EC2"/>
    <w:rsid w:val="00820F88"/>
    <w:rsid w:val="008211B4"/>
    <w:rsid w:val="00821752"/>
    <w:rsid w:val="00822002"/>
    <w:rsid w:val="00822298"/>
    <w:rsid w:val="00822640"/>
    <w:rsid w:val="00822FBA"/>
    <w:rsid w:val="0082358A"/>
    <w:rsid w:val="008235B8"/>
    <w:rsid w:val="00823705"/>
    <w:rsid w:val="008239FA"/>
    <w:rsid w:val="00823C35"/>
    <w:rsid w:val="00823D5D"/>
    <w:rsid w:val="00823E61"/>
    <w:rsid w:val="008240EC"/>
    <w:rsid w:val="008249EC"/>
    <w:rsid w:val="00824AD6"/>
    <w:rsid w:val="00824DA6"/>
    <w:rsid w:val="00824FC5"/>
    <w:rsid w:val="0082515D"/>
    <w:rsid w:val="008251E8"/>
    <w:rsid w:val="00825236"/>
    <w:rsid w:val="00825261"/>
    <w:rsid w:val="0082534D"/>
    <w:rsid w:val="0082535C"/>
    <w:rsid w:val="008254F8"/>
    <w:rsid w:val="0082564D"/>
    <w:rsid w:val="00825738"/>
    <w:rsid w:val="00825B83"/>
    <w:rsid w:val="00825E01"/>
    <w:rsid w:val="00826034"/>
    <w:rsid w:val="008260FB"/>
    <w:rsid w:val="008263D6"/>
    <w:rsid w:val="0082654C"/>
    <w:rsid w:val="008265E0"/>
    <w:rsid w:val="0082663F"/>
    <w:rsid w:val="00826733"/>
    <w:rsid w:val="00826854"/>
    <w:rsid w:val="00826872"/>
    <w:rsid w:val="00826A7E"/>
    <w:rsid w:val="0082712A"/>
    <w:rsid w:val="00827270"/>
    <w:rsid w:val="0082764E"/>
    <w:rsid w:val="0082774B"/>
    <w:rsid w:val="00827A4A"/>
    <w:rsid w:val="00827ADE"/>
    <w:rsid w:val="00827C9B"/>
    <w:rsid w:val="00827F69"/>
    <w:rsid w:val="00830591"/>
    <w:rsid w:val="008305DD"/>
    <w:rsid w:val="008306D2"/>
    <w:rsid w:val="00830756"/>
    <w:rsid w:val="008308D1"/>
    <w:rsid w:val="00830C88"/>
    <w:rsid w:val="00830D95"/>
    <w:rsid w:val="0083146A"/>
    <w:rsid w:val="0083147C"/>
    <w:rsid w:val="008315D6"/>
    <w:rsid w:val="008315EC"/>
    <w:rsid w:val="008317AF"/>
    <w:rsid w:val="00831960"/>
    <w:rsid w:val="00831B64"/>
    <w:rsid w:val="00831C94"/>
    <w:rsid w:val="0083263E"/>
    <w:rsid w:val="008326ED"/>
    <w:rsid w:val="0083271A"/>
    <w:rsid w:val="00832A37"/>
    <w:rsid w:val="00832BF7"/>
    <w:rsid w:val="00832C22"/>
    <w:rsid w:val="00832DDB"/>
    <w:rsid w:val="008333B0"/>
    <w:rsid w:val="00833682"/>
    <w:rsid w:val="00833787"/>
    <w:rsid w:val="00833967"/>
    <w:rsid w:val="00833CC5"/>
    <w:rsid w:val="00833D16"/>
    <w:rsid w:val="00833DA8"/>
    <w:rsid w:val="00833E52"/>
    <w:rsid w:val="00833EBF"/>
    <w:rsid w:val="00834003"/>
    <w:rsid w:val="00834053"/>
    <w:rsid w:val="00834288"/>
    <w:rsid w:val="00834382"/>
    <w:rsid w:val="0083469B"/>
    <w:rsid w:val="008349A0"/>
    <w:rsid w:val="00834CF5"/>
    <w:rsid w:val="00834E02"/>
    <w:rsid w:val="008354A4"/>
    <w:rsid w:val="008354C3"/>
    <w:rsid w:val="00835A51"/>
    <w:rsid w:val="00835B8D"/>
    <w:rsid w:val="00835FD1"/>
    <w:rsid w:val="00836079"/>
    <w:rsid w:val="0083622D"/>
    <w:rsid w:val="008362B7"/>
    <w:rsid w:val="0083670A"/>
    <w:rsid w:val="00836B7B"/>
    <w:rsid w:val="00836C1B"/>
    <w:rsid w:val="00836F55"/>
    <w:rsid w:val="008370A0"/>
    <w:rsid w:val="00837330"/>
    <w:rsid w:val="008373BA"/>
    <w:rsid w:val="0083773E"/>
    <w:rsid w:val="00837DB5"/>
    <w:rsid w:val="00837FD1"/>
    <w:rsid w:val="00837FDC"/>
    <w:rsid w:val="00840054"/>
    <w:rsid w:val="0084072B"/>
    <w:rsid w:val="00840746"/>
    <w:rsid w:val="008407EC"/>
    <w:rsid w:val="008408FA"/>
    <w:rsid w:val="0084099C"/>
    <w:rsid w:val="00840EEB"/>
    <w:rsid w:val="00840EFB"/>
    <w:rsid w:val="00841177"/>
    <w:rsid w:val="0084132B"/>
    <w:rsid w:val="00841632"/>
    <w:rsid w:val="008419DC"/>
    <w:rsid w:val="00841B25"/>
    <w:rsid w:val="00841BC4"/>
    <w:rsid w:val="0084209B"/>
    <w:rsid w:val="0084216D"/>
    <w:rsid w:val="0084223B"/>
    <w:rsid w:val="00842371"/>
    <w:rsid w:val="00842402"/>
    <w:rsid w:val="00842712"/>
    <w:rsid w:val="0084295D"/>
    <w:rsid w:val="00842AF7"/>
    <w:rsid w:val="00842C32"/>
    <w:rsid w:val="00842C7A"/>
    <w:rsid w:val="00842DBB"/>
    <w:rsid w:val="00842F76"/>
    <w:rsid w:val="00842F94"/>
    <w:rsid w:val="00843154"/>
    <w:rsid w:val="0084330B"/>
    <w:rsid w:val="00843366"/>
    <w:rsid w:val="008434FE"/>
    <w:rsid w:val="008435B0"/>
    <w:rsid w:val="008435E2"/>
    <w:rsid w:val="0084367D"/>
    <w:rsid w:val="00843743"/>
    <w:rsid w:val="00843855"/>
    <w:rsid w:val="0084395C"/>
    <w:rsid w:val="00843A3B"/>
    <w:rsid w:val="00844183"/>
    <w:rsid w:val="00844A66"/>
    <w:rsid w:val="00844C3B"/>
    <w:rsid w:val="00844F6C"/>
    <w:rsid w:val="0084526D"/>
    <w:rsid w:val="00845284"/>
    <w:rsid w:val="0084531B"/>
    <w:rsid w:val="00845326"/>
    <w:rsid w:val="0084564C"/>
    <w:rsid w:val="00845DDC"/>
    <w:rsid w:val="00845FAB"/>
    <w:rsid w:val="0084607B"/>
    <w:rsid w:val="00846EE2"/>
    <w:rsid w:val="00847239"/>
    <w:rsid w:val="0084735C"/>
    <w:rsid w:val="008474EC"/>
    <w:rsid w:val="00847647"/>
    <w:rsid w:val="00847EA7"/>
    <w:rsid w:val="00850168"/>
    <w:rsid w:val="00850461"/>
    <w:rsid w:val="00850851"/>
    <w:rsid w:val="00850ABE"/>
    <w:rsid w:val="0085102C"/>
    <w:rsid w:val="00851041"/>
    <w:rsid w:val="0085105B"/>
    <w:rsid w:val="008510DE"/>
    <w:rsid w:val="008513BA"/>
    <w:rsid w:val="0085166D"/>
    <w:rsid w:val="00851754"/>
    <w:rsid w:val="00851D0F"/>
    <w:rsid w:val="00851E99"/>
    <w:rsid w:val="0085227D"/>
    <w:rsid w:val="00852566"/>
    <w:rsid w:val="0085266D"/>
    <w:rsid w:val="00852ABB"/>
    <w:rsid w:val="00852CB5"/>
    <w:rsid w:val="00852D5A"/>
    <w:rsid w:val="00852E8C"/>
    <w:rsid w:val="008530DE"/>
    <w:rsid w:val="00853162"/>
    <w:rsid w:val="008531E8"/>
    <w:rsid w:val="0085342B"/>
    <w:rsid w:val="0085379D"/>
    <w:rsid w:val="008539DF"/>
    <w:rsid w:val="00853AB1"/>
    <w:rsid w:val="00853C27"/>
    <w:rsid w:val="0085433A"/>
    <w:rsid w:val="00854C3B"/>
    <w:rsid w:val="00854D32"/>
    <w:rsid w:val="00854F74"/>
    <w:rsid w:val="008550F9"/>
    <w:rsid w:val="0085534F"/>
    <w:rsid w:val="0085579C"/>
    <w:rsid w:val="008558EF"/>
    <w:rsid w:val="00855935"/>
    <w:rsid w:val="00855BAA"/>
    <w:rsid w:val="00855CFF"/>
    <w:rsid w:val="00855EC5"/>
    <w:rsid w:val="00856182"/>
    <w:rsid w:val="008561E3"/>
    <w:rsid w:val="008562BB"/>
    <w:rsid w:val="0085665E"/>
    <w:rsid w:val="00856AFE"/>
    <w:rsid w:val="00857111"/>
    <w:rsid w:val="0085711C"/>
    <w:rsid w:val="008572C7"/>
    <w:rsid w:val="0085767C"/>
    <w:rsid w:val="00857705"/>
    <w:rsid w:val="00857707"/>
    <w:rsid w:val="00857C33"/>
    <w:rsid w:val="00857E82"/>
    <w:rsid w:val="00857F94"/>
    <w:rsid w:val="00860165"/>
    <w:rsid w:val="008601E5"/>
    <w:rsid w:val="008604CC"/>
    <w:rsid w:val="00860597"/>
    <w:rsid w:val="00860785"/>
    <w:rsid w:val="0086091E"/>
    <w:rsid w:val="00860A89"/>
    <w:rsid w:val="00860AD4"/>
    <w:rsid w:val="00860B1F"/>
    <w:rsid w:val="00860E07"/>
    <w:rsid w:val="00860EF6"/>
    <w:rsid w:val="00861070"/>
    <w:rsid w:val="008616BA"/>
    <w:rsid w:val="00861A08"/>
    <w:rsid w:val="00861AC5"/>
    <w:rsid w:val="00862322"/>
    <w:rsid w:val="008624AA"/>
    <w:rsid w:val="008629C8"/>
    <w:rsid w:val="00862ACA"/>
    <w:rsid w:val="00862B39"/>
    <w:rsid w:val="0086303E"/>
    <w:rsid w:val="008633B4"/>
    <w:rsid w:val="00863438"/>
    <w:rsid w:val="00863526"/>
    <w:rsid w:val="00863893"/>
    <w:rsid w:val="00863F43"/>
    <w:rsid w:val="00864362"/>
    <w:rsid w:val="00864727"/>
    <w:rsid w:val="008647E8"/>
    <w:rsid w:val="00864890"/>
    <w:rsid w:val="00864AF7"/>
    <w:rsid w:val="00864C79"/>
    <w:rsid w:val="00864CFF"/>
    <w:rsid w:val="00864D14"/>
    <w:rsid w:val="00865028"/>
    <w:rsid w:val="008653AF"/>
    <w:rsid w:val="0086566D"/>
    <w:rsid w:val="00865827"/>
    <w:rsid w:val="00865931"/>
    <w:rsid w:val="00865BE1"/>
    <w:rsid w:val="008661E7"/>
    <w:rsid w:val="008664C1"/>
    <w:rsid w:val="008665FF"/>
    <w:rsid w:val="0086692A"/>
    <w:rsid w:val="00866A3B"/>
    <w:rsid w:val="00866B2A"/>
    <w:rsid w:val="00866F1C"/>
    <w:rsid w:val="00866FC2"/>
    <w:rsid w:val="00867038"/>
    <w:rsid w:val="00867095"/>
    <w:rsid w:val="00867783"/>
    <w:rsid w:val="00867A47"/>
    <w:rsid w:val="00867CC7"/>
    <w:rsid w:val="0087030E"/>
    <w:rsid w:val="0087034D"/>
    <w:rsid w:val="0087038C"/>
    <w:rsid w:val="00871191"/>
    <w:rsid w:val="0087129E"/>
    <w:rsid w:val="008712C6"/>
    <w:rsid w:val="008712E3"/>
    <w:rsid w:val="0087173B"/>
    <w:rsid w:val="00871A49"/>
    <w:rsid w:val="00871E19"/>
    <w:rsid w:val="00871F68"/>
    <w:rsid w:val="00872009"/>
    <w:rsid w:val="008722CE"/>
    <w:rsid w:val="0087251B"/>
    <w:rsid w:val="008725C5"/>
    <w:rsid w:val="00872D30"/>
    <w:rsid w:val="00872E4D"/>
    <w:rsid w:val="00872E94"/>
    <w:rsid w:val="00872EDC"/>
    <w:rsid w:val="00873059"/>
    <w:rsid w:val="008732AA"/>
    <w:rsid w:val="008737FD"/>
    <w:rsid w:val="0087387F"/>
    <w:rsid w:val="00873AE1"/>
    <w:rsid w:val="00873F5B"/>
    <w:rsid w:val="00874ABE"/>
    <w:rsid w:val="00874E5C"/>
    <w:rsid w:val="008750AE"/>
    <w:rsid w:val="00875353"/>
    <w:rsid w:val="008754C5"/>
    <w:rsid w:val="008754D7"/>
    <w:rsid w:val="008755C3"/>
    <w:rsid w:val="00875FDB"/>
    <w:rsid w:val="00876654"/>
    <w:rsid w:val="00876B52"/>
    <w:rsid w:val="00876CC1"/>
    <w:rsid w:val="00876E78"/>
    <w:rsid w:val="00876FA3"/>
    <w:rsid w:val="0087794C"/>
    <w:rsid w:val="00877B16"/>
    <w:rsid w:val="00877B19"/>
    <w:rsid w:val="00877B94"/>
    <w:rsid w:val="00877C3C"/>
    <w:rsid w:val="00877E61"/>
    <w:rsid w:val="00880019"/>
    <w:rsid w:val="0088026C"/>
    <w:rsid w:val="0088048D"/>
    <w:rsid w:val="008806CA"/>
    <w:rsid w:val="0088084F"/>
    <w:rsid w:val="00880963"/>
    <w:rsid w:val="00880C61"/>
    <w:rsid w:val="00880E18"/>
    <w:rsid w:val="00880FE8"/>
    <w:rsid w:val="008812A4"/>
    <w:rsid w:val="00881C0B"/>
    <w:rsid w:val="00881D30"/>
    <w:rsid w:val="00882A67"/>
    <w:rsid w:val="00882E3C"/>
    <w:rsid w:val="00882EFB"/>
    <w:rsid w:val="0088314B"/>
    <w:rsid w:val="0088342A"/>
    <w:rsid w:val="00883718"/>
    <w:rsid w:val="008837E9"/>
    <w:rsid w:val="00883AA3"/>
    <w:rsid w:val="00883E6C"/>
    <w:rsid w:val="00884046"/>
    <w:rsid w:val="008843C2"/>
    <w:rsid w:val="00884A1C"/>
    <w:rsid w:val="00884B50"/>
    <w:rsid w:val="00884BC2"/>
    <w:rsid w:val="008851C1"/>
    <w:rsid w:val="0088523C"/>
    <w:rsid w:val="008853F9"/>
    <w:rsid w:val="00885867"/>
    <w:rsid w:val="0088613E"/>
    <w:rsid w:val="0088628E"/>
    <w:rsid w:val="00886301"/>
    <w:rsid w:val="0088675C"/>
    <w:rsid w:val="008867DC"/>
    <w:rsid w:val="00886B6B"/>
    <w:rsid w:val="00886BC2"/>
    <w:rsid w:val="00887018"/>
    <w:rsid w:val="008870E7"/>
    <w:rsid w:val="00887109"/>
    <w:rsid w:val="00887252"/>
    <w:rsid w:val="0088731A"/>
    <w:rsid w:val="00887454"/>
    <w:rsid w:val="00887471"/>
    <w:rsid w:val="008874FE"/>
    <w:rsid w:val="00887594"/>
    <w:rsid w:val="008875FC"/>
    <w:rsid w:val="00887651"/>
    <w:rsid w:val="00887655"/>
    <w:rsid w:val="00887778"/>
    <w:rsid w:val="0088779B"/>
    <w:rsid w:val="0088793B"/>
    <w:rsid w:val="00887B71"/>
    <w:rsid w:val="00887C44"/>
    <w:rsid w:val="00887C49"/>
    <w:rsid w:val="00890232"/>
    <w:rsid w:val="008903A7"/>
    <w:rsid w:val="00890408"/>
    <w:rsid w:val="00890559"/>
    <w:rsid w:val="00890565"/>
    <w:rsid w:val="00890718"/>
    <w:rsid w:val="00890B20"/>
    <w:rsid w:val="00890D0C"/>
    <w:rsid w:val="0089130F"/>
    <w:rsid w:val="008919C1"/>
    <w:rsid w:val="00891A09"/>
    <w:rsid w:val="00891A9D"/>
    <w:rsid w:val="00891CC1"/>
    <w:rsid w:val="00891D72"/>
    <w:rsid w:val="00892241"/>
    <w:rsid w:val="008922A9"/>
    <w:rsid w:val="008923FC"/>
    <w:rsid w:val="00892476"/>
    <w:rsid w:val="0089248A"/>
    <w:rsid w:val="008925F4"/>
    <w:rsid w:val="008926DF"/>
    <w:rsid w:val="008928D4"/>
    <w:rsid w:val="00892C78"/>
    <w:rsid w:val="00892CC9"/>
    <w:rsid w:val="00892DCD"/>
    <w:rsid w:val="00893053"/>
    <w:rsid w:val="00893141"/>
    <w:rsid w:val="008931CE"/>
    <w:rsid w:val="008933F0"/>
    <w:rsid w:val="0089347A"/>
    <w:rsid w:val="008934B3"/>
    <w:rsid w:val="0089376A"/>
    <w:rsid w:val="008938C8"/>
    <w:rsid w:val="00893AAD"/>
    <w:rsid w:val="00893BF4"/>
    <w:rsid w:val="00893C28"/>
    <w:rsid w:val="00893E1E"/>
    <w:rsid w:val="00893FB3"/>
    <w:rsid w:val="0089402B"/>
    <w:rsid w:val="00894139"/>
    <w:rsid w:val="00894572"/>
    <w:rsid w:val="008947E1"/>
    <w:rsid w:val="00894827"/>
    <w:rsid w:val="008949FA"/>
    <w:rsid w:val="00894D3F"/>
    <w:rsid w:val="008951A7"/>
    <w:rsid w:val="008951E5"/>
    <w:rsid w:val="008953BC"/>
    <w:rsid w:val="00895724"/>
    <w:rsid w:val="00895791"/>
    <w:rsid w:val="00895AA9"/>
    <w:rsid w:val="00895AC2"/>
    <w:rsid w:val="00895BC5"/>
    <w:rsid w:val="0089605D"/>
    <w:rsid w:val="0089613F"/>
    <w:rsid w:val="00896401"/>
    <w:rsid w:val="00896515"/>
    <w:rsid w:val="008967AE"/>
    <w:rsid w:val="008969DE"/>
    <w:rsid w:val="00896A5F"/>
    <w:rsid w:val="00896B7F"/>
    <w:rsid w:val="00896CC3"/>
    <w:rsid w:val="00896DD8"/>
    <w:rsid w:val="00896F9D"/>
    <w:rsid w:val="0089719C"/>
    <w:rsid w:val="00897585"/>
    <w:rsid w:val="008977E6"/>
    <w:rsid w:val="00897DA4"/>
    <w:rsid w:val="008A0225"/>
    <w:rsid w:val="008A024C"/>
    <w:rsid w:val="008A06B9"/>
    <w:rsid w:val="008A0792"/>
    <w:rsid w:val="008A0C67"/>
    <w:rsid w:val="008A0F86"/>
    <w:rsid w:val="008A1130"/>
    <w:rsid w:val="008A1577"/>
    <w:rsid w:val="008A16D4"/>
    <w:rsid w:val="008A18C5"/>
    <w:rsid w:val="008A1954"/>
    <w:rsid w:val="008A1A07"/>
    <w:rsid w:val="008A1A5D"/>
    <w:rsid w:val="008A1C1E"/>
    <w:rsid w:val="008A1C77"/>
    <w:rsid w:val="008A1CE8"/>
    <w:rsid w:val="008A2027"/>
    <w:rsid w:val="008A203C"/>
    <w:rsid w:val="008A2522"/>
    <w:rsid w:val="008A26EA"/>
    <w:rsid w:val="008A2A55"/>
    <w:rsid w:val="008A2D2E"/>
    <w:rsid w:val="008A3104"/>
    <w:rsid w:val="008A33FF"/>
    <w:rsid w:val="008A342C"/>
    <w:rsid w:val="008A3589"/>
    <w:rsid w:val="008A36D9"/>
    <w:rsid w:val="008A3787"/>
    <w:rsid w:val="008A3E61"/>
    <w:rsid w:val="008A3FCC"/>
    <w:rsid w:val="008A43CA"/>
    <w:rsid w:val="008A4882"/>
    <w:rsid w:val="008A4CBD"/>
    <w:rsid w:val="008A4D08"/>
    <w:rsid w:val="008A4FA1"/>
    <w:rsid w:val="008A500A"/>
    <w:rsid w:val="008A50E3"/>
    <w:rsid w:val="008A5349"/>
    <w:rsid w:val="008A54F7"/>
    <w:rsid w:val="008A5502"/>
    <w:rsid w:val="008A56B7"/>
    <w:rsid w:val="008A5885"/>
    <w:rsid w:val="008A59E1"/>
    <w:rsid w:val="008A5AC4"/>
    <w:rsid w:val="008A5E04"/>
    <w:rsid w:val="008A5F11"/>
    <w:rsid w:val="008A6216"/>
    <w:rsid w:val="008A63F3"/>
    <w:rsid w:val="008A64E1"/>
    <w:rsid w:val="008A6C86"/>
    <w:rsid w:val="008A71FA"/>
    <w:rsid w:val="008A73AC"/>
    <w:rsid w:val="008A73DB"/>
    <w:rsid w:val="008A78C1"/>
    <w:rsid w:val="008A79D5"/>
    <w:rsid w:val="008A7E98"/>
    <w:rsid w:val="008B01BD"/>
    <w:rsid w:val="008B0235"/>
    <w:rsid w:val="008B0376"/>
    <w:rsid w:val="008B0384"/>
    <w:rsid w:val="008B0400"/>
    <w:rsid w:val="008B04AD"/>
    <w:rsid w:val="008B06AF"/>
    <w:rsid w:val="008B09C3"/>
    <w:rsid w:val="008B0BF0"/>
    <w:rsid w:val="008B0DFC"/>
    <w:rsid w:val="008B10F9"/>
    <w:rsid w:val="008B11FD"/>
    <w:rsid w:val="008B1C7A"/>
    <w:rsid w:val="008B1DFB"/>
    <w:rsid w:val="008B1F9E"/>
    <w:rsid w:val="008B201A"/>
    <w:rsid w:val="008B210B"/>
    <w:rsid w:val="008B2119"/>
    <w:rsid w:val="008B2134"/>
    <w:rsid w:val="008B2240"/>
    <w:rsid w:val="008B24A2"/>
    <w:rsid w:val="008B24DD"/>
    <w:rsid w:val="008B24EE"/>
    <w:rsid w:val="008B2762"/>
    <w:rsid w:val="008B2B96"/>
    <w:rsid w:val="008B2C81"/>
    <w:rsid w:val="008B2DF7"/>
    <w:rsid w:val="008B3291"/>
    <w:rsid w:val="008B3454"/>
    <w:rsid w:val="008B391A"/>
    <w:rsid w:val="008B3CA1"/>
    <w:rsid w:val="008B3DB2"/>
    <w:rsid w:val="008B3E81"/>
    <w:rsid w:val="008B3ED8"/>
    <w:rsid w:val="008B3F7B"/>
    <w:rsid w:val="008B4696"/>
    <w:rsid w:val="008B4700"/>
    <w:rsid w:val="008B4B4F"/>
    <w:rsid w:val="008B4DC4"/>
    <w:rsid w:val="008B50B8"/>
    <w:rsid w:val="008B5109"/>
    <w:rsid w:val="008B57CD"/>
    <w:rsid w:val="008B5988"/>
    <w:rsid w:val="008B5A08"/>
    <w:rsid w:val="008B5D61"/>
    <w:rsid w:val="008B5D6D"/>
    <w:rsid w:val="008B5E6D"/>
    <w:rsid w:val="008B60B2"/>
    <w:rsid w:val="008B622C"/>
    <w:rsid w:val="008B6318"/>
    <w:rsid w:val="008B6564"/>
    <w:rsid w:val="008B67D6"/>
    <w:rsid w:val="008B67F3"/>
    <w:rsid w:val="008B6EC6"/>
    <w:rsid w:val="008B6FAE"/>
    <w:rsid w:val="008B71F6"/>
    <w:rsid w:val="008B7249"/>
    <w:rsid w:val="008B72C4"/>
    <w:rsid w:val="008B74B3"/>
    <w:rsid w:val="008B74B8"/>
    <w:rsid w:val="008B76F5"/>
    <w:rsid w:val="008B7F2F"/>
    <w:rsid w:val="008C01E5"/>
    <w:rsid w:val="008C0203"/>
    <w:rsid w:val="008C0364"/>
    <w:rsid w:val="008C04D4"/>
    <w:rsid w:val="008C0596"/>
    <w:rsid w:val="008C06C9"/>
    <w:rsid w:val="008C07DB"/>
    <w:rsid w:val="008C0B3B"/>
    <w:rsid w:val="008C0C62"/>
    <w:rsid w:val="008C1130"/>
    <w:rsid w:val="008C12E3"/>
    <w:rsid w:val="008C1417"/>
    <w:rsid w:val="008C14D9"/>
    <w:rsid w:val="008C1577"/>
    <w:rsid w:val="008C1594"/>
    <w:rsid w:val="008C163F"/>
    <w:rsid w:val="008C1A21"/>
    <w:rsid w:val="008C1AC0"/>
    <w:rsid w:val="008C1E81"/>
    <w:rsid w:val="008C1F7E"/>
    <w:rsid w:val="008C21D6"/>
    <w:rsid w:val="008C22E8"/>
    <w:rsid w:val="008C2316"/>
    <w:rsid w:val="008C23CB"/>
    <w:rsid w:val="008C23F8"/>
    <w:rsid w:val="008C24DA"/>
    <w:rsid w:val="008C260B"/>
    <w:rsid w:val="008C2976"/>
    <w:rsid w:val="008C2C2D"/>
    <w:rsid w:val="008C301E"/>
    <w:rsid w:val="008C33C0"/>
    <w:rsid w:val="008C35D2"/>
    <w:rsid w:val="008C3D68"/>
    <w:rsid w:val="008C3EFB"/>
    <w:rsid w:val="008C4008"/>
    <w:rsid w:val="008C4078"/>
    <w:rsid w:val="008C44F0"/>
    <w:rsid w:val="008C4C72"/>
    <w:rsid w:val="008C52F9"/>
    <w:rsid w:val="008C5944"/>
    <w:rsid w:val="008C5D10"/>
    <w:rsid w:val="008C6274"/>
    <w:rsid w:val="008C62D5"/>
    <w:rsid w:val="008C637E"/>
    <w:rsid w:val="008C651E"/>
    <w:rsid w:val="008C65C6"/>
    <w:rsid w:val="008C6A8B"/>
    <w:rsid w:val="008C6B6F"/>
    <w:rsid w:val="008C6BB4"/>
    <w:rsid w:val="008C7171"/>
    <w:rsid w:val="008C74AB"/>
    <w:rsid w:val="008C77CE"/>
    <w:rsid w:val="008C78FC"/>
    <w:rsid w:val="008C7C29"/>
    <w:rsid w:val="008C7DC1"/>
    <w:rsid w:val="008C7E19"/>
    <w:rsid w:val="008C7E4C"/>
    <w:rsid w:val="008C7E89"/>
    <w:rsid w:val="008D027D"/>
    <w:rsid w:val="008D032D"/>
    <w:rsid w:val="008D0600"/>
    <w:rsid w:val="008D07F6"/>
    <w:rsid w:val="008D098B"/>
    <w:rsid w:val="008D0BB2"/>
    <w:rsid w:val="008D10D9"/>
    <w:rsid w:val="008D114D"/>
    <w:rsid w:val="008D1298"/>
    <w:rsid w:val="008D145A"/>
    <w:rsid w:val="008D189A"/>
    <w:rsid w:val="008D1910"/>
    <w:rsid w:val="008D19A6"/>
    <w:rsid w:val="008D1CC1"/>
    <w:rsid w:val="008D1CFD"/>
    <w:rsid w:val="008D200D"/>
    <w:rsid w:val="008D212C"/>
    <w:rsid w:val="008D26FE"/>
    <w:rsid w:val="008D2A0E"/>
    <w:rsid w:val="008D2EC0"/>
    <w:rsid w:val="008D2F24"/>
    <w:rsid w:val="008D3405"/>
    <w:rsid w:val="008D3410"/>
    <w:rsid w:val="008D357D"/>
    <w:rsid w:val="008D359A"/>
    <w:rsid w:val="008D3F97"/>
    <w:rsid w:val="008D4287"/>
    <w:rsid w:val="008D4313"/>
    <w:rsid w:val="008D4570"/>
    <w:rsid w:val="008D45D4"/>
    <w:rsid w:val="008D4805"/>
    <w:rsid w:val="008D4A52"/>
    <w:rsid w:val="008D4B3E"/>
    <w:rsid w:val="008D5289"/>
    <w:rsid w:val="008D556F"/>
    <w:rsid w:val="008D5650"/>
    <w:rsid w:val="008D576F"/>
    <w:rsid w:val="008D6542"/>
    <w:rsid w:val="008D686F"/>
    <w:rsid w:val="008D6CB8"/>
    <w:rsid w:val="008D6E22"/>
    <w:rsid w:val="008D70AE"/>
    <w:rsid w:val="008D70F0"/>
    <w:rsid w:val="008D718E"/>
    <w:rsid w:val="008D7257"/>
    <w:rsid w:val="008D7269"/>
    <w:rsid w:val="008D7559"/>
    <w:rsid w:val="008D761A"/>
    <w:rsid w:val="008D76D3"/>
    <w:rsid w:val="008D77F6"/>
    <w:rsid w:val="008D7835"/>
    <w:rsid w:val="008D7857"/>
    <w:rsid w:val="008D7C49"/>
    <w:rsid w:val="008E06D5"/>
    <w:rsid w:val="008E0B65"/>
    <w:rsid w:val="008E1030"/>
    <w:rsid w:val="008E10C6"/>
    <w:rsid w:val="008E122E"/>
    <w:rsid w:val="008E133A"/>
    <w:rsid w:val="008E148F"/>
    <w:rsid w:val="008E1513"/>
    <w:rsid w:val="008E1A2D"/>
    <w:rsid w:val="008E1B03"/>
    <w:rsid w:val="008E204A"/>
    <w:rsid w:val="008E225B"/>
    <w:rsid w:val="008E27F0"/>
    <w:rsid w:val="008E31DF"/>
    <w:rsid w:val="008E34E3"/>
    <w:rsid w:val="008E411F"/>
    <w:rsid w:val="008E43DF"/>
    <w:rsid w:val="008E4604"/>
    <w:rsid w:val="008E4644"/>
    <w:rsid w:val="008E49F7"/>
    <w:rsid w:val="008E4D35"/>
    <w:rsid w:val="008E4DCC"/>
    <w:rsid w:val="008E4E08"/>
    <w:rsid w:val="008E4E7D"/>
    <w:rsid w:val="008E5257"/>
    <w:rsid w:val="008E5390"/>
    <w:rsid w:val="008E56B4"/>
    <w:rsid w:val="008E5A1F"/>
    <w:rsid w:val="008E5ADE"/>
    <w:rsid w:val="008E5C05"/>
    <w:rsid w:val="008E5C0A"/>
    <w:rsid w:val="008E5E36"/>
    <w:rsid w:val="008E61B6"/>
    <w:rsid w:val="008E61D7"/>
    <w:rsid w:val="008E64C9"/>
    <w:rsid w:val="008E6D31"/>
    <w:rsid w:val="008E6D61"/>
    <w:rsid w:val="008E773E"/>
    <w:rsid w:val="008E7967"/>
    <w:rsid w:val="008E7CE3"/>
    <w:rsid w:val="008E7FE5"/>
    <w:rsid w:val="008F02D9"/>
    <w:rsid w:val="008F03EA"/>
    <w:rsid w:val="008F04AD"/>
    <w:rsid w:val="008F0700"/>
    <w:rsid w:val="008F08B0"/>
    <w:rsid w:val="008F0E47"/>
    <w:rsid w:val="008F0F28"/>
    <w:rsid w:val="008F0F2E"/>
    <w:rsid w:val="008F1036"/>
    <w:rsid w:val="008F114F"/>
    <w:rsid w:val="008F122E"/>
    <w:rsid w:val="008F143C"/>
    <w:rsid w:val="008F157D"/>
    <w:rsid w:val="008F1AEE"/>
    <w:rsid w:val="008F1D59"/>
    <w:rsid w:val="008F2124"/>
    <w:rsid w:val="008F217B"/>
    <w:rsid w:val="008F292A"/>
    <w:rsid w:val="008F2941"/>
    <w:rsid w:val="008F3175"/>
    <w:rsid w:val="008F3182"/>
    <w:rsid w:val="008F332A"/>
    <w:rsid w:val="008F33FB"/>
    <w:rsid w:val="008F35C2"/>
    <w:rsid w:val="008F364B"/>
    <w:rsid w:val="008F3A2C"/>
    <w:rsid w:val="008F3CDF"/>
    <w:rsid w:val="008F47CD"/>
    <w:rsid w:val="008F48DE"/>
    <w:rsid w:val="008F4981"/>
    <w:rsid w:val="008F4FC5"/>
    <w:rsid w:val="008F5266"/>
    <w:rsid w:val="008F53C7"/>
    <w:rsid w:val="008F53DA"/>
    <w:rsid w:val="008F544F"/>
    <w:rsid w:val="008F54E3"/>
    <w:rsid w:val="008F555C"/>
    <w:rsid w:val="008F5955"/>
    <w:rsid w:val="008F5A7F"/>
    <w:rsid w:val="008F5A8C"/>
    <w:rsid w:val="008F5E49"/>
    <w:rsid w:val="008F66FB"/>
    <w:rsid w:val="008F67B5"/>
    <w:rsid w:val="008F6934"/>
    <w:rsid w:val="008F69AF"/>
    <w:rsid w:val="008F6A6C"/>
    <w:rsid w:val="008F6FAF"/>
    <w:rsid w:val="008F72B9"/>
    <w:rsid w:val="008F7908"/>
    <w:rsid w:val="008F7D16"/>
    <w:rsid w:val="008F7DC3"/>
    <w:rsid w:val="008F7E07"/>
    <w:rsid w:val="008F7E4C"/>
    <w:rsid w:val="0090066C"/>
    <w:rsid w:val="00901344"/>
    <w:rsid w:val="0090137A"/>
    <w:rsid w:val="009018A4"/>
    <w:rsid w:val="00901C93"/>
    <w:rsid w:val="00901FE1"/>
    <w:rsid w:val="009021CB"/>
    <w:rsid w:val="009025CF"/>
    <w:rsid w:val="00902697"/>
    <w:rsid w:val="0090281A"/>
    <w:rsid w:val="0090283E"/>
    <w:rsid w:val="00902905"/>
    <w:rsid w:val="00902993"/>
    <w:rsid w:val="00902B3A"/>
    <w:rsid w:val="00902BFF"/>
    <w:rsid w:val="00903113"/>
    <w:rsid w:val="009035FA"/>
    <w:rsid w:val="0090362E"/>
    <w:rsid w:val="009039F4"/>
    <w:rsid w:val="00903A23"/>
    <w:rsid w:val="00903BFF"/>
    <w:rsid w:val="00904551"/>
    <w:rsid w:val="009046ED"/>
    <w:rsid w:val="009048E1"/>
    <w:rsid w:val="00904958"/>
    <w:rsid w:val="00904B2A"/>
    <w:rsid w:val="00904F0F"/>
    <w:rsid w:val="00904F56"/>
    <w:rsid w:val="00904FB6"/>
    <w:rsid w:val="0090520F"/>
    <w:rsid w:val="009053B0"/>
    <w:rsid w:val="00906044"/>
    <w:rsid w:val="00906686"/>
    <w:rsid w:val="009066AB"/>
    <w:rsid w:val="009066BF"/>
    <w:rsid w:val="00906A27"/>
    <w:rsid w:val="00906A77"/>
    <w:rsid w:val="00906A8C"/>
    <w:rsid w:val="00906C85"/>
    <w:rsid w:val="00906FD4"/>
    <w:rsid w:val="009071EF"/>
    <w:rsid w:val="009076A9"/>
    <w:rsid w:val="0090770E"/>
    <w:rsid w:val="00907C48"/>
    <w:rsid w:val="00907CA8"/>
    <w:rsid w:val="00910178"/>
    <w:rsid w:val="009104F4"/>
    <w:rsid w:val="009105B4"/>
    <w:rsid w:val="009105BE"/>
    <w:rsid w:val="0091064B"/>
    <w:rsid w:val="00910813"/>
    <w:rsid w:val="0091082D"/>
    <w:rsid w:val="00910BEB"/>
    <w:rsid w:val="00911498"/>
    <w:rsid w:val="00911689"/>
    <w:rsid w:val="00911744"/>
    <w:rsid w:val="009117C5"/>
    <w:rsid w:val="00911E68"/>
    <w:rsid w:val="00911F4C"/>
    <w:rsid w:val="00912009"/>
    <w:rsid w:val="009120D7"/>
    <w:rsid w:val="0091211E"/>
    <w:rsid w:val="00912397"/>
    <w:rsid w:val="00912487"/>
    <w:rsid w:val="00912B3C"/>
    <w:rsid w:val="00912B4B"/>
    <w:rsid w:val="00912B60"/>
    <w:rsid w:val="00912BA6"/>
    <w:rsid w:val="00912C22"/>
    <w:rsid w:val="00912CE3"/>
    <w:rsid w:val="0091370C"/>
    <w:rsid w:val="00913A68"/>
    <w:rsid w:val="00913E71"/>
    <w:rsid w:val="0091413D"/>
    <w:rsid w:val="00914412"/>
    <w:rsid w:val="00914E3C"/>
    <w:rsid w:val="009151F8"/>
    <w:rsid w:val="00915299"/>
    <w:rsid w:val="0091557E"/>
    <w:rsid w:val="009155CD"/>
    <w:rsid w:val="009157BC"/>
    <w:rsid w:val="00915891"/>
    <w:rsid w:val="00915996"/>
    <w:rsid w:val="00916234"/>
    <w:rsid w:val="00916246"/>
    <w:rsid w:val="0091656A"/>
    <w:rsid w:val="0091664E"/>
    <w:rsid w:val="00916795"/>
    <w:rsid w:val="009169BF"/>
    <w:rsid w:val="009169E6"/>
    <w:rsid w:val="00916F99"/>
    <w:rsid w:val="00916F9F"/>
    <w:rsid w:val="00916FD5"/>
    <w:rsid w:val="009176E1"/>
    <w:rsid w:val="009177E3"/>
    <w:rsid w:val="0092026E"/>
    <w:rsid w:val="009202F2"/>
    <w:rsid w:val="00920416"/>
    <w:rsid w:val="0092051E"/>
    <w:rsid w:val="00920538"/>
    <w:rsid w:val="00920571"/>
    <w:rsid w:val="009206F5"/>
    <w:rsid w:val="00920790"/>
    <w:rsid w:val="009208CD"/>
    <w:rsid w:val="00920916"/>
    <w:rsid w:val="00920B38"/>
    <w:rsid w:val="00920CB9"/>
    <w:rsid w:val="00920CFD"/>
    <w:rsid w:val="0092165E"/>
    <w:rsid w:val="00921685"/>
    <w:rsid w:val="00921C42"/>
    <w:rsid w:val="00921DBC"/>
    <w:rsid w:val="00921FE4"/>
    <w:rsid w:val="009221C1"/>
    <w:rsid w:val="00922444"/>
    <w:rsid w:val="0092249B"/>
    <w:rsid w:val="009224D8"/>
    <w:rsid w:val="00922870"/>
    <w:rsid w:val="00922D19"/>
    <w:rsid w:val="009231FB"/>
    <w:rsid w:val="00923249"/>
    <w:rsid w:val="0092332C"/>
    <w:rsid w:val="0092359B"/>
    <w:rsid w:val="0092363F"/>
    <w:rsid w:val="0092373B"/>
    <w:rsid w:val="00923F94"/>
    <w:rsid w:val="00924166"/>
    <w:rsid w:val="0092416F"/>
    <w:rsid w:val="00924387"/>
    <w:rsid w:val="00924517"/>
    <w:rsid w:val="0092476B"/>
    <w:rsid w:val="00924A3D"/>
    <w:rsid w:val="00924AB3"/>
    <w:rsid w:val="00924B55"/>
    <w:rsid w:val="009250BA"/>
    <w:rsid w:val="0092521B"/>
    <w:rsid w:val="00925242"/>
    <w:rsid w:val="0092532B"/>
    <w:rsid w:val="009253CC"/>
    <w:rsid w:val="0092543E"/>
    <w:rsid w:val="00925530"/>
    <w:rsid w:val="009257A1"/>
    <w:rsid w:val="009258AA"/>
    <w:rsid w:val="00925BA3"/>
    <w:rsid w:val="00926174"/>
    <w:rsid w:val="00926496"/>
    <w:rsid w:val="00926648"/>
    <w:rsid w:val="009267AB"/>
    <w:rsid w:val="00926B3A"/>
    <w:rsid w:val="00926BF8"/>
    <w:rsid w:val="009270EC"/>
    <w:rsid w:val="0092754E"/>
    <w:rsid w:val="00927802"/>
    <w:rsid w:val="00927AEF"/>
    <w:rsid w:val="00927F77"/>
    <w:rsid w:val="00930330"/>
    <w:rsid w:val="0093038A"/>
    <w:rsid w:val="009304F8"/>
    <w:rsid w:val="0093050B"/>
    <w:rsid w:val="00930535"/>
    <w:rsid w:val="009306A6"/>
    <w:rsid w:val="0093086B"/>
    <w:rsid w:val="0093093D"/>
    <w:rsid w:val="0093096D"/>
    <w:rsid w:val="00930B16"/>
    <w:rsid w:val="00930E04"/>
    <w:rsid w:val="00930E5E"/>
    <w:rsid w:val="009313F3"/>
    <w:rsid w:val="00931748"/>
    <w:rsid w:val="009319C0"/>
    <w:rsid w:val="00931B6E"/>
    <w:rsid w:val="00931C11"/>
    <w:rsid w:val="00931C25"/>
    <w:rsid w:val="009322CE"/>
    <w:rsid w:val="0093248E"/>
    <w:rsid w:val="009327F4"/>
    <w:rsid w:val="00932CA1"/>
    <w:rsid w:val="009338A6"/>
    <w:rsid w:val="00933A71"/>
    <w:rsid w:val="00933C31"/>
    <w:rsid w:val="00933CAB"/>
    <w:rsid w:val="00933D55"/>
    <w:rsid w:val="00933DB5"/>
    <w:rsid w:val="009343D2"/>
    <w:rsid w:val="00934599"/>
    <w:rsid w:val="009345A9"/>
    <w:rsid w:val="00934855"/>
    <w:rsid w:val="00934FC1"/>
    <w:rsid w:val="00935210"/>
    <w:rsid w:val="009352C0"/>
    <w:rsid w:val="00935534"/>
    <w:rsid w:val="0093561C"/>
    <w:rsid w:val="009356E9"/>
    <w:rsid w:val="00935786"/>
    <w:rsid w:val="009359B7"/>
    <w:rsid w:val="00935A74"/>
    <w:rsid w:val="00935AFC"/>
    <w:rsid w:val="00935F5F"/>
    <w:rsid w:val="009367A1"/>
    <w:rsid w:val="00936A46"/>
    <w:rsid w:val="00936D92"/>
    <w:rsid w:val="0093739F"/>
    <w:rsid w:val="00937402"/>
    <w:rsid w:val="00937689"/>
    <w:rsid w:val="0093772D"/>
    <w:rsid w:val="00937BA5"/>
    <w:rsid w:val="00937BC4"/>
    <w:rsid w:val="00940393"/>
    <w:rsid w:val="009405F2"/>
    <w:rsid w:val="00940620"/>
    <w:rsid w:val="009407BF"/>
    <w:rsid w:val="0094121E"/>
    <w:rsid w:val="009414BC"/>
    <w:rsid w:val="0094180E"/>
    <w:rsid w:val="00941828"/>
    <w:rsid w:val="0094184A"/>
    <w:rsid w:val="00942199"/>
    <w:rsid w:val="009422DF"/>
    <w:rsid w:val="00942560"/>
    <w:rsid w:val="00942988"/>
    <w:rsid w:val="00942B15"/>
    <w:rsid w:val="00942BCF"/>
    <w:rsid w:val="00942C1F"/>
    <w:rsid w:val="00942C9A"/>
    <w:rsid w:val="0094308C"/>
    <w:rsid w:val="009430FE"/>
    <w:rsid w:val="0094393B"/>
    <w:rsid w:val="00943D73"/>
    <w:rsid w:val="009440DB"/>
    <w:rsid w:val="00944284"/>
    <w:rsid w:val="0094441E"/>
    <w:rsid w:val="009445D3"/>
    <w:rsid w:val="0094464E"/>
    <w:rsid w:val="00944656"/>
    <w:rsid w:val="0094488E"/>
    <w:rsid w:val="00944906"/>
    <w:rsid w:val="00944943"/>
    <w:rsid w:val="00944A6C"/>
    <w:rsid w:val="00944EEC"/>
    <w:rsid w:val="009452B2"/>
    <w:rsid w:val="00945472"/>
    <w:rsid w:val="009457C7"/>
    <w:rsid w:val="00945A25"/>
    <w:rsid w:val="00945EC2"/>
    <w:rsid w:val="00946316"/>
    <w:rsid w:val="0094645C"/>
    <w:rsid w:val="00946673"/>
    <w:rsid w:val="00946BA6"/>
    <w:rsid w:val="00946FB7"/>
    <w:rsid w:val="0094705C"/>
    <w:rsid w:val="0094708F"/>
    <w:rsid w:val="00947414"/>
    <w:rsid w:val="00947470"/>
    <w:rsid w:val="009475F3"/>
    <w:rsid w:val="009479BB"/>
    <w:rsid w:val="009479EB"/>
    <w:rsid w:val="00947DCC"/>
    <w:rsid w:val="009500EC"/>
    <w:rsid w:val="009501C0"/>
    <w:rsid w:val="00950364"/>
    <w:rsid w:val="00950499"/>
    <w:rsid w:val="00950759"/>
    <w:rsid w:val="00950AA1"/>
    <w:rsid w:val="0095100C"/>
    <w:rsid w:val="00951551"/>
    <w:rsid w:val="0095193A"/>
    <w:rsid w:val="00951E35"/>
    <w:rsid w:val="00951E3A"/>
    <w:rsid w:val="00951FFF"/>
    <w:rsid w:val="00952490"/>
    <w:rsid w:val="009526AE"/>
    <w:rsid w:val="0095278D"/>
    <w:rsid w:val="00952817"/>
    <w:rsid w:val="009528A1"/>
    <w:rsid w:val="00952AE9"/>
    <w:rsid w:val="00952C8D"/>
    <w:rsid w:val="00952D72"/>
    <w:rsid w:val="00952D8D"/>
    <w:rsid w:val="00952F0C"/>
    <w:rsid w:val="00953042"/>
    <w:rsid w:val="009534E0"/>
    <w:rsid w:val="00953582"/>
    <w:rsid w:val="00953818"/>
    <w:rsid w:val="00953AA1"/>
    <w:rsid w:val="00953CEB"/>
    <w:rsid w:val="00953D6C"/>
    <w:rsid w:val="0095456F"/>
    <w:rsid w:val="00954598"/>
    <w:rsid w:val="00954626"/>
    <w:rsid w:val="009547E9"/>
    <w:rsid w:val="009548C4"/>
    <w:rsid w:val="0095490D"/>
    <w:rsid w:val="00954CD1"/>
    <w:rsid w:val="00954DF5"/>
    <w:rsid w:val="009553EE"/>
    <w:rsid w:val="00955790"/>
    <w:rsid w:val="00955820"/>
    <w:rsid w:val="00955AF3"/>
    <w:rsid w:val="00955BA1"/>
    <w:rsid w:val="00955CDD"/>
    <w:rsid w:val="00955D33"/>
    <w:rsid w:val="00955E9B"/>
    <w:rsid w:val="00955EF7"/>
    <w:rsid w:val="009561EA"/>
    <w:rsid w:val="00956407"/>
    <w:rsid w:val="009564E5"/>
    <w:rsid w:val="009564FC"/>
    <w:rsid w:val="00956505"/>
    <w:rsid w:val="0095685E"/>
    <w:rsid w:val="00956996"/>
    <w:rsid w:val="00957478"/>
    <w:rsid w:val="00957489"/>
    <w:rsid w:val="00957559"/>
    <w:rsid w:val="009576F0"/>
    <w:rsid w:val="009577A4"/>
    <w:rsid w:val="00957CB6"/>
    <w:rsid w:val="00957CE9"/>
    <w:rsid w:val="00957FA9"/>
    <w:rsid w:val="0096004F"/>
    <w:rsid w:val="00960092"/>
    <w:rsid w:val="009600EA"/>
    <w:rsid w:val="00960BB8"/>
    <w:rsid w:val="00960D3C"/>
    <w:rsid w:val="00960DC7"/>
    <w:rsid w:val="009611D7"/>
    <w:rsid w:val="009616B8"/>
    <w:rsid w:val="0096180A"/>
    <w:rsid w:val="009618BF"/>
    <w:rsid w:val="00961D8A"/>
    <w:rsid w:val="00961DB6"/>
    <w:rsid w:val="00961EE4"/>
    <w:rsid w:val="00961F4E"/>
    <w:rsid w:val="0096204D"/>
    <w:rsid w:val="00962074"/>
    <w:rsid w:val="00962159"/>
    <w:rsid w:val="009622AB"/>
    <w:rsid w:val="0096231D"/>
    <w:rsid w:val="0096267A"/>
    <w:rsid w:val="00962ED3"/>
    <w:rsid w:val="009631A5"/>
    <w:rsid w:val="0096381C"/>
    <w:rsid w:val="00963979"/>
    <w:rsid w:val="00963AC0"/>
    <w:rsid w:val="00963F8B"/>
    <w:rsid w:val="00964313"/>
    <w:rsid w:val="009644E8"/>
    <w:rsid w:val="009649C6"/>
    <w:rsid w:val="00964ADE"/>
    <w:rsid w:val="00964AEE"/>
    <w:rsid w:val="00964E89"/>
    <w:rsid w:val="00964ECB"/>
    <w:rsid w:val="00965034"/>
    <w:rsid w:val="00965076"/>
    <w:rsid w:val="0096512C"/>
    <w:rsid w:val="009658FA"/>
    <w:rsid w:val="00965B6E"/>
    <w:rsid w:val="00965F59"/>
    <w:rsid w:val="00966028"/>
    <w:rsid w:val="009660C8"/>
    <w:rsid w:val="00966300"/>
    <w:rsid w:val="00966352"/>
    <w:rsid w:val="009663EC"/>
    <w:rsid w:val="009664EE"/>
    <w:rsid w:val="009667FF"/>
    <w:rsid w:val="00966A29"/>
    <w:rsid w:val="00966C83"/>
    <w:rsid w:val="00966F29"/>
    <w:rsid w:val="0096706F"/>
    <w:rsid w:val="009672C6"/>
    <w:rsid w:val="009672EB"/>
    <w:rsid w:val="00967B0F"/>
    <w:rsid w:val="00967BDD"/>
    <w:rsid w:val="00967D49"/>
    <w:rsid w:val="00967D8E"/>
    <w:rsid w:val="0097006B"/>
    <w:rsid w:val="00970113"/>
    <w:rsid w:val="0097051C"/>
    <w:rsid w:val="0097064D"/>
    <w:rsid w:val="00970AE6"/>
    <w:rsid w:val="00970AF6"/>
    <w:rsid w:val="009710C9"/>
    <w:rsid w:val="00971711"/>
    <w:rsid w:val="009718EB"/>
    <w:rsid w:val="009719DA"/>
    <w:rsid w:val="00971D8F"/>
    <w:rsid w:val="00971F02"/>
    <w:rsid w:val="00971F51"/>
    <w:rsid w:val="00972110"/>
    <w:rsid w:val="009723FE"/>
    <w:rsid w:val="0097241C"/>
    <w:rsid w:val="0097249A"/>
    <w:rsid w:val="00972644"/>
    <w:rsid w:val="00972708"/>
    <w:rsid w:val="009728E7"/>
    <w:rsid w:val="00972D73"/>
    <w:rsid w:val="00972FFD"/>
    <w:rsid w:val="00973093"/>
    <w:rsid w:val="0097314D"/>
    <w:rsid w:val="0097320C"/>
    <w:rsid w:val="0097330F"/>
    <w:rsid w:val="0097335B"/>
    <w:rsid w:val="0097371A"/>
    <w:rsid w:val="0097382E"/>
    <w:rsid w:val="00973A9E"/>
    <w:rsid w:val="00973AE7"/>
    <w:rsid w:val="00973C51"/>
    <w:rsid w:val="00973C87"/>
    <w:rsid w:val="00973E07"/>
    <w:rsid w:val="00973F2D"/>
    <w:rsid w:val="00974296"/>
    <w:rsid w:val="0097520E"/>
    <w:rsid w:val="009752B1"/>
    <w:rsid w:val="009757BC"/>
    <w:rsid w:val="00975E97"/>
    <w:rsid w:val="00975FCB"/>
    <w:rsid w:val="00976114"/>
    <w:rsid w:val="00976363"/>
    <w:rsid w:val="0097639F"/>
    <w:rsid w:val="0097650D"/>
    <w:rsid w:val="0097712C"/>
    <w:rsid w:val="009771FD"/>
    <w:rsid w:val="00977336"/>
    <w:rsid w:val="009774ED"/>
    <w:rsid w:val="00977D22"/>
    <w:rsid w:val="00980131"/>
    <w:rsid w:val="009805BE"/>
    <w:rsid w:val="00980C36"/>
    <w:rsid w:val="009811E6"/>
    <w:rsid w:val="00981575"/>
    <w:rsid w:val="009816CD"/>
    <w:rsid w:val="00981A06"/>
    <w:rsid w:val="00981C28"/>
    <w:rsid w:val="00981C68"/>
    <w:rsid w:val="00981E2A"/>
    <w:rsid w:val="00982357"/>
    <w:rsid w:val="009824BD"/>
    <w:rsid w:val="009824F3"/>
    <w:rsid w:val="009825D8"/>
    <w:rsid w:val="00982891"/>
    <w:rsid w:val="00982C55"/>
    <w:rsid w:val="00982F8B"/>
    <w:rsid w:val="009832C0"/>
    <w:rsid w:val="0098375F"/>
    <w:rsid w:val="00983B87"/>
    <w:rsid w:val="00984238"/>
    <w:rsid w:val="009845D2"/>
    <w:rsid w:val="00984A90"/>
    <w:rsid w:val="00984D56"/>
    <w:rsid w:val="00984DE0"/>
    <w:rsid w:val="00985047"/>
    <w:rsid w:val="009850F4"/>
    <w:rsid w:val="00985BA7"/>
    <w:rsid w:val="009860E0"/>
    <w:rsid w:val="00986444"/>
    <w:rsid w:val="0098651D"/>
    <w:rsid w:val="0098677F"/>
    <w:rsid w:val="00986C95"/>
    <w:rsid w:val="00986D4F"/>
    <w:rsid w:val="00986EE8"/>
    <w:rsid w:val="00987097"/>
    <w:rsid w:val="009871F7"/>
    <w:rsid w:val="00987384"/>
    <w:rsid w:val="00987731"/>
    <w:rsid w:val="0098773A"/>
    <w:rsid w:val="00987850"/>
    <w:rsid w:val="00987BC1"/>
    <w:rsid w:val="00987D2A"/>
    <w:rsid w:val="00987F50"/>
    <w:rsid w:val="00987FBB"/>
    <w:rsid w:val="00990024"/>
    <w:rsid w:val="009902BB"/>
    <w:rsid w:val="0099048C"/>
    <w:rsid w:val="0099091A"/>
    <w:rsid w:val="00990B4E"/>
    <w:rsid w:val="00990C15"/>
    <w:rsid w:val="00990C28"/>
    <w:rsid w:val="00990E60"/>
    <w:rsid w:val="00990EB8"/>
    <w:rsid w:val="0099100B"/>
    <w:rsid w:val="0099123E"/>
    <w:rsid w:val="009917C3"/>
    <w:rsid w:val="00991A9B"/>
    <w:rsid w:val="00991DDE"/>
    <w:rsid w:val="00992036"/>
    <w:rsid w:val="009921F5"/>
    <w:rsid w:val="0099239D"/>
    <w:rsid w:val="009925EC"/>
    <w:rsid w:val="00992778"/>
    <w:rsid w:val="00992903"/>
    <w:rsid w:val="00992B4E"/>
    <w:rsid w:val="00992DEE"/>
    <w:rsid w:val="00992F28"/>
    <w:rsid w:val="00993125"/>
    <w:rsid w:val="00993316"/>
    <w:rsid w:val="00993349"/>
    <w:rsid w:val="009937D2"/>
    <w:rsid w:val="009939B8"/>
    <w:rsid w:val="00993A55"/>
    <w:rsid w:val="00993E31"/>
    <w:rsid w:val="00993FF2"/>
    <w:rsid w:val="0099423F"/>
    <w:rsid w:val="00994313"/>
    <w:rsid w:val="00994A15"/>
    <w:rsid w:val="00994BBD"/>
    <w:rsid w:val="00994EBD"/>
    <w:rsid w:val="00994F82"/>
    <w:rsid w:val="00994F98"/>
    <w:rsid w:val="00994FE1"/>
    <w:rsid w:val="00994FF5"/>
    <w:rsid w:val="00995004"/>
    <w:rsid w:val="00995051"/>
    <w:rsid w:val="009954BE"/>
    <w:rsid w:val="00995943"/>
    <w:rsid w:val="00995BA5"/>
    <w:rsid w:val="00995BDE"/>
    <w:rsid w:val="00995D45"/>
    <w:rsid w:val="00995F08"/>
    <w:rsid w:val="00995FB4"/>
    <w:rsid w:val="00996094"/>
    <w:rsid w:val="009961BA"/>
    <w:rsid w:val="009961D1"/>
    <w:rsid w:val="009963D7"/>
    <w:rsid w:val="00996997"/>
    <w:rsid w:val="009970E6"/>
    <w:rsid w:val="00997442"/>
    <w:rsid w:val="009976D9"/>
    <w:rsid w:val="00997737"/>
    <w:rsid w:val="00997ACC"/>
    <w:rsid w:val="00997B8E"/>
    <w:rsid w:val="00997E7D"/>
    <w:rsid w:val="009A01DC"/>
    <w:rsid w:val="009A0358"/>
    <w:rsid w:val="009A08EA"/>
    <w:rsid w:val="009A096F"/>
    <w:rsid w:val="009A1380"/>
    <w:rsid w:val="009A1426"/>
    <w:rsid w:val="009A1532"/>
    <w:rsid w:val="009A18C0"/>
    <w:rsid w:val="009A19CC"/>
    <w:rsid w:val="009A1A78"/>
    <w:rsid w:val="009A1B68"/>
    <w:rsid w:val="009A2018"/>
    <w:rsid w:val="009A2141"/>
    <w:rsid w:val="009A2209"/>
    <w:rsid w:val="009A2419"/>
    <w:rsid w:val="009A2623"/>
    <w:rsid w:val="009A26D0"/>
    <w:rsid w:val="009A28A7"/>
    <w:rsid w:val="009A2B42"/>
    <w:rsid w:val="009A2D47"/>
    <w:rsid w:val="009A35F8"/>
    <w:rsid w:val="009A3850"/>
    <w:rsid w:val="009A3903"/>
    <w:rsid w:val="009A3B4E"/>
    <w:rsid w:val="009A3BE6"/>
    <w:rsid w:val="009A3CE1"/>
    <w:rsid w:val="009A3F2D"/>
    <w:rsid w:val="009A40A4"/>
    <w:rsid w:val="009A4126"/>
    <w:rsid w:val="009A451F"/>
    <w:rsid w:val="009A46ED"/>
    <w:rsid w:val="009A481C"/>
    <w:rsid w:val="009A4C57"/>
    <w:rsid w:val="009A55AC"/>
    <w:rsid w:val="009A55E0"/>
    <w:rsid w:val="009A61B4"/>
    <w:rsid w:val="009A6735"/>
    <w:rsid w:val="009A67B1"/>
    <w:rsid w:val="009A6BEB"/>
    <w:rsid w:val="009A6E1E"/>
    <w:rsid w:val="009A6EC8"/>
    <w:rsid w:val="009A73D9"/>
    <w:rsid w:val="009A73F8"/>
    <w:rsid w:val="009A778D"/>
    <w:rsid w:val="009A7BA3"/>
    <w:rsid w:val="009A7CDD"/>
    <w:rsid w:val="009B0284"/>
    <w:rsid w:val="009B044B"/>
    <w:rsid w:val="009B067B"/>
    <w:rsid w:val="009B0806"/>
    <w:rsid w:val="009B0978"/>
    <w:rsid w:val="009B0B70"/>
    <w:rsid w:val="009B1071"/>
    <w:rsid w:val="009B118B"/>
    <w:rsid w:val="009B157A"/>
    <w:rsid w:val="009B165B"/>
    <w:rsid w:val="009B16B3"/>
    <w:rsid w:val="009B24A8"/>
    <w:rsid w:val="009B25E2"/>
    <w:rsid w:val="009B28DB"/>
    <w:rsid w:val="009B2C87"/>
    <w:rsid w:val="009B3015"/>
    <w:rsid w:val="009B303C"/>
    <w:rsid w:val="009B311D"/>
    <w:rsid w:val="009B3250"/>
    <w:rsid w:val="009B36AC"/>
    <w:rsid w:val="009B3D42"/>
    <w:rsid w:val="009B3E1B"/>
    <w:rsid w:val="009B3E25"/>
    <w:rsid w:val="009B427E"/>
    <w:rsid w:val="009B4296"/>
    <w:rsid w:val="009B4560"/>
    <w:rsid w:val="009B45C3"/>
    <w:rsid w:val="009B46A5"/>
    <w:rsid w:val="009B4CA0"/>
    <w:rsid w:val="009B4FC6"/>
    <w:rsid w:val="009B510B"/>
    <w:rsid w:val="009B52BF"/>
    <w:rsid w:val="009B540B"/>
    <w:rsid w:val="009B55F5"/>
    <w:rsid w:val="009B5BF9"/>
    <w:rsid w:val="009B6165"/>
    <w:rsid w:val="009B631D"/>
    <w:rsid w:val="009B63B9"/>
    <w:rsid w:val="009B6733"/>
    <w:rsid w:val="009B67B7"/>
    <w:rsid w:val="009B6A7C"/>
    <w:rsid w:val="009B6DA1"/>
    <w:rsid w:val="009B6DBE"/>
    <w:rsid w:val="009B71A5"/>
    <w:rsid w:val="009B7314"/>
    <w:rsid w:val="009B73D1"/>
    <w:rsid w:val="009B79AA"/>
    <w:rsid w:val="009B79E9"/>
    <w:rsid w:val="009B7B82"/>
    <w:rsid w:val="009B7F34"/>
    <w:rsid w:val="009C0026"/>
    <w:rsid w:val="009C01BA"/>
    <w:rsid w:val="009C0584"/>
    <w:rsid w:val="009C0A75"/>
    <w:rsid w:val="009C0B2E"/>
    <w:rsid w:val="009C0C55"/>
    <w:rsid w:val="009C10C1"/>
    <w:rsid w:val="009C13D7"/>
    <w:rsid w:val="009C19AC"/>
    <w:rsid w:val="009C1B2A"/>
    <w:rsid w:val="009C25C8"/>
    <w:rsid w:val="009C261B"/>
    <w:rsid w:val="009C2B39"/>
    <w:rsid w:val="009C2C08"/>
    <w:rsid w:val="009C3000"/>
    <w:rsid w:val="009C335F"/>
    <w:rsid w:val="009C3884"/>
    <w:rsid w:val="009C3B00"/>
    <w:rsid w:val="009C3CA3"/>
    <w:rsid w:val="009C3EB8"/>
    <w:rsid w:val="009C3F66"/>
    <w:rsid w:val="009C3FD8"/>
    <w:rsid w:val="009C43DA"/>
    <w:rsid w:val="009C4797"/>
    <w:rsid w:val="009C4B84"/>
    <w:rsid w:val="009C4D55"/>
    <w:rsid w:val="009C4E02"/>
    <w:rsid w:val="009C4E05"/>
    <w:rsid w:val="009C4F35"/>
    <w:rsid w:val="009C4FFE"/>
    <w:rsid w:val="009C5158"/>
    <w:rsid w:val="009C5574"/>
    <w:rsid w:val="009C5968"/>
    <w:rsid w:val="009C59F2"/>
    <w:rsid w:val="009C5DC2"/>
    <w:rsid w:val="009C602D"/>
    <w:rsid w:val="009C610C"/>
    <w:rsid w:val="009C6118"/>
    <w:rsid w:val="009C6573"/>
    <w:rsid w:val="009C6735"/>
    <w:rsid w:val="009C67DC"/>
    <w:rsid w:val="009C6980"/>
    <w:rsid w:val="009C6ADE"/>
    <w:rsid w:val="009C6D2E"/>
    <w:rsid w:val="009C7321"/>
    <w:rsid w:val="009C746F"/>
    <w:rsid w:val="009C75F4"/>
    <w:rsid w:val="009D0346"/>
    <w:rsid w:val="009D0768"/>
    <w:rsid w:val="009D0A8F"/>
    <w:rsid w:val="009D0C39"/>
    <w:rsid w:val="009D0E8B"/>
    <w:rsid w:val="009D137F"/>
    <w:rsid w:val="009D13FF"/>
    <w:rsid w:val="009D1D7E"/>
    <w:rsid w:val="009D1E26"/>
    <w:rsid w:val="009D1E76"/>
    <w:rsid w:val="009D2166"/>
    <w:rsid w:val="009D234B"/>
    <w:rsid w:val="009D26F5"/>
    <w:rsid w:val="009D2A2E"/>
    <w:rsid w:val="009D2B6E"/>
    <w:rsid w:val="009D3152"/>
    <w:rsid w:val="009D332B"/>
    <w:rsid w:val="009D34E7"/>
    <w:rsid w:val="009D37A4"/>
    <w:rsid w:val="009D3811"/>
    <w:rsid w:val="009D39DA"/>
    <w:rsid w:val="009D3C05"/>
    <w:rsid w:val="009D3DE4"/>
    <w:rsid w:val="009D43BE"/>
    <w:rsid w:val="009D43EF"/>
    <w:rsid w:val="009D471F"/>
    <w:rsid w:val="009D481E"/>
    <w:rsid w:val="009D4A19"/>
    <w:rsid w:val="009D4DB6"/>
    <w:rsid w:val="009D4ECF"/>
    <w:rsid w:val="009D55C9"/>
    <w:rsid w:val="009D5648"/>
    <w:rsid w:val="009D56B9"/>
    <w:rsid w:val="009D5858"/>
    <w:rsid w:val="009D587B"/>
    <w:rsid w:val="009D589B"/>
    <w:rsid w:val="009D5D40"/>
    <w:rsid w:val="009D5ECC"/>
    <w:rsid w:val="009D6271"/>
    <w:rsid w:val="009D649F"/>
    <w:rsid w:val="009D66C5"/>
    <w:rsid w:val="009D6799"/>
    <w:rsid w:val="009D67D2"/>
    <w:rsid w:val="009D683B"/>
    <w:rsid w:val="009D6AEF"/>
    <w:rsid w:val="009D6D74"/>
    <w:rsid w:val="009D74F2"/>
    <w:rsid w:val="009D7581"/>
    <w:rsid w:val="009D77DF"/>
    <w:rsid w:val="009D784A"/>
    <w:rsid w:val="009D79EC"/>
    <w:rsid w:val="009D7BBE"/>
    <w:rsid w:val="009D7BFF"/>
    <w:rsid w:val="009D7EEA"/>
    <w:rsid w:val="009E00D7"/>
    <w:rsid w:val="009E0264"/>
    <w:rsid w:val="009E066D"/>
    <w:rsid w:val="009E06AE"/>
    <w:rsid w:val="009E0796"/>
    <w:rsid w:val="009E0ACE"/>
    <w:rsid w:val="009E0CDA"/>
    <w:rsid w:val="009E14A7"/>
    <w:rsid w:val="009E1844"/>
    <w:rsid w:val="009E1A4B"/>
    <w:rsid w:val="009E1BB4"/>
    <w:rsid w:val="009E1D33"/>
    <w:rsid w:val="009E1D6F"/>
    <w:rsid w:val="009E1EF6"/>
    <w:rsid w:val="009E1F3B"/>
    <w:rsid w:val="009E1F78"/>
    <w:rsid w:val="009E21E0"/>
    <w:rsid w:val="009E24EC"/>
    <w:rsid w:val="009E259A"/>
    <w:rsid w:val="009E2780"/>
    <w:rsid w:val="009E28B6"/>
    <w:rsid w:val="009E292F"/>
    <w:rsid w:val="009E2939"/>
    <w:rsid w:val="009E2B6B"/>
    <w:rsid w:val="009E2E9A"/>
    <w:rsid w:val="009E3221"/>
    <w:rsid w:val="009E327C"/>
    <w:rsid w:val="009E36E6"/>
    <w:rsid w:val="009E3B4B"/>
    <w:rsid w:val="009E3C92"/>
    <w:rsid w:val="009E3E3B"/>
    <w:rsid w:val="009E3EED"/>
    <w:rsid w:val="009E402B"/>
    <w:rsid w:val="009E42B1"/>
    <w:rsid w:val="009E42CB"/>
    <w:rsid w:val="009E46C9"/>
    <w:rsid w:val="009E48E0"/>
    <w:rsid w:val="009E4B41"/>
    <w:rsid w:val="009E4C4E"/>
    <w:rsid w:val="009E4CE0"/>
    <w:rsid w:val="009E4DA4"/>
    <w:rsid w:val="009E4FC1"/>
    <w:rsid w:val="009E5065"/>
    <w:rsid w:val="009E521F"/>
    <w:rsid w:val="009E54C3"/>
    <w:rsid w:val="009E562F"/>
    <w:rsid w:val="009E5C68"/>
    <w:rsid w:val="009E5CC2"/>
    <w:rsid w:val="009E5D75"/>
    <w:rsid w:val="009E614A"/>
    <w:rsid w:val="009E65BA"/>
    <w:rsid w:val="009E6972"/>
    <w:rsid w:val="009E6BE2"/>
    <w:rsid w:val="009E6DD0"/>
    <w:rsid w:val="009E6E98"/>
    <w:rsid w:val="009E6F41"/>
    <w:rsid w:val="009E7016"/>
    <w:rsid w:val="009E776C"/>
    <w:rsid w:val="009E787B"/>
    <w:rsid w:val="009F00EE"/>
    <w:rsid w:val="009F01AF"/>
    <w:rsid w:val="009F0225"/>
    <w:rsid w:val="009F0896"/>
    <w:rsid w:val="009F0AF2"/>
    <w:rsid w:val="009F0E9F"/>
    <w:rsid w:val="009F0F32"/>
    <w:rsid w:val="009F0FD7"/>
    <w:rsid w:val="009F120D"/>
    <w:rsid w:val="009F15D7"/>
    <w:rsid w:val="009F1733"/>
    <w:rsid w:val="009F19B9"/>
    <w:rsid w:val="009F1CA1"/>
    <w:rsid w:val="009F2095"/>
    <w:rsid w:val="009F2097"/>
    <w:rsid w:val="009F21C7"/>
    <w:rsid w:val="009F21F6"/>
    <w:rsid w:val="009F23DD"/>
    <w:rsid w:val="009F244F"/>
    <w:rsid w:val="009F2602"/>
    <w:rsid w:val="009F2A56"/>
    <w:rsid w:val="009F2BF4"/>
    <w:rsid w:val="009F2C85"/>
    <w:rsid w:val="009F2F3E"/>
    <w:rsid w:val="009F2F77"/>
    <w:rsid w:val="009F356F"/>
    <w:rsid w:val="009F35AE"/>
    <w:rsid w:val="009F3C7B"/>
    <w:rsid w:val="009F3EF4"/>
    <w:rsid w:val="009F40C1"/>
    <w:rsid w:val="009F4157"/>
    <w:rsid w:val="009F4393"/>
    <w:rsid w:val="009F43F4"/>
    <w:rsid w:val="009F45C0"/>
    <w:rsid w:val="009F4861"/>
    <w:rsid w:val="009F4AFE"/>
    <w:rsid w:val="009F4B38"/>
    <w:rsid w:val="009F4E20"/>
    <w:rsid w:val="009F4FDD"/>
    <w:rsid w:val="009F50BD"/>
    <w:rsid w:val="009F5223"/>
    <w:rsid w:val="009F53C2"/>
    <w:rsid w:val="009F56DF"/>
    <w:rsid w:val="009F57FD"/>
    <w:rsid w:val="009F58CD"/>
    <w:rsid w:val="009F5A5A"/>
    <w:rsid w:val="009F5CBD"/>
    <w:rsid w:val="009F5E5F"/>
    <w:rsid w:val="009F6722"/>
    <w:rsid w:val="009F67AE"/>
    <w:rsid w:val="009F6B0B"/>
    <w:rsid w:val="009F6B85"/>
    <w:rsid w:val="009F6CEB"/>
    <w:rsid w:val="009F763D"/>
    <w:rsid w:val="009F7650"/>
    <w:rsid w:val="009F7E3D"/>
    <w:rsid w:val="009F7F3B"/>
    <w:rsid w:val="00A000FE"/>
    <w:rsid w:val="00A001A8"/>
    <w:rsid w:val="00A001B1"/>
    <w:rsid w:val="00A00397"/>
    <w:rsid w:val="00A0042D"/>
    <w:rsid w:val="00A0044A"/>
    <w:rsid w:val="00A006C3"/>
    <w:rsid w:val="00A0094E"/>
    <w:rsid w:val="00A00A50"/>
    <w:rsid w:val="00A01012"/>
    <w:rsid w:val="00A011B3"/>
    <w:rsid w:val="00A0124E"/>
    <w:rsid w:val="00A0128D"/>
    <w:rsid w:val="00A01800"/>
    <w:rsid w:val="00A01890"/>
    <w:rsid w:val="00A02513"/>
    <w:rsid w:val="00A03176"/>
    <w:rsid w:val="00A0321E"/>
    <w:rsid w:val="00A034EB"/>
    <w:rsid w:val="00A03686"/>
    <w:rsid w:val="00A036A6"/>
    <w:rsid w:val="00A0372F"/>
    <w:rsid w:val="00A03859"/>
    <w:rsid w:val="00A03963"/>
    <w:rsid w:val="00A039E9"/>
    <w:rsid w:val="00A03C5C"/>
    <w:rsid w:val="00A04091"/>
    <w:rsid w:val="00A04751"/>
    <w:rsid w:val="00A047F4"/>
    <w:rsid w:val="00A04DEE"/>
    <w:rsid w:val="00A0546B"/>
    <w:rsid w:val="00A058CB"/>
    <w:rsid w:val="00A05C65"/>
    <w:rsid w:val="00A05D43"/>
    <w:rsid w:val="00A0627C"/>
    <w:rsid w:val="00A06568"/>
    <w:rsid w:val="00A068FA"/>
    <w:rsid w:val="00A06A82"/>
    <w:rsid w:val="00A06B12"/>
    <w:rsid w:val="00A06C4C"/>
    <w:rsid w:val="00A06F0B"/>
    <w:rsid w:val="00A06F40"/>
    <w:rsid w:val="00A0717B"/>
    <w:rsid w:val="00A073A2"/>
    <w:rsid w:val="00A0766F"/>
    <w:rsid w:val="00A07823"/>
    <w:rsid w:val="00A07ADB"/>
    <w:rsid w:val="00A07DE6"/>
    <w:rsid w:val="00A10259"/>
    <w:rsid w:val="00A105E7"/>
    <w:rsid w:val="00A1070E"/>
    <w:rsid w:val="00A10BAD"/>
    <w:rsid w:val="00A10EA6"/>
    <w:rsid w:val="00A1142B"/>
    <w:rsid w:val="00A11967"/>
    <w:rsid w:val="00A11F01"/>
    <w:rsid w:val="00A12317"/>
    <w:rsid w:val="00A123F6"/>
    <w:rsid w:val="00A1257F"/>
    <w:rsid w:val="00A12A85"/>
    <w:rsid w:val="00A12C1F"/>
    <w:rsid w:val="00A1311E"/>
    <w:rsid w:val="00A1359C"/>
    <w:rsid w:val="00A137E8"/>
    <w:rsid w:val="00A137FB"/>
    <w:rsid w:val="00A13898"/>
    <w:rsid w:val="00A13CC0"/>
    <w:rsid w:val="00A14232"/>
    <w:rsid w:val="00A1447F"/>
    <w:rsid w:val="00A146E9"/>
    <w:rsid w:val="00A14C89"/>
    <w:rsid w:val="00A14DD7"/>
    <w:rsid w:val="00A150B2"/>
    <w:rsid w:val="00A1517E"/>
    <w:rsid w:val="00A159A1"/>
    <w:rsid w:val="00A15A05"/>
    <w:rsid w:val="00A161EC"/>
    <w:rsid w:val="00A16331"/>
    <w:rsid w:val="00A16416"/>
    <w:rsid w:val="00A16494"/>
    <w:rsid w:val="00A1653D"/>
    <w:rsid w:val="00A165B2"/>
    <w:rsid w:val="00A17016"/>
    <w:rsid w:val="00A1740D"/>
    <w:rsid w:val="00A17747"/>
    <w:rsid w:val="00A1782B"/>
    <w:rsid w:val="00A17887"/>
    <w:rsid w:val="00A17A68"/>
    <w:rsid w:val="00A17B0D"/>
    <w:rsid w:val="00A20989"/>
    <w:rsid w:val="00A20D1F"/>
    <w:rsid w:val="00A20FB4"/>
    <w:rsid w:val="00A21240"/>
    <w:rsid w:val="00A2124C"/>
    <w:rsid w:val="00A212AB"/>
    <w:rsid w:val="00A21608"/>
    <w:rsid w:val="00A22296"/>
    <w:rsid w:val="00A22662"/>
    <w:rsid w:val="00A2277E"/>
    <w:rsid w:val="00A227D0"/>
    <w:rsid w:val="00A22847"/>
    <w:rsid w:val="00A23257"/>
    <w:rsid w:val="00A235C1"/>
    <w:rsid w:val="00A23828"/>
    <w:rsid w:val="00A23ABE"/>
    <w:rsid w:val="00A23BCE"/>
    <w:rsid w:val="00A23CE5"/>
    <w:rsid w:val="00A23EAA"/>
    <w:rsid w:val="00A24070"/>
    <w:rsid w:val="00A241B0"/>
    <w:rsid w:val="00A243C1"/>
    <w:rsid w:val="00A245EC"/>
    <w:rsid w:val="00A2477E"/>
    <w:rsid w:val="00A24DF9"/>
    <w:rsid w:val="00A25026"/>
    <w:rsid w:val="00A25224"/>
    <w:rsid w:val="00A253B3"/>
    <w:rsid w:val="00A2557D"/>
    <w:rsid w:val="00A26062"/>
    <w:rsid w:val="00A260FC"/>
    <w:rsid w:val="00A264FB"/>
    <w:rsid w:val="00A26649"/>
    <w:rsid w:val="00A2691A"/>
    <w:rsid w:val="00A26BA8"/>
    <w:rsid w:val="00A26DDD"/>
    <w:rsid w:val="00A26E25"/>
    <w:rsid w:val="00A26E9D"/>
    <w:rsid w:val="00A26EF6"/>
    <w:rsid w:val="00A26F0D"/>
    <w:rsid w:val="00A2736C"/>
    <w:rsid w:val="00A2739A"/>
    <w:rsid w:val="00A273DA"/>
    <w:rsid w:val="00A275AB"/>
    <w:rsid w:val="00A277DE"/>
    <w:rsid w:val="00A279B6"/>
    <w:rsid w:val="00A27A9B"/>
    <w:rsid w:val="00A27E3A"/>
    <w:rsid w:val="00A27F9E"/>
    <w:rsid w:val="00A304B2"/>
    <w:rsid w:val="00A3087F"/>
    <w:rsid w:val="00A30A9F"/>
    <w:rsid w:val="00A30ABB"/>
    <w:rsid w:val="00A30C0C"/>
    <w:rsid w:val="00A30C87"/>
    <w:rsid w:val="00A30CD5"/>
    <w:rsid w:val="00A30ED2"/>
    <w:rsid w:val="00A310F8"/>
    <w:rsid w:val="00A314D3"/>
    <w:rsid w:val="00A317CB"/>
    <w:rsid w:val="00A31940"/>
    <w:rsid w:val="00A31B3B"/>
    <w:rsid w:val="00A31EFD"/>
    <w:rsid w:val="00A31F87"/>
    <w:rsid w:val="00A31FED"/>
    <w:rsid w:val="00A320E9"/>
    <w:rsid w:val="00A3210C"/>
    <w:rsid w:val="00A32173"/>
    <w:rsid w:val="00A325E5"/>
    <w:rsid w:val="00A327ED"/>
    <w:rsid w:val="00A32E63"/>
    <w:rsid w:val="00A3320F"/>
    <w:rsid w:val="00A3345A"/>
    <w:rsid w:val="00A334D4"/>
    <w:rsid w:val="00A33991"/>
    <w:rsid w:val="00A33E49"/>
    <w:rsid w:val="00A34061"/>
    <w:rsid w:val="00A344E4"/>
    <w:rsid w:val="00A34542"/>
    <w:rsid w:val="00A34998"/>
    <w:rsid w:val="00A34A81"/>
    <w:rsid w:val="00A34B1F"/>
    <w:rsid w:val="00A34D5B"/>
    <w:rsid w:val="00A3529F"/>
    <w:rsid w:val="00A35425"/>
    <w:rsid w:val="00A35B8D"/>
    <w:rsid w:val="00A35E49"/>
    <w:rsid w:val="00A35F16"/>
    <w:rsid w:val="00A360E6"/>
    <w:rsid w:val="00A36162"/>
    <w:rsid w:val="00A3631D"/>
    <w:rsid w:val="00A36457"/>
    <w:rsid w:val="00A3645E"/>
    <w:rsid w:val="00A3672D"/>
    <w:rsid w:val="00A3687E"/>
    <w:rsid w:val="00A36AD4"/>
    <w:rsid w:val="00A370A2"/>
    <w:rsid w:val="00A3735D"/>
    <w:rsid w:val="00A37505"/>
    <w:rsid w:val="00A37BF1"/>
    <w:rsid w:val="00A37FAC"/>
    <w:rsid w:val="00A40371"/>
    <w:rsid w:val="00A409C2"/>
    <w:rsid w:val="00A40BFF"/>
    <w:rsid w:val="00A41048"/>
    <w:rsid w:val="00A4165E"/>
    <w:rsid w:val="00A41929"/>
    <w:rsid w:val="00A41B78"/>
    <w:rsid w:val="00A41F21"/>
    <w:rsid w:val="00A41FEA"/>
    <w:rsid w:val="00A420D2"/>
    <w:rsid w:val="00A421D7"/>
    <w:rsid w:val="00A4222D"/>
    <w:rsid w:val="00A422CC"/>
    <w:rsid w:val="00A42315"/>
    <w:rsid w:val="00A423DE"/>
    <w:rsid w:val="00A4244F"/>
    <w:rsid w:val="00A42504"/>
    <w:rsid w:val="00A425B6"/>
    <w:rsid w:val="00A42612"/>
    <w:rsid w:val="00A4264A"/>
    <w:rsid w:val="00A42736"/>
    <w:rsid w:val="00A428F9"/>
    <w:rsid w:val="00A42B43"/>
    <w:rsid w:val="00A42EA2"/>
    <w:rsid w:val="00A4307C"/>
    <w:rsid w:val="00A431B7"/>
    <w:rsid w:val="00A432C8"/>
    <w:rsid w:val="00A434BD"/>
    <w:rsid w:val="00A4363B"/>
    <w:rsid w:val="00A439ED"/>
    <w:rsid w:val="00A44117"/>
    <w:rsid w:val="00A44269"/>
    <w:rsid w:val="00A44373"/>
    <w:rsid w:val="00A443E7"/>
    <w:rsid w:val="00A44725"/>
    <w:rsid w:val="00A44B97"/>
    <w:rsid w:val="00A44DBA"/>
    <w:rsid w:val="00A44E6F"/>
    <w:rsid w:val="00A44EBC"/>
    <w:rsid w:val="00A44EEC"/>
    <w:rsid w:val="00A45410"/>
    <w:rsid w:val="00A45577"/>
    <w:rsid w:val="00A45A0C"/>
    <w:rsid w:val="00A45A9C"/>
    <w:rsid w:val="00A45F22"/>
    <w:rsid w:val="00A45FC6"/>
    <w:rsid w:val="00A45FC8"/>
    <w:rsid w:val="00A46017"/>
    <w:rsid w:val="00A4610A"/>
    <w:rsid w:val="00A462F9"/>
    <w:rsid w:val="00A466FA"/>
    <w:rsid w:val="00A469C4"/>
    <w:rsid w:val="00A46A8B"/>
    <w:rsid w:val="00A46BD0"/>
    <w:rsid w:val="00A470B5"/>
    <w:rsid w:val="00A4757E"/>
    <w:rsid w:val="00A47588"/>
    <w:rsid w:val="00A47735"/>
    <w:rsid w:val="00A47C9F"/>
    <w:rsid w:val="00A47CC4"/>
    <w:rsid w:val="00A47CDE"/>
    <w:rsid w:val="00A47E6F"/>
    <w:rsid w:val="00A47FE2"/>
    <w:rsid w:val="00A500EA"/>
    <w:rsid w:val="00A502BD"/>
    <w:rsid w:val="00A50726"/>
    <w:rsid w:val="00A5089D"/>
    <w:rsid w:val="00A5093C"/>
    <w:rsid w:val="00A50C3D"/>
    <w:rsid w:val="00A50E81"/>
    <w:rsid w:val="00A519EF"/>
    <w:rsid w:val="00A51A97"/>
    <w:rsid w:val="00A51D24"/>
    <w:rsid w:val="00A5200C"/>
    <w:rsid w:val="00A52A43"/>
    <w:rsid w:val="00A52B16"/>
    <w:rsid w:val="00A52BF5"/>
    <w:rsid w:val="00A52D2D"/>
    <w:rsid w:val="00A530A7"/>
    <w:rsid w:val="00A530B8"/>
    <w:rsid w:val="00A53273"/>
    <w:rsid w:val="00A53650"/>
    <w:rsid w:val="00A53AD7"/>
    <w:rsid w:val="00A53C71"/>
    <w:rsid w:val="00A53EE0"/>
    <w:rsid w:val="00A5425B"/>
    <w:rsid w:val="00A54268"/>
    <w:rsid w:val="00A542EF"/>
    <w:rsid w:val="00A542FB"/>
    <w:rsid w:val="00A5456E"/>
    <w:rsid w:val="00A5466A"/>
    <w:rsid w:val="00A553C9"/>
    <w:rsid w:val="00A55451"/>
    <w:rsid w:val="00A554DE"/>
    <w:rsid w:val="00A55BFD"/>
    <w:rsid w:val="00A56190"/>
    <w:rsid w:val="00A56334"/>
    <w:rsid w:val="00A56429"/>
    <w:rsid w:val="00A56589"/>
    <w:rsid w:val="00A567AE"/>
    <w:rsid w:val="00A569BA"/>
    <w:rsid w:val="00A569C1"/>
    <w:rsid w:val="00A56B93"/>
    <w:rsid w:val="00A56BBE"/>
    <w:rsid w:val="00A56C08"/>
    <w:rsid w:val="00A56FD2"/>
    <w:rsid w:val="00A57110"/>
    <w:rsid w:val="00A5721F"/>
    <w:rsid w:val="00A57364"/>
    <w:rsid w:val="00A57500"/>
    <w:rsid w:val="00A5775C"/>
    <w:rsid w:val="00A578F1"/>
    <w:rsid w:val="00A57B95"/>
    <w:rsid w:val="00A57C6D"/>
    <w:rsid w:val="00A57DA0"/>
    <w:rsid w:val="00A6030C"/>
    <w:rsid w:val="00A606B1"/>
    <w:rsid w:val="00A60970"/>
    <w:rsid w:val="00A60A57"/>
    <w:rsid w:val="00A60ABB"/>
    <w:rsid w:val="00A60C3F"/>
    <w:rsid w:val="00A6141C"/>
    <w:rsid w:val="00A61563"/>
    <w:rsid w:val="00A6175A"/>
    <w:rsid w:val="00A617EA"/>
    <w:rsid w:val="00A61AED"/>
    <w:rsid w:val="00A61C66"/>
    <w:rsid w:val="00A6202B"/>
    <w:rsid w:val="00A62305"/>
    <w:rsid w:val="00A6232D"/>
    <w:rsid w:val="00A6243D"/>
    <w:rsid w:val="00A6273E"/>
    <w:rsid w:val="00A630B2"/>
    <w:rsid w:val="00A630EF"/>
    <w:rsid w:val="00A63159"/>
    <w:rsid w:val="00A631A9"/>
    <w:rsid w:val="00A634ED"/>
    <w:rsid w:val="00A63758"/>
    <w:rsid w:val="00A63767"/>
    <w:rsid w:val="00A637BD"/>
    <w:rsid w:val="00A63A23"/>
    <w:rsid w:val="00A63B7D"/>
    <w:rsid w:val="00A641BE"/>
    <w:rsid w:val="00A6429C"/>
    <w:rsid w:val="00A64538"/>
    <w:rsid w:val="00A64950"/>
    <w:rsid w:val="00A64A14"/>
    <w:rsid w:val="00A64B15"/>
    <w:rsid w:val="00A64B98"/>
    <w:rsid w:val="00A64C5D"/>
    <w:rsid w:val="00A64D1D"/>
    <w:rsid w:val="00A651B8"/>
    <w:rsid w:val="00A6523C"/>
    <w:rsid w:val="00A65626"/>
    <w:rsid w:val="00A65B08"/>
    <w:rsid w:val="00A65BDD"/>
    <w:rsid w:val="00A65E68"/>
    <w:rsid w:val="00A65F6F"/>
    <w:rsid w:val="00A6608A"/>
    <w:rsid w:val="00A669A4"/>
    <w:rsid w:val="00A669EA"/>
    <w:rsid w:val="00A669F8"/>
    <w:rsid w:val="00A66F47"/>
    <w:rsid w:val="00A66FA7"/>
    <w:rsid w:val="00A66FC5"/>
    <w:rsid w:val="00A6703E"/>
    <w:rsid w:val="00A6790F"/>
    <w:rsid w:val="00A67986"/>
    <w:rsid w:val="00A67B7D"/>
    <w:rsid w:val="00A67FAE"/>
    <w:rsid w:val="00A67FF5"/>
    <w:rsid w:val="00A67FFC"/>
    <w:rsid w:val="00A7015A"/>
    <w:rsid w:val="00A70269"/>
    <w:rsid w:val="00A70348"/>
    <w:rsid w:val="00A705A1"/>
    <w:rsid w:val="00A70615"/>
    <w:rsid w:val="00A709C0"/>
    <w:rsid w:val="00A709E2"/>
    <w:rsid w:val="00A70F9E"/>
    <w:rsid w:val="00A71168"/>
    <w:rsid w:val="00A711A2"/>
    <w:rsid w:val="00A7124A"/>
    <w:rsid w:val="00A71268"/>
    <w:rsid w:val="00A71465"/>
    <w:rsid w:val="00A71544"/>
    <w:rsid w:val="00A71712"/>
    <w:rsid w:val="00A71A0D"/>
    <w:rsid w:val="00A71DD2"/>
    <w:rsid w:val="00A71EC4"/>
    <w:rsid w:val="00A71FC3"/>
    <w:rsid w:val="00A72255"/>
    <w:rsid w:val="00A729C5"/>
    <w:rsid w:val="00A729CB"/>
    <w:rsid w:val="00A72BE3"/>
    <w:rsid w:val="00A731E9"/>
    <w:rsid w:val="00A7357B"/>
    <w:rsid w:val="00A73747"/>
    <w:rsid w:val="00A73A40"/>
    <w:rsid w:val="00A73AD9"/>
    <w:rsid w:val="00A73CE2"/>
    <w:rsid w:val="00A74215"/>
    <w:rsid w:val="00A7443C"/>
    <w:rsid w:val="00A74487"/>
    <w:rsid w:val="00A744BF"/>
    <w:rsid w:val="00A745A0"/>
    <w:rsid w:val="00A74B5E"/>
    <w:rsid w:val="00A74DBB"/>
    <w:rsid w:val="00A74E1E"/>
    <w:rsid w:val="00A74E56"/>
    <w:rsid w:val="00A75024"/>
    <w:rsid w:val="00A751D4"/>
    <w:rsid w:val="00A755F4"/>
    <w:rsid w:val="00A757A2"/>
    <w:rsid w:val="00A757E3"/>
    <w:rsid w:val="00A75B2D"/>
    <w:rsid w:val="00A76318"/>
    <w:rsid w:val="00A7634A"/>
    <w:rsid w:val="00A76A13"/>
    <w:rsid w:val="00A76E72"/>
    <w:rsid w:val="00A770AF"/>
    <w:rsid w:val="00A7738C"/>
    <w:rsid w:val="00A775D6"/>
    <w:rsid w:val="00A77857"/>
    <w:rsid w:val="00A778E7"/>
    <w:rsid w:val="00A77B9D"/>
    <w:rsid w:val="00A77CBD"/>
    <w:rsid w:val="00A77FD7"/>
    <w:rsid w:val="00A80149"/>
    <w:rsid w:val="00A80634"/>
    <w:rsid w:val="00A806AB"/>
    <w:rsid w:val="00A8097F"/>
    <w:rsid w:val="00A80A9D"/>
    <w:rsid w:val="00A80AA7"/>
    <w:rsid w:val="00A80CB2"/>
    <w:rsid w:val="00A80DDB"/>
    <w:rsid w:val="00A80F51"/>
    <w:rsid w:val="00A8100C"/>
    <w:rsid w:val="00A8113A"/>
    <w:rsid w:val="00A81256"/>
    <w:rsid w:val="00A81E08"/>
    <w:rsid w:val="00A81F17"/>
    <w:rsid w:val="00A8204B"/>
    <w:rsid w:val="00A820DC"/>
    <w:rsid w:val="00A821D4"/>
    <w:rsid w:val="00A824D9"/>
    <w:rsid w:val="00A82715"/>
    <w:rsid w:val="00A82E0D"/>
    <w:rsid w:val="00A82EE0"/>
    <w:rsid w:val="00A838EF"/>
    <w:rsid w:val="00A83BE0"/>
    <w:rsid w:val="00A83F6C"/>
    <w:rsid w:val="00A84128"/>
    <w:rsid w:val="00A84686"/>
    <w:rsid w:val="00A848E8"/>
    <w:rsid w:val="00A84A28"/>
    <w:rsid w:val="00A84A49"/>
    <w:rsid w:val="00A85717"/>
    <w:rsid w:val="00A85D8C"/>
    <w:rsid w:val="00A85DE7"/>
    <w:rsid w:val="00A85FA2"/>
    <w:rsid w:val="00A861BF"/>
    <w:rsid w:val="00A86385"/>
    <w:rsid w:val="00A8639E"/>
    <w:rsid w:val="00A8697A"/>
    <w:rsid w:val="00A86991"/>
    <w:rsid w:val="00A869F9"/>
    <w:rsid w:val="00A8709E"/>
    <w:rsid w:val="00A871A7"/>
    <w:rsid w:val="00A871AD"/>
    <w:rsid w:val="00A87344"/>
    <w:rsid w:val="00A873DD"/>
    <w:rsid w:val="00A8787C"/>
    <w:rsid w:val="00A87A11"/>
    <w:rsid w:val="00A87B6B"/>
    <w:rsid w:val="00A87F02"/>
    <w:rsid w:val="00A901B3"/>
    <w:rsid w:val="00A90756"/>
    <w:rsid w:val="00A9093D"/>
    <w:rsid w:val="00A90AF6"/>
    <w:rsid w:val="00A90B9F"/>
    <w:rsid w:val="00A90EDD"/>
    <w:rsid w:val="00A90F4D"/>
    <w:rsid w:val="00A913BE"/>
    <w:rsid w:val="00A9171E"/>
    <w:rsid w:val="00A91A8B"/>
    <w:rsid w:val="00A91B1C"/>
    <w:rsid w:val="00A91B5F"/>
    <w:rsid w:val="00A91BD8"/>
    <w:rsid w:val="00A91E18"/>
    <w:rsid w:val="00A91FDC"/>
    <w:rsid w:val="00A91FDF"/>
    <w:rsid w:val="00A9230A"/>
    <w:rsid w:val="00A923BC"/>
    <w:rsid w:val="00A924EB"/>
    <w:rsid w:val="00A926B3"/>
    <w:rsid w:val="00A926FD"/>
    <w:rsid w:val="00A92795"/>
    <w:rsid w:val="00A92D1C"/>
    <w:rsid w:val="00A933E1"/>
    <w:rsid w:val="00A934DA"/>
    <w:rsid w:val="00A9375F"/>
    <w:rsid w:val="00A93968"/>
    <w:rsid w:val="00A93AFA"/>
    <w:rsid w:val="00A93B99"/>
    <w:rsid w:val="00A93C24"/>
    <w:rsid w:val="00A93E18"/>
    <w:rsid w:val="00A9416A"/>
    <w:rsid w:val="00A94267"/>
    <w:rsid w:val="00A943A6"/>
    <w:rsid w:val="00A945C2"/>
    <w:rsid w:val="00A94636"/>
    <w:rsid w:val="00A94887"/>
    <w:rsid w:val="00A94890"/>
    <w:rsid w:val="00A9493B"/>
    <w:rsid w:val="00A94AD9"/>
    <w:rsid w:val="00A94F5A"/>
    <w:rsid w:val="00A950BB"/>
    <w:rsid w:val="00A95235"/>
    <w:rsid w:val="00A9526B"/>
    <w:rsid w:val="00A953E0"/>
    <w:rsid w:val="00A95A7E"/>
    <w:rsid w:val="00A95FBF"/>
    <w:rsid w:val="00A961E8"/>
    <w:rsid w:val="00A9644B"/>
    <w:rsid w:val="00A9684D"/>
    <w:rsid w:val="00A96971"/>
    <w:rsid w:val="00A96B42"/>
    <w:rsid w:val="00A96B9B"/>
    <w:rsid w:val="00A96CA9"/>
    <w:rsid w:val="00A96D92"/>
    <w:rsid w:val="00A96E92"/>
    <w:rsid w:val="00A9706B"/>
    <w:rsid w:val="00A97378"/>
    <w:rsid w:val="00A976FE"/>
    <w:rsid w:val="00A97955"/>
    <w:rsid w:val="00A97D55"/>
    <w:rsid w:val="00A97E80"/>
    <w:rsid w:val="00A97F55"/>
    <w:rsid w:val="00AA01BB"/>
    <w:rsid w:val="00AA0236"/>
    <w:rsid w:val="00AA054C"/>
    <w:rsid w:val="00AA0694"/>
    <w:rsid w:val="00AA06E5"/>
    <w:rsid w:val="00AA0824"/>
    <w:rsid w:val="00AA0870"/>
    <w:rsid w:val="00AA1095"/>
    <w:rsid w:val="00AA11DA"/>
    <w:rsid w:val="00AA1352"/>
    <w:rsid w:val="00AA1357"/>
    <w:rsid w:val="00AA175A"/>
    <w:rsid w:val="00AA1BB8"/>
    <w:rsid w:val="00AA2230"/>
    <w:rsid w:val="00AA2297"/>
    <w:rsid w:val="00AA24F5"/>
    <w:rsid w:val="00AA2EA9"/>
    <w:rsid w:val="00AA2F41"/>
    <w:rsid w:val="00AA339E"/>
    <w:rsid w:val="00AA3783"/>
    <w:rsid w:val="00AA3860"/>
    <w:rsid w:val="00AA3893"/>
    <w:rsid w:val="00AA39D9"/>
    <w:rsid w:val="00AA4380"/>
    <w:rsid w:val="00AA4447"/>
    <w:rsid w:val="00AA4478"/>
    <w:rsid w:val="00AA44D2"/>
    <w:rsid w:val="00AA4607"/>
    <w:rsid w:val="00AA46CA"/>
    <w:rsid w:val="00AA46FB"/>
    <w:rsid w:val="00AA493F"/>
    <w:rsid w:val="00AA497B"/>
    <w:rsid w:val="00AA4ABE"/>
    <w:rsid w:val="00AA51C2"/>
    <w:rsid w:val="00AA5314"/>
    <w:rsid w:val="00AA5333"/>
    <w:rsid w:val="00AA539E"/>
    <w:rsid w:val="00AA53DC"/>
    <w:rsid w:val="00AA581A"/>
    <w:rsid w:val="00AA585B"/>
    <w:rsid w:val="00AA591C"/>
    <w:rsid w:val="00AA5AAB"/>
    <w:rsid w:val="00AA5E16"/>
    <w:rsid w:val="00AA5EB1"/>
    <w:rsid w:val="00AA66A2"/>
    <w:rsid w:val="00AA6A90"/>
    <w:rsid w:val="00AA6B7E"/>
    <w:rsid w:val="00AA6DB7"/>
    <w:rsid w:val="00AA7020"/>
    <w:rsid w:val="00AA75AC"/>
    <w:rsid w:val="00AA7696"/>
    <w:rsid w:val="00AA7E3F"/>
    <w:rsid w:val="00AB01B5"/>
    <w:rsid w:val="00AB052E"/>
    <w:rsid w:val="00AB0733"/>
    <w:rsid w:val="00AB0AE4"/>
    <w:rsid w:val="00AB0FEC"/>
    <w:rsid w:val="00AB1048"/>
    <w:rsid w:val="00AB1217"/>
    <w:rsid w:val="00AB12D1"/>
    <w:rsid w:val="00AB136D"/>
    <w:rsid w:val="00AB1598"/>
    <w:rsid w:val="00AB1874"/>
    <w:rsid w:val="00AB18B6"/>
    <w:rsid w:val="00AB19F5"/>
    <w:rsid w:val="00AB1A27"/>
    <w:rsid w:val="00AB1A4B"/>
    <w:rsid w:val="00AB1C2B"/>
    <w:rsid w:val="00AB1F3B"/>
    <w:rsid w:val="00AB21C0"/>
    <w:rsid w:val="00AB21D3"/>
    <w:rsid w:val="00AB2679"/>
    <w:rsid w:val="00AB2767"/>
    <w:rsid w:val="00AB295B"/>
    <w:rsid w:val="00AB29AD"/>
    <w:rsid w:val="00AB2A1D"/>
    <w:rsid w:val="00AB2C24"/>
    <w:rsid w:val="00AB2DC4"/>
    <w:rsid w:val="00AB2F96"/>
    <w:rsid w:val="00AB302A"/>
    <w:rsid w:val="00AB348F"/>
    <w:rsid w:val="00AB3B18"/>
    <w:rsid w:val="00AB3B43"/>
    <w:rsid w:val="00AB3D02"/>
    <w:rsid w:val="00AB46E2"/>
    <w:rsid w:val="00AB4A2C"/>
    <w:rsid w:val="00AB4AEA"/>
    <w:rsid w:val="00AB4BEB"/>
    <w:rsid w:val="00AB4FDC"/>
    <w:rsid w:val="00AB50D9"/>
    <w:rsid w:val="00AB510B"/>
    <w:rsid w:val="00AB51C9"/>
    <w:rsid w:val="00AB51D2"/>
    <w:rsid w:val="00AB54BA"/>
    <w:rsid w:val="00AB5535"/>
    <w:rsid w:val="00AB56C2"/>
    <w:rsid w:val="00AB5A32"/>
    <w:rsid w:val="00AB5AFD"/>
    <w:rsid w:val="00AB5DFD"/>
    <w:rsid w:val="00AB5FF6"/>
    <w:rsid w:val="00AB615D"/>
    <w:rsid w:val="00AB62F3"/>
    <w:rsid w:val="00AB6453"/>
    <w:rsid w:val="00AB665A"/>
    <w:rsid w:val="00AB669D"/>
    <w:rsid w:val="00AB69AA"/>
    <w:rsid w:val="00AB6A45"/>
    <w:rsid w:val="00AB6A4E"/>
    <w:rsid w:val="00AB6C86"/>
    <w:rsid w:val="00AB6DE8"/>
    <w:rsid w:val="00AB71EB"/>
    <w:rsid w:val="00AB741B"/>
    <w:rsid w:val="00AB763D"/>
    <w:rsid w:val="00AB7901"/>
    <w:rsid w:val="00AB7977"/>
    <w:rsid w:val="00AB7A23"/>
    <w:rsid w:val="00AB7A96"/>
    <w:rsid w:val="00AB7DDF"/>
    <w:rsid w:val="00AB7E3B"/>
    <w:rsid w:val="00AC005D"/>
    <w:rsid w:val="00AC0149"/>
    <w:rsid w:val="00AC054E"/>
    <w:rsid w:val="00AC0B19"/>
    <w:rsid w:val="00AC0BF4"/>
    <w:rsid w:val="00AC0E59"/>
    <w:rsid w:val="00AC1271"/>
    <w:rsid w:val="00AC1A5B"/>
    <w:rsid w:val="00AC1B84"/>
    <w:rsid w:val="00AC1C67"/>
    <w:rsid w:val="00AC1C91"/>
    <w:rsid w:val="00AC1DE9"/>
    <w:rsid w:val="00AC1FEF"/>
    <w:rsid w:val="00AC20B7"/>
    <w:rsid w:val="00AC2236"/>
    <w:rsid w:val="00AC2404"/>
    <w:rsid w:val="00AC2889"/>
    <w:rsid w:val="00AC2A5C"/>
    <w:rsid w:val="00AC2C5D"/>
    <w:rsid w:val="00AC311D"/>
    <w:rsid w:val="00AC3173"/>
    <w:rsid w:val="00AC36F7"/>
    <w:rsid w:val="00AC3A99"/>
    <w:rsid w:val="00AC3C6E"/>
    <w:rsid w:val="00AC3CF8"/>
    <w:rsid w:val="00AC3F8F"/>
    <w:rsid w:val="00AC3FD6"/>
    <w:rsid w:val="00AC461B"/>
    <w:rsid w:val="00AC4BDC"/>
    <w:rsid w:val="00AC4DD3"/>
    <w:rsid w:val="00AC556B"/>
    <w:rsid w:val="00AC5703"/>
    <w:rsid w:val="00AC5A16"/>
    <w:rsid w:val="00AC5A34"/>
    <w:rsid w:val="00AC5D46"/>
    <w:rsid w:val="00AC5D5E"/>
    <w:rsid w:val="00AC5D93"/>
    <w:rsid w:val="00AC601A"/>
    <w:rsid w:val="00AC6053"/>
    <w:rsid w:val="00AC6073"/>
    <w:rsid w:val="00AC615F"/>
    <w:rsid w:val="00AC64CE"/>
    <w:rsid w:val="00AC6529"/>
    <w:rsid w:val="00AC6615"/>
    <w:rsid w:val="00AC6773"/>
    <w:rsid w:val="00AC6B0E"/>
    <w:rsid w:val="00AC71A7"/>
    <w:rsid w:val="00AC73DF"/>
    <w:rsid w:val="00AC77C2"/>
    <w:rsid w:val="00AC78AD"/>
    <w:rsid w:val="00AC7E78"/>
    <w:rsid w:val="00AC7FFC"/>
    <w:rsid w:val="00AD09D6"/>
    <w:rsid w:val="00AD1284"/>
    <w:rsid w:val="00AD1C1E"/>
    <w:rsid w:val="00AD1C67"/>
    <w:rsid w:val="00AD1CA9"/>
    <w:rsid w:val="00AD1DB2"/>
    <w:rsid w:val="00AD1FBA"/>
    <w:rsid w:val="00AD204C"/>
    <w:rsid w:val="00AD20CB"/>
    <w:rsid w:val="00AD22BF"/>
    <w:rsid w:val="00AD2317"/>
    <w:rsid w:val="00AD2A4F"/>
    <w:rsid w:val="00AD2CC2"/>
    <w:rsid w:val="00AD321D"/>
    <w:rsid w:val="00AD3257"/>
    <w:rsid w:val="00AD32CF"/>
    <w:rsid w:val="00AD368D"/>
    <w:rsid w:val="00AD3A13"/>
    <w:rsid w:val="00AD3A7E"/>
    <w:rsid w:val="00AD3FDD"/>
    <w:rsid w:val="00AD40AE"/>
    <w:rsid w:val="00AD41C0"/>
    <w:rsid w:val="00AD449C"/>
    <w:rsid w:val="00AD45A7"/>
    <w:rsid w:val="00AD46A9"/>
    <w:rsid w:val="00AD494A"/>
    <w:rsid w:val="00AD4AE0"/>
    <w:rsid w:val="00AD4BA5"/>
    <w:rsid w:val="00AD53C2"/>
    <w:rsid w:val="00AD57E6"/>
    <w:rsid w:val="00AD58F8"/>
    <w:rsid w:val="00AD5909"/>
    <w:rsid w:val="00AD5B95"/>
    <w:rsid w:val="00AD5CED"/>
    <w:rsid w:val="00AD5D98"/>
    <w:rsid w:val="00AD5FA7"/>
    <w:rsid w:val="00AD6070"/>
    <w:rsid w:val="00AD60EE"/>
    <w:rsid w:val="00AD6461"/>
    <w:rsid w:val="00AD6915"/>
    <w:rsid w:val="00AD6BEA"/>
    <w:rsid w:val="00AD6BFD"/>
    <w:rsid w:val="00AD6CB9"/>
    <w:rsid w:val="00AD6E54"/>
    <w:rsid w:val="00AD717A"/>
    <w:rsid w:val="00AD762D"/>
    <w:rsid w:val="00AD7677"/>
    <w:rsid w:val="00AD79CF"/>
    <w:rsid w:val="00AD7B11"/>
    <w:rsid w:val="00AD7B85"/>
    <w:rsid w:val="00AD7D91"/>
    <w:rsid w:val="00AD7E77"/>
    <w:rsid w:val="00AD7F64"/>
    <w:rsid w:val="00AD7F71"/>
    <w:rsid w:val="00AE0447"/>
    <w:rsid w:val="00AE0535"/>
    <w:rsid w:val="00AE0630"/>
    <w:rsid w:val="00AE06D3"/>
    <w:rsid w:val="00AE06F4"/>
    <w:rsid w:val="00AE09DE"/>
    <w:rsid w:val="00AE0A0A"/>
    <w:rsid w:val="00AE1416"/>
    <w:rsid w:val="00AE157C"/>
    <w:rsid w:val="00AE1731"/>
    <w:rsid w:val="00AE1887"/>
    <w:rsid w:val="00AE198E"/>
    <w:rsid w:val="00AE1AC4"/>
    <w:rsid w:val="00AE1C58"/>
    <w:rsid w:val="00AE2520"/>
    <w:rsid w:val="00AE2525"/>
    <w:rsid w:val="00AE27FB"/>
    <w:rsid w:val="00AE3011"/>
    <w:rsid w:val="00AE3136"/>
    <w:rsid w:val="00AE35A1"/>
    <w:rsid w:val="00AE39D4"/>
    <w:rsid w:val="00AE3AF3"/>
    <w:rsid w:val="00AE3C2F"/>
    <w:rsid w:val="00AE3F31"/>
    <w:rsid w:val="00AE4164"/>
    <w:rsid w:val="00AE41F0"/>
    <w:rsid w:val="00AE44D6"/>
    <w:rsid w:val="00AE451C"/>
    <w:rsid w:val="00AE45B6"/>
    <w:rsid w:val="00AE4913"/>
    <w:rsid w:val="00AE4B6E"/>
    <w:rsid w:val="00AE4D57"/>
    <w:rsid w:val="00AE5052"/>
    <w:rsid w:val="00AE53CE"/>
    <w:rsid w:val="00AE555A"/>
    <w:rsid w:val="00AE5B35"/>
    <w:rsid w:val="00AE5B93"/>
    <w:rsid w:val="00AE5C37"/>
    <w:rsid w:val="00AE5DBC"/>
    <w:rsid w:val="00AE5FF2"/>
    <w:rsid w:val="00AE60BE"/>
    <w:rsid w:val="00AE624D"/>
    <w:rsid w:val="00AE625D"/>
    <w:rsid w:val="00AE6585"/>
    <w:rsid w:val="00AE6845"/>
    <w:rsid w:val="00AE6908"/>
    <w:rsid w:val="00AE6A90"/>
    <w:rsid w:val="00AE6ABE"/>
    <w:rsid w:val="00AE6C82"/>
    <w:rsid w:val="00AE758B"/>
    <w:rsid w:val="00AE758F"/>
    <w:rsid w:val="00AE75DE"/>
    <w:rsid w:val="00AE7D86"/>
    <w:rsid w:val="00AF00BF"/>
    <w:rsid w:val="00AF017A"/>
    <w:rsid w:val="00AF0522"/>
    <w:rsid w:val="00AF0741"/>
    <w:rsid w:val="00AF089F"/>
    <w:rsid w:val="00AF0A0C"/>
    <w:rsid w:val="00AF0C5F"/>
    <w:rsid w:val="00AF0E2B"/>
    <w:rsid w:val="00AF0FBA"/>
    <w:rsid w:val="00AF1403"/>
    <w:rsid w:val="00AF188B"/>
    <w:rsid w:val="00AF18EB"/>
    <w:rsid w:val="00AF1B82"/>
    <w:rsid w:val="00AF1EC3"/>
    <w:rsid w:val="00AF2032"/>
    <w:rsid w:val="00AF243E"/>
    <w:rsid w:val="00AF24EE"/>
    <w:rsid w:val="00AF255B"/>
    <w:rsid w:val="00AF25B8"/>
    <w:rsid w:val="00AF27D9"/>
    <w:rsid w:val="00AF2997"/>
    <w:rsid w:val="00AF2B9F"/>
    <w:rsid w:val="00AF2E99"/>
    <w:rsid w:val="00AF2F3B"/>
    <w:rsid w:val="00AF30A6"/>
    <w:rsid w:val="00AF3131"/>
    <w:rsid w:val="00AF3173"/>
    <w:rsid w:val="00AF33FF"/>
    <w:rsid w:val="00AF3567"/>
    <w:rsid w:val="00AF372F"/>
    <w:rsid w:val="00AF37AC"/>
    <w:rsid w:val="00AF39B2"/>
    <w:rsid w:val="00AF3B74"/>
    <w:rsid w:val="00AF3E44"/>
    <w:rsid w:val="00AF3E51"/>
    <w:rsid w:val="00AF3ED6"/>
    <w:rsid w:val="00AF421E"/>
    <w:rsid w:val="00AF4344"/>
    <w:rsid w:val="00AF4673"/>
    <w:rsid w:val="00AF4B5C"/>
    <w:rsid w:val="00AF4BAB"/>
    <w:rsid w:val="00AF4E7B"/>
    <w:rsid w:val="00AF4F1B"/>
    <w:rsid w:val="00AF4F7D"/>
    <w:rsid w:val="00AF5072"/>
    <w:rsid w:val="00AF5C7B"/>
    <w:rsid w:val="00AF609C"/>
    <w:rsid w:val="00AF61BF"/>
    <w:rsid w:val="00AF629C"/>
    <w:rsid w:val="00AF631E"/>
    <w:rsid w:val="00AF6326"/>
    <w:rsid w:val="00AF6396"/>
    <w:rsid w:val="00AF6421"/>
    <w:rsid w:val="00AF6621"/>
    <w:rsid w:val="00AF6AC6"/>
    <w:rsid w:val="00AF6C8E"/>
    <w:rsid w:val="00AF709D"/>
    <w:rsid w:val="00AF7398"/>
    <w:rsid w:val="00AF77FA"/>
    <w:rsid w:val="00AF79DC"/>
    <w:rsid w:val="00AF7B0D"/>
    <w:rsid w:val="00B003DB"/>
    <w:rsid w:val="00B00584"/>
    <w:rsid w:val="00B00D8F"/>
    <w:rsid w:val="00B01694"/>
    <w:rsid w:val="00B01696"/>
    <w:rsid w:val="00B01751"/>
    <w:rsid w:val="00B01E38"/>
    <w:rsid w:val="00B01F1C"/>
    <w:rsid w:val="00B01FD0"/>
    <w:rsid w:val="00B02189"/>
    <w:rsid w:val="00B02548"/>
    <w:rsid w:val="00B02560"/>
    <w:rsid w:val="00B0269B"/>
    <w:rsid w:val="00B026B4"/>
    <w:rsid w:val="00B02848"/>
    <w:rsid w:val="00B02BBD"/>
    <w:rsid w:val="00B02CE8"/>
    <w:rsid w:val="00B02FBE"/>
    <w:rsid w:val="00B036C1"/>
    <w:rsid w:val="00B037C3"/>
    <w:rsid w:val="00B0390C"/>
    <w:rsid w:val="00B03A0C"/>
    <w:rsid w:val="00B03E78"/>
    <w:rsid w:val="00B03ED5"/>
    <w:rsid w:val="00B040F0"/>
    <w:rsid w:val="00B043DB"/>
    <w:rsid w:val="00B04A99"/>
    <w:rsid w:val="00B04C17"/>
    <w:rsid w:val="00B04D7F"/>
    <w:rsid w:val="00B04E43"/>
    <w:rsid w:val="00B05076"/>
    <w:rsid w:val="00B0524E"/>
    <w:rsid w:val="00B053DE"/>
    <w:rsid w:val="00B05501"/>
    <w:rsid w:val="00B059F4"/>
    <w:rsid w:val="00B05C65"/>
    <w:rsid w:val="00B05DB1"/>
    <w:rsid w:val="00B05F1B"/>
    <w:rsid w:val="00B05F48"/>
    <w:rsid w:val="00B05F9E"/>
    <w:rsid w:val="00B06124"/>
    <w:rsid w:val="00B06206"/>
    <w:rsid w:val="00B063E2"/>
    <w:rsid w:val="00B063F5"/>
    <w:rsid w:val="00B067E8"/>
    <w:rsid w:val="00B06864"/>
    <w:rsid w:val="00B069F3"/>
    <w:rsid w:val="00B06EC1"/>
    <w:rsid w:val="00B071F7"/>
    <w:rsid w:val="00B07A09"/>
    <w:rsid w:val="00B07AD5"/>
    <w:rsid w:val="00B07BFB"/>
    <w:rsid w:val="00B07EDC"/>
    <w:rsid w:val="00B07EFC"/>
    <w:rsid w:val="00B07F5E"/>
    <w:rsid w:val="00B1006D"/>
    <w:rsid w:val="00B10071"/>
    <w:rsid w:val="00B10254"/>
    <w:rsid w:val="00B10507"/>
    <w:rsid w:val="00B1069A"/>
    <w:rsid w:val="00B10AB7"/>
    <w:rsid w:val="00B10F32"/>
    <w:rsid w:val="00B1104F"/>
    <w:rsid w:val="00B110CF"/>
    <w:rsid w:val="00B1132F"/>
    <w:rsid w:val="00B11391"/>
    <w:rsid w:val="00B11438"/>
    <w:rsid w:val="00B115AF"/>
    <w:rsid w:val="00B11C06"/>
    <w:rsid w:val="00B11DE1"/>
    <w:rsid w:val="00B11F0D"/>
    <w:rsid w:val="00B11FF8"/>
    <w:rsid w:val="00B120E3"/>
    <w:rsid w:val="00B12203"/>
    <w:rsid w:val="00B12563"/>
    <w:rsid w:val="00B126C4"/>
    <w:rsid w:val="00B12AD0"/>
    <w:rsid w:val="00B12AFE"/>
    <w:rsid w:val="00B12DAD"/>
    <w:rsid w:val="00B12DDA"/>
    <w:rsid w:val="00B12E51"/>
    <w:rsid w:val="00B12E53"/>
    <w:rsid w:val="00B13293"/>
    <w:rsid w:val="00B134DD"/>
    <w:rsid w:val="00B136B4"/>
    <w:rsid w:val="00B137E6"/>
    <w:rsid w:val="00B139CF"/>
    <w:rsid w:val="00B13A83"/>
    <w:rsid w:val="00B13A8E"/>
    <w:rsid w:val="00B13A9C"/>
    <w:rsid w:val="00B13C0F"/>
    <w:rsid w:val="00B13D80"/>
    <w:rsid w:val="00B14060"/>
    <w:rsid w:val="00B14536"/>
    <w:rsid w:val="00B1457A"/>
    <w:rsid w:val="00B1458E"/>
    <w:rsid w:val="00B14689"/>
    <w:rsid w:val="00B14746"/>
    <w:rsid w:val="00B1491A"/>
    <w:rsid w:val="00B14A55"/>
    <w:rsid w:val="00B14B26"/>
    <w:rsid w:val="00B14C03"/>
    <w:rsid w:val="00B15551"/>
    <w:rsid w:val="00B15697"/>
    <w:rsid w:val="00B15765"/>
    <w:rsid w:val="00B1581D"/>
    <w:rsid w:val="00B15877"/>
    <w:rsid w:val="00B15900"/>
    <w:rsid w:val="00B1593C"/>
    <w:rsid w:val="00B15946"/>
    <w:rsid w:val="00B1594B"/>
    <w:rsid w:val="00B15989"/>
    <w:rsid w:val="00B15BEE"/>
    <w:rsid w:val="00B15CC8"/>
    <w:rsid w:val="00B15D50"/>
    <w:rsid w:val="00B15D74"/>
    <w:rsid w:val="00B15E4A"/>
    <w:rsid w:val="00B16120"/>
    <w:rsid w:val="00B164CC"/>
    <w:rsid w:val="00B165A4"/>
    <w:rsid w:val="00B170F0"/>
    <w:rsid w:val="00B17813"/>
    <w:rsid w:val="00B17ABB"/>
    <w:rsid w:val="00B17E02"/>
    <w:rsid w:val="00B17FA5"/>
    <w:rsid w:val="00B20313"/>
    <w:rsid w:val="00B20362"/>
    <w:rsid w:val="00B2073B"/>
    <w:rsid w:val="00B208AE"/>
    <w:rsid w:val="00B209B2"/>
    <w:rsid w:val="00B20B13"/>
    <w:rsid w:val="00B20BE0"/>
    <w:rsid w:val="00B20C97"/>
    <w:rsid w:val="00B20E32"/>
    <w:rsid w:val="00B20F7E"/>
    <w:rsid w:val="00B2114F"/>
    <w:rsid w:val="00B211AA"/>
    <w:rsid w:val="00B21335"/>
    <w:rsid w:val="00B21820"/>
    <w:rsid w:val="00B21AA9"/>
    <w:rsid w:val="00B21E12"/>
    <w:rsid w:val="00B22B77"/>
    <w:rsid w:val="00B22D7E"/>
    <w:rsid w:val="00B2304D"/>
    <w:rsid w:val="00B23243"/>
    <w:rsid w:val="00B23251"/>
    <w:rsid w:val="00B235F1"/>
    <w:rsid w:val="00B243AB"/>
    <w:rsid w:val="00B24637"/>
    <w:rsid w:val="00B2481A"/>
    <w:rsid w:val="00B24827"/>
    <w:rsid w:val="00B24BE7"/>
    <w:rsid w:val="00B24EB9"/>
    <w:rsid w:val="00B25200"/>
    <w:rsid w:val="00B2599B"/>
    <w:rsid w:val="00B259F2"/>
    <w:rsid w:val="00B25D89"/>
    <w:rsid w:val="00B25F5B"/>
    <w:rsid w:val="00B26778"/>
    <w:rsid w:val="00B26819"/>
    <w:rsid w:val="00B26E67"/>
    <w:rsid w:val="00B27148"/>
    <w:rsid w:val="00B27288"/>
    <w:rsid w:val="00B27AA9"/>
    <w:rsid w:val="00B27AC7"/>
    <w:rsid w:val="00B27C09"/>
    <w:rsid w:val="00B27E24"/>
    <w:rsid w:val="00B27EF9"/>
    <w:rsid w:val="00B27F50"/>
    <w:rsid w:val="00B30059"/>
    <w:rsid w:val="00B301F6"/>
    <w:rsid w:val="00B304CE"/>
    <w:rsid w:val="00B3050A"/>
    <w:rsid w:val="00B30B16"/>
    <w:rsid w:val="00B31027"/>
    <w:rsid w:val="00B312D3"/>
    <w:rsid w:val="00B31361"/>
    <w:rsid w:val="00B315E3"/>
    <w:rsid w:val="00B31861"/>
    <w:rsid w:val="00B31994"/>
    <w:rsid w:val="00B32465"/>
    <w:rsid w:val="00B328D1"/>
    <w:rsid w:val="00B32908"/>
    <w:rsid w:val="00B32C2C"/>
    <w:rsid w:val="00B3305B"/>
    <w:rsid w:val="00B330CB"/>
    <w:rsid w:val="00B33135"/>
    <w:rsid w:val="00B3326A"/>
    <w:rsid w:val="00B33457"/>
    <w:rsid w:val="00B33A41"/>
    <w:rsid w:val="00B34191"/>
    <w:rsid w:val="00B34238"/>
    <w:rsid w:val="00B34536"/>
    <w:rsid w:val="00B348F0"/>
    <w:rsid w:val="00B34C75"/>
    <w:rsid w:val="00B351B2"/>
    <w:rsid w:val="00B35463"/>
    <w:rsid w:val="00B3554B"/>
    <w:rsid w:val="00B35964"/>
    <w:rsid w:val="00B35A02"/>
    <w:rsid w:val="00B35C75"/>
    <w:rsid w:val="00B36066"/>
    <w:rsid w:val="00B36165"/>
    <w:rsid w:val="00B36341"/>
    <w:rsid w:val="00B36717"/>
    <w:rsid w:val="00B367C5"/>
    <w:rsid w:val="00B36840"/>
    <w:rsid w:val="00B36936"/>
    <w:rsid w:val="00B370A0"/>
    <w:rsid w:val="00B37173"/>
    <w:rsid w:val="00B371A9"/>
    <w:rsid w:val="00B372AF"/>
    <w:rsid w:val="00B3737C"/>
    <w:rsid w:val="00B373A2"/>
    <w:rsid w:val="00B3742F"/>
    <w:rsid w:val="00B37614"/>
    <w:rsid w:val="00B37655"/>
    <w:rsid w:val="00B3770D"/>
    <w:rsid w:val="00B3773A"/>
    <w:rsid w:val="00B37A58"/>
    <w:rsid w:val="00B37BBC"/>
    <w:rsid w:val="00B37C13"/>
    <w:rsid w:val="00B37D83"/>
    <w:rsid w:val="00B4000A"/>
    <w:rsid w:val="00B4012F"/>
    <w:rsid w:val="00B405F4"/>
    <w:rsid w:val="00B4099D"/>
    <w:rsid w:val="00B412DD"/>
    <w:rsid w:val="00B4137E"/>
    <w:rsid w:val="00B4150F"/>
    <w:rsid w:val="00B41614"/>
    <w:rsid w:val="00B416D2"/>
    <w:rsid w:val="00B41AB4"/>
    <w:rsid w:val="00B41C01"/>
    <w:rsid w:val="00B4203B"/>
    <w:rsid w:val="00B42330"/>
    <w:rsid w:val="00B4245F"/>
    <w:rsid w:val="00B42619"/>
    <w:rsid w:val="00B4275A"/>
    <w:rsid w:val="00B42955"/>
    <w:rsid w:val="00B42A22"/>
    <w:rsid w:val="00B42C6D"/>
    <w:rsid w:val="00B42D6E"/>
    <w:rsid w:val="00B42E12"/>
    <w:rsid w:val="00B42E63"/>
    <w:rsid w:val="00B431BD"/>
    <w:rsid w:val="00B435EE"/>
    <w:rsid w:val="00B43700"/>
    <w:rsid w:val="00B439CF"/>
    <w:rsid w:val="00B43EA6"/>
    <w:rsid w:val="00B43FD0"/>
    <w:rsid w:val="00B44099"/>
    <w:rsid w:val="00B443C1"/>
    <w:rsid w:val="00B447BA"/>
    <w:rsid w:val="00B44E12"/>
    <w:rsid w:val="00B451B0"/>
    <w:rsid w:val="00B4551C"/>
    <w:rsid w:val="00B45680"/>
    <w:rsid w:val="00B458C9"/>
    <w:rsid w:val="00B45C71"/>
    <w:rsid w:val="00B45D33"/>
    <w:rsid w:val="00B4605B"/>
    <w:rsid w:val="00B46196"/>
    <w:rsid w:val="00B463DF"/>
    <w:rsid w:val="00B464C2"/>
    <w:rsid w:val="00B4660A"/>
    <w:rsid w:val="00B46BC9"/>
    <w:rsid w:val="00B46BE9"/>
    <w:rsid w:val="00B46CB1"/>
    <w:rsid w:val="00B46CC0"/>
    <w:rsid w:val="00B46F06"/>
    <w:rsid w:val="00B46FAC"/>
    <w:rsid w:val="00B47101"/>
    <w:rsid w:val="00B471CD"/>
    <w:rsid w:val="00B47350"/>
    <w:rsid w:val="00B4739E"/>
    <w:rsid w:val="00B476B5"/>
    <w:rsid w:val="00B47715"/>
    <w:rsid w:val="00B479D5"/>
    <w:rsid w:val="00B47BDB"/>
    <w:rsid w:val="00B47D97"/>
    <w:rsid w:val="00B47F1B"/>
    <w:rsid w:val="00B50097"/>
    <w:rsid w:val="00B50418"/>
    <w:rsid w:val="00B5052B"/>
    <w:rsid w:val="00B50590"/>
    <w:rsid w:val="00B505AB"/>
    <w:rsid w:val="00B505B1"/>
    <w:rsid w:val="00B50842"/>
    <w:rsid w:val="00B50E55"/>
    <w:rsid w:val="00B50EBD"/>
    <w:rsid w:val="00B50F28"/>
    <w:rsid w:val="00B5137E"/>
    <w:rsid w:val="00B5158D"/>
    <w:rsid w:val="00B51928"/>
    <w:rsid w:val="00B51C02"/>
    <w:rsid w:val="00B51C29"/>
    <w:rsid w:val="00B51E7E"/>
    <w:rsid w:val="00B51E8B"/>
    <w:rsid w:val="00B524A7"/>
    <w:rsid w:val="00B5276E"/>
    <w:rsid w:val="00B52809"/>
    <w:rsid w:val="00B529B6"/>
    <w:rsid w:val="00B52C5B"/>
    <w:rsid w:val="00B52C6D"/>
    <w:rsid w:val="00B52C85"/>
    <w:rsid w:val="00B52E71"/>
    <w:rsid w:val="00B531E0"/>
    <w:rsid w:val="00B5323F"/>
    <w:rsid w:val="00B53311"/>
    <w:rsid w:val="00B534DB"/>
    <w:rsid w:val="00B53CB7"/>
    <w:rsid w:val="00B53CF7"/>
    <w:rsid w:val="00B540DE"/>
    <w:rsid w:val="00B5477D"/>
    <w:rsid w:val="00B5483B"/>
    <w:rsid w:val="00B54891"/>
    <w:rsid w:val="00B549FE"/>
    <w:rsid w:val="00B54CA8"/>
    <w:rsid w:val="00B55299"/>
    <w:rsid w:val="00B55716"/>
    <w:rsid w:val="00B5638E"/>
    <w:rsid w:val="00B568FB"/>
    <w:rsid w:val="00B569FF"/>
    <w:rsid w:val="00B56AE6"/>
    <w:rsid w:val="00B56AFB"/>
    <w:rsid w:val="00B56CB9"/>
    <w:rsid w:val="00B56F7B"/>
    <w:rsid w:val="00B56F99"/>
    <w:rsid w:val="00B5737F"/>
    <w:rsid w:val="00B573A9"/>
    <w:rsid w:val="00B57413"/>
    <w:rsid w:val="00B5741C"/>
    <w:rsid w:val="00B575BC"/>
    <w:rsid w:val="00B5782E"/>
    <w:rsid w:val="00B57ACD"/>
    <w:rsid w:val="00B57D05"/>
    <w:rsid w:val="00B57D59"/>
    <w:rsid w:val="00B57DAB"/>
    <w:rsid w:val="00B57E66"/>
    <w:rsid w:val="00B601FC"/>
    <w:rsid w:val="00B6024A"/>
    <w:rsid w:val="00B60534"/>
    <w:rsid w:val="00B60689"/>
    <w:rsid w:val="00B608F0"/>
    <w:rsid w:val="00B61172"/>
    <w:rsid w:val="00B612A9"/>
    <w:rsid w:val="00B6139A"/>
    <w:rsid w:val="00B6161A"/>
    <w:rsid w:val="00B6161B"/>
    <w:rsid w:val="00B61726"/>
    <w:rsid w:val="00B61BA3"/>
    <w:rsid w:val="00B61DBD"/>
    <w:rsid w:val="00B6294F"/>
    <w:rsid w:val="00B62B4A"/>
    <w:rsid w:val="00B62B57"/>
    <w:rsid w:val="00B62CD3"/>
    <w:rsid w:val="00B62FDE"/>
    <w:rsid w:val="00B632D3"/>
    <w:rsid w:val="00B636C9"/>
    <w:rsid w:val="00B637FE"/>
    <w:rsid w:val="00B63B28"/>
    <w:rsid w:val="00B63CB7"/>
    <w:rsid w:val="00B64239"/>
    <w:rsid w:val="00B642D0"/>
    <w:rsid w:val="00B642EB"/>
    <w:rsid w:val="00B645CA"/>
    <w:rsid w:val="00B64724"/>
    <w:rsid w:val="00B64992"/>
    <w:rsid w:val="00B64D2B"/>
    <w:rsid w:val="00B64DF6"/>
    <w:rsid w:val="00B654F2"/>
    <w:rsid w:val="00B6566B"/>
    <w:rsid w:val="00B657FD"/>
    <w:rsid w:val="00B65842"/>
    <w:rsid w:val="00B66429"/>
    <w:rsid w:val="00B66586"/>
    <w:rsid w:val="00B665CC"/>
    <w:rsid w:val="00B66695"/>
    <w:rsid w:val="00B6698A"/>
    <w:rsid w:val="00B6699D"/>
    <w:rsid w:val="00B66D67"/>
    <w:rsid w:val="00B66ED8"/>
    <w:rsid w:val="00B6709C"/>
    <w:rsid w:val="00B670E5"/>
    <w:rsid w:val="00B67761"/>
    <w:rsid w:val="00B6798C"/>
    <w:rsid w:val="00B67A4C"/>
    <w:rsid w:val="00B67B89"/>
    <w:rsid w:val="00B7045D"/>
    <w:rsid w:val="00B70A8C"/>
    <w:rsid w:val="00B70E14"/>
    <w:rsid w:val="00B70F81"/>
    <w:rsid w:val="00B710EE"/>
    <w:rsid w:val="00B7129C"/>
    <w:rsid w:val="00B71643"/>
    <w:rsid w:val="00B71D7F"/>
    <w:rsid w:val="00B71D90"/>
    <w:rsid w:val="00B722E9"/>
    <w:rsid w:val="00B723A3"/>
    <w:rsid w:val="00B7240F"/>
    <w:rsid w:val="00B72709"/>
    <w:rsid w:val="00B72D5E"/>
    <w:rsid w:val="00B72D89"/>
    <w:rsid w:val="00B72F69"/>
    <w:rsid w:val="00B735E1"/>
    <w:rsid w:val="00B739AC"/>
    <w:rsid w:val="00B73A32"/>
    <w:rsid w:val="00B73D8D"/>
    <w:rsid w:val="00B73FA2"/>
    <w:rsid w:val="00B742A6"/>
    <w:rsid w:val="00B74317"/>
    <w:rsid w:val="00B7436E"/>
    <w:rsid w:val="00B747DD"/>
    <w:rsid w:val="00B748A0"/>
    <w:rsid w:val="00B748AC"/>
    <w:rsid w:val="00B74D13"/>
    <w:rsid w:val="00B74F8F"/>
    <w:rsid w:val="00B75408"/>
    <w:rsid w:val="00B75672"/>
    <w:rsid w:val="00B75912"/>
    <w:rsid w:val="00B75AB8"/>
    <w:rsid w:val="00B75BBF"/>
    <w:rsid w:val="00B75BE3"/>
    <w:rsid w:val="00B75DFF"/>
    <w:rsid w:val="00B760EA"/>
    <w:rsid w:val="00B7680C"/>
    <w:rsid w:val="00B7682A"/>
    <w:rsid w:val="00B76882"/>
    <w:rsid w:val="00B768BE"/>
    <w:rsid w:val="00B76F49"/>
    <w:rsid w:val="00B7703A"/>
    <w:rsid w:val="00B777C4"/>
    <w:rsid w:val="00B778A1"/>
    <w:rsid w:val="00B779DB"/>
    <w:rsid w:val="00B77DBD"/>
    <w:rsid w:val="00B80169"/>
    <w:rsid w:val="00B8026E"/>
    <w:rsid w:val="00B80437"/>
    <w:rsid w:val="00B80483"/>
    <w:rsid w:val="00B80577"/>
    <w:rsid w:val="00B80838"/>
    <w:rsid w:val="00B80A94"/>
    <w:rsid w:val="00B80E96"/>
    <w:rsid w:val="00B80EAF"/>
    <w:rsid w:val="00B81221"/>
    <w:rsid w:val="00B81D6F"/>
    <w:rsid w:val="00B8214E"/>
    <w:rsid w:val="00B821A0"/>
    <w:rsid w:val="00B824B6"/>
    <w:rsid w:val="00B82644"/>
    <w:rsid w:val="00B828EC"/>
    <w:rsid w:val="00B829F7"/>
    <w:rsid w:val="00B82A16"/>
    <w:rsid w:val="00B82CC2"/>
    <w:rsid w:val="00B82FB9"/>
    <w:rsid w:val="00B83221"/>
    <w:rsid w:val="00B8327C"/>
    <w:rsid w:val="00B83458"/>
    <w:rsid w:val="00B8345C"/>
    <w:rsid w:val="00B835F7"/>
    <w:rsid w:val="00B83674"/>
    <w:rsid w:val="00B83728"/>
    <w:rsid w:val="00B838CB"/>
    <w:rsid w:val="00B8393B"/>
    <w:rsid w:val="00B83C34"/>
    <w:rsid w:val="00B83CE7"/>
    <w:rsid w:val="00B83E74"/>
    <w:rsid w:val="00B84148"/>
    <w:rsid w:val="00B842F7"/>
    <w:rsid w:val="00B8458C"/>
    <w:rsid w:val="00B845ED"/>
    <w:rsid w:val="00B84645"/>
    <w:rsid w:val="00B8493B"/>
    <w:rsid w:val="00B849C6"/>
    <w:rsid w:val="00B84C29"/>
    <w:rsid w:val="00B84CE9"/>
    <w:rsid w:val="00B84CFA"/>
    <w:rsid w:val="00B85075"/>
    <w:rsid w:val="00B851DC"/>
    <w:rsid w:val="00B8523B"/>
    <w:rsid w:val="00B85AED"/>
    <w:rsid w:val="00B85FCD"/>
    <w:rsid w:val="00B85FED"/>
    <w:rsid w:val="00B86093"/>
    <w:rsid w:val="00B86283"/>
    <w:rsid w:val="00B86303"/>
    <w:rsid w:val="00B86844"/>
    <w:rsid w:val="00B86BDF"/>
    <w:rsid w:val="00B86C5C"/>
    <w:rsid w:val="00B86ECC"/>
    <w:rsid w:val="00B86EF9"/>
    <w:rsid w:val="00B87003"/>
    <w:rsid w:val="00B8702C"/>
    <w:rsid w:val="00B87681"/>
    <w:rsid w:val="00B877A2"/>
    <w:rsid w:val="00B87CEA"/>
    <w:rsid w:val="00B9031E"/>
    <w:rsid w:val="00B90716"/>
    <w:rsid w:val="00B90928"/>
    <w:rsid w:val="00B90D04"/>
    <w:rsid w:val="00B90DCD"/>
    <w:rsid w:val="00B91129"/>
    <w:rsid w:val="00B9114C"/>
    <w:rsid w:val="00B9134C"/>
    <w:rsid w:val="00B915A8"/>
    <w:rsid w:val="00B916E3"/>
    <w:rsid w:val="00B9190D"/>
    <w:rsid w:val="00B919F0"/>
    <w:rsid w:val="00B91D0C"/>
    <w:rsid w:val="00B9223F"/>
    <w:rsid w:val="00B9248D"/>
    <w:rsid w:val="00B924B1"/>
    <w:rsid w:val="00B92634"/>
    <w:rsid w:val="00B9265B"/>
    <w:rsid w:val="00B92727"/>
    <w:rsid w:val="00B92A5B"/>
    <w:rsid w:val="00B92A8C"/>
    <w:rsid w:val="00B92B96"/>
    <w:rsid w:val="00B92BB9"/>
    <w:rsid w:val="00B92D52"/>
    <w:rsid w:val="00B92F26"/>
    <w:rsid w:val="00B92F76"/>
    <w:rsid w:val="00B930EB"/>
    <w:rsid w:val="00B931BB"/>
    <w:rsid w:val="00B93462"/>
    <w:rsid w:val="00B934BB"/>
    <w:rsid w:val="00B93571"/>
    <w:rsid w:val="00B9359B"/>
    <w:rsid w:val="00B936F0"/>
    <w:rsid w:val="00B9373C"/>
    <w:rsid w:val="00B938E0"/>
    <w:rsid w:val="00B93987"/>
    <w:rsid w:val="00B9422F"/>
    <w:rsid w:val="00B944CE"/>
    <w:rsid w:val="00B948DA"/>
    <w:rsid w:val="00B9546A"/>
    <w:rsid w:val="00B9588E"/>
    <w:rsid w:val="00B95ABC"/>
    <w:rsid w:val="00B95E06"/>
    <w:rsid w:val="00B95EBC"/>
    <w:rsid w:val="00B9608B"/>
    <w:rsid w:val="00B964C2"/>
    <w:rsid w:val="00B967B7"/>
    <w:rsid w:val="00B967BA"/>
    <w:rsid w:val="00B96A8D"/>
    <w:rsid w:val="00B96B04"/>
    <w:rsid w:val="00B96B4A"/>
    <w:rsid w:val="00B96BFA"/>
    <w:rsid w:val="00B97491"/>
    <w:rsid w:val="00B97B45"/>
    <w:rsid w:val="00B97E34"/>
    <w:rsid w:val="00B97EC8"/>
    <w:rsid w:val="00BA00B1"/>
    <w:rsid w:val="00BA0117"/>
    <w:rsid w:val="00BA03F1"/>
    <w:rsid w:val="00BA0415"/>
    <w:rsid w:val="00BA046B"/>
    <w:rsid w:val="00BA0725"/>
    <w:rsid w:val="00BA0815"/>
    <w:rsid w:val="00BA081E"/>
    <w:rsid w:val="00BA08CD"/>
    <w:rsid w:val="00BA0A11"/>
    <w:rsid w:val="00BA0AFA"/>
    <w:rsid w:val="00BA0B5F"/>
    <w:rsid w:val="00BA0EF7"/>
    <w:rsid w:val="00BA11C6"/>
    <w:rsid w:val="00BA1366"/>
    <w:rsid w:val="00BA1518"/>
    <w:rsid w:val="00BA1A9C"/>
    <w:rsid w:val="00BA1C8D"/>
    <w:rsid w:val="00BA202A"/>
    <w:rsid w:val="00BA2129"/>
    <w:rsid w:val="00BA24D7"/>
    <w:rsid w:val="00BA254A"/>
    <w:rsid w:val="00BA2AE1"/>
    <w:rsid w:val="00BA2EC4"/>
    <w:rsid w:val="00BA3129"/>
    <w:rsid w:val="00BA3624"/>
    <w:rsid w:val="00BA3A77"/>
    <w:rsid w:val="00BA3BBC"/>
    <w:rsid w:val="00BA3E11"/>
    <w:rsid w:val="00BA40B0"/>
    <w:rsid w:val="00BA41AF"/>
    <w:rsid w:val="00BA4378"/>
    <w:rsid w:val="00BA46F9"/>
    <w:rsid w:val="00BA4759"/>
    <w:rsid w:val="00BA49A1"/>
    <w:rsid w:val="00BA4D3B"/>
    <w:rsid w:val="00BA4F4B"/>
    <w:rsid w:val="00BA575A"/>
    <w:rsid w:val="00BA57B1"/>
    <w:rsid w:val="00BA5CC9"/>
    <w:rsid w:val="00BA6104"/>
    <w:rsid w:val="00BA61EC"/>
    <w:rsid w:val="00BA6213"/>
    <w:rsid w:val="00BA6469"/>
    <w:rsid w:val="00BA660C"/>
    <w:rsid w:val="00BA66EC"/>
    <w:rsid w:val="00BA66FB"/>
    <w:rsid w:val="00BA67DF"/>
    <w:rsid w:val="00BA68BE"/>
    <w:rsid w:val="00BA690B"/>
    <w:rsid w:val="00BA6AD4"/>
    <w:rsid w:val="00BA6CC7"/>
    <w:rsid w:val="00BA705E"/>
    <w:rsid w:val="00BA7260"/>
    <w:rsid w:val="00BA7828"/>
    <w:rsid w:val="00BA783A"/>
    <w:rsid w:val="00BA78B1"/>
    <w:rsid w:val="00BA7C9D"/>
    <w:rsid w:val="00BB008A"/>
    <w:rsid w:val="00BB01FB"/>
    <w:rsid w:val="00BB069E"/>
    <w:rsid w:val="00BB07C8"/>
    <w:rsid w:val="00BB09C4"/>
    <w:rsid w:val="00BB0B99"/>
    <w:rsid w:val="00BB0C7A"/>
    <w:rsid w:val="00BB0F3F"/>
    <w:rsid w:val="00BB1189"/>
    <w:rsid w:val="00BB12FE"/>
    <w:rsid w:val="00BB1464"/>
    <w:rsid w:val="00BB18EA"/>
    <w:rsid w:val="00BB1962"/>
    <w:rsid w:val="00BB1B65"/>
    <w:rsid w:val="00BB1C72"/>
    <w:rsid w:val="00BB1DC6"/>
    <w:rsid w:val="00BB2165"/>
    <w:rsid w:val="00BB225B"/>
    <w:rsid w:val="00BB2685"/>
    <w:rsid w:val="00BB292F"/>
    <w:rsid w:val="00BB2F4E"/>
    <w:rsid w:val="00BB304D"/>
    <w:rsid w:val="00BB30F7"/>
    <w:rsid w:val="00BB3140"/>
    <w:rsid w:val="00BB3735"/>
    <w:rsid w:val="00BB3944"/>
    <w:rsid w:val="00BB3C13"/>
    <w:rsid w:val="00BB3F1E"/>
    <w:rsid w:val="00BB408F"/>
    <w:rsid w:val="00BB4376"/>
    <w:rsid w:val="00BB4668"/>
    <w:rsid w:val="00BB4978"/>
    <w:rsid w:val="00BB4B93"/>
    <w:rsid w:val="00BB4BAA"/>
    <w:rsid w:val="00BB4E8D"/>
    <w:rsid w:val="00BB5029"/>
    <w:rsid w:val="00BB50FE"/>
    <w:rsid w:val="00BB523B"/>
    <w:rsid w:val="00BB542E"/>
    <w:rsid w:val="00BB57FA"/>
    <w:rsid w:val="00BB5BE8"/>
    <w:rsid w:val="00BB5E79"/>
    <w:rsid w:val="00BB6025"/>
    <w:rsid w:val="00BB62DF"/>
    <w:rsid w:val="00BB63BA"/>
    <w:rsid w:val="00BB642C"/>
    <w:rsid w:val="00BB66C1"/>
    <w:rsid w:val="00BB6B0B"/>
    <w:rsid w:val="00BB6CCB"/>
    <w:rsid w:val="00BB6D04"/>
    <w:rsid w:val="00BB6D35"/>
    <w:rsid w:val="00BB7112"/>
    <w:rsid w:val="00BB71CE"/>
    <w:rsid w:val="00BB750F"/>
    <w:rsid w:val="00BB7787"/>
    <w:rsid w:val="00BB77D2"/>
    <w:rsid w:val="00BB78CF"/>
    <w:rsid w:val="00BB78D4"/>
    <w:rsid w:val="00BB792F"/>
    <w:rsid w:val="00BB7BD0"/>
    <w:rsid w:val="00BB7E6E"/>
    <w:rsid w:val="00BB7EAF"/>
    <w:rsid w:val="00BB7EB3"/>
    <w:rsid w:val="00BC00B8"/>
    <w:rsid w:val="00BC01DF"/>
    <w:rsid w:val="00BC0245"/>
    <w:rsid w:val="00BC0302"/>
    <w:rsid w:val="00BC0315"/>
    <w:rsid w:val="00BC034E"/>
    <w:rsid w:val="00BC0829"/>
    <w:rsid w:val="00BC10D6"/>
    <w:rsid w:val="00BC12CE"/>
    <w:rsid w:val="00BC1476"/>
    <w:rsid w:val="00BC14DF"/>
    <w:rsid w:val="00BC1633"/>
    <w:rsid w:val="00BC1730"/>
    <w:rsid w:val="00BC1ACF"/>
    <w:rsid w:val="00BC1E7B"/>
    <w:rsid w:val="00BC246F"/>
    <w:rsid w:val="00BC2876"/>
    <w:rsid w:val="00BC2AFB"/>
    <w:rsid w:val="00BC2C18"/>
    <w:rsid w:val="00BC30A8"/>
    <w:rsid w:val="00BC3107"/>
    <w:rsid w:val="00BC3210"/>
    <w:rsid w:val="00BC3453"/>
    <w:rsid w:val="00BC3C63"/>
    <w:rsid w:val="00BC3C77"/>
    <w:rsid w:val="00BC3ECE"/>
    <w:rsid w:val="00BC42B5"/>
    <w:rsid w:val="00BC47FF"/>
    <w:rsid w:val="00BC49C7"/>
    <w:rsid w:val="00BC4A6F"/>
    <w:rsid w:val="00BC4CCB"/>
    <w:rsid w:val="00BC4DB2"/>
    <w:rsid w:val="00BC4F8C"/>
    <w:rsid w:val="00BC5647"/>
    <w:rsid w:val="00BC585B"/>
    <w:rsid w:val="00BC5DAD"/>
    <w:rsid w:val="00BC5DE7"/>
    <w:rsid w:val="00BC5E9D"/>
    <w:rsid w:val="00BC6410"/>
    <w:rsid w:val="00BC66B6"/>
    <w:rsid w:val="00BC66E4"/>
    <w:rsid w:val="00BC6BEC"/>
    <w:rsid w:val="00BC70E7"/>
    <w:rsid w:val="00BC71BD"/>
    <w:rsid w:val="00BC730D"/>
    <w:rsid w:val="00BC77D3"/>
    <w:rsid w:val="00BC798B"/>
    <w:rsid w:val="00BC7C8F"/>
    <w:rsid w:val="00BD07BD"/>
    <w:rsid w:val="00BD0A27"/>
    <w:rsid w:val="00BD0B05"/>
    <w:rsid w:val="00BD0F03"/>
    <w:rsid w:val="00BD111B"/>
    <w:rsid w:val="00BD12B4"/>
    <w:rsid w:val="00BD15CB"/>
    <w:rsid w:val="00BD181C"/>
    <w:rsid w:val="00BD1C65"/>
    <w:rsid w:val="00BD1D1B"/>
    <w:rsid w:val="00BD1DE7"/>
    <w:rsid w:val="00BD1E3D"/>
    <w:rsid w:val="00BD242E"/>
    <w:rsid w:val="00BD27CB"/>
    <w:rsid w:val="00BD2804"/>
    <w:rsid w:val="00BD28DE"/>
    <w:rsid w:val="00BD319F"/>
    <w:rsid w:val="00BD31AD"/>
    <w:rsid w:val="00BD353D"/>
    <w:rsid w:val="00BD3627"/>
    <w:rsid w:val="00BD3752"/>
    <w:rsid w:val="00BD3AC3"/>
    <w:rsid w:val="00BD3D5D"/>
    <w:rsid w:val="00BD4015"/>
    <w:rsid w:val="00BD4211"/>
    <w:rsid w:val="00BD4693"/>
    <w:rsid w:val="00BD47A6"/>
    <w:rsid w:val="00BD4873"/>
    <w:rsid w:val="00BD4A1F"/>
    <w:rsid w:val="00BD4CAA"/>
    <w:rsid w:val="00BD4FC3"/>
    <w:rsid w:val="00BD5246"/>
    <w:rsid w:val="00BD546D"/>
    <w:rsid w:val="00BD596E"/>
    <w:rsid w:val="00BD5AB2"/>
    <w:rsid w:val="00BD5D98"/>
    <w:rsid w:val="00BD621F"/>
    <w:rsid w:val="00BD6ADD"/>
    <w:rsid w:val="00BD752E"/>
    <w:rsid w:val="00BD78FD"/>
    <w:rsid w:val="00BD7A63"/>
    <w:rsid w:val="00BD7D7B"/>
    <w:rsid w:val="00BD7DC3"/>
    <w:rsid w:val="00BD7F06"/>
    <w:rsid w:val="00BD7F52"/>
    <w:rsid w:val="00BE0038"/>
    <w:rsid w:val="00BE0056"/>
    <w:rsid w:val="00BE0447"/>
    <w:rsid w:val="00BE0671"/>
    <w:rsid w:val="00BE123E"/>
    <w:rsid w:val="00BE1265"/>
    <w:rsid w:val="00BE12D1"/>
    <w:rsid w:val="00BE1702"/>
    <w:rsid w:val="00BE1750"/>
    <w:rsid w:val="00BE1963"/>
    <w:rsid w:val="00BE1997"/>
    <w:rsid w:val="00BE1FD4"/>
    <w:rsid w:val="00BE233B"/>
    <w:rsid w:val="00BE23DA"/>
    <w:rsid w:val="00BE246F"/>
    <w:rsid w:val="00BE2988"/>
    <w:rsid w:val="00BE2993"/>
    <w:rsid w:val="00BE2A7A"/>
    <w:rsid w:val="00BE2AE3"/>
    <w:rsid w:val="00BE2D45"/>
    <w:rsid w:val="00BE33AC"/>
    <w:rsid w:val="00BE33AD"/>
    <w:rsid w:val="00BE33B3"/>
    <w:rsid w:val="00BE391D"/>
    <w:rsid w:val="00BE39AE"/>
    <w:rsid w:val="00BE39CB"/>
    <w:rsid w:val="00BE3B11"/>
    <w:rsid w:val="00BE3E40"/>
    <w:rsid w:val="00BE3ECF"/>
    <w:rsid w:val="00BE42F2"/>
    <w:rsid w:val="00BE4774"/>
    <w:rsid w:val="00BE4CB4"/>
    <w:rsid w:val="00BE510E"/>
    <w:rsid w:val="00BE5785"/>
    <w:rsid w:val="00BE578C"/>
    <w:rsid w:val="00BE5940"/>
    <w:rsid w:val="00BE595C"/>
    <w:rsid w:val="00BE5A46"/>
    <w:rsid w:val="00BE5C66"/>
    <w:rsid w:val="00BE5CEA"/>
    <w:rsid w:val="00BE6589"/>
    <w:rsid w:val="00BE6861"/>
    <w:rsid w:val="00BE6992"/>
    <w:rsid w:val="00BE69A0"/>
    <w:rsid w:val="00BE718D"/>
    <w:rsid w:val="00BE71FE"/>
    <w:rsid w:val="00BE725F"/>
    <w:rsid w:val="00BE7443"/>
    <w:rsid w:val="00BE78B1"/>
    <w:rsid w:val="00BE7BDA"/>
    <w:rsid w:val="00BE7C6A"/>
    <w:rsid w:val="00BE7EBD"/>
    <w:rsid w:val="00BF0165"/>
    <w:rsid w:val="00BF03D1"/>
    <w:rsid w:val="00BF03D4"/>
    <w:rsid w:val="00BF04F1"/>
    <w:rsid w:val="00BF0B99"/>
    <w:rsid w:val="00BF0CB6"/>
    <w:rsid w:val="00BF0DC7"/>
    <w:rsid w:val="00BF0E13"/>
    <w:rsid w:val="00BF0F76"/>
    <w:rsid w:val="00BF1283"/>
    <w:rsid w:val="00BF14D6"/>
    <w:rsid w:val="00BF1610"/>
    <w:rsid w:val="00BF17A6"/>
    <w:rsid w:val="00BF1A88"/>
    <w:rsid w:val="00BF1F87"/>
    <w:rsid w:val="00BF202D"/>
    <w:rsid w:val="00BF217D"/>
    <w:rsid w:val="00BF23EC"/>
    <w:rsid w:val="00BF24FF"/>
    <w:rsid w:val="00BF25C0"/>
    <w:rsid w:val="00BF25CA"/>
    <w:rsid w:val="00BF2DD4"/>
    <w:rsid w:val="00BF33CC"/>
    <w:rsid w:val="00BF3720"/>
    <w:rsid w:val="00BF37E4"/>
    <w:rsid w:val="00BF3877"/>
    <w:rsid w:val="00BF39F1"/>
    <w:rsid w:val="00BF3B06"/>
    <w:rsid w:val="00BF3CEE"/>
    <w:rsid w:val="00BF3F32"/>
    <w:rsid w:val="00BF44AC"/>
    <w:rsid w:val="00BF476C"/>
    <w:rsid w:val="00BF480C"/>
    <w:rsid w:val="00BF4904"/>
    <w:rsid w:val="00BF49A6"/>
    <w:rsid w:val="00BF49D0"/>
    <w:rsid w:val="00BF4ABD"/>
    <w:rsid w:val="00BF4ACA"/>
    <w:rsid w:val="00BF5247"/>
    <w:rsid w:val="00BF5DDC"/>
    <w:rsid w:val="00BF5F78"/>
    <w:rsid w:val="00BF5FE4"/>
    <w:rsid w:val="00BF5FF1"/>
    <w:rsid w:val="00BF61F4"/>
    <w:rsid w:val="00BF6AE8"/>
    <w:rsid w:val="00BF6BA4"/>
    <w:rsid w:val="00BF6BD5"/>
    <w:rsid w:val="00BF6C21"/>
    <w:rsid w:val="00BF6C97"/>
    <w:rsid w:val="00BF6D00"/>
    <w:rsid w:val="00BF7132"/>
    <w:rsid w:val="00BF7176"/>
    <w:rsid w:val="00BF719F"/>
    <w:rsid w:val="00BF731E"/>
    <w:rsid w:val="00BF78AF"/>
    <w:rsid w:val="00BF795C"/>
    <w:rsid w:val="00BF7980"/>
    <w:rsid w:val="00C007E7"/>
    <w:rsid w:val="00C0087E"/>
    <w:rsid w:val="00C00A93"/>
    <w:rsid w:val="00C00AC9"/>
    <w:rsid w:val="00C01359"/>
    <w:rsid w:val="00C01558"/>
    <w:rsid w:val="00C01942"/>
    <w:rsid w:val="00C01999"/>
    <w:rsid w:val="00C01ABF"/>
    <w:rsid w:val="00C01D53"/>
    <w:rsid w:val="00C02516"/>
    <w:rsid w:val="00C026D7"/>
    <w:rsid w:val="00C02822"/>
    <w:rsid w:val="00C02BB9"/>
    <w:rsid w:val="00C02C0D"/>
    <w:rsid w:val="00C02E24"/>
    <w:rsid w:val="00C02E8C"/>
    <w:rsid w:val="00C02F26"/>
    <w:rsid w:val="00C03046"/>
    <w:rsid w:val="00C036F3"/>
    <w:rsid w:val="00C04143"/>
    <w:rsid w:val="00C04633"/>
    <w:rsid w:val="00C04ADC"/>
    <w:rsid w:val="00C04D43"/>
    <w:rsid w:val="00C04E25"/>
    <w:rsid w:val="00C04F36"/>
    <w:rsid w:val="00C0500F"/>
    <w:rsid w:val="00C0509D"/>
    <w:rsid w:val="00C0512B"/>
    <w:rsid w:val="00C05462"/>
    <w:rsid w:val="00C056DD"/>
    <w:rsid w:val="00C05873"/>
    <w:rsid w:val="00C05907"/>
    <w:rsid w:val="00C05FE8"/>
    <w:rsid w:val="00C060DE"/>
    <w:rsid w:val="00C06317"/>
    <w:rsid w:val="00C06332"/>
    <w:rsid w:val="00C063A0"/>
    <w:rsid w:val="00C0641B"/>
    <w:rsid w:val="00C0647C"/>
    <w:rsid w:val="00C065BF"/>
    <w:rsid w:val="00C06B20"/>
    <w:rsid w:val="00C06C8E"/>
    <w:rsid w:val="00C07060"/>
    <w:rsid w:val="00C0776C"/>
    <w:rsid w:val="00C07810"/>
    <w:rsid w:val="00C07955"/>
    <w:rsid w:val="00C07B67"/>
    <w:rsid w:val="00C10101"/>
    <w:rsid w:val="00C10179"/>
    <w:rsid w:val="00C101AE"/>
    <w:rsid w:val="00C10282"/>
    <w:rsid w:val="00C1047F"/>
    <w:rsid w:val="00C105C8"/>
    <w:rsid w:val="00C106F2"/>
    <w:rsid w:val="00C10959"/>
    <w:rsid w:val="00C10AD0"/>
    <w:rsid w:val="00C10B58"/>
    <w:rsid w:val="00C10CFE"/>
    <w:rsid w:val="00C11088"/>
    <w:rsid w:val="00C11106"/>
    <w:rsid w:val="00C111CC"/>
    <w:rsid w:val="00C1168D"/>
    <w:rsid w:val="00C116FB"/>
    <w:rsid w:val="00C1193E"/>
    <w:rsid w:val="00C11E66"/>
    <w:rsid w:val="00C11FE0"/>
    <w:rsid w:val="00C1230D"/>
    <w:rsid w:val="00C125F5"/>
    <w:rsid w:val="00C12809"/>
    <w:rsid w:val="00C1284E"/>
    <w:rsid w:val="00C12C35"/>
    <w:rsid w:val="00C1368F"/>
    <w:rsid w:val="00C13751"/>
    <w:rsid w:val="00C138AF"/>
    <w:rsid w:val="00C138CF"/>
    <w:rsid w:val="00C13B03"/>
    <w:rsid w:val="00C13DAB"/>
    <w:rsid w:val="00C13E84"/>
    <w:rsid w:val="00C148C9"/>
    <w:rsid w:val="00C14CF4"/>
    <w:rsid w:val="00C14E10"/>
    <w:rsid w:val="00C152DB"/>
    <w:rsid w:val="00C154C8"/>
    <w:rsid w:val="00C15AEC"/>
    <w:rsid w:val="00C15CAC"/>
    <w:rsid w:val="00C160BB"/>
    <w:rsid w:val="00C16471"/>
    <w:rsid w:val="00C166DA"/>
    <w:rsid w:val="00C16901"/>
    <w:rsid w:val="00C169F6"/>
    <w:rsid w:val="00C1712F"/>
    <w:rsid w:val="00C17199"/>
    <w:rsid w:val="00C17298"/>
    <w:rsid w:val="00C17366"/>
    <w:rsid w:val="00C17466"/>
    <w:rsid w:val="00C1764F"/>
    <w:rsid w:val="00C17741"/>
    <w:rsid w:val="00C1775E"/>
    <w:rsid w:val="00C17AB6"/>
    <w:rsid w:val="00C17BCA"/>
    <w:rsid w:val="00C17CC3"/>
    <w:rsid w:val="00C17CD4"/>
    <w:rsid w:val="00C17CF6"/>
    <w:rsid w:val="00C17F94"/>
    <w:rsid w:val="00C20076"/>
    <w:rsid w:val="00C204F6"/>
    <w:rsid w:val="00C2065E"/>
    <w:rsid w:val="00C20906"/>
    <w:rsid w:val="00C20A80"/>
    <w:rsid w:val="00C20BBB"/>
    <w:rsid w:val="00C20DD0"/>
    <w:rsid w:val="00C213F8"/>
    <w:rsid w:val="00C214F8"/>
    <w:rsid w:val="00C216A8"/>
    <w:rsid w:val="00C216E8"/>
    <w:rsid w:val="00C218D3"/>
    <w:rsid w:val="00C21DEF"/>
    <w:rsid w:val="00C220CD"/>
    <w:rsid w:val="00C22218"/>
    <w:rsid w:val="00C22250"/>
    <w:rsid w:val="00C22283"/>
    <w:rsid w:val="00C229BE"/>
    <w:rsid w:val="00C22A9A"/>
    <w:rsid w:val="00C22C6B"/>
    <w:rsid w:val="00C22D13"/>
    <w:rsid w:val="00C22E0A"/>
    <w:rsid w:val="00C22FAF"/>
    <w:rsid w:val="00C2302C"/>
    <w:rsid w:val="00C2307C"/>
    <w:rsid w:val="00C23289"/>
    <w:rsid w:val="00C24082"/>
    <w:rsid w:val="00C240AC"/>
    <w:rsid w:val="00C2417E"/>
    <w:rsid w:val="00C242E1"/>
    <w:rsid w:val="00C24451"/>
    <w:rsid w:val="00C247FF"/>
    <w:rsid w:val="00C24857"/>
    <w:rsid w:val="00C24D12"/>
    <w:rsid w:val="00C24F44"/>
    <w:rsid w:val="00C25170"/>
    <w:rsid w:val="00C2524C"/>
    <w:rsid w:val="00C25E73"/>
    <w:rsid w:val="00C2602B"/>
    <w:rsid w:val="00C26256"/>
    <w:rsid w:val="00C26288"/>
    <w:rsid w:val="00C26318"/>
    <w:rsid w:val="00C26A0F"/>
    <w:rsid w:val="00C26B99"/>
    <w:rsid w:val="00C26C1D"/>
    <w:rsid w:val="00C26FEF"/>
    <w:rsid w:val="00C273BD"/>
    <w:rsid w:val="00C276F4"/>
    <w:rsid w:val="00C27B0E"/>
    <w:rsid w:val="00C27BCB"/>
    <w:rsid w:val="00C301C1"/>
    <w:rsid w:val="00C3025E"/>
    <w:rsid w:val="00C30373"/>
    <w:rsid w:val="00C304F6"/>
    <w:rsid w:val="00C306DA"/>
    <w:rsid w:val="00C30863"/>
    <w:rsid w:val="00C30957"/>
    <w:rsid w:val="00C30B8F"/>
    <w:rsid w:val="00C30CF4"/>
    <w:rsid w:val="00C30F2A"/>
    <w:rsid w:val="00C311A8"/>
    <w:rsid w:val="00C3158A"/>
    <w:rsid w:val="00C316C9"/>
    <w:rsid w:val="00C31798"/>
    <w:rsid w:val="00C31C2C"/>
    <w:rsid w:val="00C320E2"/>
    <w:rsid w:val="00C322F7"/>
    <w:rsid w:val="00C323C5"/>
    <w:rsid w:val="00C32766"/>
    <w:rsid w:val="00C327B6"/>
    <w:rsid w:val="00C3282A"/>
    <w:rsid w:val="00C328DF"/>
    <w:rsid w:val="00C328F5"/>
    <w:rsid w:val="00C3293F"/>
    <w:rsid w:val="00C32BF0"/>
    <w:rsid w:val="00C32F40"/>
    <w:rsid w:val="00C3307B"/>
    <w:rsid w:val="00C33161"/>
    <w:rsid w:val="00C33665"/>
    <w:rsid w:val="00C336A3"/>
    <w:rsid w:val="00C33C4D"/>
    <w:rsid w:val="00C33C92"/>
    <w:rsid w:val="00C33E75"/>
    <w:rsid w:val="00C33F7E"/>
    <w:rsid w:val="00C34008"/>
    <w:rsid w:val="00C340CB"/>
    <w:rsid w:val="00C34274"/>
    <w:rsid w:val="00C34847"/>
    <w:rsid w:val="00C348A1"/>
    <w:rsid w:val="00C349BD"/>
    <w:rsid w:val="00C34B20"/>
    <w:rsid w:val="00C34BA2"/>
    <w:rsid w:val="00C34DEB"/>
    <w:rsid w:val="00C3546C"/>
    <w:rsid w:val="00C35B1F"/>
    <w:rsid w:val="00C35BA4"/>
    <w:rsid w:val="00C35C94"/>
    <w:rsid w:val="00C35FC2"/>
    <w:rsid w:val="00C36010"/>
    <w:rsid w:val="00C3602F"/>
    <w:rsid w:val="00C3612B"/>
    <w:rsid w:val="00C36345"/>
    <w:rsid w:val="00C36503"/>
    <w:rsid w:val="00C367B2"/>
    <w:rsid w:val="00C36850"/>
    <w:rsid w:val="00C36EDB"/>
    <w:rsid w:val="00C373DC"/>
    <w:rsid w:val="00C3759C"/>
    <w:rsid w:val="00C377C0"/>
    <w:rsid w:val="00C37B01"/>
    <w:rsid w:val="00C37ED7"/>
    <w:rsid w:val="00C37F38"/>
    <w:rsid w:val="00C4008B"/>
    <w:rsid w:val="00C402BB"/>
    <w:rsid w:val="00C40323"/>
    <w:rsid w:val="00C407EE"/>
    <w:rsid w:val="00C4088F"/>
    <w:rsid w:val="00C4092B"/>
    <w:rsid w:val="00C40BA8"/>
    <w:rsid w:val="00C40FAB"/>
    <w:rsid w:val="00C41298"/>
    <w:rsid w:val="00C41299"/>
    <w:rsid w:val="00C41453"/>
    <w:rsid w:val="00C414CF"/>
    <w:rsid w:val="00C41827"/>
    <w:rsid w:val="00C41B66"/>
    <w:rsid w:val="00C41DEA"/>
    <w:rsid w:val="00C41E55"/>
    <w:rsid w:val="00C41F8D"/>
    <w:rsid w:val="00C420AF"/>
    <w:rsid w:val="00C4229A"/>
    <w:rsid w:val="00C422C4"/>
    <w:rsid w:val="00C42528"/>
    <w:rsid w:val="00C42A1B"/>
    <w:rsid w:val="00C42F00"/>
    <w:rsid w:val="00C42F9E"/>
    <w:rsid w:val="00C4301F"/>
    <w:rsid w:val="00C4309B"/>
    <w:rsid w:val="00C430C1"/>
    <w:rsid w:val="00C430F7"/>
    <w:rsid w:val="00C43696"/>
    <w:rsid w:val="00C438B4"/>
    <w:rsid w:val="00C4399A"/>
    <w:rsid w:val="00C43CBC"/>
    <w:rsid w:val="00C43E4F"/>
    <w:rsid w:val="00C43F8D"/>
    <w:rsid w:val="00C446E3"/>
    <w:rsid w:val="00C44730"/>
    <w:rsid w:val="00C44AE4"/>
    <w:rsid w:val="00C44C10"/>
    <w:rsid w:val="00C44D49"/>
    <w:rsid w:val="00C44F32"/>
    <w:rsid w:val="00C45030"/>
    <w:rsid w:val="00C4503F"/>
    <w:rsid w:val="00C4568F"/>
    <w:rsid w:val="00C457DD"/>
    <w:rsid w:val="00C45886"/>
    <w:rsid w:val="00C458AF"/>
    <w:rsid w:val="00C46035"/>
    <w:rsid w:val="00C46801"/>
    <w:rsid w:val="00C473DB"/>
    <w:rsid w:val="00C47591"/>
    <w:rsid w:val="00C4772C"/>
    <w:rsid w:val="00C477EB"/>
    <w:rsid w:val="00C4794D"/>
    <w:rsid w:val="00C47A1B"/>
    <w:rsid w:val="00C47C16"/>
    <w:rsid w:val="00C47D9B"/>
    <w:rsid w:val="00C50013"/>
    <w:rsid w:val="00C5032E"/>
    <w:rsid w:val="00C50335"/>
    <w:rsid w:val="00C50438"/>
    <w:rsid w:val="00C5057E"/>
    <w:rsid w:val="00C50827"/>
    <w:rsid w:val="00C510AD"/>
    <w:rsid w:val="00C5113D"/>
    <w:rsid w:val="00C51252"/>
    <w:rsid w:val="00C5151A"/>
    <w:rsid w:val="00C51DEF"/>
    <w:rsid w:val="00C52263"/>
    <w:rsid w:val="00C52348"/>
    <w:rsid w:val="00C525B6"/>
    <w:rsid w:val="00C52A7D"/>
    <w:rsid w:val="00C52C01"/>
    <w:rsid w:val="00C52D7B"/>
    <w:rsid w:val="00C52E11"/>
    <w:rsid w:val="00C530B2"/>
    <w:rsid w:val="00C531A0"/>
    <w:rsid w:val="00C53BF9"/>
    <w:rsid w:val="00C53F33"/>
    <w:rsid w:val="00C54041"/>
    <w:rsid w:val="00C5406C"/>
    <w:rsid w:val="00C54666"/>
    <w:rsid w:val="00C546DF"/>
    <w:rsid w:val="00C54E6F"/>
    <w:rsid w:val="00C55406"/>
    <w:rsid w:val="00C55518"/>
    <w:rsid w:val="00C5577E"/>
    <w:rsid w:val="00C5582F"/>
    <w:rsid w:val="00C55972"/>
    <w:rsid w:val="00C559C7"/>
    <w:rsid w:val="00C55FF6"/>
    <w:rsid w:val="00C56792"/>
    <w:rsid w:val="00C57198"/>
    <w:rsid w:val="00C5719A"/>
    <w:rsid w:val="00C5723E"/>
    <w:rsid w:val="00C57762"/>
    <w:rsid w:val="00C57A22"/>
    <w:rsid w:val="00C57B39"/>
    <w:rsid w:val="00C57F37"/>
    <w:rsid w:val="00C604B9"/>
    <w:rsid w:val="00C604D1"/>
    <w:rsid w:val="00C605E2"/>
    <w:rsid w:val="00C60608"/>
    <w:rsid w:val="00C60609"/>
    <w:rsid w:val="00C609A9"/>
    <w:rsid w:val="00C60B01"/>
    <w:rsid w:val="00C60FB4"/>
    <w:rsid w:val="00C6127D"/>
    <w:rsid w:val="00C6187C"/>
    <w:rsid w:val="00C61A3B"/>
    <w:rsid w:val="00C62372"/>
    <w:rsid w:val="00C6247F"/>
    <w:rsid w:val="00C62733"/>
    <w:rsid w:val="00C6294E"/>
    <w:rsid w:val="00C62EDF"/>
    <w:rsid w:val="00C6337B"/>
    <w:rsid w:val="00C6341C"/>
    <w:rsid w:val="00C63FBD"/>
    <w:rsid w:val="00C6426A"/>
    <w:rsid w:val="00C6427C"/>
    <w:rsid w:val="00C644EE"/>
    <w:rsid w:val="00C6451C"/>
    <w:rsid w:val="00C64584"/>
    <w:rsid w:val="00C64938"/>
    <w:rsid w:val="00C64939"/>
    <w:rsid w:val="00C64BA1"/>
    <w:rsid w:val="00C64C28"/>
    <w:rsid w:val="00C6503C"/>
    <w:rsid w:val="00C651A2"/>
    <w:rsid w:val="00C654B0"/>
    <w:rsid w:val="00C6559E"/>
    <w:rsid w:val="00C656E2"/>
    <w:rsid w:val="00C656FF"/>
    <w:rsid w:val="00C6598B"/>
    <w:rsid w:val="00C65DF3"/>
    <w:rsid w:val="00C661AD"/>
    <w:rsid w:val="00C663CB"/>
    <w:rsid w:val="00C66491"/>
    <w:rsid w:val="00C667B6"/>
    <w:rsid w:val="00C66DD7"/>
    <w:rsid w:val="00C674FB"/>
    <w:rsid w:val="00C675B6"/>
    <w:rsid w:val="00C67C59"/>
    <w:rsid w:val="00C7008C"/>
    <w:rsid w:val="00C701A9"/>
    <w:rsid w:val="00C70472"/>
    <w:rsid w:val="00C70729"/>
    <w:rsid w:val="00C70804"/>
    <w:rsid w:val="00C7084A"/>
    <w:rsid w:val="00C709FC"/>
    <w:rsid w:val="00C70A12"/>
    <w:rsid w:val="00C70B8E"/>
    <w:rsid w:val="00C71245"/>
    <w:rsid w:val="00C714E2"/>
    <w:rsid w:val="00C714F0"/>
    <w:rsid w:val="00C71CDB"/>
    <w:rsid w:val="00C722EA"/>
    <w:rsid w:val="00C7236B"/>
    <w:rsid w:val="00C7256C"/>
    <w:rsid w:val="00C7262E"/>
    <w:rsid w:val="00C726B2"/>
    <w:rsid w:val="00C7290A"/>
    <w:rsid w:val="00C72BC9"/>
    <w:rsid w:val="00C72CB0"/>
    <w:rsid w:val="00C73726"/>
    <w:rsid w:val="00C73783"/>
    <w:rsid w:val="00C738A0"/>
    <w:rsid w:val="00C738D7"/>
    <w:rsid w:val="00C739AE"/>
    <w:rsid w:val="00C73A08"/>
    <w:rsid w:val="00C73A76"/>
    <w:rsid w:val="00C73C9D"/>
    <w:rsid w:val="00C73DC5"/>
    <w:rsid w:val="00C73E01"/>
    <w:rsid w:val="00C7411B"/>
    <w:rsid w:val="00C7449E"/>
    <w:rsid w:val="00C74952"/>
    <w:rsid w:val="00C74CA8"/>
    <w:rsid w:val="00C7504C"/>
    <w:rsid w:val="00C75063"/>
    <w:rsid w:val="00C7517B"/>
    <w:rsid w:val="00C753DB"/>
    <w:rsid w:val="00C7582E"/>
    <w:rsid w:val="00C75C1B"/>
    <w:rsid w:val="00C7619A"/>
    <w:rsid w:val="00C7624C"/>
    <w:rsid w:val="00C7626E"/>
    <w:rsid w:val="00C765BD"/>
    <w:rsid w:val="00C769B8"/>
    <w:rsid w:val="00C770F6"/>
    <w:rsid w:val="00C7743C"/>
    <w:rsid w:val="00C77472"/>
    <w:rsid w:val="00C77557"/>
    <w:rsid w:val="00C777BB"/>
    <w:rsid w:val="00C77BAD"/>
    <w:rsid w:val="00C77F83"/>
    <w:rsid w:val="00C80041"/>
    <w:rsid w:val="00C801F2"/>
    <w:rsid w:val="00C80247"/>
    <w:rsid w:val="00C8040A"/>
    <w:rsid w:val="00C80BED"/>
    <w:rsid w:val="00C80C60"/>
    <w:rsid w:val="00C80CB3"/>
    <w:rsid w:val="00C80CDF"/>
    <w:rsid w:val="00C80DF7"/>
    <w:rsid w:val="00C80E11"/>
    <w:rsid w:val="00C81236"/>
    <w:rsid w:val="00C81415"/>
    <w:rsid w:val="00C816E6"/>
    <w:rsid w:val="00C81728"/>
    <w:rsid w:val="00C81821"/>
    <w:rsid w:val="00C81EAB"/>
    <w:rsid w:val="00C81F93"/>
    <w:rsid w:val="00C82138"/>
    <w:rsid w:val="00C8255A"/>
    <w:rsid w:val="00C8259D"/>
    <w:rsid w:val="00C825C0"/>
    <w:rsid w:val="00C82634"/>
    <w:rsid w:val="00C8279C"/>
    <w:rsid w:val="00C829EB"/>
    <w:rsid w:val="00C82B1C"/>
    <w:rsid w:val="00C82E29"/>
    <w:rsid w:val="00C8348B"/>
    <w:rsid w:val="00C8350F"/>
    <w:rsid w:val="00C83A47"/>
    <w:rsid w:val="00C83ED9"/>
    <w:rsid w:val="00C84DD0"/>
    <w:rsid w:val="00C84EE9"/>
    <w:rsid w:val="00C84F6E"/>
    <w:rsid w:val="00C851CD"/>
    <w:rsid w:val="00C8524B"/>
    <w:rsid w:val="00C852CA"/>
    <w:rsid w:val="00C8552E"/>
    <w:rsid w:val="00C855B5"/>
    <w:rsid w:val="00C856B8"/>
    <w:rsid w:val="00C8575A"/>
    <w:rsid w:val="00C857EA"/>
    <w:rsid w:val="00C85B58"/>
    <w:rsid w:val="00C85EC7"/>
    <w:rsid w:val="00C85FCA"/>
    <w:rsid w:val="00C85FDE"/>
    <w:rsid w:val="00C8636C"/>
    <w:rsid w:val="00C86AF4"/>
    <w:rsid w:val="00C8739A"/>
    <w:rsid w:val="00C878E8"/>
    <w:rsid w:val="00C879BB"/>
    <w:rsid w:val="00C87DC0"/>
    <w:rsid w:val="00C87F36"/>
    <w:rsid w:val="00C9022D"/>
    <w:rsid w:val="00C90545"/>
    <w:rsid w:val="00C9077A"/>
    <w:rsid w:val="00C9083C"/>
    <w:rsid w:val="00C9084F"/>
    <w:rsid w:val="00C90A56"/>
    <w:rsid w:val="00C90DD9"/>
    <w:rsid w:val="00C90E75"/>
    <w:rsid w:val="00C90EB7"/>
    <w:rsid w:val="00C9119A"/>
    <w:rsid w:val="00C91343"/>
    <w:rsid w:val="00C91378"/>
    <w:rsid w:val="00C9162A"/>
    <w:rsid w:val="00C9173F"/>
    <w:rsid w:val="00C91869"/>
    <w:rsid w:val="00C919BE"/>
    <w:rsid w:val="00C91CBB"/>
    <w:rsid w:val="00C91E97"/>
    <w:rsid w:val="00C92008"/>
    <w:rsid w:val="00C92300"/>
    <w:rsid w:val="00C923BC"/>
    <w:rsid w:val="00C92861"/>
    <w:rsid w:val="00C92B90"/>
    <w:rsid w:val="00C92F0D"/>
    <w:rsid w:val="00C9372A"/>
    <w:rsid w:val="00C93886"/>
    <w:rsid w:val="00C93D32"/>
    <w:rsid w:val="00C940D4"/>
    <w:rsid w:val="00C94138"/>
    <w:rsid w:val="00C94F35"/>
    <w:rsid w:val="00C957E9"/>
    <w:rsid w:val="00C95A00"/>
    <w:rsid w:val="00C95E70"/>
    <w:rsid w:val="00C95EC6"/>
    <w:rsid w:val="00C96514"/>
    <w:rsid w:val="00C96BDD"/>
    <w:rsid w:val="00C96C70"/>
    <w:rsid w:val="00C96E9B"/>
    <w:rsid w:val="00C96EE1"/>
    <w:rsid w:val="00C97A9F"/>
    <w:rsid w:val="00C97BAB"/>
    <w:rsid w:val="00CA039B"/>
    <w:rsid w:val="00CA05D2"/>
    <w:rsid w:val="00CA0677"/>
    <w:rsid w:val="00CA0709"/>
    <w:rsid w:val="00CA0800"/>
    <w:rsid w:val="00CA09F8"/>
    <w:rsid w:val="00CA0A75"/>
    <w:rsid w:val="00CA0C4F"/>
    <w:rsid w:val="00CA0D6F"/>
    <w:rsid w:val="00CA0FF3"/>
    <w:rsid w:val="00CA0FFA"/>
    <w:rsid w:val="00CA1010"/>
    <w:rsid w:val="00CA1526"/>
    <w:rsid w:val="00CA1529"/>
    <w:rsid w:val="00CA15F1"/>
    <w:rsid w:val="00CA1A84"/>
    <w:rsid w:val="00CA1EAF"/>
    <w:rsid w:val="00CA1F3B"/>
    <w:rsid w:val="00CA233D"/>
    <w:rsid w:val="00CA2524"/>
    <w:rsid w:val="00CA2A49"/>
    <w:rsid w:val="00CA2BC3"/>
    <w:rsid w:val="00CA2E4B"/>
    <w:rsid w:val="00CA329B"/>
    <w:rsid w:val="00CA3379"/>
    <w:rsid w:val="00CA38D5"/>
    <w:rsid w:val="00CA3C4C"/>
    <w:rsid w:val="00CA4040"/>
    <w:rsid w:val="00CA412E"/>
    <w:rsid w:val="00CA4221"/>
    <w:rsid w:val="00CA46DD"/>
    <w:rsid w:val="00CA4D41"/>
    <w:rsid w:val="00CA51FF"/>
    <w:rsid w:val="00CA52DB"/>
    <w:rsid w:val="00CA5F9B"/>
    <w:rsid w:val="00CA5FC3"/>
    <w:rsid w:val="00CA6141"/>
    <w:rsid w:val="00CA61A8"/>
    <w:rsid w:val="00CA61B9"/>
    <w:rsid w:val="00CA6856"/>
    <w:rsid w:val="00CA6AEE"/>
    <w:rsid w:val="00CA6CF3"/>
    <w:rsid w:val="00CA6F13"/>
    <w:rsid w:val="00CA70FF"/>
    <w:rsid w:val="00CA7262"/>
    <w:rsid w:val="00CA72EF"/>
    <w:rsid w:val="00CA73A5"/>
    <w:rsid w:val="00CA76C7"/>
    <w:rsid w:val="00CA76E3"/>
    <w:rsid w:val="00CA7747"/>
    <w:rsid w:val="00CB0010"/>
    <w:rsid w:val="00CB00B9"/>
    <w:rsid w:val="00CB00C4"/>
    <w:rsid w:val="00CB03B8"/>
    <w:rsid w:val="00CB0A9E"/>
    <w:rsid w:val="00CB0BE0"/>
    <w:rsid w:val="00CB0BF6"/>
    <w:rsid w:val="00CB1173"/>
    <w:rsid w:val="00CB11D7"/>
    <w:rsid w:val="00CB11FA"/>
    <w:rsid w:val="00CB1297"/>
    <w:rsid w:val="00CB14BF"/>
    <w:rsid w:val="00CB17E6"/>
    <w:rsid w:val="00CB1A55"/>
    <w:rsid w:val="00CB1F99"/>
    <w:rsid w:val="00CB2151"/>
    <w:rsid w:val="00CB225C"/>
    <w:rsid w:val="00CB22BA"/>
    <w:rsid w:val="00CB23B2"/>
    <w:rsid w:val="00CB24CD"/>
    <w:rsid w:val="00CB27AA"/>
    <w:rsid w:val="00CB2A71"/>
    <w:rsid w:val="00CB31E9"/>
    <w:rsid w:val="00CB336C"/>
    <w:rsid w:val="00CB3370"/>
    <w:rsid w:val="00CB3620"/>
    <w:rsid w:val="00CB362D"/>
    <w:rsid w:val="00CB3679"/>
    <w:rsid w:val="00CB38A5"/>
    <w:rsid w:val="00CB3B94"/>
    <w:rsid w:val="00CB3D8A"/>
    <w:rsid w:val="00CB3E8D"/>
    <w:rsid w:val="00CB427D"/>
    <w:rsid w:val="00CB4301"/>
    <w:rsid w:val="00CB4448"/>
    <w:rsid w:val="00CB450E"/>
    <w:rsid w:val="00CB45FC"/>
    <w:rsid w:val="00CB4744"/>
    <w:rsid w:val="00CB49BC"/>
    <w:rsid w:val="00CB4B0E"/>
    <w:rsid w:val="00CB4E32"/>
    <w:rsid w:val="00CB5007"/>
    <w:rsid w:val="00CB5294"/>
    <w:rsid w:val="00CB547E"/>
    <w:rsid w:val="00CB5B36"/>
    <w:rsid w:val="00CB5DFE"/>
    <w:rsid w:val="00CB5FED"/>
    <w:rsid w:val="00CB65F1"/>
    <w:rsid w:val="00CB67ED"/>
    <w:rsid w:val="00CB6822"/>
    <w:rsid w:val="00CB6A63"/>
    <w:rsid w:val="00CB6E6F"/>
    <w:rsid w:val="00CB7047"/>
    <w:rsid w:val="00CB7637"/>
    <w:rsid w:val="00CB76DF"/>
    <w:rsid w:val="00CB784D"/>
    <w:rsid w:val="00CB7931"/>
    <w:rsid w:val="00CB795C"/>
    <w:rsid w:val="00CB797E"/>
    <w:rsid w:val="00CB7E13"/>
    <w:rsid w:val="00CC003B"/>
    <w:rsid w:val="00CC04E0"/>
    <w:rsid w:val="00CC05C2"/>
    <w:rsid w:val="00CC0649"/>
    <w:rsid w:val="00CC09AA"/>
    <w:rsid w:val="00CC09CE"/>
    <w:rsid w:val="00CC0B81"/>
    <w:rsid w:val="00CC0C85"/>
    <w:rsid w:val="00CC0ED6"/>
    <w:rsid w:val="00CC1345"/>
    <w:rsid w:val="00CC16BC"/>
    <w:rsid w:val="00CC1710"/>
    <w:rsid w:val="00CC1716"/>
    <w:rsid w:val="00CC1796"/>
    <w:rsid w:val="00CC1873"/>
    <w:rsid w:val="00CC1A3A"/>
    <w:rsid w:val="00CC1BEB"/>
    <w:rsid w:val="00CC1CC0"/>
    <w:rsid w:val="00CC1F40"/>
    <w:rsid w:val="00CC20A1"/>
    <w:rsid w:val="00CC213B"/>
    <w:rsid w:val="00CC2152"/>
    <w:rsid w:val="00CC2239"/>
    <w:rsid w:val="00CC234A"/>
    <w:rsid w:val="00CC2359"/>
    <w:rsid w:val="00CC23CD"/>
    <w:rsid w:val="00CC23DF"/>
    <w:rsid w:val="00CC24CB"/>
    <w:rsid w:val="00CC27CB"/>
    <w:rsid w:val="00CC2AC6"/>
    <w:rsid w:val="00CC2B4B"/>
    <w:rsid w:val="00CC30B2"/>
    <w:rsid w:val="00CC3151"/>
    <w:rsid w:val="00CC34BE"/>
    <w:rsid w:val="00CC368E"/>
    <w:rsid w:val="00CC36CC"/>
    <w:rsid w:val="00CC39CC"/>
    <w:rsid w:val="00CC3A16"/>
    <w:rsid w:val="00CC3AFD"/>
    <w:rsid w:val="00CC3D0D"/>
    <w:rsid w:val="00CC3E27"/>
    <w:rsid w:val="00CC3E6B"/>
    <w:rsid w:val="00CC3E8F"/>
    <w:rsid w:val="00CC3F27"/>
    <w:rsid w:val="00CC408E"/>
    <w:rsid w:val="00CC424F"/>
    <w:rsid w:val="00CC42F6"/>
    <w:rsid w:val="00CC4346"/>
    <w:rsid w:val="00CC48F7"/>
    <w:rsid w:val="00CC48FC"/>
    <w:rsid w:val="00CC4B91"/>
    <w:rsid w:val="00CC4C50"/>
    <w:rsid w:val="00CC50DA"/>
    <w:rsid w:val="00CC5428"/>
    <w:rsid w:val="00CC551B"/>
    <w:rsid w:val="00CC5855"/>
    <w:rsid w:val="00CC58CD"/>
    <w:rsid w:val="00CC5BE3"/>
    <w:rsid w:val="00CC5FAB"/>
    <w:rsid w:val="00CC60F8"/>
    <w:rsid w:val="00CC61CA"/>
    <w:rsid w:val="00CC61F9"/>
    <w:rsid w:val="00CC63A9"/>
    <w:rsid w:val="00CC676B"/>
    <w:rsid w:val="00CC6924"/>
    <w:rsid w:val="00CC6EEE"/>
    <w:rsid w:val="00CC72FB"/>
    <w:rsid w:val="00CC750D"/>
    <w:rsid w:val="00CC7751"/>
    <w:rsid w:val="00CC7B5D"/>
    <w:rsid w:val="00CC7BA8"/>
    <w:rsid w:val="00CC7E42"/>
    <w:rsid w:val="00CC7FA0"/>
    <w:rsid w:val="00CD032C"/>
    <w:rsid w:val="00CD05E4"/>
    <w:rsid w:val="00CD06DC"/>
    <w:rsid w:val="00CD0B72"/>
    <w:rsid w:val="00CD1296"/>
    <w:rsid w:val="00CD13AC"/>
    <w:rsid w:val="00CD175A"/>
    <w:rsid w:val="00CD175C"/>
    <w:rsid w:val="00CD193A"/>
    <w:rsid w:val="00CD1A72"/>
    <w:rsid w:val="00CD1CFB"/>
    <w:rsid w:val="00CD1DC2"/>
    <w:rsid w:val="00CD1E37"/>
    <w:rsid w:val="00CD22F9"/>
    <w:rsid w:val="00CD25FB"/>
    <w:rsid w:val="00CD2753"/>
    <w:rsid w:val="00CD2C78"/>
    <w:rsid w:val="00CD2D67"/>
    <w:rsid w:val="00CD2EC1"/>
    <w:rsid w:val="00CD2FE3"/>
    <w:rsid w:val="00CD31D1"/>
    <w:rsid w:val="00CD3760"/>
    <w:rsid w:val="00CD3EFF"/>
    <w:rsid w:val="00CD405D"/>
    <w:rsid w:val="00CD44EC"/>
    <w:rsid w:val="00CD45C9"/>
    <w:rsid w:val="00CD48EE"/>
    <w:rsid w:val="00CD4A51"/>
    <w:rsid w:val="00CD4C6E"/>
    <w:rsid w:val="00CD4C90"/>
    <w:rsid w:val="00CD4D18"/>
    <w:rsid w:val="00CD4FF9"/>
    <w:rsid w:val="00CD51B1"/>
    <w:rsid w:val="00CD54E9"/>
    <w:rsid w:val="00CD58B8"/>
    <w:rsid w:val="00CD5B17"/>
    <w:rsid w:val="00CD615D"/>
    <w:rsid w:val="00CD622A"/>
    <w:rsid w:val="00CD62AA"/>
    <w:rsid w:val="00CD6372"/>
    <w:rsid w:val="00CD644C"/>
    <w:rsid w:val="00CD6559"/>
    <w:rsid w:val="00CD66D0"/>
    <w:rsid w:val="00CD6999"/>
    <w:rsid w:val="00CD6A24"/>
    <w:rsid w:val="00CD6E03"/>
    <w:rsid w:val="00CD6E1F"/>
    <w:rsid w:val="00CD719A"/>
    <w:rsid w:val="00CD71BD"/>
    <w:rsid w:val="00CD78C0"/>
    <w:rsid w:val="00CD79B1"/>
    <w:rsid w:val="00CD7C79"/>
    <w:rsid w:val="00CD7C92"/>
    <w:rsid w:val="00CD7D31"/>
    <w:rsid w:val="00CD7E73"/>
    <w:rsid w:val="00CE012B"/>
    <w:rsid w:val="00CE0142"/>
    <w:rsid w:val="00CE0350"/>
    <w:rsid w:val="00CE0AB5"/>
    <w:rsid w:val="00CE0AC5"/>
    <w:rsid w:val="00CE0D72"/>
    <w:rsid w:val="00CE122E"/>
    <w:rsid w:val="00CE12B5"/>
    <w:rsid w:val="00CE140B"/>
    <w:rsid w:val="00CE14BF"/>
    <w:rsid w:val="00CE1646"/>
    <w:rsid w:val="00CE1796"/>
    <w:rsid w:val="00CE1B1C"/>
    <w:rsid w:val="00CE2083"/>
    <w:rsid w:val="00CE22DD"/>
    <w:rsid w:val="00CE28C2"/>
    <w:rsid w:val="00CE2A63"/>
    <w:rsid w:val="00CE2AB0"/>
    <w:rsid w:val="00CE2D0B"/>
    <w:rsid w:val="00CE2D3C"/>
    <w:rsid w:val="00CE2D6A"/>
    <w:rsid w:val="00CE2D7D"/>
    <w:rsid w:val="00CE34BB"/>
    <w:rsid w:val="00CE35C6"/>
    <w:rsid w:val="00CE3941"/>
    <w:rsid w:val="00CE3BAB"/>
    <w:rsid w:val="00CE415E"/>
    <w:rsid w:val="00CE42C6"/>
    <w:rsid w:val="00CE430A"/>
    <w:rsid w:val="00CE4360"/>
    <w:rsid w:val="00CE4566"/>
    <w:rsid w:val="00CE4760"/>
    <w:rsid w:val="00CE4762"/>
    <w:rsid w:val="00CE4B51"/>
    <w:rsid w:val="00CE4FCE"/>
    <w:rsid w:val="00CE5878"/>
    <w:rsid w:val="00CE5ACE"/>
    <w:rsid w:val="00CE5C9A"/>
    <w:rsid w:val="00CE5D85"/>
    <w:rsid w:val="00CE5DDF"/>
    <w:rsid w:val="00CE60D4"/>
    <w:rsid w:val="00CE6621"/>
    <w:rsid w:val="00CE6B1C"/>
    <w:rsid w:val="00CE6E83"/>
    <w:rsid w:val="00CE7155"/>
    <w:rsid w:val="00CE731E"/>
    <w:rsid w:val="00CE76C8"/>
    <w:rsid w:val="00CE79F3"/>
    <w:rsid w:val="00CE7AA8"/>
    <w:rsid w:val="00CE7E37"/>
    <w:rsid w:val="00CE7E89"/>
    <w:rsid w:val="00CE7F2C"/>
    <w:rsid w:val="00CE7F56"/>
    <w:rsid w:val="00CE7F88"/>
    <w:rsid w:val="00CF02A3"/>
    <w:rsid w:val="00CF0306"/>
    <w:rsid w:val="00CF064F"/>
    <w:rsid w:val="00CF09A1"/>
    <w:rsid w:val="00CF0B9C"/>
    <w:rsid w:val="00CF0C29"/>
    <w:rsid w:val="00CF0C60"/>
    <w:rsid w:val="00CF0DFC"/>
    <w:rsid w:val="00CF0E59"/>
    <w:rsid w:val="00CF0EFC"/>
    <w:rsid w:val="00CF0F94"/>
    <w:rsid w:val="00CF130F"/>
    <w:rsid w:val="00CF15B8"/>
    <w:rsid w:val="00CF184A"/>
    <w:rsid w:val="00CF1893"/>
    <w:rsid w:val="00CF1AF6"/>
    <w:rsid w:val="00CF1C1D"/>
    <w:rsid w:val="00CF1E76"/>
    <w:rsid w:val="00CF1EC0"/>
    <w:rsid w:val="00CF220F"/>
    <w:rsid w:val="00CF292D"/>
    <w:rsid w:val="00CF2E6D"/>
    <w:rsid w:val="00CF2E96"/>
    <w:rsid w:val="00CF319E"/>
    <w:rsid w:val="00CF3283"/>
    <w:rsid w:val="00CF3357"/>
    <w:rsid w:val="00CF33AB"/>
    <w:rsid w:val="00CF34F6"/>
    <w:rsid w:val="00CF3513"/>
    <w:rsid w:val="00CF38EF"/>
    <w:rsid w:val="00CF39C0"/>
    <w:rsid w:val="00CF3A4C"/>
    <w:rsid w:val="00CF3F89"/>
    <w:rsid w:val="00CF43FD"/>
    <w:rsid w:val="00CF46AE"/>
    <w:rsid w:val="00CF49CA"/>
    <w:rsid w:val="00CF4BFA"/>
    <w:rsid w:val="00CF4CEB"/>
    <w:rsid w:val="00CF4D30"/>
    <w:rsid w:val="00CF4F64"/>
    <w:rsid w:val="00CF4FC1"/>
    <w:rsid w:val="00CF540F"/>
    <w:rsid w:val="00CF5559"/>
    <w:rsid w:val="00CF608E"/>
    <w:rsid w:val="00CF6202"/>
    <w:rsid w:val="00CF6318"/>
    <w:rsid w:val="00CF6373"/>
    <w:rsid w:val="00CF64B2"/>
    <w:rsid w:val="00CF674B"/>
    <w:rsid w:val="00CF6DB9"/>
    <w:rsid w:val="00CF7145"/>
    <w:rsid w:val="00CF71A7"/>
    <w:rsid w:val="00CF71B3"/>
    <w:rsid w:val="00CF7302"/>
    <w:rsid w:val="00CF740C"/>
    <w:rsid w:val="00CF76AF"/>
    <w:rsid w:val="00CF7965"/>
    <w:rsid w:val="00CF7DAD"/>
    <w:rsid w:val="00CF7DF4"/>
    <w:rsid w:val="00CF7E57"/>
    <w:rsid w:val="00D0025E"/>
    <w:rsid w:val="00D00289"/>
    <w:rsid w:val="00D007B2"/>
    <w:rsid w:val="00D00926"/>
    <w:rsid w:val="00D00A1F"/>
    <w:rsid w:val="00D00D78"/>
    <w:rsid w:val="00D00DC7"/>
    <w:rsid w:val="00D00F9D"/>
    <w:rsid w:val="00D01076"/>
    <w:rsid w:val="00D011B9"/>
    <w:rsid w:val="00D0170B"/>
    <w:rsid w:val="00D01891"/>
    <w:rsid w:val="00D01A04"/>
    <w:rsid w:val="00D01A2D"/>
    <w:rsid w:val="00D01DC2"/>
    <w:rsid w:val="00D020BB"/>
    <w:rsid w:val="00D02602"/>
    <w:rsid w:val="00D0269C"/>
    <w:rsid w:val="00D02815"/>
    <w:rsid w:val="00D02A22"/>
    <w:rsid w:val="00D02ED7"/>
    <w:rsid w:val="00D03188"/>
    <w:rsid w:val="00D034B4"/>
    <w:rsid w:val="00D035C5"/>
    <w:rsid w:val="00D0361B"/>
    <w:rsid w:val="00D036A1"/>
    <w:rsid w:val="00D03750"/>
    <w:rsid w:val="00D037CB"/>
    <w:rsid w:val="00D03BB8"/>
    <w:rsid w:val="00D03CC4"/>
    <w:rsid w:val="00D03E91"/>
    <w:rsid w:val="00D03F76"/>
    <w:rsid w:val="00D042BB"/>
    <w:rsid w:val="00D0433F"/>
    <w:rsid w:val="00D04788"/>
    <w:rsid w:val="00D04B3A"/>
    <w:rsid w:val="00D04BE8"/>
    <w:rsid w:val="00D04EDB"/>
    <w:rsid w:val="00D051BF"/>
    <w:rsid w:val="00D05321"/>
    <w:rsid w:val="00D055E0"/>
    <w:rsid w:val="00D057F4"/>
    <w:rsid w:val="00D058D2"/>
    <w:rsid w:val="00D05903"/>
    <w:rsid w:val="00D05BB0"/>
    <w:rsid w:val="00D05E19"/>
    <w:rsid w:val="00D05F9C"/>
    <w:rsid w:val="00D0603F"/>
    <w:rsid w:val="00D060AC"/>
    <w:rsid w:val="00D06375"/>
    <w:rsid w:val="00D063DB"/>
    <w:rsid w:val="00D06C3D"/>
    <w:rsid w:val="00D06CF2"/>
    <w:rsid w:val="00D06D29"/>
    <w:rsid w:val="00D06ED8"/>
    <w:rsid w:val="00D06F09"/>
    <w:rsid w:val="00D073B2"/>
    <w:rsid w:val="00D07486"/>
    <w:rsid w:val="00D07918"/>
    <w:rsid w:val="00D07EE0"/>
    <w:rsid w:val="00D07F4D"/>
    <w:rsid w:val="00D100E7"/>
    <w:rsid w:val="00D10372"/>
    <w:rsid w:val="00D103EA"/>
    <w:rsid w:val="00D10531"/>
    <w:rsid w:val="00D107F1"/>
    <w:rsid w:val="00D10A9B"/>
    <w:rsid w:val="00D10BBD"/>
    <w:rsid w:val="00D10F27"/>
    <w:rsid w:val="00D1118A"/>
    <w:rsid w:val="00D11975"/>
    <w:rsid w:val="00D119F3"/>
    <w:rsid w:val="00D11BAF"/>
    <w:rsid w:val="00D11CE6"/>
    <w:rsid w:val="00D11F1D"/>
    <w:rsid w:val="00D11FD3"/>
    <w:rsid w:val="00D128A0"/>
    <w:rsid w:val="00D128E5"/>
    <w:rsid w:val="00D12991"/>
    <w:rsid w:val="00D1308A"/>
    <w:rsid w:val="00D131F3"/>
    <w:rsid w:val="00D1382C"/>
    <w:rsid w:val="00D138D5"/>
    <w:rsid w:val="00D13944"/>
    <w:rsid w:val="00D13A9B"/>
    <w:rsid w:val="00D13AAE"/>
    <w:rsid w:val="00D13C71"/>
    <w:rsid w:val="00D13DF6"/>
    <w:rsid w:val="00D13E6C"/>
    <w:rsid w:val="00D14074"/>
    <w:rsid w:val="00D14198"/>
    <w:rsid w:val="00D14460"/>
    <w:rsid w:val="00D144BA"/>
    <w:rsid w:val="00D14518"/>
    <w:rsid w:val="00D14BE8"/>
    <w:rsid w:val="00D14D58"/>
    <w:rsid w:val="00D14FBA"/>
    <w:rsid w:val="00D1508D"/>
    <w:rsid w:val="00D15156"/>
    <w:rsid w:val="00D1534A"/>
    <w:rsid w:val="00D153D6"/>
    <w:rsid w:val="00D15A00"/>
    <w:rsid w:val="00D15C27"/>
    <w:rsid w:val="00D15EE5"/>
    <w:rsid w:val="00D1602A"/>
    <w:rsid w:val="00D162C5"/>
    <w:rsid w:val="00D16384"/>
    <w:rsid w:val="00D164CA"/>
    <w:rsid w:val="00D167AC"/>
    <w:rsid w:val="00D16AD0"/>
    <w:rsid w:val="00D16C7A"/>
    <w:rsid w:val="00D1702A"/>
    <w:rsid w:val="00D1719D"/>
    <w:rsid w:val="00D171A9"/>
    <w:rsid w:val="00D17324"/>
    <w:rsid w:val="00D1746D"/>
    <w:rsid w:val="00D17852"/>
    <w:rsid w:val="00D17A18"/>
    <w:rsid w:val="00D17BDC"/>
    <w:rsid w:val="00D17CC9"/>
    <w:rsid w:val="00D17E51"/>
    <w:rsid w:val="00D204ED"/>
    <w:rsid w:val="00D206C5"/>
    <w:rsid w:val="00D20934"/>
    <w:rsid w:val="00D2094F"/>
    <w:rsid w:val="00D209A0"/>
    <w:rsid w:val="00D20E2D"/>
    <w:rsid w:val="00D211B0"/>
    <w:rsid w:val="00D214D5"/>
    <w:rsid w:val="00D214F7"/>
    <w:rsid w:val="00D21946"/>
    <w:rsid w:val="00D21C73"/>
    <w:rsid w:val="00D21D30"/>
    <w:rsid w:val="00D21DE9"/>
    <w:rsid w:val="00D21F6C"/>
    <w:rsid w:val="00D21FE0"/>
    <w:rsid w:val="00D22032"/>
    <w:rsid w:val="00D22264"/>
    <w:rsid w:val="00D22422"/>
    <w:rsid w:val="00D22467"/>
    <w:rsid w:val="00D22795"/>
    <w:rsid w:val="00D22830"/>
    <w:rsid w:val="00D22999"/>
    <w:rsid w:val="00D22A79"/>
    <w:rsid w:val="00D22FB0"/>
    <w:rsid w:val="00D236CA"/>
    <w:rsid w:val="00D239BA"/>
    <w:rsid w:val="00D23F5F"/>
    <w:rsid w:val="00D2405E"/>
    <w:rsid w:val="00D24436"/>
    <w:rsid w:val="00D24AD9"/>
    <w:rsid w:val="00D24DB8"/>
    <w:rsid w:val="00D252C0"/>
    <w:rsid w:val="00D254B9"/>
    <w:rsid w:val="00D2569A"/>
    <w:rsid w:val="00D259A9"/>
    <w:rsid w:val="00D25FB3"/>
    <w:rsid w:val="00D26427"/>
    <w:rsid w:val="00D26474"/>
    <w:rsid w:val="00D266B3"/>
    <w:rsid w:val="00D26885"/>
    <w:rsid w:val="00D268D5"/>
    <w:rsid w:val="00D26AD3"/>
    <w:rsid w:val="00D26C28"/>
    <w:rsid w:val="00D26EAE"/>
    <w:rsid w:val="00D26FDE"/>
    <w:rsid w:val="00D2772A"/>
    <w:rsid w:val="00D27A81"/>
    <w:rsid w:val="00D27B04"/>
    <w:rsid w:val="00D27CBF"/>
    <w:rsid w:val="00D27F22"/>
    <w:rsid w:val="00D3013D"/>
    <w:rsid w:val="00D30173"/>
    <w:rsid w:val="00D30579"/>
    <w:rsid w:val="00D305CD"/>
    <w:rsid w:val="00D306E7"/>
    <w:rsid w:val="00D3086D"/>
    <w:rsid w:val="00D30C96"/>
    <w:rsid w:val="00D30DFE"/>
    <w:rsid w:val="00D30E3C"/>
    <w:rsid w:val="00D31626"/>
    <w:rsid w:val="00D316DD"/>
    <w:rsid w:val="00D31773"/>
    <w:rsid w:val="00D317D3"/>
    <w:rsid w:val="00D31855"/>
    <w:rsid w:val="00D31A05"/>
    <w:rsid w:val="00D31D16"/>
    <w:rsid w:val="00D31D7B"/>
    <w:rsid w:val="00D32118"/>
    <w:rsid w:val="00D32822"/>
    <w:rsid w:val="00D32D1D"/>
    <w:rsid w:val="00D33029"/>
    <w:rsid w:val="00D3312F"/>
    <w:rsid w:val="00D3318A"/>
    <w:rsid w:val="00D336A5"/>
    <w:rsid w:val="00D33ED9"/>
    <w:rsid w:val="00D33F57"/>
    <w:rsid w:val="00D3434B"/>
    <w:rsid w:val="00D34479"/>
    <w:rsid w:val="00D346D4"/>
    <w:rsid w:val="00D352C6"/>
    <w:rsid w:val="00D352C9"/>
    <w:rsid w:val="00D353A8"/>
    <w:rsid w:val="00D35636"/>
    <w:rsid w:val="00D35A3F"/>
    <w:rsid w:val="00D35C05"/>
    <w:rsid w:val="00D361C2"/>
    <w:rsid w:val="00D362FA"/>
    <w:rsid w:val="00D36455"/>
    <w:rsid w:val="00D3659D"/>
    <w:rsid w:val="00D36FE4"/>
    <w:rsid w:val="00D3726E"/>
    <w:rsid w:val="00D37694"/>
    <w:rsid w:val="00D37758"/>
    <w:rsid w:val="00D377C0"/>
    <w:rsid w:val="00D37933"/>
    <w:rsid w:val="00D37D5E"/>
    <w:rsid w:val="00D37D76"/>
    <w:rsid w:val="00D37E1F"/>
    <w:rsid w:val="00D40002"/>
    <w:rsid w:val="00D400CE"/>
    <w:rsid w:val="00D40681"/>
    <w:rsid w:val="00D4069C"/>
    <w:rsid w:val="00D40767"/>
    <w:rsid w:val="00D407E1"/>
    <w:rsid w:val="00D40A99"/>
    <w:rsid w:val="00D40BD7"/>
    <w:rsid w:val="00D40E9D"/>
    <w:rsid w:val="00D40F44"/>
    <w:rsid w:val="00D412B2"/>
    <w:rsid w:val="00D412DC"/>
    <w:rsid w:val="00D414E4"/>
    <w:rsid w:val="00D4155D"/>
    <w:rsid w:val="00D41603"/>
    <w:rsid w:val="00D41776"/>
    <w:rsid w:val="00D417AE"/>
    <w:rsid w:val="00D41888"/>
    <w:rsid w:val="00D41954"/>
    <w:rsid w:val="00D41B2C"/>
    <w:rsid w:val="00D41DAE"/>
    <w:rsid w:val="00D41DCE"/>
    <w:rsid w:val="00D41E99"/>
    <w:rsid w:val="00D41F0D"/>
    <w:rsid w:val="00D41F8D"/>
    <w:rsid w:val="00D42520"/>
    <w:rsid w:val="00D42702"/>
    <w:rsid w:val="00D427D0"/>
    <w:rsid w:val="00D428C5"/>
    <w:rsid w:val="00D42A7B"/>
    <w:rsid w:val="00D42D58"/>
    <w:rsid w:val="00D430AD"/>
    <w:rsid w:val="00D430B2"/>
    <w:rsid w:val="00D431EB"/>
    <w:rsid w:val="00D4320F"/>
    <w:rsid w:val="00D432A5"/>
    <w:rsid w:val="00D432FD"/>
    <w:rsid w:val="00D433E7"/>
    <w:rsid w:val="00D434F6"/>
    <w:rsid w:val="00D43674"/>
    <w:rsid w:val="00D4380F"/>
    <w:rsid w:val="00D441C4"/>
    <w:rsid w:val="00D447C6"/>
    <w:rsid w:val="00D447E5"/>
    <w:rsid w:val="00D4488F"/>
    <w:rsid w:val="00D448B7"/>
    <w:rsid w:val="00D44A69"/>
    <w:rsid w:val="00D44D91"/>
    <w:rsid w:val="00D4523F"/>
    <w:rsid w:val="00D45F11"/>
    <w:rsid w:val="00D45FF6"/>
    <w:rsid w:val="00D464D7"/>
    <w:rsid w:val="00D46729"/>
    <w:rsid w:val="00D46ECF"/>
    <w:rsid w:val="00D470F3"/>
    <w:rsid w:val="00D472CE"/>
    <w:rsid w:val="00D47384"/>
    <w:rsid w:val="00D4758B"/>
    <w:rsid w:val="00D476B6"/>
    <w:rsid w:val="00D478EA"/>
    <w:rsid w:val="00D47B6E"/>
    <w:rsid w:val="00D47C25"/>
    <w:rsid w:val="00D50023"/>
    <w:rsid w:val="00D502EA"/>
    <w:rsid w:val="00D50578"/>
    <w:rsid w:val="00D50682"/>
    <w:rsid w:val="00D507AB"/>
    <w:rsid w:val="00D50838"/>
    <w:rsid w:val="00D50857"/>
    <w:rsid w:val="00D50913"/>
    <w:rsid w:val="00D509D3"/>
    <w:rsid w:val="00D50A02"/>
    <w:rsid w:val="00D50DB0"/>
    <w:rsid w:val="00D5119A"/>
    <w:rsid w:val="00D51269"/>
    <w:rsid w:val="00D51481"/>
    <w:rsid w:val="00D514FD"/>
    <w:rsid w:val="00D516A1"/>
    <w:rsid w:val="00D51981"/>
    <w:rsid w:val="00D51BC8"/>
    <w:rsid w:val="00D51D5F"/>
    <w:rsid w:val="00D51EBB"/>
    <w:rsid w:val="00D52194"/>
    <w:rsid w:val="00D525BC"/>
    <w:rsid w:val="00D52689"/>
    <w:rsid w:val="00D52AE5"/>
    <w:rsid w:val="00D52B30"/>
    <w:rsid w:val="00D52F6B"/>
    <w:rsid w:val="00D5324A"/>
    <w:rsid w:val="00D5351F"/>
    <w:rsid w:val="00D535E6"/>
    <w:rsid w:val="00D537B5"/>
    <w:rsid w:val="00D539F2"/>
    <w:rsid w:val="00D539F5"/>
    <w:rsid w:val="00D53A0D"/>
    <w:rsid w:val="00D53B7F"/>
    <w:rsid w:val="00D53C6D"/>
    <w:rsid w:val="00D53CE5"/>
    <w:rsid w:val="00D53D44"/>
    <w:rsid w:val="00D53DCE"/>
    <w:rsid w:val="00D53E0C"/>
    <w:rsid w:val="00D53E3B"/>
    <w:rsid w:val="00D5420E"/>
    <w:rsid w:val="00D542AC"/>
    <w:rsid w:val="00D544DD"/>
    <w:rsid w:val="00D54D92"/>
    <w:rsid w:val="00D54EE3"/>
    <w:rsid w:val="00D5504B"/>
    <w:rsid w:val="00D55052"/>
    <w:rsid w:val="00D55162"/>
    <w:rsid w:val="00D554C0"/>
    <w:rsid w:val="00D555A7"/>
    <w:rsid w:val="00D55717"/>
    <w:rsid w:val="00D558D3"/>
    <w:rsid w:val="00D559AA"/>
    <w:rsid w:val="00D55ACA"/>
    <w:rsid w:val="00D55C0D"/>
    <w:rsid w:val="00D55F6D"/>
    <w:rsid w:val="00D562C5"/>
    <w:rsid w:val="00D56471"/>
    <w:rsid w:val="00D56634"/>
    <w:rsid w:val="00D56712"/>
    <w:rsid w:val="00D5699C"/>
    <w:rsid w:val="00D56B9A"/>
    <w:rsid w:val="00D56D23"/>
    <w:rsid w:val="00D570B8"/>
    <w:rsid w:val="00D57216"/>
    <w:rsid w:val="00D57279"/>
    <w:rsid w:val="00D57550"/>
    <w:rsid w:val="00D578E6"/>
    <w:rsid w:val="00D57DB9"/>
    <w:rsid w:val="00D57E44"/>
    <w:rsid w:val="00D605D4"/>
    <w:rsid w:val="00D60846"/>
    <w:rsid w:val="00D60E64"/>
    <w:rsid w:val="00D60FB2"/>
    <w:rsid w:val="00D61039"/>
    <w:rsid w:val="00D61093"/>
    <w:rsid w:val="00D6131E"/>
    <w:rsid w:val="00D613A7"/>
    <w:rsid w:val="00D61AD8"/>
    <w:rsid w:val="00D62149"/>
    <w:rsid w:val="00D624F6"/>
    <w:rsid w:val="00D62776"/>
    <w:rsid w:val="00D62ACC"/>
    <w:rsid w:val="00D6335B"/>
    <w:rsid w:val="00D63414"/>
    <w:rsid w:val="00D635BD"/>
    <w:rsid w:val="00D6379B"/>
    <w:rsid w:val="00D637DF"/>
    <w:rsid w:val="00D637F1"/>
    <w:rsid w:val="00D63BB7"/>
    <w:rsid w:val="00D63D60"/>
    <w:rsid w:val="00D6427A"/>
    <w:rsid w:val="00D64683"/>
    <w:rsid w:val="00D64B1A"/>
    <w:rsid w:val="00D6518F"/>
    <w:rsid w:val="00D651C6"/>
    <w:rsid w:val="00D6521A"/>
    <w:rsid w:val="00D654A6"/>
    <w:rsid w:val="00D65592"/>
    <w:rsid w:val="00D65944"/>
    <w:rsid w:val="00D65AC4"/>
    <w:rsid w:val="00D65C42"/>
    <w:rsid w:val="00D65D80"/>
    <w:rsid w:val="00D65D88"/>
    <w:rsid w:val="00D65D98"/>
    <w:rsid w:val="00D65E50"/>
    <w:rsid w:val="00D65EF2"/>
    <w:rsid w:val="00D65F56"/>
    <w:rsid w:val="00D65F71"/>
    <w:rsid w:val="00D65FB5"/>
    <w:rsid w:val="00D660BE"/>
    <w:rsid w:val="00D661FA"/>
    <w:rsid w:val="00D66251"/>
    <w:rsid w:val="00D667AA"/>
    <w:rsid w:val="00D66DFC"/>
    <w:rsid w:val="00D66E84"/>
    <w:rsid w:val="00D675F0"/>
    <w:rsid w:val="00D67676"/>
    <w:rsid w:val="00D67694"/>
    <w:rsid w:val="00D700CB"/>
    <w:rsid w:val="00D7045A"/>
    <w:rsid w:val="00D705B8"/>
    <w:rsid w:val="00D707B8"/>
    <w:rsid w:val="00D708FB"/>
    <w:rsid w:val="00D70993"/>
    <w:rsid w:val="00D7099D"/>
    <w:rsid w:val="00D709AE"/>
    <w:rsid w:val="00D70BF1"/>
    <w:rsid w:val="00D70C17"/>
    <w:rsid w:val="00D710C9"/>
    <w:rsid w:val="00D713E5"/>
    <w:rsid w:val="00D71698"/>
    <w:rsid w:val="00D717A4"/>
    <w:rsid w:val="00D71D52"/>
    <w:rsid w:val="00D71E95"/>
    <w:rsid w:val="00D72108"/>
    <w:rsid w:val="00D72184"/>
    <w:rsid w:val="00D723DC"/>
    <w:rsid w:val="00D7258F"/>
    <w:rsid w:val="00D72F30"/>
    <w:rsid w:val="00D731D4"/>
    <w:rsid w:val="00D73B38"/>
    <w:rsid w:val="00D73C7D"/>
    <w:rsid w:val="00D73D0A"/>
    <w:rsid w:val="00D73D17"/>
    <w:rsid w:val="00D73DA7"/>
    <w:rsid w:val="00D741D8"/>
    <w:rsid w:val="00D74466"/>
    <w:rsid w:val="00D74806"/>
    <w:rsid w:val="00D749AC"/>
    <w:rsid w:val="00D74A02"/>
    <w:rsid w:val="00D74A6E"/>
    <w:rsid w:val="00D74BD1"/>
    <w:rsid w:val="00D7510F"/>
    <w:rsid w:val="00D75164"/>
    <w:rsid w:val="00D75225"/>
    <w:rsid w:val="00D75343"/>
    <w:rsid w:val="00D75356"/>
    <w:rsid w:val="00D753F0"/>
    <w:rsid w:val="00D7548D"/>
    <w:rsid w:val="00D75882"/>
    <w:rsid w:val="00D758B0"/>
    <w:rsid w:val="00D75DA2"/>
    <w:rsid w:val="00D76182"/>
    <w:rsid w:val="00D76232"/>
    <w:rsid w:val="00D76382"/>
    <w:rsid w:val="00D768DE"/>
    <w:rsid w:val="00D76D9C"/>
    <w:rsid w:val="00D76DC1"/>
    <w:rsid w:val="00D76DEA"/>
    <w:rsid w:val="00D76FE4"/>
    <w:rsid w:val="00D77021"/>
    <w:rsid w:val="00D77306"/>
    <w:rsid w:val="00D77366"/>
    <w:rsid w:val="00D77419"/>
    <w:rsid w:val="00D7756B"/>
    <w:rsid w:val="00D7756D"/>
    <w:rsid w:val="00D775ED"/>
    <w:rsid w:val="00D777B7"/>
    <w:rsid w:val="00D7781E"/>
    <w:rsid w:val="00D77AF9"/>
    <w:rsid w:val="00D77D0A"/>
    <w:rsid w:val="00D77F48"/>
    <w:rsid w:val="00D80689"/>
    <w:rsid w:val="00D80CCE"/>
    <w:rsid w:val="00D80E97"/>
    <w:rsid w:val="00D81525"/>
    <w:rsid w:val="00D8167A"/>
    <w:rsid w:val="00D819D2"/>
    <w:rsid w:val="00D81CE6"/>
    <w:rsid w:val="00D820BB"/>
    <w:rsid w:val="00D8210F"/>
    <w:rsid w:val="00D82352"/>
    <w:rsid w:val="00D827F2"/>
    <w:rsid w:val="00D82870"/>
    <w:rsid w:val="00D82874"/>
    <w:rsid w:val="00D82952"/>
    <w:rsid w:val="00D82979"/>
    <w:rsid w:val="00D82BB4"/>
    <w:rsid w:val="00D82D01"/>
    <w:rsid w:val="00D82EB7"/>
    <w:rsid w:val="00D8358E"/>
    <w:rsid w:val="00D83746"/>
    <w:rsid w:val="00D83A11"/>
    <w:rsid w:val="00D83CB3"/>
    <w:rsid w:val="00D83EAF"/>
    <w:rsid w:val="00D83EE4"/>
    <w:rsid w:val="00D840DA"/>
    <w:rsid w:val="00D84192"/>
    <w:rsid w:val="00D84271"/>
    <w:rsid w:val="00D8462F"/>
    <w:rsid w:val="00D84676"/>
    <w:rsid w:val="00D8499F"/>
    <w:rsid w:val="00D84A7D"/>
    <w:rsid w:val="00D84C7D"/>
    <w:rsid w:val="00D84D88"/>
    <w:rsid w:val="00D84F98"/>
    <w:rsid w:val="00D84FA4"/>
    <w:rsid w:val="00D85153"/>
    <w:rsid w:val="00D85192"/>
    <w:rsid w:val="00D85CFE"/>
    <w:rsid w:val="00D85D2C"/>
    <w:rsid w:val="00D86074"/>
    <w:rsid w:val="00D86274"/>
    <w:rsid w:val="00D8631F"/>
    <w:rsid w:val="00D86553"/>
    <w:rsid w:val="00D86A52"/>
    <w:rsid w:val="00D86CAA"/>
    <w:rsid w:val="00D86DA6"/>
    <w:rsid w:val="00D870A5"/>
    <w:rsid w:val="00D8743D"/>
    <w:rsid w:val="00D87617"/>
    <w:rsid w:val="00D87952"/>
    <w:rsid w:val="00D87BCE"/>
    <w:rsid w:val="00D87DE3"/>
    <w:rsid w:val="00D87FB9"/>
    <w:rsid w:val="00D90117"/>
    <w:rsid w:val="00D90260"/>
    <w:rsid w:val="00D90727"/>
    <w:rsid w:val="00D9073C"/>
    <w:rsid w:val="00D907E6"/>
    <w:rsid w:val="00D90FB1"/>
    <w:rsid w:val="00D91358"/>
    <w:rsid w:val="00D91719"/>
    <w:rsid w:val="00D91998"/>
    <w:rsid w:val="00D9204B"/>
    <w:rsid w:val="00D9211C"/>
    <w:rsid w:val="00D925D2"/>
    <w:rsid w:val="00D92D5B"/>
    <w:rsid w:val="00D92F10"/>
    <w:rsid w:val="00D9342B"/>
    <w:rsid w:val="00D93686"/>
    <w:rsid w:val="00D938C7"/>
    <w:rsid w:val="00D93B35"/>
    <w:rsid w:val="00D93C6F"/>
    <w:rsid w:val="00D93CB0"/>
    <w:rsid w:val="00D93D69"/>
    <w:rsid w:val="00D93D91"/>
    <w:rsid w:val="00D93EC3"/>
    <w:rsid w:val="00D93F10"/>
    <w:rsid w:val="00D93F30"/>
    <w:rsid w:val="00D9401F"/>
    <w:rsid w:val="00D940B2"/>
    <w:rsid w:val="00D94395"/>
    <w:rsid w:val="00D943AF"/>
    <w:rsid w:val="00D94417"/>
    <w:rsid w:val="00D94DDC"/>
    <w:rsid w:val="00D95340"/>
    <w:rsid w:val="00D959AF"/>
    <w:rsid w:val="00D959D8"/>
    <w:rsid w:val="00D95C2C"/>
    <w:rsid w:val="00D961AF"/>
    <w:rsid w:val="00D9628C"/>
    <w:rsid w:val="00D9648E"/>
    <w:rsid w:val="00D96880"/>
    <w:rsid w:val="00D9689C"/>
    <w:rsid w:val="00D969BB"/>
    <w:rsid w:val="00D96A59"/>
    <w:rsid w:val="00D96BCC"/>
    <w:rsid w:val="00D96BFA"/>
    <w:rsid w:val="00D96E58"/>
    <w:rsid w:val="00D96F00"/>
    <w:rsid w:val="00D975A1"/>
    <w:rsid w:val="00D9772E"/>
    <w:rsid w:val="00D97917"/>
    <w:rsid w:val="00D97A29"/>
    <w:rsid w:val="00D97AD7"/>
    <w:rsid w:val="00D97CF7"/>
    <w:rsid w:val="00D97E8A"/>
    <w:rsid w:val="00D97F7D"/>
    <w:rsid w:val="00DA05FE"/>
    <w:rsid w:val="00DA0CCF"/>
    <w:rsid w:val="00DA0D13"/>
    <w:rsid w:val="00DA0DB5"/>
    <w:rsid w:val="00DA0DF3"/>
    <w:rsid w:val="00DA0F01"/>
    <w:rsid w:val="00DA1201"/>
    <w:rsid w:val="00DA173D"/>
    <w:rsid w:val="00DA1959"/>
    <w:rsid w:val="00DA20A1"/>
    <w:rsid w:val="00DA2142"/>
    <w:rsid w:val="00DA215B"/>
    <w:rsid w:val="00DA259D"/>
    <w:rsid w:val="00DA26C8"/>
    <w:rsid w:val="00DA270E"/>
    <w:rsid w:val="00DA27C0"/>
    <w:rsid w:val="00DA27C6"/>
    <w:rsid w:val="00DA2A9F"/>
    <w:rsid w:val="00DA2BB5"/>
    <w:rsid w:val="00DA2C6C"/>
    <w:rsid w:val="00DA3442"/>
    <w:rsid w:val="00DA3988"/>
    <w:rsid w:val="00DA4459"/>
    <w:rsid w:val="00DA4891"/>
    <w:rsid w:val="00DA49D0"/>
    <w:rsid w:val="00DA4B4F"/>
    <w:rsid w:val="00DA4C99"/>
    <w:rsid w:val="00DA4E83"/>
    <w:rsid w:val="00DA4E9E"/>
    <w:rsid w:val="00DA4EC3"/>
    <w:rsid w:val="00DA4EEB"/>
    <w:rsid w:val="00DA4F14"/>
    <w:rsid w:val="00DA4F7F"/>
    <w:rsid w:val="00DA4FCA"/>
    <w:rsid w:val="00DA517E"/>
    <w:rsid w:val="00DA535D"/>
    <w:rsid w:val="00DA53A5"/>
    <w:rsid w:val="00DA55AA"/>
    <w:rsid w:val="00DA58A9"/>
    <w:rsid w:val="00DA5937"/>
    <w:rsid w:val="00DA5B29"/>
    <w:rsid w:val="00DA5B31"/>
    <w:rsid w:val="00DA5E0D"/>
    <w:rsid w:val="00DA5EAB"/>
    <w:rsid w:val="00DA60A6"/>
    <w:rsid w:val="00DA61F9"/>
    <w:rsid w:val="00DA633F"/>
    <w:rsid w:val="00DA6930"/>
    <w:rsid w:val="00DA6C3E"/>
    <w:rsid w:val="00DA6C82"/>
    <w:rsid w:val="00DA7575"/>
    <w:rsid w:val="00DA7722"/>
    <w:rsid w:val="00DA7A3C"/>
    <w:rsid w:val="00DA7A4E"/>
    <w:rsid w:val="00DA7FBF"/>
    <w:rsid w:val="00DB0393"/>
    <w:rsid w:val="00DB06B8"/>
    <w:rsid w:val="00DB06EA"/>
    <w:rsid w:val="00DB09CA"/>
    <w:rsid w:val="00DB09F9"/>
    <w:rsid w:val="00DB0B1C"/>
    <w:rsid w:val="00DB0B60"/>
    <w:rsid w:val="00DB0E1E"/>
    <w:rsid w:val="00DB0E5D"/>
    <w:rsid w:val="00DB127F"/>
    <w:rsid w:val="00DB1291"/>
    <w:rsid w:val="00DB13E2"/>
    <w:rsid w:val="00DB1561"/>
    <w:rsid w:val="00DB17BC"/>
    <w:rsid w:val="00DB1A13"/>
    <w:rsid w:val="00DB1ADB"/>
    <w:rsid w:val="00DB1B39"/>
    <w:rsid w:val="00DB1F90"/>
    <w:rsid w:val="00DB2123"/>
    <w:rsid w:val="00DB23EA"/>
    <w:rsid w:val="00DB240D"/>
    <w:rsid w:val="00DB26DD"/>
    <w:rsid w:val="00DB28B6"/>
    <w:rsid w:val="00DB2F14"/>
    <w:rsid w:val="00DB2F61"/>
    <w:rsid w:val="00DB330C"/>
    <w:rsid w:val="00DB34FE"/>
    <w:rsid w:val="00DB35D2"/>
    <w:rsid w:val="00DB389A"/>
    <w:rsid w:val="00DB392B"/>
    <w:rsid w:val="00DB3BBE"/>
    <w:rsid w:val="00DB3D24"/>
    <w:rsid w:val="00DB4204"/>
    <w:rsid w:val="00DB42ED"/>
    <w:rsid w:val="00DB42F8"/>
    <w:rsid w:val="00DB47B5"/>
    <w:rsid w:val="00DB4B84"/>
    <w:rsid w:val="00DB4E42"/>
    <w:rsid w:val="00DB50B9"/>
    <w:rsid w:val="00DB53FC"/>
    <w:rsid w:val="00DB5525"/>
    <w:rsid w:val="00DB5626"/>
    <w:rsid w:val="00DB5699"/>
    <w:rsid w:val="00DB574D"/>
    <w:rsid w:val="00DB5791"/>
    <w:rsid w:val="00DB5802"/>
    <w:rsid w:val="00DB5962"/>
    <w:rsid w:val="00DB5C52"/>
    <w:rsid w:val="00DB5F79"/>
    <w:rsid w:val="00DB603A"/>
    <w:rsid w:val="00DB67EC"/>
    <w:rsid w:val="00DB6914"/>
    <w:rsid w:val="00DB69C1"/>
    <w:rsid w:val="00DB6C7A"/>
    <w:rsid w:val="00DB7689"/>
    <w:rsid w:val="00DB7755"/>
    <w:rsid w:val="00DB7CA2"/>
    <w:rsid w:val="00DB7FDB"/>
    <w:rsid w:val="00DC0262"/>
    <w:rsid w:val="00DC053A"/>
    <w:rsid w:val="00DC0589"/>
    <w:rsid w:val="00DC075F"/>
    <w:rsid w:val="00DC0AEF"/>
    <w:rsid w:val="00DC0CCB"/>
    <w:rsid w:val="00DC0F40"/>
    <w:rsid w:val="00DC1365"/>
    <w:rsid w:val="00DC18EB"/>
    <w:rsid w:val="00DC199C"/>
    <w:rsid w:val="00DC1BBF"/>
    <w:rsid w:val="00DC1BDE"/>
    <w:rsid w:val="00DC1C3E"/>
    <w:rsid w:val="00DC2365"/>
    <w:rsid w:val="00DC2CA7"/>
    <w:rsid w:val="00DC30A8"/>
    <w:rsid w:val="00DC30D4"/>
    <w:rsid w:val="00DC3199"/>
    <w:rsid w:val="00DC3213"/>
    <w:rsid w:val="00DC3545"/>
    <w:rsid w:val="00DC356A"/>
    <w:rsid w:val="00DC39B3"/>
    <w:rsid w:val="00DC3A6F"/>
    <w:rsid w:val="00DC3E1F"/>
    <w:rsid w:val="00DC3ECE"/>
    <w:rsid w:val="00DC3FF8"/>
    <w:rsid w:val="00DC4132"/>
    <w:rsid w:val="00DC43CF"/>
    <w:rsid w:val="00DC455B"/>
    <w:rsid w:val="00DC48F9"/>
    <w:rsid w:val="00DC498B"/>
    <w:rsid w:val="00DC4A7A"/>
    <w:rsid w:val="00DC4BB6"/>
    <w:rsid w:val="00DC4D39"/>
    <w:rsid w:val="00DC4D55"/>
    <w:rsid w:val="00DC4EEF"/>
    <w:rsid w:val="00DC523D"/>
    <w:rsid w:val="00DC54F4"/>
    <w:rsid w:val="00DC55B4"/>
    <w:rsid w:val="00DC59DF"/>
    <w:rsid w:val="00DC5A85"/>
    <w:rsid w:val="00DC5C51"/>
    <w:rsid w:val="00DC5EFD"/>
    <w:rsid w:val="00DC606F"/>
    <w:rsid w:val="00DC697A"/>
    <w:rsid w:val="00DC6D27"/>
    <w:rsid w:val="00DC6F34"/>
    <w:rsid w:val="00DC72E5"/>
    <w:rsid w:val="00DC7BA1"/>
    <w:rsid w:val="00DD03F0"/>
    <w:rsid w:val="00DD05BC"/>
    <w:rsid w:val="00DD0635"/>
    <w:rsid w:val="00DD07FE"/>
    <w:rsid w:val="00DD09BB"/>
    <w:rsid w:val="00DD0A56"/>
    <w:rsid w:val="00DD0B04"/>
    <w:rsid w:val="00DD0BFE"/>
    <w:rsid w:val="00DD10DD"/>
    <w:rsid w:val="00DD119B"/>
    <w:rsid w:val="00DD14F1"/>
    <w:rsid w:val="00DD1748"/>
    <w:rsid w:val="00DD1F6B"/>
    <w:rsid w:val="00DD218F"/>
    <w:rsid w:val="00DD223D"/>
    <w:rsid w:val="00DD227D"/>
    <w:rsid w:val="00DD2384"/>
    <w:rsid w:val="00DD243F"/>
    <w:rsid w:val="00DD2640"/>
    <w:rsid w:val="00DD26D2"/>
    <w:rsid w:val="00DD275A"/>
    <w:rsid w:val="00DD29D3"/>
    <w:rsid w:val="00DD2A0B"/>
    <w:rsid w:val="00DD2C2A"/>
    <w:rsid w:val="00DD2C87"/>
    <w:rsid w:val="00DD2F35"/>
    <w:rsid w:val="00DD381E"/>
    <w:rsid w:val="00DD384F"/>
    <w:rsid w:val="00DD3A27"/>
    <w:rsid w:val="00DD3E2A"/>
    <w:rsid w:val="00DD3F20"/>
    <w:rsid w:val="00DD40A8"/>
    <w:rsid w:val="00DD40D5"/>
    <w:rsid w:val="00DD41FB"/>
    <w:rsid w:val="00DD420D"/>
    <w:rsid w:val="00DD48B1"/>
    <w:rsid w:val="00DD4E38"/>
    <w:rsid w:val="00DD5031"/>
    <w:rsid w:val="00DD57D0"/>
    <w:rsid w:val="00DD57F4"/>
    <w:rsid w:val="00DD58DF"/>
    <w:rsid w:val="00DD5941"/>
    <w:rsid w:val="00DD59EA"/>
    <w:rsid w:val="00DD5C90"/>
    <w:rsid w:val="00DD5E1D"/>
    <w:rsid w:val="00DD5EB1"/>
    <w:rsid w:val="00DD5FA9"/>
    <w:rsid w:val="00DD616B"/>
    <w:rsid w:val="00DD64D5"/>
    <w:rsid w:val="00DD6AD3"/>
    <w:rsid w:val="00DD6B6A"/>
    <w:rsid w:val="00DD6DA3"/>
    <w:rsid w:val="00DD731E"/>
    <w:rsid w:val="00DD7B6B"/>
    <w:rsid w:val="00DD7C5C"/>
    <w:rsid w:val="00DE001D"/>
    <w:rsid w:val="00DE0186"/>
    <w:rsid w:val="00DE0A09"/>
    <w:rsid w:val="00DE0B5C"/>
    <w:rsid w:val="00DE0CEB"/>
    <w:rsid w:val="00DE0E3B"/>
    <w:rsid w:val="00DE100E"/>
    <w:rsid w:val="00DE10C6"/>
    <w:rsid w:val="00DE10EC"/>
    <w:rsid w:val="00DE11E1"/>
    <w:rsid w:val="00DE13FA"/>
    <w:rsid w:val="00DE14B7"/>
    <w:rsid w:val="00DE166A"/>
    <w:rsid w:val="00DE17A0"/>
    <w:rsid w:val="00DE19C7"/>
    <w:rsid w:val="00DE1CD1"/>
    <w:rsid w:val="00DE2233"/>
    <w:rsid w:val="00DE2385"/>
    <w:rsid w:val="00DE2600"/>
    <w:rsid w:val="00DE269B"/>
    <w:rsid w:val="00DE2806"/>
    <w:rsid w:val="00DE28C4"/>
    <w:rsid w:val="00DE2D2D"/>
    <w:rsid w:val="00DE2EB8"/>
    <w:rsid w:val="00DE3161"/>
    <w:rsid w:val="00DE345B"/>
    <w:rsid w:val="00DE3470"/>
    <w:rsid w:val="00DE359F"/>
    <w:rsid w:val="00DE371D"/>
    <w:rsid w:val="00DE37AA"/>
    <w:rsid w:val="00DE39B0"/>
    <w:rsid w:val="00DE3B1F"/>
    <w:rsid w:val="00DE3EDF"/>
    <w:rsid w:val="00DE4C74"/>
    <w:rsid w:val="00DE4F1C"/>
    <w:rsid w:val="00DE5261"/>
    <w:rsid w:val="00DE584A"/>
    <w:rsid w:val="00DE589F"/>
    <w:rsid w:val="00DE5A80"/>
    <w:rsid w:val="00DE5BD9"/>
    <w:rsid w:val="00DE5E90"/>
    <w:rsid w:val="00DE5F5B"/>
    <w:rsid w:val="00DE5FEE"/>
    <w:rsid w:val="00DE65B2"/>
    <w:rsid w:val="00DE6803"/>
    <w:rsid w:val="00DE6D92"/>
    <w:rsid w:val="00DE6DA5"/>
    <w:rsid w:val="00DE6E71"/>
    <w:rsid w:val="00DE6F79"/>
    <w:rsid w:val="00DE744B"/>
    <w:rsid w:val="00DE7820"/>
    <w:rsid w:val="00DE790B"/>
    <w:rsid w:val="00DE79AD"/>
    <w:rsid w:val="00DE7A9C"/>
    <w:rsid w:val="00DE7D01"/>
    <w:rsid w:val="00DE7E00"/>
    <w:rsid w:val="00DF03E3"/>
    <w:rsid w:val="00DF055F"/>
    <w:rsid w:val="00DF070D"/>
    <w:rsid w:val="00DF0B53"/>
    <w:rsid w:val="00DF0B7E"/>
    <w:rsid w:val="00DF0CE0"/>
    <w:rsid w:val="00DF0D92"/>
    <w:rsid w:val="00DF0E80"/>
    <w:rsid w:val="00DF161C"/>
    <w:rsid w:val="00DF1695"/>
    <w:rsid w:val="00DF18B5"/>
    <w:rsid w:val="00DF198F"/>
    <w:rsid w:val="00DF1995"/>
    <w:rsid w:val="00DF1AD5"/>
    <w:rsid w:val="00DF1D06"/>
    <w:rsid w:val="00DF1D2D"/>
    <w:rsid w:val="00DF221F"/>
    <w:rsid w:val="00DF23E4"/>
    <w:rsid w:val="00DF24FD"/>
    <w:rsid w:val="00DF262C"/>
    <w:rsid w:val="00DF29F8"/>
    <w:rsid w:val="00DF2A99"/>
    <w:rsid w:val="00DF2FA6"/>
    <w:rsid w:val="00DF3082"/>
    <w:rsid w:val="00DF36CE"/>
    <w:rsid w:val="00DF37D1"/>
    <w:rsid w:val="00DF3B4D"/>
    <w:rsid w:val="00DF3BAB"/>
    <w:rsid w:val="00DF3BB9"/>
    <w:rsid w:val="00DF427C"/>
    <w:rsid w:val="00DF434A"/>
    <w:rsid w:val="00DF455E"/>
    <w:rsid w:val="00DF4666"/>
    <w:rsid w:val="00DF4854"/>
    <w:rsid w:val="00DF486B"/>
    <w:rsid w:val="00DF49C7"/>
    <w:rsid w:val="00DF4B61"/>
    <w:rsid w:val="00DF4BBF"/>
    <w:rsid w:val="00DF4CDC"/>
    <w:rsid w:val="00DF51FC"/>
    <w:rsid w:val="00DF59B1"/>
    <w:rsid w:val="00DF5D67"/>
    <w:rsid w:val="00DF5DF8"/>
    <w:rsid w:val="00DF66E7"/>
    <w:rsid w:val="00DF6E51"/>
    <w:rsid w:val="00DF6E52"/>
    <w:rsid w:val="00DF6EEC"/>
    <w:rsid w:val="00DF6F42"/>
    <w:rsid w:val="00DF6FD4"/>
    <w:rsid w:val="00DF7945"/>
    <w:rsid w:val="00DF7F88"/>
    <w:rsid w:val="00E000C8"/>
    <w:rsid w:val="00E00315"/>
    <w:rsid w:val="00E00705"/>
    <w:rsid w:val="00E0085C"/>
    <w:rsid w:val="00E00C41"/>
    <w:rsid w:val="00E00F61"/>
    <w:rsid w:val="00E015B2"/>
    <w:rsid w:val="00E0171D"/>
    <w:rsid w:val="00E020A6"/>
    <w:rsid w:val="00E020BF"/>
    <w:rsid w:val="00E02167"/>
    <w:rsid w:val="00E021BE"/>
    <w:rsid w:val="00E025BB"/>
    <w:rsid w:val="00E02818"/>
    <w:rsid w:val="00E02B17"/>
    <w:rsid w:val="00E03144"/>
    <w:rsid w:val="00E03957"/>
    <w:rsid w:val="00E039B8"/>
    <w:rsid w:val="00E03B3D"/>
    <w:rsid w:val="00E04637"/>
    <w:rsid w:val="00E0499E"/>
    <w:rsid w:val="00E04A90"/>
    <w:rsid w:val="00E04D4D"/>
    <w:rsid w:val="00E04D97"/>
    <w:rsid w:val="00E04E48"/>
    <w:rsid w:val="00E04F46"/>
    <w:rsid w:val="00E0514E"/>
    <w:rsid w:val="00E05ABA"/>
    <w:rsid w:val="00E05D15"/>
    <w:rsid w:val="00E05DFE"/>
    <w:rsid w:val="00E06238"/>
    <w:rsid w:val="00E06342"/>
    <w:rsid w:val="00E0643A"/>
    <w:rsid w:val="00E06659"/>
    <w:rsid w:val="00E0669B"/>
    <w:rsid w:val="00E068D2"/>
    <w:rsid w:val="00E06BEA"/>
    <w:rsid w:val="00E06C84"/>
    <w:rsid w:val="00E06CF3"/>
    <w:rsid w:val="00E07115"/>
    <w:rsid w:val="00E071A9"/>
    <w:rsid w:val="00E073C3"/>
    <w:rsid w:val="00E07546"/>
    <w:rsid w:val="00E078C3"/>
    <w:rsid w:val="00E079D8"/>
    <w:rsid w:val="00E07AE4"/>
    <w:rsid w:val="00E07CF5"/>
    <w:rsid w:val="00E07F7B"/>
    <w:rsid w:val="00E10395"/>
    <w:rsid w:val="00E103F6"/>
    <w:rsid w:val="00E10571"/>
    <w:rsid w:val="00E10667"/>
    <w:rsid w:val="00E107A3"/>
    <w:rsid w:val="00E108F4"/>
    <w:rsid w:val="00E10AB6"/>
    <w:rsid w:val="00E10B76"/>
    <w:rsid w:val="00E111AB"/>
    <w:rsid w:val="00E11226"/>
    <w:rsid w:val="00E1143C"/>
    <w:rsid w:val="00E114C0"/>
    <w:rsid w:val="00E11B85"/>
    <w:rsid w:val="00E11D26"/>
    <w:rsid w:val="00E11EE6"/>
    <w:rsid w:val="00E120B0"/>
    <w:rsid w:val="00E120ED"/>
    <w:rsid w:val="00E1272F"/>
    <w:rsid w:val="00E12B16"/>
    <w:rsid w:val="00E12E16"/>
    <w:rsid w:val="00E12EF5"/>
    <w:rsid w:val="00E13097"/>
    <w:rsid w:val="00E13137"/>
    <w:rsid w:val="00E13705"/>
    <w:rsid w:val="00E138E6"/>
    <w:rsid w:val="00E13998"/>
    <w:rsid w:val="00E13B63"/>
    <w:rsid w:val="00E13BCB"/>
    <w:rsid w:val="00E13D80"/>
    <w:rsid w:val="00E1401D"/>
    <w:rsid w:val="00E14041"/>
    <w:rsid w:val="00E1454E"/>
    <w:rsid w:val="00E147EA"/>
    <w:rsid w:val="00E14842"/>
    <w:rsid w:val="00E14A4F"/>
    <w:rsid w:val="00E14B92"/>
    <w:rsid w:val="00E14BC8"/>
    <w:rsid w:val="00E15457"/>
    <w:rsid w:val="00E15B56"/>
    <w:rsid w:val="00E15F7E"/>
    <w:rsid w:val="00E16027"/>
    <w:rsid w:val="00E160BD"/>
    <w:rsid w:val="00E16127"/>
    <w:rsid w:val="00E1624F"/>
    <w:rsid w:val="00E162B6"/>
    <w:rsid w:val="00E16483"/>
    <w:rsid w:val="00E164F7"/>
    <w:rsid w:val="00E1668A"/>
    <w:rsid w:val="00E1675A"/>
    <w:rsid w:val="00E16A01"/>
    <w:rsid w:val="00E16B5A"/>
    <w:rsid w:val="00E16EFB"/>
    <w:rsid w:val="00E175E9"/>
    <w:rsid w:val="00E17C75"/>
    <w:rsid w:val="00E17CD8"/>
    <w:rsid w:val="00E17DDB"/>
    <w:rsid w:val="00E17F79"/>
    <w:rsid w:val="00E17FFB"/>
    <w:rsid w:val="00E2040A"/>
    <w:rsid w:val="00E20682"/>
    <w:rsid w:val="00E206D4"/>
    <w:rsid w:val="00E20784"/>
    <w:rsid w:val="00E20849"/>
    <w:rsid w:val="00E20F78"/>
    <w:rsid w:val="00E2103E"/>
    <w:rsid w:val="00E2123A"/>
    <w:rsid w:val="00E2149A"/>
    <w:rsid w:val="00E215C3"/>
    <w:rsid w:val="00E21A09"/>
    <w:rsid w:val="00E21A77"/>
    <w:rsid w:val="00E21E71"/>
    <w:rsid w:val="00E2221B"/>
    <w:rsid w:val="00E22741"/>
    <w:rsid w:val="00E22B1E"/>
    <w:rsid w:val="00E22D8A"/>
    <w:rsid w:val="00E231E5"/>
    <w:rsid w:val="00E233B1"/>
    <w:rsid w:val="00E234D9"/>
    <w:rsid w:val="00E234E3"/>
    <w:rsid w:val="00E235EB"/>
    <w:rsid w:val="00E237FB"/>
    <w:rsid w:val="00E239CA"/>
    <w:rsid w:val="00E23EA5"/>
    <w:rsid w:val="00E240A7"/>
    <w:rsid w:val="00E24157"/>
    <w:rsid w:val="00E24514"/>
    <w:rsid w:val="00E24AFC"/>
    <w:rsid w:val="00E24B10"/>
    <w:rsid w:val="00E24C96"/>
    <w:rsid w:val="00E24DC9"/>
    <w:rsid w:val="00E24EF2"/>
    <w:rsid w:val="00E25458"/>
    <w:rsid w:val="00E2574D"/>
    <w:rsid w:val="00E25BAB"/>
    <w:rsid w:val="00E25C39"/>
    <w:rsid w:val="00E25E74"/>
    <w:rsid w:val="00E260A8"/>
    <w:rsid w:val="00E263DA"/>
    <w:rsid w:val="00E2673C"/>
    <w:rsid w:val="00E26903"/>
    <w:rsid w:val="00E2703D"/>
    <w:rsid w:val="00E27567"/>
    <w:rsid w:val="00E27648"/>
    <w:rsid w:val="00E3016E"/>
    <w:rsid w:val="00E30183"/>
    <w:rsid w:val="00E30243"/>
    <w:rsid w:val="00E3070E"/>
    <w:rsid w:val="00E30763"/>
    <w:rsid w:val="00E308D1"/>
    <w:rsid w:val="00E30DB9"/>
    <w:rsid w:val="00E30F39"/>
    <w:rsid w:val="00E316CC"/>
    <w:rsid w:val="00E31C79"/>
    <w:rsid w:val="00E31E54"/>
    <w:rsid w:val="00E31E74"/>
    <w:rsid w:val="00E32045"/>
    <w:rsid w:val="00E3219A"/>
    <w:rsid w:val="00E32B39"/>
    <w:rsid w:val="00E32B90"/>
    <w:rsid w:val="00E32C40"/>
    <w:rsid w:val="00E3326E"/>
    <w:rsid w:val="00E3345B"/>
    <w:rsid w:val="00E33AE6"/>
    <w:rsid w:val="00E33D0E"/>
    <w:rsid w:val="00E33F49"/>
    <w:rsid w:val="00E34183"/>
    <w:rsid w:val="00E34469"/>
    <w:rsid w:val="00E34470"/>
    <w:rsid w:val="00E34A4F"/>
    <w:rsid w:val="00E34C45"/>
    <w:rsid w:val="00E34FE4"/>
    <w:rsid w:val="00E35186"/>
    <w:rsid w:val="00E35A1F"/>
    <w:rsid w:val="00E35E0D"/>
    <w:rsid w:val="00E35E50"/>
    <w:rsid w:val="00E362D5"/>
    <w:rsid w:val="00E3664B"/>
    <w:rsid w:val="00E366C2"/>
    <w:rsid w:val="00E3686A"/>
    <w:rsid w:val="00E36F2F"/>
    <w:rsid w:val="00E371B2"/>
    <w:rsid w:val="00E37978"/>
    <w:rsid w:val="00E37AEA"/>
    <w:rsid w:val="00E37BC5"/>
    <w:rsid w:val="00E37C02"/>
    <w:rsid w:val="00E37C4D"/>
    <w:rsid w:val="00E37D5F"/>
    <w:rsid w:val="00E37FA8"/>
    <w:rsid w:val="00E4001D"/>
    <w:rsid w:val="00E4003C"/>
    <w:rsid w:val="00E40111"/>
    <w:rsid w:val="00E40148"/>
    <w:rsid w:val="00E4036C"/>
    <w:rsid w:val="00E40943"/>
    <w:rsid w:val="00E40D56"/>
    <w:rsid w:val="00E41179"/>
    <w:rsid w:val="00E41447"/>
    <w:rsid w:val="00E414A9"/>
    <w:rsid w:val="00E4150A"/>
    <w:rsid w:val="00E4154B"/>
    <w:rsid w:val="00E4154C"/>
    <w:rsid w:val="00E41562"/>
    <w:rsid w:val="00E41C5F"/>
    <w:rsid w:val="00E41E1C"/>
    <w:rsid w:val="00E4218C"/>
    <w:rsid w:val="00E422C2"/>
    <w:rsid w:val="00E42417"/>
    <w:rsid w:val="00E4296B"/>
    <w:rsid w:val="00E42BB3"/>
    <w:rsid w:val="00E42BD4"/>
    <w:rsid w:val="00E42DC5"/>
    <w:rsid w:val="00E43153"/>
    <w:rsid w:val="00E4337E"/>
    <w:rsid w:val="00E43715"/>
    <w:rsid w:val="00E439CB"/>
    <w:rsid w:val="00E43CD7"/>
    <w:rsid w:val="00E43EA1"/>
    <w:rsid w:val="00E43EDF"/>
    <w:rsid w:val="00E44445"/>
    <w:rsid w:val="00E444BD"/>
    <w:rsid w:val="00E44971"/>
    <w:rsid w:val="00E449E6"/>
    <w:rsid w:val="00E44AAA"/>
    <w:rsid w:val="00E4542C"/>
    <w:rsid w:val="00E45547"/>
    <w:rsid w:val="00E45583"/>
    <w:rsid w:val="00E455F5"/>
    <w:rsid w:val="00E45B10"/>
    <w:rsid w:val="00E464D2"/>
    <w:rsid w:val="00E4683D"/>
    <w:rsid w:val="00E46BB5"/>
    <w:rsid w:val="00E46F4F"/>
    <w:rsid w:val="00E470C4"/>
    <w:rsid w:val="00E470EB"/>
    <w:rsid w:val="00E476D1"/>
    <w:rsid w:val="00E47A6E"/>
    <w:rsid w:val="00E47CC4"/>
    <w:rsid w:val="00E47D12"/>
    <w:rsid w:val="00E50193"/>
    <w:rsid w:val="00E50409"/>
    <w:rsid w:val="00E5055E"/>
    <w:rsid w:val="00E505B4"/>
    <w:rsid w:val="00E50686"/>
    <w:rsid w:val="00E50880"/>
    <w:rsid w:val="00E508F3"/>
    <w:rsid w:val="00E5096B"/>
    <w:rsid w:val="00E509AD"/>
    <w:rsid w:val="00E509D7"/>
    <w:rsid w:val="00E50B1D"/>
    <w:rsid w:val="00E50B90"/>
    <w:rsid w:val="00E50C6E"/>
    <w:rsid w:val="00E50D68"/>
    <w:rsid w:val="00E50FAD"/>
    <w:rsid w:val="00E50FD1"/>
    <w:rsid w:val="00E510DC"/>
    <w:rsid w:val="00E513E6"/>
    <w:rsid w:val="00E513F8"/>
    <w:rsid w:val="00E5188A"/>
    <w:rsid w:val="00E518A1"/>
    <w:rsid w:val="00E5199E"/>
    <w:rsid w:val="00E51A86"/>
    <w:rsid w:val="00E51AF6"/>
    <w:rsid w:val="00E51C3E"/>
    <w:rsid w:val="00E51E81"/>
    <w:rsid w:val="00E51F0D"/>
    <w:rsid w:val="00E52AFA"/>
    <w:rsid w:val="00E532D2"/>
    <w:rsid w:val="00E53B83"/>
    <w:rsid w:val="00E542BA"/>
    <w:rsid w:val="00E542BB"/>
    <w:rsid w:val="00E54315"/>
    <w:rsid w:val="00E54629"/>
    <w:rsid w:val="00E5513C"/>
    <w:rsid w:val="00E55723"/>
    <w:rsid w:val="00E559AF"/>
    <w:rsid w:val="00E55F80"/>
    <w:rsid w:val="00E5613F"/>
    <w:rsid w:val="00E562DE"/>
    <w:rsid w:val="00E5633A"/>
    <w:rsid w:val="00E56685"/>
    <w:rsid w:val="00E567CD"/>
    <w:rsid w:val="00E56833"/>
    <w:rsid w:val="00E56E23"/>
    <w:rsid w:val="00E570D5"/>
    <w:rsid w:val="00E576D5"/>
    <w:rsid w:val="00E57823"/>
    <w:rsid w:val="00E5787C"/>
    <w:rsid w:val="00E57933"/>
    <w:rsid w:val="00E57C1C"/>
    <w:rsid w:val="00E57DEF"/>
    <w:rsid w:val="00E57E00"/>
    <w:rsid w:val="00E57E8A"/>
    <w:rsid w:val="00E57FF3"/>
    <w:rsid w:val="00E60454"/>
    <w:rsid w:val="00E6065D"/>
    <w:rsid w:val="00E60C0A"/>
    <w:rsid w:val="00E61C3A"/>
    <w:rsid w:val="00E61C45"/>
    <w:rsid w:val="00E61DB6"/>
    <w:rsid w:val="00E61F89"/>
    <w:rsid w:val="00E620EA"/>
    <w:rsid w:val="00E62142"/>
    <w:rsid w:val="00E62237"/>
    <w:rsid w:val="00E62294"/>
    <w:rsid w:val="00E622A8"/>
    <w:rsid w:val="00E622B1"/>
    <w:rsid w:val="00E62619"/>
    <w:rsid w:val="00E62777"/>
    <w:rsid w:val="00E6297A"/>
    <w:rsid w:val="00E62B2D"/>
    <w:rsid w:val="00E62DD9"/>
    <w:rsid w:val="00E62F72"/>
    <w:rsid w:val="00E63437"/>
    <w:rsid w:val="00E6358B"/>
    <w:rsid w:val="00E63668"/>
    <w:rsid w:val="00E636D4"/>
    <w:rsid w:val="00E63779"/>
    <w:rsid w:val="00E639DA"/>
    <w:rsid w:val="00E63E54"/>
    <w:rsid w:val="00E63FF7"/>
    <w:rsid w:val="00E6415A"/>
    <w:rsid w:val="00E642B7"/>
    <w:rsid w:val="00E64735"/>
    <w:rsid w:val="00E64845"/>
    <w:rsid w:val="00E64BC7"/>
    <w:rsid w:val="00E650BD"/>
    <w:rsid w:val="00E651B4"/>
    <w:rsid w:val="00E651FF"/>
    <w:rsid w:val="00E65245"/>
    <w:rsid w:val="00E6530E"/>
    <w:rsid w:val="00E65508"/>
    <w:rsid w:val="00E65526"/>
    <w:rsid w:val="00E65A30"/>
    <w:rsid w:val="00E65E16"/>
    <w:rsid w:val="00E66B50"/>
    <w:rsid w:val="00E66B90"/>
    <w:rsid w:val="00E66E66"/>
    <w:rsid w:val="00E6700F"/>
    <w:rsid w:val="00E67453"/>
    <w:rsid w:val="00E67725"/>
    <w:rsid w:val="00E677AF"/>
    <w:rsid w:val="00E678E8"/>
    <w:rsid w:val="00E67A49"/>
    <w:rsid w:val="00E67B5A"/>
    <w:rsid w:val="00E67BD6"/>
    <w:rsid w:val="00E67CA6"/>
    <w:rsid w:val="00E67D9F"/>
    <w:rsid w:val="00E67EC8"/>
    <w:rsid w:val="00E700AF"/>
    <w:rsid w:val="00E700F5"/>
    <w:rsid w:val="00E704CB"/>
    <w:rsid w:val="00E70674"/>
    <w:rsid w:val="00E708D9"/>
    <w:rsid w:val="00E709B5"/>
    <w:rsid w:val="00E70BCD"/>
    <w:rsid w:val="00E70D25"/>
    <w:rsid w:val="00E70EFC"/>
    <w:rsid w:val="00E70F01"/>
    <w:rsid w:val="00E712FA"/>
    <w:rsid w:val="00E713CF"/>
    <w:rsid w:val="00E71586"/>
    <w:rsid w:val="00E717B1"/>
    <w:rsid w:val="00E71AB0"/>
    <w:rsid w:val="00E71C53"/>
    <w:rsid w:val="00E71EFF"/>
    <w:rsid w:val="00E7215B"/>
    <w:rsid w:val="00E721D2"/>
    <w:rsid w:val="00E72505"/>
    <w:rsid w:val="00E72725"/>
    <w:rsid w:val="00E72A00"/>
    <w:rsid w:val="00E72E30"/>
    <w:rsid w:val="00E73187"/>
    <w:rsid w:val="00E73781"/>
    <w:rsid w:val="00E7380F"/>
    <w:rsid w:val="00E73D8E"/>
    <w:rsid w:val="00E73E47"/>
    <w:rsid w:val="00E74096"/>
    <w:rsid w:val="00E742FE"/>
    <w:rsid w:val="00E74301"/>
    <w:rsid w:val="00E743C6"/>
    <w:rsid w:val="00E7445B"/>
    <w:rsid w:val="00E74A44"/>
    <w:rsid w:val="00E74BFE"/>
    <w:rsid w:val="00E74E77"/>
    <w:rsid w:val="00E75148"/>
    <w:rsid w:val="00E75468"/>
    <w:rsid w:val="00E754A7"/>
    <w:rsid w:val="00E75603"/>
    <w:rsid w:val="00E75715"/>
    <w:rsid w:val="00E75A94"/>
    <w:rsid w:val="00E75C03"/>
    <w:rsid w:val="00E76799"/>
    <w:rsid w:val="00E767F6"/>
    <w:rsid w:val="00E76986"/>
    <w:rsid w:val="00E76B2F"/>
    <w:rsid w:val="00E76CA6"/>
    <w:rsid w:val="00E76F90"/>
    <w:rsid w:val="00E76F97"/>
    <w:rsid w:val="00E77073"/>
    <w:rsid w:val="00E77480"/>
    <w:rsid w:val="00E77786"/>
    <w:rsid w:val="00E778C1"/>
    <w:rsid w:val="00E77A0B"/>
    <w:rsid w:val="00E77FC3"/>
    <w:rsid w:val="00E80325"/>
    <w:rsid w:val="00E8034C"/>
    <w:rsid w:val="00E808A8"/>
    <w:rsid w:val="00E80BE7"/>
    <w:rsid w:val="00E80C27"/>
    <w:rsid w:val="00E80E2E"/>
    <w:rsid w:val="00E81395"/>
    <w:rsid w:val="00E81583"/>
    <w:rsid w:val="00E81753"/>
    <w:rsid w:val="00E81D79"/>
    <w:rsid w:val="00E8204B"/>
    <w:rsid w:val="00E8289D"/>
    <w:rsid w:val="00E82918"/>
    <w:rsid w:val="00E82B1F"/>
    <w:rsid w:val="00E82DCB"/>
    <w:rsid w:val="00E82E0A"/>
    <w:rsid w:val="00E82E52"/>
    <w:rsid w:val="00E82FA1"/>
    <w:rsid w:val="00E83416"/>
    <w:rsid w:val="00E839A6"/>
    <w:rsid w:val="00E83A51"/>
    <w:rsid w:val="00E8445C"/>
    <w:rsid w:val="00E84549"/>
    <w:rsid w:val="00E846DE"/>
    <w:rsid w:val="00E84DCF"/>
    <w:rsid w:val="00E84E93"/>
    <w:rsid w:val="00E852F3"/>
    <w:rsid w:val="00E854D2"/>
    <w:rsid w:val="00E856EB"/>
    <w:rsid w:val="00E85791"/>
    <w:rsid w:val="00E85798"/>
    <w:rsid w:val="00E857D0"/>
    <w:rsid w:val="00E858A6"/>
    <w:rsid w:val="00E85A1D"/>
    <w:rsid w:val="00E85C70"/>
    <w:rsid w:val="00E8662A"/>
    <w:rsid w:val="00E86B5D"/>
    <w:rsid w:val="00E86C2F"/>
    <w:rsid w:val="00E86C4A"/>
    <w:rsid w:val="00E86FA5"/>
    <w:rsid w:val="00E86FB8"/>
    <w:rsid w:val="00E86FFF"/>
    <w:rsid w:val="00E87304"/>
    <w:rsid w:val="00E873A4"/>
    <w:rsid w:val="00E8770A"/>
    <w:rsid w:val="00E8797E"/>
    <w:rsid w:val="00E87B7F"/>
    <w:rsid w:val="00E87D2A"/>
    <w:rsid w:val="00E87DC2"/>
    <w:rsid w:val="00E9059B"/>
    <w:rsid w:val="00E9073C"/>
    <w:rsid w:val="00E90768"/>
    <w:rsid w:val="00E908F9"/>
    <w:rsid w:val="00E909B6"/>
    <w:rsid w:val="00E90E9D"/>
    <w:rsid w:val="00E91526"/>
    <w:rsid w:val="00E91666"/>
    <w:rsid w:val="00E91784"/>
    <w:rsid w:val="00E91D42"/>
    <w:rsid w:val="00E91FD6"/>
    <w:rsid w:val="00E923FE"/>
    <w:rsid w:val="00E92465"/>
    <w:rsid w:val="00E924D8"/>
    <w:rsid w:val="00E925C3"/>
    <w:rsid w:val="00E92628"/>
    <w:rsid w:val="00E92765"/>
    <w:rsid w:val="00E92814"/>
    <w:rsid w:val="00E932FD"/>
    <w:rsid w:val="00E93636"/>
    <w:rsid w:val="00E938F4"/>
    <w:rsid w:val="00E93978"/>
    <w:rsid w:val="00E939D1"/>
    <w:rsid w:val="00E93A98"/>
    <w:rsid w:val="00E93E1E"/>
    <w:rsid w:val="00E93E41"/>
    <w:rsid w:val="00E93F3E"/>
    <w:rsid w:val="00E94616"/>
    <w:rsid w:val="00E94805"/>
    <w:rsid w:val="00E94950"/>
    <w:rsid w:val="00E94BF7"/>
    <w:rsid w:val="00E94CA2"/>
    <w:rsid w:val="00E94F2D"/>
    <w:rsid w:val="00E95452"/>
    <w:rsid w:val="00E95694"/>
    <w:rsid w:val="00E95B0D"/>
    <w:rsid w:val="00E95B45"/>
    <w:rsid w:val="00E95FA2"/>
    <w:rsid w:val="00E9607C"/>
    <w:rsid w:val="00E960C2"/>
    <w:rsid w:val="00E963D9"/>
    <w:rsid w:val="00E96422"/>
    <w:rsid w:val="00E9647C"/>
    <w:rsid w:val="00E96741"/>
    <w:rsid w:val="00E96899"/>
    <w:rsid w:val="00E96C56"/>
    <w:rsid w:val="00E96D59"/>
    <w:rsid w:val="00E96E65"/>
    <w:rsid w:val="00E96EBB"/>
    <w:rsid w:val="00E97109"/>
    <w:rsid w:val="00E972F0"/>
    <w:rsid w:val="00E973A6"/>
    <w:rsid w:val="00E97AED"/>
    <w:rsid w:val="00EA0422"/>
    <w:rsid w:val="00EA099F"/>
    <w:rsid w:val="00EA0B17"/>
    <w:rsid w:val="00EA0B57"/>
    <w:rsid w:val="00EA0C4C"/>
    <w:rsid w:val="00EA0E9D"/>
    <w:rsid w:val="00EA1416"/>
    <w:rsid w:val="00EA14E5"/>
    <w:rsid w:val="00EA16EE"/>
    <w:rsid w:val="00EA1CC2"/>
    <w:rsid w:val="00EA218E"/>
    <w:rsid w:val="00EA2442"/>
    <w:rsid w:val="00EA25B7"/>
    <w:rsid w:val="00EA2AB5"/>
    <w:rsid w:val="00EA2E11"/>
    <w:rsid w:val="00EA31C8"/>
    <w:rsid w:val="00EA36E3"/>
    <w:rsid w:val="00EA3798"/>
    <w:rsid w:val="00EA39D5"/>
    <w:rsid w:val="00EA3A11"/>
    <w:rsid w:val="00EA3CDF"/>
    <w:rsid w:val="00EA41E4"/>
    <w:rsid w:val="00EA426F"/>
    <w:rsid w:val="00EA44DD"/>
    <w:rsid w:val="00EA4539"/>
    <w:rsid w:val="00EA45F0"/>
    <w:rsid w:val="00EA47EA"/>
    <w:rsid w:val="00EA48C6"/>
    <w:rsid w:val="00EA4AEB"/>
    <w:rsid w:val="00EA4D9A"/>
    <w:rsid w:val="00EA5141"/>
    <w:rsid w:val="00EA558A"/>
    <w:rsid w:val="00EA5723"/>
    <w:rsid w:val="00EA5825"/>
    <w:rsid w:val="00EA5867"/>
    <w:rsid w:val="00EA5A2F"/>
    <w:rsid w:val="00EA603E"/>
    <w:rsid w:val="00EA643F"/>
    <w:rsid w:val="00EA6529"/>
    <w:rsid w:val="00EA6936"/>
    <w:rsid w:val="00EA6A7C"/>
    <w:rsid w:val="00EA7172"/>
    <w:rsid w:val="00EA7648"/>
    <w:rsid w:val="00EA7664"/>
    <w:rsid w:val="00EA7893"/>
    <w:rsid w:val="00EA79A5"/>
    <w:rsid w:val="00EA7BD6"/>
    <w:rsid w:val="00EA7D2D"/>
    <w:rsid w:val="00EA7E92"/>
    <w:rsid w:val="00EA7FC1"/>
    <w:rsid w:val="00EB0723"/>
    <w:rsid w:val="00EB0B48"/>
    <w:rsid w:val="00EB0BEF"/>
    <w:rsid w:val="00EB0F69"/>
    <w:rsid w:val="00EB13DA"/>
    <w:rsid w:val="00EB1774"/>
    <w:rsid w:val="00EB17FE"/>
    <w:rsid w:val="00EB183F"/>
    <w:rsid w:val="00EB1911"/>
    <w:rsid w:val="00EB198C"/>
    <w:rsid w:val="00EB1C31"/>
    <w:rsid w:val="00EB1CE4"/>
    <w:rsid w:val="00EB1EB6"/>
    <w:rsid w:val="00EB2209"/>
    <w:rsid w:val="00EB23C4"/>
    <w:rsid w:val="00EB2481"/>
    <w:rsid w:val="00EB2583"/>
    <w:rsid w:val="00EB2699"/>
    <w:rsid w:val="00EB26DD"/>
    <w:rsid w:val="00EB32EE"/>
    <w:rsid w:val="00EB3360"/>
    <w:rsid w:val="00EB3886"/>
    <w:rsid w:val="00EB3A89"/>
    <w:rsid w:val="00EB3AB0"/>
    <w:rsid w:val="00EB3AE0"/>
    <w:rsid w:val="00EB46E4"/>
    <w:rsid w:val="00EB4980"/>
    <w:rsid w:val="00EB4A36"/>
    <w:rsid w:val="00EB4B54"/>
    <w:rsid w:val="00EB4DD0"/>
    <w:rsid w:val="00EB5543"/>
    <w:rsid w:val="00EB5907"/>
    <w:rsid w:val="00EB5A20"/>
    <w:rsid w:val="00EB5C62"/>
    <w:rsid w:val="00EB5E1B"/>
    <w:rsid w:val="00EB6068"/>
    <w:rsid w:val="00EB63A4"/>
    <w:rsid w:val="00EB6508"/>
    <w:rsid w:val="00EB65F4"/>
    <w:rsid w:val="00EB66A4"/>
    <w:rsid w:val="00EB6C14"/>
    <w:rsid w:val="00EB726B"/>
    <w:rsid w:val="00EB7275"/>
    <w:rsid w:val="00EB73B8"/>
    <w:rsid w:val="00EB7532"/>
    <w:rsid w:val="00EC0066"/>
    <w:rsid w:val="00EC02B9"/>
    <w:rsid w:val="00EC0336"/>
    <w:rsid w:val="00EC03E5"/>
    <w:rsid w:val="00EC0498"/>
    <w:rsid w:val="00EC05A8"/>
    <w:rsid w:val="00EC073D"/>
    <w:rsid w:val="00EC09E6"/>
    <w:rsid w:val="00EC0D44"/>
    <w:rsid w:val="00EC0E18"/>
    <w:rsid w:val="00EC10A7"/>
    <w:rsid w:val="00EC10E6"/>
    <w:rsid w:val="00EC12A7"/>
    <w:rsid w:val="00EC12DC"/>
    <w:rsid w:val="00EC17B2"/>
    <w:rsid w:val="00EC19A3"/>
    <w:rsid w:val="00EC19BE"/>
    <w:rsid w:val="00EC1DC7"/>
    <w:rsid w:val="00EC21DC"/>
    <w:rsid w:val="00EC26CB"/>
    <w:rsid w:val="00EC2978"/>
    <w:rsid w:val="00EC34CA"/>
    <w:rsid w:val="00EC3623"/>
    <w:rsid w:val="00EC3F25"/>
    <w:rsid w:val="00EC41EB"/>
    <w:rsid w:val="00EC452E"/>
    <w:rsid w:val="00EC48AA"/>
    <w:rsid w:val="00EC4D92"/>
    <w:rsid w:val="00EC5122"/>
    <w:rsid w:val="00EC523E"/>
    <w:rsid w:val="00EC5419"/>
    <w:rsid w:val="00EC558F"/>
    <w:rsid w:val="00EC57AD"/>
    <w:rsid w:val="00EC5828"/>
    <w:rsid w:val="00EC59F2"/>
    <w:rsid w:val="00EC5A91"/>
    <w:rsid w:val="00EC5D53"/>
    <w:rsid w:val="00EC618B"/>
    <w:rsid w:val="00EC6273"/>
    <w:rsid w:val="00EC62DA"/>
    <w:rsid w:val="00EC64BA"/>
    <w:rsid w:val="00EC656C"/>
    <w:rsid w:val="00EC6A92"/>
    <w:rsid w:val="00EC71E2"/>
    <w:rsid w:val="00EC74A4"/>
    <w:rsid w:val="00EC76DA"/>
    <w:rsid w:val="00EC7885"/>
    <w:rsid w:val="00EC793E"/>
    <w:rsid w:val="00EC7D4F"/>
    <w:rsid w:val="00EC7E99"/>
    <w:rsid w:val="00EC7FF3"/>
    <w:rsid w:val="00ED052C"/>
    <w:rsid w:val="00ED0A37"/>
    <w:rsid w:val="00ED0C0A"/>
    <w:rsid w:val="00ED0D76"/>
    <w:rsid w:val="00ED0DFA"/>
    <w:rsid w:val="00ED0EC7"/>
    <w:rsid w:val="00ED0F19"/>
    <w:rsid w:val="00ED1546"/>
    <w:rsid w:val="00ED1915"/>
    <w:rsid w:val="00ED19B9"/>
    <w:rsid w:val="00ED1A02"/>
    <w:rsid w:val="00ED1BC1"/>
    <w:rsid w:val="00ED1BD4"/>
    <w:rsid w:val="00ED1EDD"/>
    <w:rsid w:val="00ED1F99"/>
    <w:rsid w:val="00ED1FF9"/>
    <w:rsid w:val="00ED21FA"/>
    <w:rsid w:val="00ED2389"/>
    <w:rsid w:val="00ED2499"/>
    <w:rsid w:val="00ED284B"/>
    <w:rsid w:val="00ED2CA3"/>
    <w:rsid w:val="00ED2DFB"/>
    <w:rsid w:val="00ED2E4C"/>
    <w:rsid w:val="00ED331E"/>
    <w:rsid w:val="00ED37EE"/>
    <w:rsid w:val="00ED3959"/>
    <w:rsid w:val="00ED3B7E"/>
    <w:rsid w:val="00ED3CAB"/>
    <w:rsid w:val="00ED40CE"/>
    <w:rsid w:val="00ED4246"/>
    <w:rsid w:val="00ED450D"/>
    <w:rsid w:val="00ED4804"/>
    <w:rsid w:val="00ED4D2F"/>
    <w:rsid w:val="00ED50A3"/>
    <w:rsid w:val="00ED5256"/>
    <w:rsid w:val="00ED561F"/>
    <w:rsid w:val="00ED5728"/>
    <w:rsid w:val="00ED5786"/>
    <w:rsid w:val="00ED5A35"/>
    <w:rsid w:val="00ED624D"/>
    <w:rsid w:val="00ED62B3"/>
    <w:rsid w:val="00ED64A6"/>
    <w:rsid w:val="00ED68E1"/>
    <w:rsid w:val="00ED6A6E"/>
    <w:rsid w:val="00ED6C29"/>
    <w:rsid w:val="00ED6CE1"/>
    <w:rsid w:val="00ED7167"/>
    <w:rsid w:val="00ED7314"/>
    <w:rsid w:val="00ED7600"/>
    <w:rsid w:val="00EE010A"/>
    <w:rsid w:val="00EE010F"/>
    <w:rsid w:val="00EE0299"/>
    <w:rsid w:val="00EE0A97"/>
    <w:rsid w:val="00EE0D02"/>
    <w:rsid w:val="00EE0D24"/>
    <w:rsid w:val="00EE0F89"/>
    <w:rsid w:val="00EE112E"/>
    <w:rsid w:val="00EE1382"/>
    <w:rsid w:val="00EE14EE"/>
    <w:rsid w:val="00EE1773"/>
    <w:rsid w:val="00EE186E"/>
    <w:rsid w:val="00EE1935"/>
    <w:rsid w:val="00EE1B7D"/>
    <w:rsid w:val="00EE1F97"/>
    <w:rsid w:val="00EE1FEE"/>
    <w:rsid w:val="00EE22AE"/>
    <w:rsid w:val="00EE22FA"/>
    <w:rsid w:val="00EE246F"/>
    <w:rsid w:val="00EE32C3"/>
    <w:rsid w:val="00EE3383"/>
    <w:rsid w:val="00EE34B0"/>
    <w:rsid w:val="00EE394A"/>
    <w:rsid w:val="00EE3B40"/>
    <w:rsid w:val="00EE3B9E"/>
    <w:rsid w:val="00EE3D86"/>
    <w:rsid w:val="00EE40AB"/>
    <w:rsid w:val="00EE4342"/>
    <w:rsid w:val="00EE4651"/>
    <w:rsid w:val="00EE4734"/>
    <w:rsid w:val="00EE493C"/>
    <w:rsid w:val="00EE4E0E"/>
    <w:rsid w:val="00EE4F82"/>
    <w:rsid w:val="00EE4FB9"/>
    <w:rsid w:val="00EE53E7"/>
    <w:rsid w:val="00EE5572"/>
    <w:rsid w:val="00EE5AAC"/>
    <w:rsid w:val="00EE5CA5"/>
    <w:rsid w:val="00EE5CEE"/>
    <w:rsid w:val="00EE61B6"/>
    <w:rsid w:val="00EE64C7"/>
    <w:rsid w:val="00EE64CB"/>
    <w:rsid w:val="00EE65E4"/>
    <w:rsid w:val="00EE676C"/>
    <w:rsid w:val="00EE67FB"/>
    <w:rsid w:val="00EE7163"/>
    <w:rsid w:val="00EE775F"/>
    <w:rsid w:val="00EE78FD"/>
    <w:rsid w:val="00EE7BE5"/>
    <w:rsid w:val="00EE7F43"/>
    <w:rsid w:val="00EF0017"/>
    <w:rsid w:val="00EF05D3"/>
    <w:rsid w:val="00EF0955"/>
    <w:rsid w:val="00EF099C"/>
    <w:rsid w:val="00EF09B1"/>
    <w:rsid w:val="00EF0BB3"/>
    <w:rsid w:val="00EF0C46"/>
    <w:rsid w:val="00EF0C75"/>
    <w:rsid w:val="00EF0CA1"/>
    <w:rsid w:val="00EF0DB9"/>
    <w:rsid w:val="00EF0EB8"/>
    <w:rsid w:val="00EF0EC0"/>
    <w:rsid w:val="00EF1034"/>
    <w:rsid w:val="00EF1AA6"/>
    <w:rsid w:val="00EF1C8E"/>
    <w:rsid w:val="00EF208B"/>
    <w:rsid w:val="00EF208D"/>
    <w:rsid w:val="00EF249D"/>
    <w:rsid w:val="00EF28A0"/>
    <w:rsid w:val="00EF2A9A"/>
    <w:rsid w:val="00EF2B64"/>
    <w:rsid w:val="00EF2FF1"/>
    <w:rsid w:val="00EF3049"/>
    <w:rsid w:val="00EF30AF"/>
    <w:rsid w:val="00EF31DF"/>
    <w:rsid w:val="00EF3334"/>
    <w:rsid w:val="00EF3382"/>
    <w:rsid w:val="00EF401A"/>
    <w:rsid w:val="00EF41C2"/>
    <w:rsid w:val="00EF43B9"/>
    <w:rsid w:val="00EF448D"/>
    <w:rsid w:val="00EF4583"/>
    <w:rsid w:val="00EF4954"/>
    <w:rsid w:val="00EF4C88"/>
    <w:rsid w:val="00EF4D37"/>
    <w:rsid w:val="00EF4DEA"/>
    <w:rsid w:val="00EF4F34"/>
    <w:rsid w:val="00EF4FA2"/>
    <w:rsid w:val="00EF50FC"/>
    <w:rsid w:val="00EF51BC"/>
    <w:rsid w:val="00EF53A3"/>
    <w:rsid w:val="00EF5638"/>
    <w:rsid w:val="00EF56E6"/>
    <w:rsid w:val="00EF59C2"/>
    <w:rsid w:val="00EF5C56"/>
    <w:rsid w:val="00EF5CC0"/>
    <w:rsid w:val="00EF5DBA"/>
    <w:rsid w:val="00EF60EB"/>
    <w:rsid w:val="00EF632C"/>
    <w:rsid w:val="00EF6DB5"/>
    <w:rsid w:val="00EF6EA7"/>
    <w:rsid w:val="00EF711A"/>
    <w:rsid w:val="00EF7472"/>
    <w:rsid w:val="00EF748E"/>
    <w:rsid w:val="00EF75A5"/>
    <w:rsid w:val="00EF7640"/>
    <w:rsid w:val="00F002F0"/>
    <w:rsid w:val="00F00390"/>
    <w:rsid w:val="00F00682"/>
    <w:rsid w:val="00F00B27"/>
    <w:rsid w:val="00F00B2F"/>
    <w:rsid w:val="00F00B6E"/>
    <w:rsid w:val="00F00C9F"/>
    <w:rsid w:val="00F0100D"/>
    <w:rsid w:val="00F01251"/>
    <w:rsid w:val="00F0130E"/>
    <w:rsid w:val="00F014BC"/>
    <w:rsid w:val="00F0151C"/>
    <w:rsid w:val="00F017DB"/>
    <w:rsid w:val="00F01D99"/>
    <w:rsid w:val="00F022A0"/>
    <w:rsid w:val="00F025B4"/>
    <w:rsid w:val="00F029AD"/>
    <w:rsid w:val="00F02D8C"/>
    <w:rsid w:val="00F03054"/>
    <w:rsid w:val="00F0345B"/>
    <w:rsid w:val="00F03513"/>
    <w:rsid w:val="00F036DA"/>
    <w:rsid w:val="00F03A8D"/>
    <w:rsid w:val="00F0406B"/>
    <w:rsid w:val="00F0424E"/>
    <w:rsid w:val="00F044F1"/>
    <w:rsid w:val="00F04789"/>
    <w:rsid w:val="00F04C98"/>
    <w:rsid w:val="00F04CB1"/>
    <w:rsid w:val="00F04D45"/>
    <w:rsid w:val="00F04E70"/>
    <w:rsid w:val="00F05026"/>
    <w:rsid w:val="00F052D5"/>
    <w:rsid w:val="00F0549E"/>
    <w:rsid w:val="00F0571B"/>
    <w:rsid w:val="00F05821"/>
    <w:rsid w:val="00F05A7A"/>
    <w:rsid w:val="00F05A9D"/>
    <w:rsid w:val="00F05AB0"/>
    <w:rsid w:val="00F0601C"/>
    <w:rsid w:val="00F061ED"/>
    <w:rsid w:val="00F06361"/>
    <w:rsid w:val="00F06473"/>
    <w:rsid w:val="00F06C09"/>
    <w:rsid w:val="00F06D56"/>
    <w:rsid w:val="00F07345"/>
    <w:rsid w:val="00F077A0"/>
    <w:rsid w:val="00F0795A"/>
    <w:rsid w:val="00F07A3E"/>
    <w:rsid w:val="00F07C4F"/>
    <w:rsid w:val="00F07C72"/>
    <w:rsid w:val="00F07F70"/>
    <w:rsid w:val="00F07FA5"/>
    <w:rsid w:val="00F10942"/>
    <w:rsid w:val="00F10A5B"/>
    <w:rsid w:val="00F10DE9"/>
    <w:rsid w:val="00F111D8"/>
    <w:rsid w:val="00F11580"/>
    <w:rsid w:val="00F11A63"/>
    <w:rsid w:val="00F11C2D"/>
    <w:rsid w:val="00F11C5E"/>
    <w:rsid w:val="00F122A5"/>
    <w:rsid w:val="00F1236B"/>
    <w:rsid w:val="00F123E4"/>
    <w:rsid w:val="00F1250C"/>
    <w:rsid w:val="00F1256E"/>
    <w:rsid w:val="00F127A9"/>
    <w:rsid w:val="00F12932"/>
    <w:rsid w:val="00F12A3E"/>
    <w:rsid w:val="00F13077"/>
    <w:rsid w:val="00F138C0"/>
    <w:rsid w:val="00F139DE"/>
    <w:rsid w:val="00F13CE6"/>
    <w:rsid w:val="00F13E71"/>
    <w:rsid w:val="00F13EB3"/>
    <w:rsid w:val="00F14151"/>
    <w:rsid w:val="00F14199"/>
    <w:rsid w:val="00F143C3"/>
    <w:rsid w:val="00F1444F"/>
    <w:rsid w:val="00F1476D"/>
    <w:rsid w:val="00F147C9"/>
    <w:rsid w:val="00F1491C"/>
    <w:rsid w:val="00F14945"/>
    <w:rsid w:val="00F14CD5"/>
    <w:rsid w:val="00F14CF2"/>
    <w:rsid w:val="00F14DCE"/>
    <w:rsid w:val="00F14E18"/>
    <w:rsid w:val="00F15105"/>
    <w:rsid w:val="00F1519D"/>
    <w:rsid w:val="00F15662"/>
    <w:rsid w:val="00F15E92"/>
    <w:rsid w:val="00F15F89"/>
    <w:rsid w:val="00F15FFB"/>
    <w:rsid w:val="00F164DF"/>
    <w:rsid w:val="00F16D95"/>
    <w:rsid w:val="00F17323"/>
    <w:rsid w:val="00F176F2"/>
    <w:rsid w:val="00F17A64"/>
    <w:rsid w:val="00F17D2F"/>
    <w:rsid w:val="00F17EF9"/>
    <w:rsid w:val="00F20152"/>
    <w:rsid w:val="00F20191"/>
    <w:rsid w:val="00F20850"/>
    <w:rsid w:val="00F20A46"/>
    <w:rsid w:val="00F20E04"/>
    <w:rsid w:val="00F20E7A"/>
    <w:rsid w:val="00F21127"/>
    <w:rsid w:val="00F213E9"/>
    <w:rsid w:val="00F21425"/>
    <w:rsid w:val="00F21466"/>
    <w:rsid w:val="00F218B7"/>
    <w:rsid w:val="00F21AE6"/>
    <w:rsid w:val="00F21B77"/>
    <w:rsid w:val="00F21C94"/>
    <w:rsid w:val="00F21E35"/>
    <w:rsid w:val="00F22569"/>
    <w:rsid w:val="00F225DD"/>
    <w:rsid w:val="00F226D0"/>
    <w:rsid w:val="00F22919"/>
    <w:rsid w:val="00F22BEC"/>
    <w:rsid w:val="00F233EA"/>
    <w:rsid w:val="00F23B07"/>
    <w:rsid w:val="00F23E97"/>
    <w:rsid w:val="00F23F5E"/>
    <w:rsid w:val="00F240CC"/>
    <w:rsid w:val="00F240FD"/>
    <w:rsid w:val="00F24323"/>
    <w:rsid w:val="00F24369"/>
    <w:rsid w:val="00F243EB"/>
    <w:rsid w:val="00F245D6"/>
    <w:rsid w:val="00F24684"/>
    <w:rsid w:val="00F248A0"/>
    <w:rsid w:val="00F24A3C"/>
    <w:rsid w:val="00F24B23"/>
    <w:rsid w:val="00F24FD9"/>
    <w:rsid w:val="00F25126"/>
    <w:rsid w:val="00F25198"/>
    <w:rsid w:val="00F254F6"/>
    <w:rsid w:val="00F258E1"/>
    <w:rsid w:val="00F25958"/>
    <w:rsid w:val="00F25B29"/>
    <w:rsid w:val="00F25F0D"/>
    <w:rsid w:val="00F25FEE"/>
    <w:rsid w:val="00F26234"/>
    <w:rsid w:val="00F26848"/>
    <w:rsid w:val="00F269E5"/>
    <w:rsid w:val="00F26CD9"/>
    <w:rsid w:val="00F26E9E"/>
    <w:rsid w:val="00F26F39"/>
    <w:rsid w:val="00F274F0"/>
    <w:rsid w:val="00F27F2A"/>
    <w:rsid w:val="00F27FD4"/>
    <w:rsid w:val="00F3004E"/>
    <w:rsid w:val="00F30669"/>
    <w:rsid w:val="00F306C0"/>
    <w:rsid w:val="00F308F5"/>
    <w:rsid w:val="00F30BF1"/>
    <w:rsid w:val="00F30C7C"/>
    <w:rsid w:val="00F30E92"/>
    <w:rsid w:val="00F30F4F"/>
    <w:rsid w:val="00F31534"/>
    <w:rsid w:val="00F31646"/>
    <w:rsid w:val="00F317F4"/>
    <w:rsid w:val="00F318FF"/>
    <w:rsid w:val="00F31BEA"/>
    <w:rsid w:val="00F31C3B"/>
    <w:rsid w:val="00F31D36"/>
    <w:rsid w:val="00F323A1"/>
    <w:rsid w:val="00F32404"/>
    <w:rsid w:val="00F32431"/>
    <w:rsid w:val="00F32713"/>
    <w:rsid w:val="00F328DA"/>
    <w:rsid w:val="00F32ADB"/>
    <w:rsid w:val="00F32AFC"/>
    <w:rsid w:val="00F32BD0"/>
    <w:rsid w:val="00F32F53"/>
    <w:rsid w:val="00F33095"/>
    <w:rsid w:val="00F335B6"/>
    <w:rsid w:val="00F3377A"/>
    <w:rsid w:val="00F33BDB"/>
    <w:rsid w:val="00F33C7A"/>
    <w:rsid w:val="00F34296"/>
    <w:rsid w:val="00F34388"/>
    <w:rsid w:val="00F34667"/>
    <w:rsid w:val="00F346B7"/>
    <w:rsid w:val="00F34743"/>
    <w:rsid w:val="00F34F78"/>
    <w:rsid w:val="00F3507C"/>
    <w:rsid w:val="00F3508F"/>
    <w:rsid w:val="00F35B7B"/>
    <w:rsid w:val="00F35CBA"/>
    <w:rsid w:val="00F35DF7"/>
    <w:rsid w:val="00F35FC3"/>
    <w:rsid w:val="00F35FF8"/>
    <w:rsid w:val="00F3610F"/>
    <w:rsid w:val="00F361B5"/>
    <w:rsid w:val="00F3664B"/>
    <w:rsid w:val="00F366DA"/>
    <w:rsid w:val="00F36736"/>
    <w:rsid w:val="00F36789"/>
    <w:rsid w:val="00F368F2"/>
    <w:rsid w:val="00F36961"/>
    <w:rsid w:val="00F369F5"/>
    <w:rsid w:val="00F36AB5"/>
    <w:rsid w:val="00F36AF4"/>
    <w:rsid w:val="00F36B66"/>
    <w:rsid w:val="00F36EC3"/>
    <w:rsid w:val="00F3716C"/>
    <w:rsid w:val="00F3716D"/>
    <w:rsid w:val="00F372DC"/>
    <w:rsid w:val="00F372F7"/>
    <w:rsid w:val="00F37555"/>
    <w:rsid w:val="00F375C8"/>
    <w:rsid w:val="00F37AA0"/>
    <w:rsid w:val="00F37ABD"/>
    <w:rsid w:val="00F37AEA"/>
    <w:rsid w:val="00F4019C"/>
    <w:rsid w:val="00F4023A"/>
    <w:rsid w:val="00F4030F"/>
    <w:rsid w:val="00F40398"/>
    <w:rsid w:val="00F403D9"/>
    <w:rsid w:val="00F404BF"/>
    <w:rsid w:val="00F40530"/>
    <w:rsid w:val="00F40633"/>
    <w:rsid w:val="00F408C4"/>
    <w:rsid w:val="00F40A64"/>
    <w:rsid w:val="00F40A86"/>
    <w:rsid w:val="00F40C28"/>
    <w:rsid w:val="00F40F17"/>
    <w:rsid w:val="00F40F1D"/>
    <w:rsid w:val="00F40FE5"/>
    <w:rsid w:val="00F413A4"/>
    <w:rsid w:val="00F413B5"/>
    <w:rsid w:val="00F416A9"/>
    <w:rsid w:val="00F418BD"/>
    <w:rsid w:val="00F42449"/>
    <w:rsid w:val="00F4250F"/>
    <w:rsid w:val="00F42649"/>
    <w:rsid w:val="00F42798"/>
    <w:rsid w:val="00F42994"/>
    <w:rsid w:val="00F42C54"/>
    <w:rsid w:val="00F42CC7"/>
    <w:rsid w:val="00F42D40"/>
    <w:rsid w:val="00F431E8"/>
    <w:rsid w:val="00F434B4"/>
    <w:rsid w:val="00F435D7"/>
    <w:rsid w:val="00F438BE"/>
    <w:rsid w:val="00F43C83"/>
    <w:rsid w:val="00F43D3E"/>
    <w:rsid w:val="00F43ECA"/>
    <w:rsid w:val="00F4431F"/>
    <w:rsid w:val="00F44450"/>
    <w:rsid w:val="00F44498"/>
    <w:rsid w:val="00F44540"/>
    <w:rsid w:val="00F445A5"/>
    <w:rsid w:val="00F44A92"/>
    <w:rsid w:val="00F44F00"/>
    <w:rsid w:val="00F456BF"/>
    <w:rsid w:val="00F458DB"/>
    <w:rsid w:val="00F45B35"/>
    <w:rsid w:val="00F46146"/>
    <w:rsid w:val="00F4617E"/>
    <w:rsid w:val="00F466D5"/>
    <w:rsid w:val="00F467D7"/>
    <w:rsid w:val="00F46B77"/>
    <w:rsid w:val="00F46C37"/>
    <w:rsid w:val="00F470C2"/>
    <w:rsid w:val="00F47142"/>
    <w:rsid w:val="00F47230"/>
    <w:rsid w:val="00F47C7E"/>
    <w:rsid w:val="00F47CA4"/>
    <w:rsid w:val="00F505C7"/>
    <w:rsid w:val="00F5066E"/>
    <w:rsid w:val="00F50729"/>
    <w:rsid w:val="00F50AB1"/>
    <w:rsid w:val="00F50B70"/>
    <w:rsid w:val="00F50FC8"/>
    <w:rsid w:val="00F511F4"/>
    <w:rsid w:val="00F5127B"/>
    <w:rsid w:val="00F51536"/>
    <w:rsid w:val="00F51961"/>
    <w:rsid w:val="00F51A46"/>
    <w:rsid w:val="00F51B19"/>
    <w:rsid w:val="00F51CBF"/>
    <w:rsid w:val="00F51E9C"/>
    <w:rsid w:val="00F52140"/>
    <w:rsid w:val="00F52204"/>
    <w:rsid w:val="00F523BC"/>
    <w:rsid w:val="00F526B1"/>
    <w:rsid w:val="00F526D8"/>
    <w:rsid w:val="00F52865"/>
    <w:rsid w:val="00F528E1"/>
    <w:rsid w:val="00F52A75"/>
    <w:rsid w:val="00F52CFB"/>
    <w:rsid w:val="00F52D74"/>
    <w:rsid w:val="00F52F71"/>
    <w:rsid w:val="00F534CC"/>
    <w:rsid w:val="00F535BC"/>
    <w:rsid w:val="00F537C2"/>
    <w:rsid w:val="00F53DB7"/>
    <w:rsid w:val="00F541E6"/>
    <w:rsid w:val="00F5421C"/>
    <w:rsid w:val="00F543A2"/>
    <w:rsid w:val="00F547E4"/>
    <w:rsid w:val="00F5481D"/>
    <w:rsid w:val="00F555AC"/>
    <w:rsid w:val="00F5587E"/>
    <w:rsid w:val="00F558A2"/>
    <w:rsid w:val="00F55917"/>
    <w:rsid w:val="00F559D6"/>
    <w:rsid w:val="00F55AA3"/>
    <w:rsid w:val="00F55AF9"/>
    <w:rsid w:val="00F55B41"/>
    <w:rsid w:val="00F565D9"/>
    <w:rsid w:val="00F56899"/>
    <w:rsid w:val="00F56FD6"/>
    <w:rsid w:val="00F5709D"/>
    <w:rsid w:val="00F5736B"/>
    <w:rsid w:val="00F5772E"/>
    <w:rsid w:val="00F578F5"/>
    <w:rsid w:val="00F57997"/>
    <w:rsid w:val="00F57BE7"/>
    <w:rsid w:val="00F57DC8"/>
    <w:rsid w:val="00F6086F"/>
    <w:rsid w:val="00F60A7B"/>
    <w:rsid w:val="00F60C43"/>
    <w:rsid w:val="00F60D01"/>
    <w:rsid w:val="00F60DC1"/>
    <w:rsid w:val="00F60E83"/>
    <w:rsid w:val="00F60FA6"/>
    <w:rsid w:val="00F610DF"/>
    <w:rsid w:val="00F611A1"/>
    <w:rsid w:val="00F61349"/>
    <w:rsid w:val="00F6157A"/>
    <w:rsid w:val="00F61596"/>
    <w:rsid w:val="00F6165F"/>
    <w:rsid w:val="00F6184B"/>
    <w:rsid w:val="00F61B49"/>
    <w:rsid w:val="00F61C5A"/>
    <w:rsid w:val="00F61E64"/>
    <w:rsid w:val="00F621DB"/>
    <w:rsid w:val="00F6232F"/>
    <w:rsid w:val="00F6271B"/>
    <w:rsid w:val="00F6293A"/>
    <w:rsid w:val="00F62E46"/>
    <w:rsid w:val="00F62E86"/>
    <w:rsid w:val="00F62F2D"/>
    <w:rsid w:val="00F63448"/>
    <w:rsid w:val="00F634B1"/>
    <w:rsid w:val="00F63702"/>
    <w:rsid w:val="00F638E4"/>
    <w:rsid w:val="00F63C05"/>
    <w:rsid w:val="00F63C07"/>
    <w:rsid w:val="00F63E6D"/>
    <w:rsid w:val="00F64057"/>
    <w:rsid w:val="00F64382"/>
    <w:rsid w:val="00F64478"/>
    <w:rsid w:val="00F64570"/>
    <w:rsid w:val="00F6486A"/>
    <w:rsid w:val="00F64A4A"/>
    <w:rsid w:val="00F64F05"/>
    <w:rsid w:val="00F6518F"/>
    <w:rsid w:val="00F65355"/>
    <w:rsid w:val="00F6558A"/>
    <w:rsid w:val="00F656B5"/>
    <w:rsid w:val="00F65BEE"/>
    <w:rsid w:val="00F65C16"/>
    <w:rsid w:val="00F66357"/>
    <w:rsid w:val="00F66400"/>
    <w:rsid w:val="00F66501"/>
    <w:rsid w:val="00F66DAD"/>
    <w:rsid w:val="00F672FA"/>
    <w:rsid w:val="00F67397"/>
    <w:rsid w:val="00F67442"/>
    <w:rsid w:val="00F67599"/>
    <w:rsid w:val="00F677F4"/>
    <w:rsid w:val="00F6784B"/>
    <w:rsid w:val="00F67868"/>
    <w:rsid w:val="00F703A0"/>
    <w:rsid w:val="00F70789"/>
    <w:rsid w:val="00F7080B"/>
    <w:rsid w:val="00F70A33"/>
    <w:rsid w:val="00F70D36"/>
    <w:rsid w:val="00F70DB6"/>
    <w:rsid w:val="00F70DE7"/>
    <w:rsid w:val="00F71009"/>
    <w:rsid w:val="00F71112"/>
    <w:rsid w:val="00F71396"/>
    <w:rsid w:val="00F71532"/>
    <w:rsid w:val="00F71AC3"/>
    <w:rsid w:val="00F71BC0"/>
    <w:rsid w:val="00F7216F"/>
    <w:rsid w:val="00F722C4"/>
    <w:rsid w:val="00F72359"/>
    <w:rsid w:val="00F725E3"/>
    <w:rsid w:val="00F726B8"/>
    <w:rsid w:val="00F727D8"/>
    <w:rsid w:val="00F72B9E"/>
    <w:rsid w:val="00F73102"/>
    <w:rsid w:val="00F7339D"/>
    <w:rsid w:val="00F7362E"/>
    <w:rsid w:val="00F73882"/>
    <w:rsid w:val="00F74143"/>
    <w:rsid w:val="00F741E1"/>
    <w:rsid w:val="00F74464"/>
    <w:rsid w:val="00F745E0"/>
    <w:rsid w:val="00F74601"/>
    <w:rsid w:val="00F7491E"/>
    <w:rsid w:val="00F74945"/>
    <w:rsid w:val="00F74A51"/>
    <w:rsid w:val="00F74D4D"/>
    <w:rsid w:val="00F74DE3"/>
    <w:rsid w:val="00F74F6C"/>
    <w:rsid w:val="00F756B4"/>
    <w:rsid w:val="00F75EC5"/>
    <w:rsid w:val="00F75F23"/>
    <w:rsid w:val="00F760F6"/>
    <w:rsid w:val="00F768D1"/>
    <w:rsid w:val="00F769FA"/>
    <w:rsid w:val="00F76D0B"/>
    <w:rsid w:val="00F76E73"/>
    <w:rsid w:val="00F771A1"/>
    <w:rsid w:val="00F771E3"/>
    <w:rsid w:val="00F7727D"/>
    <w:rsid w:val="00F772DF"/>
    <w:rsid w:val="00F77415"/>
    <w:rsid w:val="00F778E6"/>
    <w:rsid w:val="00F77998"/>
    <w:rsid w:val="00F77C46"/>
    <w:rsid w:val="00F80486"/>
    <w:rsid w:val="00F806C8"/>
    <w:rsid w:val="00F80A4A"/>
    <w:rsid w:val="00F814CC"/>
    <w:rsid w:val="00F81543"/>
    <w:rsid w:val="00F819FC"/>
    <w:rsid w:val="00F81DA0"/>
    <w:rsid w:val="00F81DAE"/>
    <w:rsid w:val="00F81E20"/>
    <w:rsid w:val="00F82187"/>
    <w:rsid w:val="00F8231C"/>
    <w:rsid w:val="00F82514"/>
    <w:rsid w:val="00F82553"/>
    <w:rsid w:val="00F827E2"/>
    <w:rsid w:val="00F828D3"/>
    <w:rsid w:val="00F83122"/>
    <w:rsid w:val="00F83431"/>
    <w:rsid w:val="00F83790"/>
    <w:rsid w:val="00F83A28"/>
    <w:rsid w:val="00F83C23"/>
    <w:rsid w:val="00F83CE3"/>
    <w:rsid w:val="00F8438A"/>
    <w:rsid w:val="00F84CEC"/>
    <w:rsid w:val="00F84F3E"/>
    <w:rsid w:val="00F85182"/>
    <w:rsid w:val="00F851CC"/>
    <w:rsid w:val="00F855F6"/>
    <w:rsid w:val="00F856A5"/>
    <w:rsid w:val="00F85889"/>
    <w:rsid w:val="00F859BE"/>
    <w:rsid w:val="00F8687B"/>
    <w:rsid w:val="00F86A71"/>
    <w:rsid w:val="00F86C4B"/>
    <w:rsid w:val="00F86E2A"/>
    <w:rsid w:val="00F86E92"/>
    <w:rsid w:val="00F87249"/>
    <w:rsid w:val="00F8774D"/>
    <w:rsid w:val="00F8784E"/>
    <w:rsid w:val="00F87878"/>
    <w:rsid w:val="00F87A49"/>
    <w:rsid w:val="00F87BF3"/>
    <w:rsid w:val="00F87C24"/>
    <w:rsid w:val="00F87E03"/>
    <w:rsid w:val="00F90761"/>
    <w:rsid w:val="00F90AF9"/>
    <w:rsid w:val="00F90B7F"/>
    <w:rsid w:val="00F90BE7"/>
    <w:rsid w:val="00F90D0B"/>
    <w:rsid w:val="00F91433"/>
    <w:rsid w:val="00F9155E"/>
    <w:rsid w:val="00F91BEA"/>
    <w:rsid w:val="00F91C5B"/>
    <w:rsid w:val="00F91CB0"/>
    <w:rsid w:val="00F91DD8"/>
    <w:rsid w:val="00F9256B"/>
    <w:rsid w:val="00F92756"/>
    <w:rsid w:val="00F92894"/>
    <w:rsid w:val="00F9294C"/>
    <w:rsid w:val="00F92986"/>
    <w:rsid w:val="00F92A11"/>
    <w:rsid w:val="00F92CC7"/>
    <w:rsid w:val="00F93131"/>
    <w:rsid w:val="00F934B0"/>
    <w:rsid w:val="00F93624"/>
    <w:rsid w:val="00F9374B"/>
    <w:rsid w:val="00F938FC"/>
    <w:rsid w:val="00F93A3D"/>
    <w:rsid w:val="00F93FB7"/>
    <w:rsid w:val="00F93FED"/>
    <w:rsid w:val="00F93FFC"/>
    <w:rsid w:val="00F94123"/>
    <w:rsid w:val="00F94230"/>
    <w:rsid w:val="00F943E0"/>
    <w:rsid w:val="00F944CF"/>
    <w:rsid w:val="00F9452E"/>
    <w:rsid w:val="00F94FAA"/>
    <w:rsid w:val="00F9516B"/>
    <w:rsid w:val="00F951D7"/>
    <w:rsid w:val="00F9537F"/>
    <w:rsid w:val="00F953A5"/>
    <w:rsid w:val="00F954F8"/>
    <w:rsid w:val="00F95622"/>
    <w:rsid w:val="00F957A6"/>
    <w:rsid w:val="00F95B98"/>
    <w:rsid w:val="00F961DA"/>
    <w:rsid w:val="00F9636F"/>
    <w:rsid w:val="00F967BA"/>
    <w:rsid w:val="00F969BE"/>
    <w:rsid w:val="00F96C0C"/>
    <w:rsid w:val="00F96C68"/>
    <w:rsid w:val="00F97111"/>
    <w:rsid w:val="00F97218"/>
    <w:rsid w:val="00F9721F"/>
    <w:rsid w:val="00F9748D"/>
    <w:rsid w:val="00F97516"/>
    <w:rsid w:val="00F97622"/>
    <w:rsid w:val="00F9765D"/>
    <w:rsid w:val="00F977B3"/>
    <w:rsid w:val="00F97BF8"/>
    <w:rsid w:val="00F97C03"/>
    <w:rsid w:val="00F97D30"/>
    <w:rsid w:val="00F97EF3"/>
    <w:rsid w:val="00FA01B7"/>
    <w:rsid w:val="00FA021C"/>
    <w:rsid w:val="00FA032D"/>
    <w:rsid w:val="00FA042B"/>
    <w:rsid w:val="00FA0443"/>
    <w:rsid w:val="00FA0524"/>
    <w:rsid w:val="00FA0530"/>
    <w:rsid w:val="00FA064B"/>
    <w:rsid w:val="00FA0740"/>
    <w:rsid w:val="00FA078E"/>
    <w:rsid w:val="00FA08F7"/>
    <w:rsid w:val="00FA0A8D"/>
    <w:rsid w:val="00FA0B77"/>
    <w:rsid w:val="00FA0E54"/>
    <w:rsid w:val="00FA12B2"/>
    <w:rsid w:val="00FA1377"/>
    <w:rsid w:val="00FA16DD"/>
    <w:rsid w:val="00FA18E1"/>
    <w:rsid w:val="00FA198B"/>
    <w:rsid w:val="00FA19A3"/>
    <w:rsid w:val="00FA1D00"/>
    <w:rsid w:val="00FA1D68"/>
    <w:rsid w:val="00FA1F49"/>
    <w:rsid w:val="00FA20BE"/>
    <w:rsid w:val="00FA2120"/>
    <w:rsid w:val="00FA23A5"/>
    <w:rsid w:val="00FA308A"/>
    <w:rsid w:val="00FA3120"/>
    <w:rsid w:val="00FA37B4"/>
    <w:rsid w:val="00FA3917"/>
    <w:rsid w:val="00FA3A06"/>
    <w:rsid w:val="00FA3C36"/>
    <w:rsid w:val="00FA406D"/>
    <w:rsid w:val="00FA4216"/>
    <w:rsid w:val="00FA4252"/>
    <w:rsid w:val="00FA43A8"/>
    <w:rsid w:val="00FA448F"/>
    <w:rsid w:val="00FA45F6"/>
    <w:rsid w:val="00FA469B"/>
    <w:rsid w:val="00FA4A93"/>
    <w:rsid w:val="00FA4EA6"/>
    <w:rsid w:val="00FA4F75"/>
    <w:rsid w:val="00FA513E"/>
    <w:rsid w:val="00FA52BA"/>
    <w:rsid w:val="00FA52CE"/>
    <w:rsid w:val="00FA560B"/>
    <w:rsid w:val="00FA598F"/>
    <w:rsid w:val="00FA5E3F"/>
    <w:rsid w:val="00FA5E93"/>
    <w:rsid w:val="00FA609E"/>
    <w:rsid w:val="00FA622F"/>
    <w:rsid w:val="00FA6427"/>
    <w:rsid w:val="00FA6510"/>
    <w:rsid w:val="00FA653B"/>
    <w:rsid w:val="00FA6604"/>
    <w:rsid w:val="00FA697A"/>
    <w:rsid w:val="00FA6B2F"/>
    <w:rsid w:val="00FA6BCB"/>
    <w:rsid w:val="00FA7154"/>
    <w:rsid w:val="00FA71E7"/>
    <w:rsid w:val="00FA7225"/>
    <w:rsid w:val="00FA7486"/>
    <w:rsid w:val="00FA77BD"/>
    <w:rsid w:val="00FA7940"/>
    <w:rsid w:val="00FA7CBF"/>
    <w:rsid w:val="00FA7F50"/>
    <w:rsid w:val="00FB0303"/>
    <w:rsid w:val="00FB0467"/>
    <w:rsid w:val="00FB05AC"/>
    <w:rsid w:val="00FB083D"/>
    <w:rsid w:val="00FB0F5A"/>
    <w:rsid w:val="00FB1104"/>
    <w:rsid w:val="00FB1309"/>
    <w:rsid w:val="00FB1A8A"/>
    <w:rsid w:val="00FB1B00"/>
    <w:rsid w:val="00FB1C75"/>
    <w:rsid w:val="00FB1FBB"/>
    <w:rsid w:val="00FB204B"/>
    <w:rsid w:val="00FB2063"/>
    <w:rsid w:val="00FB220E"/>
    <w:rsid w:val="00FB2417"/>
    <w:rsid w:val="00FB2444"/>
    <w:rsid w:val="00FB2481"/>
    <w:rsid w:val="00FB25F8"/>
    <w:rsid w:val="00FB2912"/>
    <w:rsid w:val="00FB2AA8"/>
    <w:rsid w:val="00FB2CF0"/>
    <w:rsid w:val="00FB3250"/>
    <w:rsid w:val="00FB3477"/>
    <w:rsid w:val="00FB360A"/>
    <w:rsid w:val="00FB37DE"/>
    <w:rsid w:val="00FB37E4"/>
    <w:rsid w:val="00FB39B8"/>
    <w:rsid w:val="00FB3D23"/>
    <w:rsid w:val="00FB4378"/>
    <w:rsid w:val="00FB440F"/>
    <w:rsid w:val="00FB4917"/>
    <w:rsid w:val="00FB4AE2"/>
    <w:rsid w:val="00FB4BA6"/>
    <w:rsid w:val="00FB4E8E"/>
    <w:rsid w:val="00FB54A0"/>
    <w:rsid w:val="00FB55DE"/>
    <w:rsid w:val="00FB5632"/>
    <w:rsid w:val="00FB5776"/>
    <w:rsid w:val="00FB59F9"/>
    <w:rsid w:val="00FB5C1A"/>
    <w:rsid w:val="00FB5EE6"/>
    <w:rsid w:val="00FB638A"/>
    <w:rsid w:val="00FB67D1"/>
    <w:rsid w:val="00FB67E9"/>
    <w:rsid w:val="00FB6859"/>
    <w:rsid w:val="00FB69CC"/>
    <w:rsid w:val="00FB70C6"/>
    <w:rsid w:val="00FB72CA"/>
    <w:rsid w:val="00FB734C"/>
    <w:rsid w:val="00FB740C"/>
    <w:rsid w:val="00FB755D"/>
    <w:rsid w:val="00FB77C3"/>
    <w:rsid w:val="00FB79AB"/>
    <w:rsid w:val="00FB7DCF"/>
    <w:rsid w:val="00FB7E7A"/>
    <w:rsid w:val="00FC0491"/>
    <w:rsid w:val="00FC055C"/>
    <w:rsid w:val="00FC08D1"/>
    <w:rsid w:val="00FC0974"/>
    <w:rsid w:val="00FC0CEE"/>
    <w:rsid w:val="00FC0E93"/>
    <w:rsid w:val="00FC1006"/>
    <w:rsid w:val="00FC1532"/>
    <w:rsid w:val="00FC15D8"/>
    <w:rsid w:val="00FC1600"/>
    <w:rsid w:val="00FC16D7"/>
    <w:rsid w:val="00FC188B"/>
    <w:rsid w:val="00FC1C1A"/>
    <w:rsid w:val="00FC1E4A"/>
    <w:rsid w:val="00FC1E85"/>
    <w:rsid w:val="00FC22A6"/>
    <w:rsid w:val="00FC2326"/>
    <w:rsid w:val="00FC23A7"/>
    <w:rsid w:val="00FC2427"/>
    <w:rsid w:val="00FC291F"/>
    <w:rsid w:val="00FC29EA"/>
    <w:rsid w:val="00FC2AB6"/>
    <w:rsid w:val="00FC2DBA"/>
    <w:rsid w:val="00FC2EBD"/>
    <w:rsid w:val="00FC3096"/>
    <w:rsid w:val="00FC3131"/>
    <w:rsid w:val="00FC3443"/>
    <w:rsid w:val="00FC36A1"/>
    <w:rsid w:val="00FC36D4"/>
    <w:rsid w:val="00FC388D"/>
    <w:rsid w:val="00FC39DA"/>
    <w:rsid w:val="00FC3AEC"/>
    <w:rsid w:val="00FC3C66"/>
    <w:rsid w:val="00FC428F"/>
    <w:rsid w:val="00FC4547"/>
    <w:rsid w:val="00FC4990"/>
    <w:rsid w:val="00FC4A16"/>
    <w:rsid w:val="00FC4BC3"/>
    <w:rsid w:val="00FC4D73"/>
    <w:rsid w:val="00FC5007"/>
    <w:rsid w:val="00FC5018"/>
    <w:rsid w:val="00FC5180"/>
    <w:rsid w:val="00FC5485"/>
    <w:rsid w:val="00FC5928"/>
    <w:rsid w:val="00FC5FB5"/>
    <w:rsid w:val="00FC610B"/>
    <w:rsid w:val="00FC61CB"/>
    <w:rsid w:val="00FC674C"/>
    <w:rsid w:val="00FC6EB6"/>
    <w:rsid w:val="00FC6F4C"/>
    <w:rsid w:val="00FC7132"/>
    <w:rsid w:val="00FC7328"/>
    <w:rsid w:val="00FC7760"/>
    <w:rsid w:val="00FC77EC"/>
    <w:rsid w:val="00FC7A19"/>
    <w:rsid w:val="00FC7AE2"/>
    <w:rsid w:val="00FC7C9F"/>
    <w:rsid w:val="00FC7EC7"/>
    <w:rsid w:val="00FD04DC"/>
    <w:rsid w:val="00FD0656"/>
    <w:rsid w:val="00FD07AF"/>
    <w:rsid w:val="00FD07C7"/>
    <w:rsid w:val="00FD08C6"/>
    <w:rsid w:val="00FD0917"/>
    <w:rsid w:val="00FD0C1F"/>
    <w:rsid w:val="00FD0CF5"/>
    <w:rsid w:val="00FD0FD3"/>
    <w:rsid w:val="00FD0FFA"/>
    <w:rsid w:val="00FD1479"/>
    <w:rsid w:val="00FD148D"/>
    <w:rsid w:val="00FD15DB"/>
    <w:rsid w:val="00FD188A"/>
    <w:rsid w:val="00FD191F"/>
    <w:rsid w:val="00FD1C50"/>
    <w:rsid w:val="00FD1FF2"/>
    <w:rsid w:val="00FD217E"/>
    <w:rsid w:val="00FD2296"/>
    <w:rsid w:val="00FD22AC"/>
    <w:rsid w:val="00FD25DD"/>
    <w:rsid w:val="00FD2755"/>
    <w:rsid w:val="00FD2A68"/>
    <w:rsid w:val="00FD2D63"/>
    <w:rsid w:val="00FD3226"/>
    <w:rsid w:val="00FD3320"/>
    <w:rsid w:val="00FD362E"/>
    <w:rsid w:val="00FD3719"/>
    <w:rsid w:val="00FD3828"/>
    <w:rsid w:val="00FD393E"/>
    <w:rsid w:val="00FD39D9"/>
    <w:rsid w:val="00FD3AC9"/>
    <w:rsid w:val="00FD3D43"/>
    <w:rsid w:val="00FD40B4"/>
    <w:rsid w:val="00FD470D"/>
    <w:rsid w:val="00FD471E"/>
    <w:rsid w:val="00FD476F"/>
    <w:rsid w:val="00FD47B3"/>
    <w:rsid w:val="00FD4A56"/>
    <w:rsid w:val="00FD4B31"/>
    <w:rsid w:val="00FD4EA3"/>
    <w:rsid w:val="00FD52B5"/>
    <w:rsid w:val="00FD539F"/>
    <w:rsid w:val="00FD53A0"/>
    <w:rsid w:val="00FD55FF"/>
    <w:rsid w:val="00FD59F1"/>
    <w:rsid w:val="00FD5A23"/>
    <w:rsid w:val="00FD5A79"/>
    <w:rsid w:val="00FD5F39"/>
    <w:rsid w:val="00FD5F69"/>
    <w:rsid w:val="00FD6601"/>
    <w:rsid w:val="00FD68D7"/>
    <w:rsid w:val="00FD6AFF"/>
    <w:rsid w:val="00FD6B2D"/>
    <w:rsid w:val="00FD6EC8"/>
    <w:rsid w:val="00FD6F1F"/>
    <w:rsid w:val="00FD6FB3"/>
    <w:rsid w:val="00FD7206"/>
    <w:rsid w:val="00FD76F5"/>
    <w:rsid w:val="00FD7786"/>
    <w:rsid w:val="00FD7989"/>
    <w:rsid w:val="00FD7AF9"/>
    <w:rsid w:val="00FD7C8E"/>
    <w:rsid w:val="00FD7D9F"/>
    <w:rsid w:val="00FE024E"/>
    <w:rsid w:val="00FE02C2"/>
    <w:rsid w:val="00FE080F"/>
    <w:rsid w:val="00FE0857"/>
    <w:rsid w:val="00FE0F50"/>
    <w:rsid w:val="00FE103B"/>
    <w:rsid w:val="00FE1132"/>
    <w:rsid w:val="00FE1474"/>
    <w:rsid w:val="00FE1491"/>
    <w:rsid w:val="00FE1494"/>
    <w:rsid w:val="00FE1711"/>
    <w:rsid w:val="00FE1799"/>
    <w:rsid w:val="00FE192F"/>
    <w:rsid w:val="00FE19BC"/>
    <w:rsid w:val="00FE1C5B"/>
    <w:rsid w:val="00FE1CD8"/>
    <w:rsid w:val="00FE23F4"/>
    <w:rsid w:val="00FE2AAE"/>
    <w:rsid w:val="00FE2B7D"/>
    <w:rsid w:val="00FE2F57"/>
    <w:rsid w:val="00FE33FC"/>
    <w:rsid w:val="00FE3A57"/>
    <w:rsid w:val="00FE3CBA"/>
    <w:rsid w:val="00FE4408"/>
    <w:rsid w:val="00FE4517"/>
    <w:rsid w:val="00FE56EF"/>
    <w:rsid w:val="00FE5887"/>
    <w:rsid w:val="00FE589D"/>
    <w:rsid w:val="00FE5B73"/>
    <w:rsid w:val="00FE607D"/>
    <w:rsid w:val="00FE667E"/>
    <w:rsid w:val="00FE6710"/>
    <w:rsid w:val="00FE6717"/>
    <w:rsid w:val="00FE69B9"/>
    <w:rsid w:val="00FE6B5B"/>
    <w:rsid w:val="00FE6CFC"/>
    <w:rsid w:val="00FE6D7E"/>
    <w:rsid w:val="00FE6E54"/>
    <w:rsid w:val="00FE7043"/>
    <w:rsid w:val="00FE780C"/>
    <w:rsid w:val="00FE786A"/>
    <w:rsid w:val="00FE7BD7"/>
    <w:rsid w:val="00FE7C30"/>
    <w:rsid w:val="00FE7E48"/>
    <w:rsid w:val="00FF0042"/>
    <w:rsid w:val="00FF03BD"/>
    <w:rsid w:val="00FF0522"/>
    <w:rsid w:val="00FF0658"/>
    <w:rsid w:val="00FF06C9"/>
    <w:rsid w:val="00FF07D8"/>
    <w:rsid w:val="00FF0837"/>
    <w:rsid w:val="00FF0AD4"/>
    <w:rsid w:val="00FF0B3E"/>
    <w:rsid w:val="00FF1106"/>
    <w:rsid w:val="00FF120C"/>
    <w:rsid w:val="00FF16D5"/>
    <w:rsid w:val="00FF2201"/>
    <w:rsid w:val="00FF24CE"/>
    <w:rsid w:val="00FF2510"/>
    <w:rsid w:val="00FF29DF"/>
    <w:rsid w:val="00FF2BEB"/>
    <w:rsid w:val="00FF2CAA"/>
    <w:rsid w:val="00FF2FEA"/>
    <w:rsid w:val="00FF306F"/>
    <w:rsid w:val="00FF30E8"/>
    <w:rsid w:val="00FF31AF"/>
    <w:rsid w:val="00FF32C6"/>
    <w:rsid w:val="00FF3660"/>
    <w:rsid w:val="00FF3ADC"/>
    <w:rsid w:val="00FF4138"/>
    <w:rsid w:val="00FF427B"/>
    <w:rsid w:val="00FF4321"/>
    <w:rsid w:val="00FF44CA"/>
    <w:rsid w:val="00FF459C"/>
    <w:rsid w:val="00FF47AC"/>
    <w:rsid w:val="00FF48B1"/>
    <w:rsid w:val="00FF4B44"/>
    <w:rsid w:val="00FF4F54"/>
    <w:rsid w:val="00FF5718"/>
    <w:rsid w:val="00FF57E0"/>
    <w:rsid w:val="00FF5A1E"/>
    <w:rsid w:val="00FF5C53"/>
    <w:rsid w:val="00FF5CB0"/>
    <w:rsid w:val="00FF6129"/>
    <w:rsid w:val="00FF64B7"/>
    <w:rsid w:val="00FF6E51"/>
    <w:rsid w:val="00FF6E69"/>
    <w:rsid w:val="00FF700A"/>
    <w:rsid w:val="00FF70F3"/>
    <w:rsid w:val="00FF7346"/>
    <w:rsid w:val="00FF7506"/>
    <w:rsid w:val="00FF77F3"/>
    <w:rsid w:val="01E3EB0F"/>
    <w:rsid w:val="0223FBAC"/>
    <w:rsid w:val="027CA78E"/>
    <w:rsid w:val="02AB24A5"/>
    <w:rsid w:val="02CF09EC"/>
    <w:rsid w:val="02D61AA4"/>
    <w:rsid w:val="02EB2DEC"/>
    <w:rsid w:val="03983F75"/>
    <w:rsid w:val="03AF16A5"/>
    <w:rsid w:val="03DC6372"/>
    <w:rsid w:val="03F7D604"/>
    <w:rsid w:val="040EBBAE"/>
    <w:rsid w:val="04D67D9E"/>
    <w:rsid w:val="04D89AF8"/>
    <w:rsid w:val="0502B00E"/>
    <w:rsid w:val="0583A9CA"/>
    <w:rsid w:val="05A3CB5E"/>
    <w:rsid w:val="05E50B8C"/>
    <w:rsid w:val="0627BFE0"/>
    <w:rsid w:val="066996CB"/>
    <w:rsid w:val="067B4077"/>
    <w:rsid w:val="06A6EAA9"/>
    <w:rsid w:val="076080AD"/>
    <w:rsid w:val="07781F4F"/>
    <w:rsid w:val="077DBC01"/>
    <w:rsid w:val="07A198BC"/>
    <w:rsid w:val="080A9E3C"/>
    <w:rsid w:val="081AFE60"/>
    <w:rsid w:val="094906F9"/>
    <w:rsid w:val="09497A40"/>
    <w:rsid w:val="097FB95D"/>
    <w:rsid w:val="09CFD6EB"/>
    <w:rsid w:val="09F5D3A1"/>
    <w:rsid w:val="0A23173F"/>
    <w:rsid w:val="0A30E6E7"/>
    <w:rsid w:val="0A4EAC5A"/>
    <w:rsid w:val="0A66D6E7"/>
    <w:rsid w:val="0ABF0CE2"/>
    <w:rsid w:val="0B962C7C"/>
    <w:rsid w:val="0B96DC84"/>
    <w:rsid w:val="0BD69129"/>
    <w:rsid w:val="0BD90D5B"/>
    <w:rsid w:val="0CC777B3"/>
    <w:rsid w:val="0CCD87C5"/>
    <w:rsid w:val="0D29B7D8"/>
    <w:rsid w:val="0D3500BB"/>
    <w:rsid w:val="0D500F0B"/>
    <w:rsid w:val="0D74DDC3"/>
    <w:rsid w:val="0DBB2072"/>
    <w:rsid w:val="0E186B34"/>
    <w:rsid w:val="0E3B1D29"/>
    <w:rsid w:val="0EC40351"/>
    <w:rsid w:val="0F4C6523"/>
    <w:rsid w:val="0FAC1CAB"/>
    <w:rsid w:val="0FAECD63"/>
    <w:rsid w:val="10211063"/>
    <w:rsid w:val="1066FB33"/>
    <w:rsid w:val="10A4247A"/>
    <w:rsid w:val="10B0853B"/>
    <w:rsid w:val="10BF3F4C"/>
    <w:rsid w:val="1176579F"/>
    <w:rsid w:val="117AF988"/>
    <w:rsid w:val="127F365F"/>
    <w:rsid w:val="131084E9"/>
    <w:rsid w:val="132880AE"/>
    <w:rsid w:val="13AF6964"/>
    <w:rsid w:val="13B95A7B"/>
    <w:rsid w:val="13F36551"/>
    <w:rsid w:val="14282EC0"/>
    <w:rsid w:val="1471D6C6"/>
    <w:rsid w:val="14869531"/>
    <w:rsid w:val="14E0F4DC"/>
    <w:rsid w:val="15F65D34"/>
    <w:rsid w:val="16118F62"/>
    <w:rsid w:val="16C609DA"/>
    <w:rsid w:val="175C0066"/>
    <w:rsid w:val="176119B6"/>
    <w:rsid w:val="177617D6"/>
    <w:rsid w:val="177BCC9F"/>
    <w:rsid w:val="17D2E6DF"/>
    <w:rsid w:val="18189B68"/>
    <w:rsid w:val="185257BB"/>
    <w:rsid w:val="18957B32"/>
    <w:rsid w:val="18B03796"/>
    <w:rsid w:val="191737E1"/>
    <w:rsid w:val="1979432B"/>
    <w:rsid w:val="199AE37F"/>
    <w:rsid w:val="1A123B51"/>
    <w:rsid w:val="1A84BB71"/>
    <w:rsid w:val="1A9857BA"/>
    <w:rsid w:val="1ABDB9C7"/>
    <w:rsid w:val="1AD392DD"/>
    <w:rsid w:val="1B369805"/>
    <w:rsid w:val="1B409888"/>
    <w:rsid w:val="1B77041E"/>
    <w:rsid w:val="1CA0795A"/>
    <w:rsid w:val="1CA30250"/>
    <w:rsid w:val="1CD1ECC9"/>
    <w:rsid w:val="1CD53388"/>
    <w:rsid w:val="1D104913"/>
    <w:rsid w:val="1D1207AA"/>
    <w:rsid w:val="1D20FAA2"/>
    <w:rsid w:val="1D247601"/>
    <w:rsid w:val="1D3E858E"/>
    <w:rsid w:val="1D8868FE"/>
    <w:rsid w:val="1DC3F7C9"/>
    <w:rsid w:val="1E9095F9"/>
    <w:rsid w:val="1EFCED03"/>
    <w:rsid w:val="1F3F0957"/>
    <w:rsid w:val="20051C28"/>
    <w:rsid w:val="2022B870"/>
    <w:rsid w:val="202498E0"/>
    <w:rsid w:val="2059808F"/>
    <w:rsid w:val="206453F0"/>
    <w:rsid w:val="207C7492"/>
    <w:rsid w:val="211514F2"/>
    <w:rsid w:val="21202DEF"/>
    <w:rsid w:val="212C463E"/>
    <w:rsid w:val="21AA3356"/>
    <w:rsid w:val="21C8F29F"/>
    <w:rsid w:val="21CFB297"/>
    <w:rsid w:val="2204F018"/>
    <w:rsid w:val="221226AE"/>
    <w:rsid w:val="22228516"/>
    <w:rsid w:val="226314A3"/>
    <w:rsid w:val="228846B1"/>
    <w:rsid w:val="22F25876"/>
    <w:rsid w:val="230AABD8"/>
    <w:rsid w:val="243B99A6"/>
    <w:rsid w:val="24A01314"/>
    <w:rsid w:val="25052022"/>
    <w:rsid w:val="2511CDD7"/>
    <w:rsid w:val="2545B4D0"/>
    <w:rsid w:val="256C8393"/>
    <w:rsid w:val="259D280D"/>
    <w:rsid w:val="262B7C6A"/>
    <w:rsid w:val="262D53BF"/>
    <w:rsid w:val="263D228B"/>
    <w:rsid w:val="265B621C"/>
    <w:rsid w:val="2676C658"/>
    <w:rsid w:val="26AA21D2"/>
    <w:rsid w:val="26D92C4D"/>
    <w:rsid w:val="2708F6D4"/>
    <w:rsid w:val="275EE6BF"/>
    <w:rsid w:val="27A678D5"/>
    <w:rsid w:val="2800D860"/>
    <w:rsid w:val="28321DFF"/>
    <w:rsid w:val="287882C0"/>
    <w:rsid w:val="288D3A7E"/>
    <w:rsid w:val="2940FBC4"/>
    <w:rsid w:val="29CA928A"/>
    <w:rsid w:val="29FE4088"/>
    <w:rsid w:val="2B82763B"/>
    <w:rsid w:val="2BEDA72A"/>
    <w:rsid w:val="2C43ED87"/>
    <w:rsid w:val="2C6BBEFF"/>
    <w:rsid w:val="2C855046"/>
    <w:rsid w:val="2CC62DFA"/>
    <w:rsid w:val="2D0B1215"/>
    <w:rsid w:val="2D3C4CA3"/>
    <w:rsid w:val="2D71CBDE"/>
    <w:rsid w:val="2DBF97E2"/>
    <w:rsid w:val="2DF0E0AD"/>
    <w:rsid w:val="2E91D10E"/>
    <w:rsid w:val="2EDE4EBA"/>
    <w:rsid w:val="2EE49C26"/>
    <w:rsid w:val="2F177AFA"/>
    <w:rsid w:val="2F5142DB"/>
    <w:rsid w:val="2F92B5A0"/>
    <w:rsid w:val="2FBC992B"/>
    <w:rsid w:val="2FD783E6"/>
    <w:rsid w:val="30552951"/>
    <w:rsid w:val="30796D23"/>
    <w:rsid w:val="30BF6D91"/>
    <w:rsid w:val="326C00A8"/>
    <w:rsid w:val="32A41FF7"/>
    <w:rsid w:val="32C13C84"/>
    <w:rsid w:val="3317E581"/>
    <w:rsid w:val="339C3F7D"/>
    <w:rsid w:val="33F327E0"/>
    <w:rsid w:val="3417C5C0"/>
    <w:rsid w:val="34378B5F"/>
    <w:rsid w:val="347B489E"/>
    <w:rsid w:val="34C7AE5D"/>
    <w:rsid w:val="34FD635A"/>
    <w:rsid w:val="352382EE"/>
    <w:rsid w:val="3577AC96"/>
    <w:rsid w:val="35967595"/>
    <w:rsid w:val="36917DD5"/>
    <w:rsid w:val="37024B93"/>
    <w:rsid w:val="3721CCAA"/>
    <w:rsid w:val="37BE4D8C"/>
    <w:rsid w:val="383B6587"/>
    <w:rsid w:val="3855E6DE"/>
    <w:rsid w:val="388AB9A8"/>
    <w:rsid w:val="38D09C10"/>
    <w:rsid w:val="398AB777"/>
    <w:rsid w:val="3992438E"/>
    <w:rsid w:val="39D599DA"/>
    <w:rsid w:val="39D687DC"/>
    <w:rsid w:val="39E1D6E1"/>
    <w:rsid w:val="3A16FF2B"/>
    <w:rsid w:val="3A745BD4"/>
    <w:rsid w:val="3A9D6876"/>
    <w:rsid w:val="3AB9CA9D"/>
    <w:rsid w:val="3ACAD36C"/>
    <w:rsid w:val="3AD4CE46"/>
    <w:rsid w:val="3B4A2E35"/>
    <w:rsid w:val="3BCF226A"/>
    <w:rsid w:val="3C16BBEA"/>
    <w:rsid w:val="3C42A3EE"/>
    <w:rsid w:val="3CA1122B"/>
    <w:rsid w:val="3D12BD8F"/>
    <w:rsid w:val="3D33C38B"/>
    <w:rsid w:val="3D7C34E7"/>
    <w:rsid w:val="3D8EDAA1"/>
    <w:rsid w:val="3DBF3933"/>
    <w:rsid w:val="3E558E96"/>
    <w:rsid w:val="3EA5D783"/>
    <w:rsid w:val="3F136128"/>
    <w:rsid w:val="3F2F7513"/>
    <w:rsid w:val="3F488775"/>
    <w:rsid w:val="3F89150A"/>
    <w:rsid w:val="3FF145A4"/>
    <w:rsid w:val="404E4175"/>
    <w:rsid w:val="407EAE95"/>
    <w:rsid w:val="40A07AAB"/>
    <w:rsid w:val="414F8656"/>
    <w:rsid w:val="41569BB9"/>
    <w:rsid w:val="417DEB3A"/>
    <w:rsid w:val="427BF589"/>
    <w:rsid w:val="43028DFC"/>
    <w:rsid w:val="434EAFC0"/>
    <w:rsid w:val="4409792B"/>
    <w:rsid w:val="44624225"/>
    <w:rsid w:val="44A6EF88"/>
    <w:rsid w:val="4541B32D"/>
    <w:rsid w:val="45AF3F6D"/>
    <w:rsid w:val="462C1463"/>
    <w:rsid w:val="4659933F"/>
    <w:rsid w:val="46B4C166"/>
    <w:rsid w:val="473082F6"/>
    <w:rsid w:val="47AFD6E4"/>
    <w:rsid w:val="47BD4891"/>
    <w:rsid w:val="47EEB551"/>
    <w:rsid w:val="4860B846"/>
    <w:rsid w:val="486E4CB0"/>
    <w:rsid w:val="488A3C92"/>
    <w:rsid w:val="488ED811"/>
    <w:rsid w:val="48C2075D"/>
    <w:rsid w:val="49090F71"/>
    <w:rsid w:val="49AD854B"/>
    <w:rsid w:val="49E21E9C"/>
    <w:rsid w:val="4A10FAA8"/>
    <w:rsid w:val="4A14CE2E"/>
    <w:rsid w:val="4AD8A945"/>
    <w:rsid w:val="4BDCC87B"/>
    <w:rsid w:val="4C28C2AB"/>
    <w:rsid w:val="4CFCB40F"/>
    <w:rsid w:val="4D30B4D2"/>
    <w:rsid w:val="4D9BE9E6"/>
    <w:rsid w:val="4DA02AA1"/>
    <w:rsid w:val="4DA26D69"/>
    <w:rsid w:val="4E35DDEF"/>
    <w:rsid w:val="4E6F1E56"/>
    <w:rsid w:val="4F235799"/>
    <w:rsid w:val="4F5B8DC4"/>
    <w:rsid w:val="5005B7F8"/>
    <w:rsid w:val="501531C3"/>
    <w:rsid w:val="501C82AD"/>
    <w:rsid w:val="50684A36"/>
    <w:rsid w:val="50F0DF29"/>
    <w:rsid w:val="51484182"/>
    <w:rsid w:val="518ADC71"/>
    <w:rsid w:val="5195FBBD"/>
    <w:rsid w:val="5212D116"/>
    <w:rsid w:val="529B1DCB"/>
    <w:rsid w:val="529CE4B9"/>
    <w:rsid w:val="5307DB96"/>
    <w:rsid w:val="531126B4"/>
    <w:rsid w:val="532D9A92"/>
    <w:rsid w:val="536ACC6C"/>
    <w:rsid w:val="53C5369B"/>
    <w:rsid w:val="5483DF38"/>
    <w:rsid w:val="54A5DE65"/>
    <w:rsid w:val="5518085A"/>
    <w:rsid w:val="5557FC27"/>
    <w:rsid w:val="55E01AF0"/>
    <w:rsid w:val="56221689"/>
    <w:rsid w:val="56315012"/>
    <w:rsid w:val="5646C845"/>
    <w:rsid w:val="56CF1DCF"/>
    <w:rsid w:val="57282B98"/>
    <w:rsid w:val="5762C046"/>
    <w:rsid w:val="57704483"/>
    <w:rsid w:val="5787F157"/>
    <w:rsid w:val="57B949B0"/>
    <w:rsid w:val="57FA10E9"/>
    <w:rsid w:val="580F7AA0"/>
    <w:rsid w:val="5898DA8F"/>
    <w:rsid w:val="58D671E7"/>
    <w:rsid w:val="58DEC10B"/>
    <w:rsid w:val="59710CB4"/>
    <w:rsid w:val="5A108300"/>
    <w:rsid w:val="5A3B0190"/>
    <w:rsid w:val="5A4CF253"/>
    <w:rsid w:val="5B4E7AF9"/>
    <w:rsid w:val="5C16D689"/>
    <w:rsid w:val="5C95AD8C"/>
    <w:rsid w:val="5CD481C6"/>
    <w:rsid w:val="5CF82778"/>
    <w:rsid w:val="5D1A5400"/>
    <w:rsid w:val="5D306277"/>
    <w:rsid w:val="5DC1ECFE"/>
    <w:rsid w:val="5F154FD1"/>
    <w:rsid w:val="5F7FC877"/>
    <w:rsid w:val="5FC4C904"/>
    <w:rsid w:val="6227E5EC"/>
    <w:rsid w:val="62476D06"/>
    <w:rsid w:val="628CF187"/>
    <w:rsid w:val="6306C300"/>
    <w:rsid w:val="630C4F11"/>
    <w:rsid w:val="639838C2"/>
    <w:rsid w:val="63A0A255"/>
    <w:rsid w:val="63FA07E4"/>
    <w:rsid w:val="641CADFE"/>
    <w:rsid w:val="645138D2"/>
    <w:rsid w:val="64AFF17E"/>
    <w:rsid w:val="6529AFF4"/>
    <w:rsid w:val="65923D5A"/>
    <w:rsid w:val="65AC9A24"/>
    <w:rsid w:val="65F4C07B"/>
    <w:rsid w:val="662337C6"/>
    <w:rsid w:val="664C3939"/>
    <w:rsid w:val="673CD3B7"/>
    <w:rsid w:val="6751E832"/>
    <w:rsid w:val="6766A569"/>
    <w:rsid w:val="67BC8132"/>
    <w:rsid w:val="6878118A"/>
    <w:rsid w:val="6882B4C8"/>
    <w:rsid w:val="690FA58D"/>
    <w:rsid w:val="69EC6E46"/>
    <w:rsid w:val="69FF24EF"/>
    <w:rsid w:val="6A204733"/>
    <w:rsid w:val="6A4109D7"/>
    <w:rsid w:val="6A52E48D"/>
    <w:rsid w:val="6A8C8EDB"/>
    <w:rsid w:val="6ADE4AD5"/>
    <w:rsid w:val="6B1F69D8"/>
    <w:rsid w:val="6B9BEDEF"/>
    <w:rsid w:val="6C32EEA0"/>
    <w:rsid w:val="6C348EAD"/>
    <w:rsid w:val="6C714091"/>
    <w:rsid w:val="6CB83641"/>
    <w:rsid w:val="6CE340A1"/>
    <w:rsid w:val="6CEB545E"/>
    <w:rsid w:val="6D0638AE"/>
    <w:rsid w:val="6D1693C3"/>
    <w:rsid w:val="6D3B1124"/>
    <w:rsid w:val="6D4CB19D"/>
    <w:rsid w:val="6D4FF06F"/>
    <w:rsid w:val="6D509F06"/>
    <w:rsid w:val="6D5FCA41"/>
    <w:rsid w:val="6E92C17D"/>
    <w:rsid w:val="6F2B69A5"/>
    <w:rsid w:val="6F4CD479"/>
    <w:rsid w:val="6F9558C1"/>
    <w:rsid w:val="6FF47034"/>
    <w:rsid w:val="701160D4"/>
    <w:rsid w:val="701F42A7"/>
    <w:rsid w:val="7027FFA9"/>
    <w:rsid w:val="706DAFAF"/>
    <w:rsid w:val="7099E657"/>
    <w:rsid w:val="70B507C9"/>
    <w:rsid w:val="71035580"/>
    <w:rsid w:val="71138881"/>
    <w:rsid w:val="71DCB99F"/>
    <w:rsid w:val="720791DB"/>
    <w:rsid w:val="72117A62"/>
    <w:rsid w:val="72308721"/>
    <w:rsid w:val="729B8B26"/>
    <w:rsid w:val="731B6E87"/>
    <w:rsid w:val="73BCF8A0"/>
    <w:rsid w:val="73C8B6E5"/>
    <w:rsid w:val="73F0434E"/>
    <w:rsid w:val="73F61B2E"/>
    <w:rsid w:val="74CF1CB9"/>
    <w:rsid w:val="7593138F"/>
    <w:rsid w:val="75F7AEB2"/>
    <w:rsid w:val="767D7B2A"/>
    <w:rsid w:val="7689A87A"/>
    <w:rsid w:val="76BBC978"/>
    <w:rsid w:val="76BD2250"/>
    <w:rsid w:val="775123CF"/>
    <w:rsid w:val="776B575D"/>
    <w:rsid w:val="77C097E4"/>
    <w:rsid w:val="78418C89"/>
    <w:rsid w:val="7841ED69"/>
    <w:rsid w:val="784777FD"/>
    <w:rsid w:val="78871F23"/>
    <w:rsid w:val="78D31851"/>
    <w:rsid w:val="79010BB2"/>
    <w:rsid w:val="793AD5B4"/>
    <w:rsid w:val="794E493B"/>
    <w:rsid w:val="7979D8EB"/>
    <w:rsid w:val="79B79342"/>
    <w:rsid w:val="79EBCD5C"/>
    <w:rsid w:val="7A01C4A1"/>
    <w:rsid w:val="7A11E683"/>
    <w:rsid w:val="7A480B28"/>
    <w:rsid w:val="7A5EA327"/>
    <w:rsid w:val="7B4CBE68"/>
    <w:rsid w:val="7B4FB805"/>
    <w:rsid w:val="7BA9DC3C"/>
    <w:rsid w:val="7BD7033A"/>
    <w:rsid w:val="7C108E81"/>
    <w:rsid w:val="7C90DCE6"/>
    <w:rsid w:val="7D1DF69D"/>
    <w:rsid w:val="7D602CBC"/>
    <w:rsid w:val="7D63B206"/>
    <w:rsid w:val="7D81EEFB"/>
    <w:rsid w:val="7E39E41A"/>
    <w:rsid w:val="7E70B9EE"/>
    <w:rsid w:val="7E7B53DE"/>
    <w:rsid w:val="7EACBAB9"/>
    <w:rsid w:val="7F3FAD35"/>
    <w:rsid w:val="7F917A3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A5A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37"/>
    <w:pPr>
      <w:spacing w:after="200" w:line="276" w:lineRule="auto"/>
    </w:pPr>
    <w:rPr>
      <w:kern w:val="0"/>
      <w14:ligatures w14:val="none"/>
    </w:rPr>
  </w:style>
  <w:style w:type="paragraph" w:styleId="Heading1">
    <w:name w:val="heading 1"/>
    <w:basedOn w:val="Normal"/>
    <w:next w:val="Normal"/>
    <w:link w:val="Heading1Char"/>
    <w:uiPriority w:val="9"/>
    <w:qFormat/>
    <w:rsid w:val="003C4170"/>
    <w:pPr>
      <w:keepNext/>
      <w:keepLines/>
      <w:spacing w:before="240" w:after="0"/>
      <w:outlineLvl w:val="0"/>
    </w:pPr>
    <w:rPr>
      <w:rFonts w:ascii="Calibri" w:eastAsia="Calibri" w:hAnsi="Calibri" w:cstheme="majorBidi"/>
      <w:b/>
      <w:color w:val="404246"/>
      <w:sz w:val="32"/>
      <w:szCs w:val="32"/>
    </w:rPr>
  </w:style>
  <w:style w:type="paragraph" w:styleId="Heading2">
    <w:name w:val="heading 2"/>
    <w:basedOn w:val="Normal"/>
    <w:next w:val="Normal"/>
    <w:link w:val="Heading2Char"/>
    <w:uiPriority w:val="9"/>
    <w:unhideWhenUsed/>
    <w:qFormat/>
    <w:rsid w:val="007F169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797487"/>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A64950"/>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1E24D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4712B0"/>
    <w:pPr>
      <w:keepNext/>
      <w:keepLines/>
      <w:spacing w:before="240" w:after="0"/>
      <w:ind w:left="1152" w:hanging="1152"/>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4712B0"/>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712B0"/>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12B0"/>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AD3FDD"/>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AD3FDD"/>
    <w:rPr>
      <w:rFonts w:ascii="Calibri" w:eastAsiaTheme="majorEastAsia" w:hAnsi="Calibri" w:cstheme="majorBidi"/>
      <w:b/>
      <w:color w:val="404246"/>
      <w:spacing w:val="-10"/>
      <w:kern w:val="28"/>
      <w:sz w:val="60"/>
      <w:szCs w:val="56"/>
      <w14:ligatures w14:val="none"/>
    </w:rPr>
  </w:style>
  <w:style w:type="paragraph" w:styleId="Subtitle">
    <w:name w:val="Subtitle"/>
    <w:basedOn w:val="Normal"/>
    <w:next w:val="Normal"/>
    <w:link w:val="SubtitleChar"/>
    <w:uiPriority w:val="8"/>
    <w:qFormat/>
    <w:rsid w:val="00AD3FDD"/>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AD3FDD"/>
    <w:rPr>
      <w:rFonts w:ascii="Calibri" w:eastAsiaTheme="minorEastAsia" w:hAnsi="Calibri"/>
      <w:color w:val="404246"/>
      <w:spacing w:val="15"/>
      <w:kern w:val="0"/>
      <w:sz w:val="40"/>
      <w14:ligatures w14:val="none"/>
    </w:rPr>
  </w:style>
  <w:style w:type="paragraph" w:styleId="Header">
    <w:name w:val="header"/>
    <w:basedOn w:val="Normal"/>
    <w:link w:val="HeaderChar"/>
    <w:uiPriority w:val="99"/>
    <w:unhideWhenUsed/>
    <w:rsid w:val="00AD3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FDD"/>
  </w:style>
  <w:style w:type="paragraph" w:styleId="Footer">
    <w:name w:val="footer"/>
    <w:basedOn w:val="Normal"/>
    <w:link w:val="FooterChar"/>
    <w:uiPriority w:val="99"/>
    <w:unhideWhenUsed/>
    <w:rsid w:val="00AD3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FDD"/>
  </w:style>
  <w:style w:type="character" w:customStyle="1" w:styleId="Heading1Char">
    <w:name w:val="Heading 1 Char"/>
    <w:basedOn w:val="DefaultParagraphFont"/>
    <w:link w:val="Heading1"/>
    <w:uiPriority w:val="9"/>
    <w:rsid w:val="002F4F1D"/>
    <w:rPr>
      <w:rFonts w:ascii="Calibri" w:eastAsia="Calibri" w:hAnsi="Calibri" w:cstheme="majorBidi"/>
      <w:b/>
      <w:color w:val="404246"/>
      <w:kern w:val="0"/>
      <w:sz w:val="32"/>
      <w:szCs w:val="32"/>
      <w14:ligatures w14:val="none"/>
    </w:rPr>
  </w:style>
  <w:style w:type="character" w:customStyle="1" w:styleId="Heading3Char">
    <w:name w:val="Heading 3 Char"/>
    <w:basedOn w:val="DefaultParagraphFont"/>
    <w:link w:val="Heading3"/>
    <w:uiPriority w:val="9"/>
    <w:rsid w:val="00797487"/>
    <w:rPr>
      <w:rFonts w:ascii="Calibri" w:eastAsiaTheme="majorEastAsia" w:hAnsi="Calibri" w:cstheme="majorBidi"/>
      <w:color w:val="000000" w:themeColor="text1"/>
      <w:kern w:val="0"/>
      <w:sz w:val="28"/>
      <w:szCs w:val="24"/>
      <w14:ligatures w14:val="none"/>
    </w:rPr>
  </w:style>
  <w:style w:type="paragraph" w:customStyle="1" w:styleId="paragraph">
    <w:name w:val="paragraph"/>
    <w:basedOn w:val="Normal"/>
    <w:rsid w:val="002F4F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F4F1D"/>
  </w:style>
  <w:style w:type="character" w:customStyle="1" w:styleId="eop">
    <w:name w:val="eop"/>
    <w:basedOn w:val="DefaultParagraphFont"/>
    <w:rsid w:val="002F4F1D"/>
  </w:style>
  <w:style w:type="character" w:customStyle="1" w:styleId="scxw130063178">
    <w:name w:val="scxw130063178"/>
    <w:basedOn w:val="DefaultParagraphFont"/>
    <w:rsid w:val="002F4F1D"/>
  </w:style>
  <w:style w:type="paragraph" w:customStyle="1" w:styleId="CABNETParagraph">
    <w:name w:val="CABNET Paragraph."/>
    <w:basedOn w:val="Normal"/>
    <w:link w:val="CABNETParagraphChar"/>
    <w:uiPriority w:val="98"/>
    <w:qFormat/>
    <w:rsid w:val="002F4F1D"/>
    <w:pPr>
      <w:spacing w:before="120" w:after="120"/>
    </w:pPr>
    <w:rPr>
      <w:rFonts w:ascii="Arial" w:eastAsiaTheme="minorEastAsia" w:hAnsi="Arial"/>
    </w:rPr>
  </w:style>
  <w:style w:type="character" w:customStyle="1" w:styleId="CABNETParagraphChar">
    <w:name w:val="CABNET Paragraph. Char"/>
    <w:basedOn w:val="DefaultParagraphFont"/>
    <w:link w:val="CABNETParagraph"/>
    <w:uiPriority w:val="98"/>
    <w:rsid w:val="002F4F1D"/>
    <w:rPr>
      <w:rFonts w:ascii="Arial" w:eastAsiaTheme="minorEastAsia" w:hAnsi="Arial"/>
      <w:kern w:val="0"/>
      <w14:ligatures w14:val="none"/>
    </w:rPr>
  </w:style>
  <w:style w:type="character" w:styleId="FootnoteReference">
    <w:name w:val="footnote reference"/>
    <w:basedOn w:val="DefaultParagraphFont"/>
    <w:uiPriority w:val="99"/>
    <w:unhideWhenUsed/>
    <w:rsid w:val="002F4F1D"/>
    <w:rPr>
      <w:vertAlign w:val="superscript"/>
    </w:rPr>
  </w:style>
  <w:style w:type="paragraph" w:styleId="ListParagraph">
    <w:name w:val="List Paragraph"/>
    <w:aliases w:val="Bullet Point,Bullet point,Bullet points,Content descriptions,DDM Gen Text,Dot point 1.5 line spacing,L,List Paragraph - bullets,List Paragraph Number,List Paragraph1,List Paragraph11,NFP GP Bulleted List,Recommendation,bullet point list,B"/>
    <w:basedOn w:val="Normal"/>
    <w:link w:val="ListParagraphChar"/>
    <w:uiPriority w:val="34"/>
    <w:qFormat/>
    <w:rsid w:val="002F4F1D"/>
    <w:pPr>
      <w:ind w:left="720"/>
      <w:contextualSpacing/>
    </w:pPr>
  </w:style>
  <w:style w:type="character" w:styleId="Hyperlink">
    <w:name w:val="Hyperlink"/>
    <w:basedOn w:val="DefaultParagraphFont"/>
    <w:uiPriority w:val="99"/>
    <w:unhideWhenUsed/>
    <w:qFormat/>
    <w:rsid w:val="002F4F1D"/>
    <w:rPr>
      <w:color w:val="0563C1" w:themeColor="hyperlink"/>
      <w:u w:val="single"/>
    </w:rPr>
  </w:style>
  <w:style w:type="character" w:customStyle="1" w:styleId="FootnoteTextChar">
    <w:name w:val="Footnote Text Char"/>
    <w:basedOn w:val="DefaultParagraphFont"/>
    <w:link w:val="FootnoteText"/>
    <w:uiPriority w:val="99"/>
    <w:rsid w:val="002F4F1D"/>
    <w:rPr>
      <w:sz w:val="20"/>
      <w:szCs w:val="20"/>
    </w:rPr>
  </w:style>
  <w:style w:type="paragraph" w:styleId="FootnoteText">
    <w:name w:val="footnote text"/>
    <w:basedOn w:val="Normal"/>
    <w:link w:val="FootnoteTextChar"/>
    <w:uiPriority w:val="99"/>
    <w:unhideWhenUsed/>
    <w:rsid w:val="002F4F1D"/>
    <w:pPr>
      <w:spacing w:after="0" w:line="240" w:lineRule="auto"/>
    </w:pPr>
    <w:rPr>
      <w:sz w:val="20"/>
      <w:szCs w:val="20"/>
    </w:rPr>
  </w:style>
  <w:style w:type="character" w:customStyle="1" w:styleId="FootnoteTextChar1">
    <w:name w:val="Footnote Text Char1"/>
    <w:basedOn w:val="DefaultParagraphFont"/>
    <w:uiPriority w:val="99"/>
    <w:semiHidden/>
    <w:rsid w:val="002F4F1D"/>
    <w:rPr>
      <w:sz w:val="20"/>
      <w:szCs w:val="20"/>
    </w:rPr>
  </w:style>
  <w:style w:type="paragraph" w:styleId="CommentText">
    <w:name w:val="annotation text"/>
    <w:basedOn w:val="Normal"/>
    <w:link w:val="CommentTextChar"/>
    <w:uiPriority w:val="99"/>
    <w:unhideWhenUsed/>
    <w:rsid w:val="002F4F1D"/>
    <w:pPr>
      <w:spacing w:line="240" w:lineRule="auto"/>
    </w:pPr>
    <w:rPr>
      <w:sz w:val="20"/>
      <w:szCs w:val="20"/>
    </w:rPr>
  </w:style>
  <w:style w:type="character" w:customStyle="1" w:styleId="CommentTextChar">
    <w:name w:val="Comment Text Char"/>
    <w:basedOn w:val="DefaultParagraphFont"/>
    <w:link w:val="CommentText"/>
    <w:uiPriority w:val="99"/>
    <w:rsid w:val="002F4F1D"/>
    <w:rPr>
      <w:kern w:val="0"/>
      <w:sz w:val="20"/>
      <w:szCs w:val="20"/>
      <w14:ligatures w14:val="none"/>
    </w:rPr>
  </w:style>
  <w:style w:type="character" w:styleId="CommentReference">
    <w:name w:val="annotation reference"/>
    <w:basedOn w:val="DefaultParagraphFont"/>
    <w:uiPriority w:val="99"/>
    <w:semiHidden/>
    <w:unhideWhenUsed/>
    <w:rsid w:val="002F4F1D"/>
    <w:rPr>
      <w:sz w:val="16"/>
      <w:szCs w:val="16"/>
    </w:rPr>
  </w:style>
  <w:style w:type="paragraph" w:styleId="CommentSubject">
    <w:name w:val="annotation subject"/>
    <w:basedOn w:val="CommentText"/>
    <w:next w:val="CommentText"/>
    <w:link w:val="CommentSubjectChar"/>
    <w:uiPriority w:val="99"/>
    <w:semiHidden/>
    <w:unhideWhenUsed/>
    <w:rsid w:val="002F4F1D"/>
    <w:rPr>
      <w:b/>
      <w:bCs/>
    </w:rPr>
  </w:style>
  <w:style w:type="character" w:customStyle="1" w:styleId="CommentSubjectChar">
    <w:name w:val="Comment Subject Char"/>
    <w:basedOn w:val="CommentTextChar"/>
    <w:link w:val="CommentSubject"/>
    <w:uiPriority w:val="99"/>
    <w:semiHidden/>
    <w:rsid w:val="002F4F1D"/>
    <w:rPr>
      <w:b/>
      <w:bCs/>
      <w:kern w:val="0"/>
      <w:sz w:val="20"/>
      <w:szCs w:val="20"/>
      <w14:ligatures w14:val="none"/>
    </w:rPr>
  </w:style>
  <w:style w:type="table" w:styleId="TableGrid">
    <w:name w:val="Table Grid"/>
    <w:basedOn w:val="TableNormal"/>
    <w:uiPriority w:val="39"/>
    <w:rsid w:val="002F4F1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unhideWhenUsed/>
    <w:rsid w:val="002F4F1D"/>
    <w:rPr>
      <w:color w:val="605E5C"/>
      <w:shd w:val="clear" w:color="auto" w:fill="E1DFDD"/>
    </w:rPr>
  </w:style>
  <w:style w:type="character" w:customStyle="1" w:styleId="Mention1">
    <w:name w:val="Mention1"/>
    <w:basedOn w:val="DefaultParagraphFont"/>
    <w:uiPriority w:val="99"/>
    <w:unhideWhenUsed/>
    <w:rsid w:val="002F4F1D"/>
    <w:rPr>
      <w:color w:val="2B579A"/>
      <w:shd w:val="clear" w:color="auto" w:fill="E1DFDD"/>
    </w:rPr>
  </w:style>
  <w:style w:type="paragraph" w:customStyle="1" w:styleId="3Dotpoint">
    <w:name w:val="3. Dot point"/>
    <w:basedOn w:val="Normal"/>
    <w:link w:val="3DotpointChar"/>
    <w:uiPriority w:val="1"/>
    <w:qFormat/>
    <w:rsid w:val="002F4F1D"/>
    <w:pPr>
      <w:tabs>
        <w:tab w:val="left" w:pos="426"/>
        <w:tab w:val="left" w:pos="1560"/>
      </w:tabs>
      <w:spacing w:after="120"/>
      <w:ind w:left="360" w:hanging="360"/>
      <w:contextualSpacing/>
    </w:pPr>
    <w:rPr>
      <w:rFonts w:ascii="Arial" w:eastAsiaTheme="minorEastAsia" w:hAnsi="Arial" w:cs="Arial"/>
      <w:color w:val="000000" w:themeColor="text1"/>
      <w:sz w:val="28"/>
      <w:szCs w:val="28"/>
    </w:rPr>
  </w:style>
  <w:style w:type="character" w:customStyle="1" w:styleId="3DotpointChar">
    <w:name w:val="3. Dot point Char"/>
    <w:basedOn w:val="DefaultParagraphFont"/>
    <w:link w:val="3Dotpoint"/>
    <w:uiPriority w:val="1"/>
    <w:rsid w:val="002F4F1D"/>
    <w:rPr>
      <w:rFonts w:ascii="Arial" w:eastAsiaTheme="minorEastAsia" w:hAnsi="Arial" w:cs="Arial"/>
      <w:color w:val="000000" w:themeColor="text1"/>
      <w:kern w:val="0"/>
      <w:sz w:val="28"/>
      <w:szCs w:val="28"/>
      <w14:ligatures w14:val="none"/>
    </w:rPr>
  </w:style>
  <w:style w:type="table" w:customStyle="1" w:styleId="TableGrid1">
    <w:name w:val="Table Grid1"/>
    <w:basedOn w:val="TableNormal"/>
    <w:next w:val="TableGrid"/>
    <w:uiPriority w:val="59"/>
    <w:rsid w:val="002F4F1D"/>
    <w:pPr>
      <w:spacing w:after="0" w:line="240" w:lineRule="auto"/>
    </w:pPr>
    <w:rPr>
      <w:kern w:val="0"/>
      <w:sz w:val="20"/>
      <w14:ligatures w14:val="none"/>
    </w:rPr>
    <w:tblPr>
      <w:tblBorders>
        <w:insideH w:val="single" w:sz="4" w:space="0" w:color="7599BB"/>
        <w:insideV w:val="single" w:sz="4" w:space="0" w:color="7599BB"/>
      </w:tblBorders>
    </w:tblPr>
    <w:tblStylePr w:type="firstRow">
      <w:tblPr/>
      <w:tcPr>
        <w:shd w:val="clear" w:color="auto" w:fill="E3EAF1"/>
      </w:tcPr>
    </w:tblStylePr>
  </w:style>
  <w:style w:type="character" w:styleId="FollowedHyperlink">
    <w:name w:val="FollowedHyperlink"/>
    <w:basedOn w:val="DefaultParagraphFont"/>
    <w:uiPriority w:val="99"/>
    <w:semiHidden/>
    <w:unhideWhenUsed/>
    <w:rsid w:val="002F4F1D"/>
    <w:rPr>
      <w:color w:val="954F72" w:themeColor="followedHyperlink"/>
      <w:u w:val="single"/>
    </w:rPr>
  </w:style>
  <w:style w:type="paragraph" w:styleId="Revision">
    <w:name w:val="Revision"/>
    <w:hidden/>
    <w:uiPriority w:val="99"/>
    <w:semiHidden/>
    <w:rsid w:val="002F4F1D"/>
    <w:pPr>
      <w:spacing w:after="0" w:line="240" w:lineRule="auto"/>
    </w:pPr>
    <w:rPr>
      <w:kern w:val="0"/>
      <w14:ligatures w14:val="none"/>
    </w:rPr>
  </w:style>
  <w:style w:type="character" w:customStyle="1" w:styleId="ListParagraphChar">
    <w:name w:val="List Paragraph Char"/>
    <w:aliases w:val="Bullet Point Char,Bullet point Char,Bullet points Char,Content descriptions Char,DDM Gen Text Char,Dot point 1.5 line spacing Char,L Char,List Paragraph - bullets Char,List Paragraph Number Char,List Paragraph1 Char,B Char"/>
    <w:basedOn w:val="DefaultParagraphFont"/>
    <w:link w:val="ListParagraph"/>
    <w:uiPriority w:val="34"/>
    <w:qFormat/>
    <w:locked/>
    <w:rsid w:val="002F4F1D"/>
    <w:rPr>
      <w:kern w:val="0"/>
      <w14:ligatures w14:val="none"/>
    </w:rPr>
  </w:style>
  <w:style w:type="paragraph" w:styleId="TOCHeading">
    <w:name w:val="TOC Heading"/>
    <w:basedOn w:val="Heading1"/>
    <w:next w:val="Normal"/>
    <w:uiPriority w:val="39"/>
    <w:unhideWhenUsed/>
    <w:qFormat/>
    <w:rsid w:val="002F4F1D"/>
    <w:pPr>
      <w:outlineLvl w:val="9"/>
    </w:pPr>
    <w:rPr>
      <w:lang w:val="en-US"/>
    </w:rPr>
  </w:style>
  <w:style w:type="paragraph" w:styleId="TOC1">
    <w:name w:val="toc 1"/>
    <w:basedOn w:val="Normal"/>
    <w:next w:val="Normal"/>
    <w:autoRedefine/>
    <w:uiPriority w:val="39"/>
    <w:unhideWhenUsed/>
    <w:rsid w:val="00420C89"/>
    <w:pPr>
      <w:tabs>
        <w:tab w:val="right" w:leader="dot" w:pos="9607"/>
      </w:tabs>
      <w:spacing w:after="100"/>
    </w:pPr>
    <w:rPr>
      <w:b/>
    </w:rPr>
  </w:style>
  <w:style w:type="paragraph" w:styleId="TOC3">
    <w:name w:val="toc 3"/>
    <w:basedOn w:val="Normal"/>
    <w:next w:val="Normal"/>
    <w:autoRedefine/>
    <w:uiPriority w:val="39"/>
    <w:unhideWhenUsed/>
    <w:rsid w:val="002F4F1D"/>
    <w:pPr>
      <w:spacing w:after="100"/>
      <w:ind w:left="440"/>
    </w:pPr>
  </w:style>
  <w:style w:type="table" w:customStyle="1" w:styleId="DESE">
    <w:name w:val="DESE"/>
    <w:basedOn w:val="TableNormal"/>
    <w:uiPriority w:val="99"/>
    <w:rsid w:val="002F4F1D"/>
    <w:pPr>
      <w:spacing w:before="100" w:beforeAutospacing="1" w:after="100" w:afterAutospacing="1"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customStyle="1" w:styleId="CABH2">
    <w:name w:val="CAB H2"/>
    <w:basedOn w:val="Normal"/>
    <w:link w:val="CABH2Char"/>
    <w:uiPriority w:val="98"/>
    <w:qFormat/>
    <w:rsid w:val="002F4F1D"/>
    <w:pPr>
      <w:keepNext/>
      <w:keepLines/>
      <w:tabs>
        <w:tab w:val="left" w:pos="567"/>
      </w:tabs>
      <w:spacing w:before="240"/>
      <w:outlineLvl w:val="0"/>
    </w:pPr>
    <w:rPr>
      <w:rFonts w:ascii="Arial" w:eastAsiaTheme="majorEastAsia" w:hAnsi="Arial" w:cstheme="majorBidi"/>
      <w:b/>
      <w:bCs/>
      <w:color w:val="003865"/>
      <w:sz w:val="24"/>
      <w:szCs w:val="24"/>
    </w:rPr>
  </w:style>
  <w:style w:type="paragraph" w:customStyle="1" w:styleId="CABH2Info">
    <w:name w:val="CAB H2 Info"/>
    <w:basedOn w:val="Normal"/>
    <w:uiPriority w:val="98"/>
    <w:qFormat/>
    <w:rsid w:val="002F4F1D"/>
    <w:pPr>
      <w:keepNext/>
      <w:keepLines/>
      <w:spacing w:before="200" w:after="0"/>
      <w:outlineLvl w:val="1"/>
    </w:pPr>
    <w:rPr>
      <w:rFonts w:ascii="Arial" w:eastAsiaTheme="majorEastAsia" w:hAnsi="Arial" w:cstheme="majorBidi"/>
      <w:b/>
      <w:bCs/>
      <w:sz w:val="24"/>
      <w:szCs w:val="24"/>
    </w:rPr>
  </w:style>
  <w:style w:type="paragraph" w:customStyle="1" w:styleId="CABParagraph">
    <w:name w:val="CAB Paragraph"/>
    <w:basedOn w:val="Normal"/>
    <w:link w:val="CABParagraphChar"/>
    <w:uiPriority w:val="98"/>
    <w:qFormat/>
    <w:rsid w:val="002F4F1D"/>
    <w:pPr>
      <w:spacing w:before="120" w:after="0"/>
    </w:pPr>
    <w:rPr>
      <w:rFonts w:ascii="Arial" w:eastAsiaTheme="minorEastAsia" w:hAnsi="Arial"/>
    </w:rPr>
  </w:style>
  <w:style w:type="character" w:customStyle="1" w:styleId="CABParagraphChar">
    <w:name w:val="CAB Paragraph Char"/>
    <w:basedOn w:val="DefaultParagraphFont"/>
    <w:link w:val="CABParagraph"/>
    <w:uiPriority w:val="98"/>
    <w:rsid w:val="002F4F1D"/>
    <w:rPr>
      <w:rFonts w:ascii="Arial" w:eastAsiaTheme="minorEastAsia" w:hAnsi="Arial"/>
      <w:kern w:val="0"/>
      <w14:ligatures w14:val="none"/>
    </w:rPr>
  </w:style>
  <w:style w:type="character" w:customStyle="1" w:styleId="CABH2Char">
    <w:name w:val="CAB H2 Char"/>
    <w:basedOn w:val="DefaultParagraphFont"/>
    <w:link w:val="CABH2"/>
    <w:uiPriority w:val="98"/>
    <w:rsid w:val="002F4F1D"/>
    <w:rPr>
      <w:rFonts w:ascii="Arial" w:eastAsiaTheme="majorEastAsia" w:hAnsi="Arial" w:cstheme="majorBidi"/>
      <w:b/>
      <w:bCs/>
      <w:color w:val="003865"/>
      <w:kern w:val="0"/>
      <w:sz w:val="24"/>
      <w:szCs w:val="24"/>
      <w14:ligatures w14:val="none"/>
    </w:rPr>
  </w:style>
  <w:style w:type="character" w:customStyle="1" w:styleId="superscript">
    <w:name w:val="superscript"/>
    <w:basedOn w:val="DefaultParagraphFont"/>
    <w:rsid w:val="00632CC1"/>
  </w:style>
  <w:style w:type="character" w:customStyle="1" w:styleId="ui-provider">
    <w:name w:val="ui-provider"/>
    <w:basedOn w:val="DefaultParagraphFont"/>
    <w:rsid w:val="004758C5"/>
  </w:style>
  <w:style w:type="character" w:customStyle="1" w:styleId="Heading2Char">
    <w:name w:val="Heading 2 Char"/>
    <w:basedOn w:val="DefaultParagraphFont"/>
    <w:link w:val="Heading2"/>
    <w:uiPriority w:val="9"/>
    <w:rsid w:val="007F1699"/>
    <w:rPr>
      <w:rFonts w:ascii="Calibri" w:eastAsiaTheme="majorEastAsia" w:hAnsi="Calibri" w:cstheme="majorBidi"/>
      <w:b/>
      <w:color w:val="404246"/>
      <w:kern w:val="0"/>
      <w:sz w:val="30"/>
      <w:szCs w:val="26"/>
      <w14:ligatures w14:val="none"/>
    </w:rPr>
  </w:style>
  <w:style w:type="character" w:customStyle="1" w:styleId="UnresolvedMention10">
    <w:name w:val="Unresolved Mention10"/>
    <w:basedOn w:val="DefaultParagraphFont"/>
    <w:uiPriority w:val="99"/>
    <w:unhideWhenUsed/>
    <w:rsid w:val="00811F2E"/>
    <w:rPr>
      <w:color w:val="605E5C"/>
      <w:shd w:val="clear" w:color="auto" w:fill="E1DFDD"/>
    </w:rPr>
  </w:style>
  <w:style w:type="character" w:customStyle="1" w:styleId="Heading5Char">
    <w:name w:val="Heading 5 Char"/>
    <w:basedOn w:val="DefaultParagraphFont"/>
    <w:link w:val="Heading5"/>
    <w:uiPriority w:val="9"/>
    <w:rsid w:val="001E24D8"/>
    <w:rPr>
      <w:rFonts w:ascii="Calibri" w:eastAsiaTheme="majorEastAsia" w:hAnsi="Calibri" w:cstheme="majorBidi"/>
      <w:b/>
      <w:color w:val="5F6369"/>
      <w:kern w:val="0"/>
      <w14:ligatures w14:val="none"/>
    </w:rPr>
  </w:style>
  <w:style w:type="character" w:customStyle="1" w:styleId="Heading4Char">
    <w:name w:val="Heading 4 Char"/>
    <w:basedOn w:val="DefaultParagraphFont"/>
    <w:link w:val="Heading4"/>
    <w:uiPriority w:val="9"/>
    <w:rsid w:val="00A64950"/>
    <w:rPr>
      <w:rFonts w:ascii="Calibri" w:eastAsiaTheme="majorEastAsia" w:hAnsi="Calibri" w:cstheme="majorBidi"/>
      <w:iCs/>
      <w:color w:val="5F6369"/>
      <w:kern w:val="0"/>
      <w:sz w:val="26"/>
      <w14:ligatures w14:val="none"/>
    </w:rPr>
  </w:style>
  <w:style w:type="character" w:customStyle="1" w:styleId="Heading6Char">
    <w:name w:val="Heading 6 Char"/>
    <w:basedOn w:val="DefaultParagraphFont"/>
    <w:link w:val="Heading6"/>
    <w:uiPriority w:val="9"/>
    <w:rsid w:val="004712B0"/>
    <w:rPr>
      <w:rFonts w:ascii="Calibri" w:eastAsiaTheme="majorEastAsia" w:hAnsi="Calibri" w:cstheme="majorBidi"/>
      <w:color w:val="5F6369"/>
      <w:kern w:val="0"/>
      <w14:ligatures w14:val="none"/>
    </w:rPr>
  </w:style>
  <w:style w:type="character" w:customStyle="1" w:styleId="Heading7Char">
    <w:name w:val="Heading 7 Char"/>
    <w:basedOn w:val="DefaultParagraphFont"/>
    <w:link w:val="Heading7"/>
    <w:uiPriority w:val="9"/>
    <w:rsid w:val="004712B0"/>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rsid w:val="004712B0"/>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4712B0"/>
    <w:rPr>
      <w:rFonts w:asciiTheme="majorHAnsi" w:eastAsiaTheme="majorEastAsia" w:hAnsiTheme="majorHAnsi" w:cstheme="majorBidi"/>
      <w:i/>
      <w:iCs/>
      <w:color w:val="272727" w:themeColor="text1" w:themeTint="D8"/>
      <w:kern w:val="0"/>
      <w:sz w:val="21"/>
      <w:szCs w:val="21"/>
      <w14:ligatures w14:val="none"/>
    </w:rPr>
  </w:style>
  <w:style w:type="paragraph" w:customStyle="1" w:styleId="Numberedparagraphs">
    <w:name w:val="Numbered paragraphs"/>
    <w:basedOn w:val="Normal"/>
    <w:link w:val="NumberedparagraphsChar"/>
    <w:qFormat/>
    <w:rsid w:val="004712B0"/>
    <w:pPr>
      <w:ind w:left="720" w:hanging="720"/>
      <w:outlineLvl w:val="2"/>
    </w:pPr>
    <w:rPr>
      <w:rFonts w:ascii="Calibri" w:eastAsiaTheme="majorEastAsia" w:hAnsi="Calibri" w:cstheme="majorBidi"/>
      <w:color w:val="000000" w:themeColor="text1"/>
    </w:rPr>
  </w:style>
  <w:style w:type="character" w:customStyle="1" w:styleId="NumberedparagraphsChar">
    <w:name w:val="Numbered paragraphs Char"/>
    <w:basedOn w:val="DefaultParagraphFont"/>
    <w:link w:val="Numberedparagraphs"/>
    <w:rsid w:val="004712B0"/>
    <w:rPr>
      <w:rFonts w:ascii="Calibri" w:eastAsiaTheme="majorEastAsia" w:hAnsi="Calibri" w:cstheme="majorBidi"/>
      <w:color w:val="000000" w:themeColor="text1"/>
      <w:kern w:val="0"/>
      <w14:ligatures w14:val="none"/>
    </w:rPr>
  </w:style>
  <w:style w:type="character" w:styleId="Strong">
    <w:name w:val="Strong"/>
    <w:basedOn w:val="DefaultParagraphFont"/>
    <w:uiPriority w:val="11"/>
    <w:qFormat/>
    <w:rsid w:val="00FD6FB3"/>
    <w:rPr>
      <w:b/>
      <w:bCs/>
    </w:rPr>
  </w:style>
  <w:style w:type="paragraph" w:customStyle="1" w:styleId="Source">
    <w:name w:val="Source"/>
    <w:basedOn w:val="Normal"/>
    <w:uiPriority w:val="17"/>
    <w:qFormat/>
    <w:rsid w:val="00314A04"/>
    <w:pPr>
      <w:spacing w:before="20" w:after="20" w:line="240" w:lineRule="auto"/>
    </w:pPr>
    <w:rPr>
      <w:sz w:val="18"/>
    </w:rPr>
  </w:style>
  <w:style w:type="paragraph" w:styleId="ListBullet">
    <w:name w:val="List Bullet"/>
    <w:basedOn w:val="ListParagraph"/>
    <w:link w:val="ListBulletChar"/>
    <w:uiPriority w:val="99"/>
    <w:unhideWhenUsed/>
    <w:qFormat/>
    <w:rsid w:val="008712C6"/>
    <w:pPr>
      <w:numPr>
        <w:numId w:val="2"/>
      </w:numPr>
      <w:spacing w:line="360" w:lineRule="auto"/>
      <w:ind w:left="357"/>
    </w:pPr>
  </w:style>
  <w:style w:type="paragraph" w:styleId="NormalWeb">
    <w:name w:val="Normal (Web)"/>
    <w:basedOn w:val="Normal"/>
    <w:uiPriority w:val="99"/>
    <w:semiHidden/>
    <w:unhideWhenUsed/>
    <w:rsid w:val="00F35CB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BLHeading">
    <w:name w:val="TBL Heading"/>
    <w:basedOn w:val="Normal"/>
    <w:autoRedefine/>
    <w:uiPriority w:val="11"/>
    <w:qFormat/>
    <w:rsid w:val="00F65C16"/>
    <w:pPr>
      <w:spacing w:after="0" w:line="240" w:lineRule="auto"/>
    </w:pPr>
    <w:rPr>
      <w:rFonts w:ascii="Segoe UI" w:eastAsiaTheme="minorEastAsia" w:hAnsi="Segoe UI" w:cs="Segoe UI"/>
      <w:b/>
      <w:color w:val="FFFFFF" w:themeColor="background1"/>
      <w:sz w:val="20"/>
    </w:rPr>
  </w:style>
  <w:style w:type="paragraph" w:customStyle="1" w:styleId="TBLText">
    <w:name w:val="TBL Text"/>
    <w:basedOn w:val="Normal"/>
    <w:uiPriority w:val="9"/>
    <w:qFormat/>
    <w:rsid w:val="00223FAF"/>
    <w:pPr>
      <w:spacing w:after="0" w:line="240" w:lineRule="auto"/>
    </w:pPr>
    <w:rPr>
      <w:rFonts w:eastAsiaTheme="minorEastAsia"/>
      <w:sz w:val="18"/>
      <w:szCs w:val="18"/>
    </w:rPr>
  </w:style>
  <w:style w:type="table" w:customStyle="1" w:styleId="Custom1">
    <w:name w:val="Custom 1"/>
    <w:basedOn w:val="TableNormal"/>
    <w:uiPriority w:val="99"/>
    <w:rsid w:val="00223FAF"/>
    <w:pPr>
      <w:spacing w:after="0" w:line="240" w:lineRule="auto"/>
    </w:pPr>
    <w:rPr>
      <w:rFonts w:eastAsiaTheme="minorEastAsia"/>
      <w:kern w:val="0"/>
      <w:sz w:val="18"/>
      <w:szCs w:val="21"/>
      <w14:ligatures w14:val="none"/>
    </w:rPr>
    <w:tblPr>
      <w:tblStyleRowBandSize w:val="1"/>
      <w:tblBorders>
        <w:top w:val="single" w:sz="4" w:space="0" w:color="4472C4" w:themeColor="accent1"/>
        <w:bottom w:val="single" w:sz="12" w:space="0" w:color="4472C4" w:themeColor="accent1"/>
        <w:insideH w:val="single" w:sz="4" w:space="0" w:color="4472C4" w:themeColor="accent1"/>
      </w:tblBorders>
      <w:tblCellMar>
        <w:top w:w="57" w:type="dxa"/>
        <w:bottom w:w="57" w:type="dxa"/>
      </w:tblCellMar>
    </w:tblPr>
    <w:tblStylePr w:type="firstRow">
      <w:rPr>
        <w:rFonts w:asciiTheme="minorHAnsi" w:hAnsiTheme="minorHAnsi"/>
        <w:b/>
        <w:sz w:val="18"/>
      </w:rPr>
      <w:tblPr/>
      <w:tcPr>
        <w:shd w:val="clear" w:color="auto" w:fill="4472C4" w:themeFill="accent1"/>
      </w:tcPr>
    </w:tblStylePr>
    <w:tblStylePr w:type="band1Horz">
      <w:tblPr/>
      <w:tcPr>
        <w:shd w:val="clear" w:color="auto" w:fill="E7E6E6" w:themeFill="background2"/>
      </w:tcPr>
    </w:tblStylePr>
  </w:style>
  <w:style w:type="paragraph" w:customStyle="1" w:styleId="TOCLevel2">
    <w:name w:val="TOCLevel2"/>
    <w:basedOn w:val="Normal"/>
    <w:link w:val="TOCLevel2Char"/>
    <w:uiPriority w:val="98"/>
    <w:qFormat/>
    <w:rsid w:val="002A7C27"/>
    <w:pPr>
      <w:keepNext/>
      <w:keepLines/>
      <w:tabs>
        <w:tab w:val="left" w:pos="567"/>
      </w:tabs>
      <w:spacing w:before="240" w:line="240" w:lineRule="auto"/>
      <w:jc w:val="center"/>
      <w:outlineLvl w:val="0"/>
    </w:pPr>
    <w:rPr>
      <w:rFonts w:ascii="Arial" w:eastAsiaTheme="majorEastAsia" w:hAnsi="Arial" w:cstheme="majorBidi"/>
      <w:b/>
      <w:bCs/>
      <w:color w:val="003865"/>
      <w:sz w:val="24"/>
      <w:szCs w:val="28"/>
    </w:rPr>
  </w:style>
  <w:style w:type="character" w:customStyle="1" w:styleId="TOCLevel2Char">
    <w:name w:val="TOCLevel2 Char"/>
    <w:basedOn w:val="DefaultParagraphFont"/>
    <w:link w:val="TOCLevel2"/>
    <w:uiPriority w:val="98"/>
    <w:rsid w:val="002A7C27"/>
    <w:rPr>
      <w:rFonts w:ascii="Arial" w:eastAsiaTheme="majorEastAsia" w:hAnsi="Arial" w:cstheme="majorBidi"/>
      <w:b/>
      <w:bCs/>
      <w:color w:val="003865"/>
      <w:kern w:val="0"/>
      <w:sz w:val="24"/>
      <w:szCs w:val="28"/>
      <w14:ligatures w14:val="none"/>
    </w:rPr>
  </w:style>
  <w:style w:type="table" w:customStyle="1" w:styleId="TableGrid2">
    <w:name w:val="Table Grid2"/>
    <w:basedOn w:val="TableNormal"/>
    <w:next w:val="TableGrid"/>
    <w:uiPriority w:val="59"/>
    <w:rsid w:val="00452097"/>
    <w:pPr>
      <w:spacing w:after="0" w:line="240" w:lineRule="auto"/>
    </w:pPr>
    <w:rPr>
      <w:kern w:val="0"/>
      <w:sz w:val="20"/>
      <w14:ligatures w14:val="none"/>
    </w:rPr>
    <w:tblPr>
      <w:tblBorders>
        <w:insideH w:val="single" w:sz="4" w:space="0" w:color="7599BB"/>
        <w:insideV w:val="single" w:sz="4" w:space="0" w:color="7599BB"/>
      </w:tblBorders>
    </w:tblPr>
    <w:tblStylePr w:type="firstRow">
      <w:tblPr/>
      <w:tcPr>
        <w:shd w:val="clear" w:color="auto" w:fill="E3EAF1"/>
      </w:tcPr>
    </w:tblStylePr>
  </w:style>
  <w:style w:type="paragraph" w:styleId="BodyText">
    <w:name w:val="Body Text"/>
    <w:basedOn w:val="Normal"/>
    <w:link w:val="BodyTextChar"/>
    <w:uiPriority w:val="99"/>
    <w:unhideWhenUsed/>
    <w:rsid w:val="00D30173"/>
    <w:pPr>
      <w:spacing w:after="120"/>
    </w:pPr>
  </w:style>
  <w:style w:type="character" w:customStyle="1" w:styleId="BodyTextChar">
    <w:name w:val="Body Text Char"/>
    <w:basedOn w:val="DefaultParagraphFont"/>
    <w:link w:val="BodyText"/>
    <w:uiPriority w:val="99"/>
    <w:rsid w:val="00D30173"/>
    <w:rPr>
      <w:kern w:val="0"/>
      <w14:ligatures w14:val="none"/>
    </w:rPr>
  </w:style>
  <w:style w:type="paragraph" w:styleId="TOC2">
    <w:name w:val="toc 2"/>
    <w:basedOn w:val="Normal"/>
    <w:next w:val="Normal"/>
    <w:autoRedefine/>
    <w:uiPriority w:val="39"/>
    <w:unhideWhenUsed/>
    <w:rsid w:val="008D7559"/>
    <w:pPr>
      <w:tabs>
        <w:tab w:val="left" w:pos="8931"/>
        <w:tab w:val="right" w:leader="dot" w:pos="9016"/>
      </w:tabs>
      <w:spacing w:after="100"/>
      <w:ind w:left="220" w:right="545"/>
    </w:pPr>
  </w:style>
  <w:style w:type="paragraph" w:customStyle="1" w:styleId="FootnoteText1">
    <w:name w:val="Footnote Text1"/>
    <w:basedOn w:val="Normal"/>
    <w:next w:val="FootnoteText"/>
    <w:uiPriority w:val="99"/>
    <w:unhideWhenUsed/>
    <w:rsid w:val="001764CE"/>
    <w:pPr>
      <w:spacing w:after="0" w:line="240" w:lineRule="auto"/>
    </w:pPr>
    <w:rPr>
      <w:rFonts w:ascii="Arial" w:eastAsia="Arial" w:hAnsi="Arial" w:cs="Arial"/>
      <w:sz w:val="20"/>
      <w:szCs w:val="20"/>
    </w:rPr>
  </w:style>
  <w:style w:type="numbering" w:customStyle="1" w:styleId="NoList1">
    <w:name w:val="No List1"/>
    <w:next w:val="NoList"/>
    <w:uiPriority w:val="99"/>
    <w:semiHidden/>
    <w:unhideWhenUsed/>
    <w:rsid w:val="001B0236"/>
  </w:style>
  <w:style w:type="table" w:customStyle="1" w:styleId="TableGrid3">
    <w:name w:val="Table Grid3"/>
    <w:basedOn w:val="TableNormal"/>
    <w:next w:val="TableGrid"/>
    <w:uiPriority w:val="39"/>
    <w:rsid w:val="001B02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1B0236"/>
    <w:pPr>
      <w:spacing w:before="240" w:after="40" w:line="240" w:lineRule="auto"/>
    </w:pPr>
    <w:rPr>
      <w:b/>
      <w:iCs/>
      <w:szCs w:val="18"/>
    </w:rPr>
  </w:style>
  <w:style w:type="paragraph" w:customStyle="1" w:styleId="Quote1">
    <w:name w:val="Quote1"/>
    <w:basedOn w:val="Normal"/>
    <w:next w:val="Normal"/>
    <w:uiPriority w:val="29"/>
    <w:qFormat/>
    <w:rsid w:val="001B0236"/>
    <w:pPr>
      <w:spacing w:before="200"/>
      <w:ind w:left="862" w:right="862"/>
      <w:jc w:val="center"/>
    </w:pPr>
    <w:rPr>
      <w:iCs/>
      <w:color w:val="595959"/>
    </w:rPr>
  </w:style>
  <w:style w:type="character" w:customStyle="1" w:styleId="QuoteChar">
    <w:name w:val="Quote Char"/>
    <w:basedOn w:val="DefaultParagraphFont"/>
    <w:link w:val="Quote"/>
    <w:uiPriority w:val="29"/>
    <w:rsid w:val="001B0236"/>
    <w:rPr>
      <w:iCs/>
      <w:color w:val="595959"/>
    </w:rPr>
  </w:style>
  <w:style w:type="paragraph" w:styleId="ListNumber">
    <w:name w:val="List Number"/>
    <w:basedOn w:val="ListParagraph"/>
    <w:uiPriority w:val="99"/>
    <w:unhideWhenUsed/>
    <w:qFormat/>
    <w:rsid w:val="003A6BF7"/>
    <w:pPr>
      <w:numPr>
        <w:numId w:val="15"/>
      </w:numPr>
      <w:spacing w:line="360" w:lineRule="auto"/>
    </w:pPr>
  </w:style>
  <w:style w:type="paragraph" w:styleId="List">
    <w:name w:val="List"/>
    <w:basedOn w:val="ListBullet"/>
    <w:uiPriority w:val="99"/>
    <w:unhideWhenUsed/>
    <w:qFormat/>
    <w:rsid w:val="00286AA6"/>
    <w:pPr>
      <w:numPr>
        <w:numId w:val="0"/>
      </w:numPr>
      <w:ind w:left="850" w:hanging="425"/>
    </w:pPr>
  </w:style>
  <w:style w:type="paragraph" w:styleId="BalloonText">
    <w:name w:val="Balloon Text"/>
    <w:basedOn w:val="Normal"/>
    <w:link w:val="BalloonTextChar"/>
    <w:uiPriority w:val="99"/>
    <w:semiHidden/>
    <w:unhideWhenUsed/>
    <w:rsid w:val="001B0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236"/>
    <w:rPr>
      <w:rFonts w:ascii="Segoe UI" w:hAnsi="Segoe UI" w:cs="Segoe UI"/>
      <w:kern w:val="0"/>
      <w:sz w:val="18"/>
      <w:szCs w:val="18"/>
      <w14:ligatures w14:val="none"/>
    </w:rPr>
  </w:style>
  <w:style w:type="paragraph" w:customStyle="1" w:styleId="numberedpara">
    <w:name w:val="numbered para"/>
    <w:basedOn w:val="Normal"/>
    <w:rsid w:val="001B0236"/>
    <w:pPr>
      <w:numPr>
        <w:numId w:val="5"/>
      </w:numPr>
      <w:spacing w:before="120" w:after="0" w:line="240" w:lineRule="auto"/>
    </w:pPr>
    <w:rPr>
      <w:rFonts w:ascii="Calibri" w:hAnsi="Calibri" w:cs="Calibri"/>
      <w:lang w:eastAsia="en-AU"/>
    </w:rPr>
  </w:style>
  <w:style w:type="paragraph" w:customStyle="1" w:styleId="Coverdate">
    <w:name w:val="Cover date"/>
    <w:basedOn w:val="Normal"/>
    <w:qFormat/>
    <w:rsid w:val="001B0236"/>
    <w:pPr>
      <w:spacing w:before="7400"/>
      <w:jc w:val="right"/>
    </w:pPr>
    <w:rPr>
      <w:sz w:val="30"/>
      <w:szCs w:val="30"/>
      <w:lang w:eastAsia="en-AU"/>
    </w:rPr>
  </w:style>
  <w:style w:type="paragraph" w:styleId="EndnoteText">
    <w:name w:val="endnote text"/>
    <w:basedOn w:val="Normal"/>
    <w:link w:val="EndnoteTextChar"/>
    <w:uiPriority w:val="99"/>
    <w:semiHidden/>
    <w:unhideWhenUsed/>
    <w:rsid w:val="001B02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0236"/>
    <w:rPr>
      <w:kern w:val="0"/>
      <w:sz w:val="20"/>
      <w:szCs w:val="20"/>
      <w14:ligatures w14:val="none"/>
    </w:rPr>
  </w:style>
  <w:style w:type="character" w:styleId="EndnoteReference">
    <w:name w:val="endnote reference"/>
    <w:basedOn w:val="DefaultParagraphFont"/>
    <w:uiPriority w:val="99"/>
    <w:semiHidden/>
    <w:unhideWhenUsed/>
    <w:rsid w:val="001B0236"/>
    <w:rPr>
      <w:vertAlign w:val="superscript"/>
    </w:rPr>
  </w:style>
  <w:style w:type="character" w:customStyle="1" w:styleId="findhit">
    <w:name w:val="findhit"/>
    <w:basedOn w:val="DefaultParagraphFont"/>
    <w:rsid w:val="001B0236"/>
  </w:style>
  <w:style w:type="paragraph" w:styleId="Quote">
    <w:name w:val="Quote"/>
    <w:basedOn w:val="Normal"/>
    <w:next w:val="Normal"/>
    <w:link w:val="QuoteChar"/>
    <w:uiPriority w:val="29"/>
    <w:qFormat/>
    <w:rsid w:val="001B0236"/>
    <w:pPr>
      <w:spacing w:before="200"/>
      <w:ind w:left="864" w:right="864"/>
      <w:jc w:val="center"/>
    </w:pPr>
    <w:rPr>
      <w:iCs/>
      <w:color w:val="595959"/>
    </w:rPr>
  </w:style>
  <w:style w:type="character" w:customStyle="1" w:styleId="QuoteChar1">
    <w:name w:val="Quote Char1"/>
    <w:basedOn w:val="DefaultParagraphFont"/>
    <w:uiPriority w:val="29"/>
    <w:rsid w:val="001B0236"/>
    <w:rPr>
      <w:i/>
      <w:iCs/>
      <w:color w:val="404040" w:themeColor="text1" w:themeTint="BF"/>
    </w:rPr>
  </w:style>
  <w:style w:type="table" w:customStyle="1" w:styleId="TableGrid4">
    <w:name w:val="Table Grid4"/>
    <w:basedOn w:val="TableNormal"/>
    <w:next w:val="TableGrid"/>
    <w:uiPriority w:val="39"/>
    <w:rsid w:val="00DF79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0">
    <w:name w:val="Unresolved Mention100"/>
    <w:basedOn w:val="DefaultParagraphFont"/>
    <w:uiPriority w:val="99"/>
    <w:unhideWhenUsed/>
    <w:rsid w:val="00086834"/>
    <w:rPr>
      <w:color w:val="605E5C"/>
      <w:shd w:val="clear" w:color="auto" w:fill="E1DFDD"/>
    </w:rPr>
  </w:style>
  <w:style w:type="character" w:customStyle="1" w:styleId="UnresolvedMention1000">
    <w:name w:val="Unresolved Mention1000"/>
    <w:basedOn w:val="DefaultParagraphFont"/>
    <w:uiPriority w:val="99"/>
    <w:unhideWhenUsed/>
    <w:rsid w:val="0072554F"/>
    <w:rPr>
      <w:color w:val="605E5C"/>
      <w:shd w:val="clear" w:color="auto" w:fill="E1DFDD"/>
    </w:rPr>
  </w:style>
  <w:style w:type="character" w:customStyle="1" w:styleId="UnresolvedMention10000">
    <w:name w:val="Unresolved Mention10000"/>
    <w:basedOn w:val="DefaultParagraphFont"/>
    <w:uiPriority w:val="99"/>
    <w:unhideWhenUsed/>
    <w:rsid w:val="00307AB1"/>
    <w:rPr>
      <w:color w:val="605E5C"/>
      <w:shd w:val="clear" w:color="auto" w:fill="E1DFDD"/>
    </w:rPr>
  </w:style>
  <w:style w:type="character" w:customStyle="1" w:styleId="UnresolvedMention100000">
    <w:name w:val="Unresolved Mention100000"/>
    <w:basedOn w:val="DefaultParagraphFont"/>
    <w:uiPriority w:val="99"/>
    <w:unhideWhenUsed/>
    <w:rsid w:val="006803A2"/>
    <w:rPr>
      <w:color w:val="605E5C"/>
      <w:shd w:val="clear" w:color="auto" w:fill="E1DFDD"/>
    </w:rPr>
  </w:style>
  <w:style w:type="character" w:customStyle="1" w:styleId="UnresolvedMention">
    <w:name w:val="Unresolved Mention"/>
    <w:basedOn w:val="DefaultParagraphFont"/>
    <w:uiPriority w:val="99"/>
    <w:semiHidden/>
    <w:unhideWhenUsed/>
    <w:rsid w:val="00257F47"/>
    <w:rPr>
      <w:color w:val="605E5C"/>
      <w:shd w:val="clear" w:color="auto" w:fill="E1DFDD"/>
    </w:rPr>
  </w:style>
  <w:style w:type="character" w:customStyle="1" w:styleId="UnresolvedMention1000000">
    <w:name w:val="Unresolved Mention1000000"/>
    <w:basedOn w:val="DefaultParagraphFont"/>
    <w:uiPriority w:val="99"/>
    <w:unhideWhenUsed/>
    <w:rsid w:val="00BB78D4"/>
    <w:rPr>
      <w:color w:val="605E5C"/>
      <w:shd w:val="clear" w:color="auto" w:fill="E1DFDD"/>
    </w:rPr>
  </w:style>
  <w:style w:type="character" w:customStyle="1" w:styleId="UnresolvedMention10000000">
    <w:name w:val="Unresolved Mention10000000"/>
    <w:basedOn w:val="DefaultParagraphFont"/>
    <w:uiPriority w:val="99"/>
    <w:unhideWhenUsed/>
    <w:rsid w:val="00955790"/>
    <w:rPr>
      <w:color w:val="605E5C"/>
      <w:shd w:val="clear" w:color="auto" w:fill="E1DFDD"/>
    </w:rPr>
  </w:style>
  <w:style w:type="character" w:customStyle="1" w:styleId="UnresolvedMention100000000">
    <w:name w:val="Unresolved Mention100000000"/>
    <w:basedOn w:val="DefaultParagraphFont"/>
    <w:uiPriority w:val="99"/>
    <w:unhideWhenUsed/>
    <w:rsid w:val="00C97BAB"/>
    <w:rPr>
      <w:color w:val="605E5C"/>
      <w:shd w:val="clear" w:color="auto" w:fill="E1DFDD"/>
    </w:rPr>
  </w:style>
  <w:style w:type="character" w:customStyle="1" w:styleId="UnresolvedMention1000000000">
    <w:name w:val="Unresolved Mention1000000000"/>
    <w:basedOn w:val="DefaultParagraphFont"/>
    <w:uiPriority w:val="99"/>
    <w:semiHidden/>
    <w:unhideWhenUsed/>
    <w:rsid w:val="00E82E0A"/>
    <w:rPr>
      <w:color w:val="605E5C"/>
      <w:shd w:val="clear" w:color="auto" w:fill="E1DFDD"/>
    </w:rPr>
  </w:style>
  <w:style w:type="character" w:customStyle="1" w:styleId="UnresolvedMention10000000000">
    <w:name w:val="Unresolved Mention10000000000"/>
    <w:basedOn w:val="DefaultParagraphFont"/>
    <w:uiPriority w:val="99"/>
    <w:semiHidden/>
    <w:unhideWhenUsed/>
    <w:rsid w:val="00DA49D0"/>
    <w:rPr>
      <w:color w:val="605E5C"/>
      <w:shd w:val="clear" w:color="auto" w:fill="E1DFDD"/>
    </w:rPr>
  </w:style>
  <w:style w:type="character" w:customStyle="1" w:styleId="Mention">
    <w:name w:val="Mention"/>
    <w:basedOn w:val="DefaultParagraphFont"/>
    <w:uiPriority w:val="99"/>
    <w:unhideWhenUsed/>
    <w:rsid w:val="00563C1E"/>
    <w:rPr>
      <w:color w:val="2B579A"/>
      <w:shd w:val="clear" w:color="auto" w:fill="E1DFDD"/>
    </w:rPr>
  </w:style>
  <w:style w:type="table" w:customStyle="1" w:styleId="TableGrid5">
    <w:name w:val="Table Grid5"/>
    <w:basedOn w:val="TableNormal"/>
    <w:next w:val="TableGrid"/>
    <w:uiPriority w:val="39"/>
    <w:rsid w:val="00C604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35092F"/>
    <w:rPr>
      <w:b/>
      <w:bCs/>
      <w:i/>
      <w:iCs/>
      <w:spacing w:val="5"/>
    </w:rPr>
  </w:style>
  <w:style w:type="paragraph" w:customStyle="1" w:styleId="Dot-pointlist">
    <w:name w:val="Dot-point list"/>
    <w:basedOn w:val="ListBullet"/>
    <w:link w:val="Dot-pointlistChar"/>
    <w:qFormat/>
    <w:rsid w:val="007415EF"/>
  </w:style>
  <w:style w:type="character" w:customStyle="1" w:styleId="ListBulletChar">
    <w:name w:val="List Bullet Char"/>
    <w:basedOn w:val="ListParagraphChar"/>
    <w:link w:val="ListBullet"/>
    <w:uiPriority w:val="99"/>
    <w:rsid w:val="007415EF"/>
    <w:rPr>
      <w:kern w:val="0"/>
      <w14:ligatures w14:val="none"/>
    </w:rPr>
  </w:style>
  <w:style w:type="character" w:customStyle="1" w:styleId="Dot-pointlistChar">
    <w:name w:val="Dot-point list Char"/>
    <w:basedOn w:val="ListBulletChar"/>
    <w:link w:val="Dot-pointlist"/>
    <w:rsid w:val="007415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08">
      <w:bodyDiv w:val="1"/>
      <w:marLeft w:val="0"/>
      <w:marRight w:val="0"/>
      <w:marTop w:val="0"/>
      <w:marBottom w:val="0"/>
      <w:divBdr>
        <w:top w:val="none" w:sz="0" w:space="0" w:color="auto"/>
        <w:left w:val="none" w:sz="0" w:space="0" w:color="auto"/>
        <w:bottom w:val="none" w:sz="0" w:space="0" w:color="auto"/>
        <w:right w:val="none" w:sz="0" w:space="0" w:color="auto"/>
      </w:divBdr>
      <w:divsChild>
        <w:div w:id="13961984">
          <w:marLeft w:val="0"/>
          <w:marRight w:val="0"/>
          <w:marTop w:val="0"/>
          <w:marBottom w:val="0"/>
          <w:divBdr>
            <w:top w:val="none" w:sz="0" w:space="0" w:color="auto"/>
            <w:left w:val="none" w:sz="0" w:space="0" w:color="auto"/>
            <w:bottom w:val="none" w:sz="0" w:space="0" w:color="auto"/>
            <w:right w:val="none" w:sz="0" w:space="0" w:color="auto"/>
          </w:divBdr>
        </w:div>
        <w:div w:id="914362306">
          <w:marLeft w:val="0"/>
          <w:marRight w:val="0"/>
          <w:marTop w:val="0"/>
          <w:marBottom w:val="0"/>
          <w:divBdr>
            <w:top w:val="none" w:sz="0" w:space="0" w:color="auto"/>
            <w:left w:val="none" w:sz="0" w:space="0" w:color="auto"/>
            <w:bottom w:val="none" w:sz="0" w:space="0" w:color="auto"/>
            <w:right w:val="none" w:sz="0" w:space="0" w:color="auto"/>
          </w:divBdr>
        </w:div>
      </w:divsChild>
    </w:div>
    <w:div w:id="596869107">
      <w:bodyDiv w:val="1"/>
      <w:marLeft w:val="0"/>
      <w:marRight w:val="0"/>
      <w:marTop w:val="0"/>
      <w:marBottom w:val="0"/>
      <w:divBdr>
        <w:top w:val="none" w:sz="0" w:space="0" w:color="auto"/>
        <w:left w:val="none" w:sz="0" w:space="0" w:color="auto"/>
        <w:bottom w:val="none" w:sz="0" w:space="0" w:color="auto"/>
        <w:right w:val="none" w:sz="0" w:space="0" w:color="auto"/>
      </w:divBdr>
    </w:div>
    <w:div w:id="788016149">
      <w:bodyDiv w:val="1"/>
      <w:marLeft w:val="0"/>
      <w:marRight w:val="0"/>
      <w:marTop w:val="0"/>
      <w:marBottom w:val="0"/>
      <w:divBdr>
        <w:top w:val="none" w:sz="0" w:space="0" w:color="auto"/>
        <w:left w:val="none" w:sz="0" w:space="0" w:color="auto"/>
        <w:bottom w:val="none" w:sz="0" w:space="0" w:color="auto"/>
        <w:right w:val="none" w:sz="0" w:space="0" w:color="auto"/>
      </w:divBdr>
      <w:divsChild>
        <w:div w:id="155996183">
          <w:marLeft w:val="0"/>
          <w:marRight w:val="0"/>
          <w:marTop w:val="0"/>
          <w:marBottom w:val="0"/>
          <w:divBdr>
            <w:top w:val="none" w:sz="0" w:space="0" w:color="auto"/>
            <w:left w:val="none" w:sz="0" w:space="0" w:color="auto"/>
            <w:bottom w:val="none" w:sz="0" w:space="0" w:color="auto"/>
            <w:right w:val="none" w:sz="0" w:space="0" w:color="auto"/>
          </w:divBdr>
        </w:div>
        <w:div w:id="212548106">
          <w:marLeft w:val="0"/>
          <w:marRight w:val="0"/>
          <w:marTop w:val="0"/>
          <w:marBottom w:val="0"/>
          <w:divBdr>
            <w:top w:val="none" w:sz="0" w:space="0" w:color="auto"/>
            <w:left w:val="none" w:sz="0" w:space="0" w:color="auto"/>
            <w:bottom w:val="none" w:sz="0" w:space="0" w:color="auto"/>
            <w:right w:val="none" w:sz="0" w:space="0" w:color="auto"/>
          </w:divBdr>
        </w:div>
        <w:div w:id="698354505">
          <w:marLeft w:val="0"/>
          <w:marRight w:val="0"/>
          <w:marTop w:val="0"/>
          <w:marBottom w:val="0"/>
          <w:divBdr>
            <w:top w:val="none" w:sz="0" w:space="0" w:color="auto"/>
            <w:left w:val="none" w:sz="0" w:space="0" w:color="auto"/>
            <w:bottom w:val="none" w:sz="0" w:space="0" w:color="auto"/>
            <w:right w:val="none" w:sz="0" w:space="0" w:color="auto"/>
          </w:divBdr>
        </w:div>
      </w:divsChild>
    </w:div>
    <w:div w:id="824905160">
      <w:bodyDiv w:val="1"/>
      <w:marLeft w:val="0"/>
      <w:marRight w:val="0"/>
      <w:marTop w:val="0"/>
      <w:marBottom w:val="0"/>
      <w:divBdr>
        <w:top w:val="none" w:sz="0" w:space="0" w:color="auto"/>
        <w:left w:val="none" w:sz="0" w:space="0" w:color="auto"/>
        <w:bottom w:val="none" w:sz="0" w:space="0" w:color="auto"/>
        <w:right w:val="none" w:sz="0" w:space="0" w:color="auto"/>
      </w:divBdr>
    </w:div>
    <w:div w:id="842936284">
      <w:bodyDiv w:val="1"/>
      <w:marLeft w:val="0"/>
      <w:marRight w:val="0"/>
      <w:marTop w:val="0"/>
      <w:marBottom w:val="0"/>
      <w:divBdr>
        <w:top w:val="none" w:sz="0" w:space="0" w:color="auto"/>
        <w:left w:val="none" w:sz="0" w:space="0" w:color="auto"/>
        <w:bottom w:val="none" w:sz="0" w:space="0" w:color="auto"/>
        <w:right w:val="none" w:sz="0" w:space="0" w:color="auto"/>
      </w:divBdr>
    </w:div>
    <w:div w:id="900753558">
      <w:bodyDiv w:val="1"/>
      <w:marLeft w:val="0"/>
      <w:marRight w:val="0"/>
      <w:marTop w:val="0"/>
      <w:marBottom w:val="0"/>
      <w:divBdr>
        <w:top w:val="none" w:sz="0" w:space="0" w:color="auto"/>
        <w:left w:val="none" w:sz="0" w:space="0" w:color="auto"/>
        <w:bottom w:val="none" w:sz="0" w:space="0" w:color="auto"/>
        <w:right w:val="none" w:sz="0" w:space="0" w:color="auto"/>
      </w:divBdr>
    </w:div>
    <w:div w:id="929508421">
      <w:bodyDiv w:val="1"/>
      <w:marLeft w:val="0"/>
      <w:marRight w:val="0"/>
      <w:marTop w:val="0"/>
      <w:marBottom w:val="0"/>
      <w:divBdr>
        <w:top w:val="none" w:sz="0" w:space="0" w:color="auto"/>
        <w:left w:val="none" w:sz="0" w:space="0" w:color="auto"/>
        <w:bottom w:val="none" w:sz="0" w:space="0" w:color="auto"/>
        <w:right w:val="none" w:sz="0" w:space="0" w:color="auto"/>
      </w:divBdr>
      <w:divsChild>
        <w:div w:id="895556022">
          <w:marLeft w:val="0"/>
          <w:marRight w:val="0"/>
          <w:marTop w:val="0"/>
          <w:marBottom w:val="0"/>
          <w:divBdr>
            <w:top w:val="none" w:sz="0" w:space="0" w:color="auto"/>
            <w:left w:val="none" w:sz="0" w:space="0" w:color="auto"/>
            <w:bottom w:val="none" w:sz="0" w:space="0" w:color="auto"/>
            <w:right w:val="none" w:sz="0" w:space="0" w:color="auto"/>
          </w:divBdr>
        </w:div>
        <w:div w:id="1805001675">
          <w:marLeft w:val="0"/>
          <w:marRight w:val="0"/>
          <w:marTop w:val="0"/>
          <w:marBottom w:val="0"/>
          <w:divBdr>
            <w:top w:val="none" w:sz="0" w:space="0" w:color="auto"/>
            <w:left w:val="none" w:sz="0" w:space="0" w:color="auto"/>
            <w:bottom w:val="none" w:sz="0" w:space="0" w:color="auto"/>
            <w:right w:val="none" w:sz="0" w:space="0" w:color="auto"/>
          </w:divBdr>
        </w:div>
      </w:divsChild>
    </w:div>
    <w:div w:id="1315833600">
      <w:bodyDiv w:val="1"/>
      <w:marLeft w:val="0"/>
      <w:marRight w:val="0"/>
      <w:marTop w:val="0"/>
      <w:marBottom w:val="0"/>
      <w:divBdr>
        <w:top w:val="none" w:sz="0" w:space="0" w:color="auto"/>
        <w:left w:val="none" w:sz="0" w:space="0" w:color="auto"/>
        <w:bottom w:val="none" w:sz="0" w:space="0" w:color="auto"/>
        <w:right w:val="none" w:sz="0" w:space="0" w:color="auto"/>
      </w:divBdr>
      <w:divsChild>
        <w:div w:id="306590158">
          <w:marLeft w:val="0"/>
          <w:marRight w:val="0"/>
          <w:marTop w:val="0"/>
          <w:marBottom w:val="0"/>
          <w:divBdr>
            <w:top w:val="none" w:sz="0" w:space="0" w:color="auto"/>
            <w:left w:val="none" w:sz="0" w:space="0" w:color="auto"/>
            <w:bottom w:val="none" w:sz="0" w:space="0" w:color="auto"/>
            <w:right w:val="none" w:sz="0" w:space="0" w:color="auto"/>
          </w:divBdr>
        </w:div>
        <w:div w:id="436561513">
          <w:marLeft w:val="0"/>
          <w:marRight w:val="0"/>
          <w:marTop w:val="0"/>
          <w:marBottom w:val="0"/>
          <w:divBdr>
            <w:top w:val="none" w:sz="0" w:space="0" w:color="auto"/>
            <w:left w:val="none" w:sz="0" w:space="0" w:color="auto"/>
            <w:bottom w:val="none" w:sz="0" w:space="0" w:color="auto"/>
            <w:right w:val="none" w:sz="0" w:space="0" w:color="auto"/>
          </w:divBdr>
        </w:div>
        <w:div w:id="556672644">
          <w:marLeft w:val="0"/>
          <w:marRight w:val="0"/>
          <w:marTop w:val="0"/>
          <w:marBottom w:val="0"/>
          <w:divBdr>
            <w:top w:val="none" w:sz="0" w:space="0" w:color="auto"/>
            <w:left w:val="none" w:sz="0" w:space="0" w:color="auto"/>
            <w:bottom w:val="none" w:sz="0" w:space="0" w:color="auto"/>
            <w:right w:val="none" w:sz="0" w:space="0" w:color="auto"/>
          </w:divBdr>
        </w:div>
        <w:div w:id="641227941">
          <w:marLeft w:val="0"/>
          <w:marRight w:val="0"/>
          <w:marTop w:val="0"/>
          <w:marBottom w:val="0"/>
          <w:divBdr>
            <w:top w:val="none" w:sz="0" w:space="0" w:color="auto"/>
            <w:left w:val="none" w:sz="0" w:space="0" w:color="auto"/>
            <w:bottom w:val="none" w:sz="0" w:space="0" w:color="auto"/>
            <w:right w:val="none" w:sz="0" w:space="0" w:color="auto"/>
          </w:divBdr>
          <w:divsChild>
            <w:div w:id="69694447">
              <w:marLeft w:val="0"/>
              <w:marRight w:val="0"/>
              <w:marTop w:val="0"/>
              <w:marBottom w:val="0"/>
              <w:divBdr>
                <w:top w:val="none" w:sz="0" w:space="0" w:color="auto"/>
                <w:left w:val="none" w:sz="0" w:space="0" w:color="auto"/>
                <w:bottom w:val="none" w:sz="0" w:space="0" w:color="auto"/>
                <w:right w:val="none" w:sz="0" w:space="0" w:color="auto"/>
              </w:divBdr>
            </w:div>
            <w:div w:id="302467821">
              <w:marLeft w:val="0"/>
              <w:marRight w:val="0"/>
              <w:marTop w:val="0"/>
              <w:marBottom w:val="0"/>
              <w:divBdr>
                <w:top w:val="none" w:sz="0" w:space="0" w:color="auto"/>
                <w:left w:val="none" w:sz="0" w:space="0" w:color="auto"/>
                <w:bottom w:val="none" w:sz="0" w:space="0" w:color="auto"/>
                <w:right w:val="none" w:sz="0" w:space="0" w:color="auto"/>
              </w:divBdr>
            </w:div>
            <w:div w:id="338431033">
              <w:marLeft w:val="0"/>
              <w:marRight w:val="0"/>
              <w:marTop w:val="0"/>
              <w:marBottom w:val="0"/>
              <w:divBdr>
                <w:top w:val="none" w:sz="0" w:space="0" w:color="auto"/>
                <w:left w:val="none" w:sz="0" w:space="0" w:color="auto"/>
                <w:bottom w:val="none" w:sz="0" w:space="0" w:color="auto"/>
                <w:right w:val="none" w:sz="0" w:space="0" w:color="auto"/>
              </w:divBdr>
            </w:div>
            <w:div w:id="344476641">
              <w:marLeft w:val="0"/>
              <w:marRight w:val="0"/>
              <w:marTop w:val="0"/>
              <w:marBottom w:val="0"/>
              <w:divBdr>
                <w:top w:val="none" w:sz="0" w:space="0" w:color="auto"/>
                <w:left w:val="none" w:sz="0" w:space="0" w:color="auto"/>
                <w:bottom w:val="none" w:sz="0" w:space="0" w:color="auto"/>
                <w:right w:val="none" w:sz="0" w:space="0" w:color="auto"/>
              </w:divBdr>
            </w:div>
            <w:div w:id="672150779">
              <w:marLeft w:val="0"/>
              <w:marRight w:val="0"/>
              <w:marTop w:val="0"/>
              <w:marBottom w:val="0"/>
              <w:divBdr>
                <w:top w:val="none" w:sz="0" w:space="0" w:color="auto"/>
                <w:left w:val="none" w:sz="0" w:space="0" w:color="auto"/>
                <w:bottom w:val="none" w:sz="0" w:space="0" w:color="auto"/>
                <w:right w:val="none" w:sz="0" w:space="0" w:color="auto"/>
              </w:divBdr>
            </w:div>
            <w:div w:id="698090908">
              <w:marLeft w:val="0"/>
              <w:marRight w:val="0"/>
              <w:marTop w:val="0"/>
              <w:marBottom w:val="0"/>
              <w:divBdr>
                <w:top w:val="none" w:sz="0" w:space="0" w:color="auto"/>
                <w:left w:val="none" w:sz="0" w:space="0" w:color="auto"/>
                <w:bottom w:val="none" w:sz="0" w:space="0" w:color="auto"/>
                <w:right w:val="none" w:sz="0" w:space="0" w:color="auto"/>
              </w:divBdr>
            </w:div>
            <w:div w:id="734351438">
              <w:marLeft w:val="0"/>
              <w:marRight w:val="0"/>
              <w:marTop w:val="0"/>
              <w:marBottom w:val="0"/>
              <w:divBdr>
                <w:top w:val="none" w:sz="0" w:space="0" w:color="auto"/>
                <w:left w:val="none" w:sz="0" w:space="0" w:color="auto"/>
                <w:bottom w:val="none" w:sz="0" w:space="0" w:color="auto"/>
                <w:right w:val="none" w:sz="0" w:space="0" w:color="auto"/>
              </w:divBdr>
            </w:div>
            <w:div w:id="844244605">
              <w:marLeft w:val="0"/>
              <w:marRight w:val="0"/>
              <w:marTop w:val="0"/>
              <w:marBottom w:val="0"/>
              <w:divBdr>
                <w:top w:val="none" w:sz="0" w:space="0" w:color="auto"/>
                <w:left w:val="none" w:sz="0" w:space="0" w:color="auto"/>
                <w:bottom w:val="none" w:sz="0" w:space="0" w:color="auto"/>
                <w:right w:val="none" w:sz="0" w:space="0" w:color="auto"/>
              </w:divBdr>
            </w:div>
            <w:div w:id="1009598121">
              <w:marLeft w:val="0"/>
              <w:marRight w:val="0"/>
              <w:marTop w:val="0"/>
              <w:marBottom w:val="0"/>
              <w:divBdr>
                <w:top w:val="none" w:sz="0" w:space="0" w:color="auto"/>
                <w:left w:val="none" w:sz="0" w:space="0" w:color="auto"/>
                <w:bottom w:val="none" w:sz="0" w:space="0" w:color="auto"/>
                <w:right w:val="none" w:sz="0" w:space="0" w:color="auto"/>
              </w:divBdr>
            </w:div>
            <w:div w:id="1174612426">
              <w:marLeft w:val="0"/>
              <w:marRight w:val="0"/>
              <w:marTop w:val="0"/>
              <w:marBottom w:val="0"/>
              <w:divBdr>
                <w:top w:val="none" w:sz="0" w:space="0" w:color="auto"/>
                <w:left w:val="none" w:sz="0" w:space="0" w:color="auto"/>
                <w:bottom w:val="none" w:sz="0" w:space="0" w:color="auto"/>
                <w:right w:val="none" w:sz="0" w:space="0" w:color="auto"/>
              </w:divBdr>
            </w:div>
            <w:div w:id="1228565029">
              <w:marLeft w:val="0"/>
              <w:marRight w:val="0"/>
              <w:marTop w:val="0"/>
              <w:marBottom w:val="0"/>
              <w:divBdr>
                <w:top w:val="none" w:sz="0" w:space="0" w:color="auto"/>
                <w:left w:val="none" w:sz="0" w:space="0" w:color="auto"/>
                <w:bottom w:val="none" w:sz="0" w:space="0" w:color="auto"/>
                <w:right w:val="none" w:sz="0" w:space="0" w:color="auto"/>
              </w:divBdr>
            </w:div>
            <w:div w:id="1230337372">
              <w:marLeft w:val="0"/>
              <w:marRight w:val="0"/>
              <w:marTop w:val="0"/>
              <w:marBottom w:val="0"/>
              <w:divBdr>
                <w:top w:val="none" w:sz="0" w:space="0" w:color="auto"/>
                <w:left w:val="none" w:sz="0" w:space="0" w:color="auto"/>
                <w:bottom w:val="none" w:sz="0" w:space="0" w:color="auto"/>
                <w:right w:val="none" w:sz="0" w:space="0" w:color="auto"/>
              </w:divBdr>
            </w:div>
            <w:div w:id="1339775949">
              <w:marLeft w:val="0"/>
              <w:marRight w:val="0"/>
              <w:marTop w:val="0"/>
              <w:marBottom w:val="0"/>
              <w:divBdr>
                <w:top w:val="none" w:sz="0" w:space="0" w:color="auto"/>
                <w:left w:val="none" w:sz="0" w:space="0" w:color="auto"/>
                <w:bottom w:val="none" w:sz="0" w:space="0" w:color="auto"/>
                <w:right w:val="none" w:sz="0" w:space="0" w:color="auto"/>
              </w:divBdr>
            </w:div>
            <w:div w:id="1647474062">
              <w:marLeft w:val="0"/>
              <w:marRight w:val="0"/>
              <w:marTop w:val="0"/>
              <w:marBottom w:val="0"/>
              <w:divBdr>
                <w:top w:val="none" w:sz="0" w:space="0" w:color="auto"/>
                <w:left w:val="none" w:sz="0" w:space="0" w:color="auto"/>
                <w:bottom w:val="none" w:sz="0" w:space="0" w:color="auto"/>
                <w:right w:val="none" w:sz="0" w:space="0" w:color="auto"/>
              </w:divBdr>
            </w:div>
            <w:div w:id="1703288453">
              <w:marLeft w:val="0"/>
              <w:marRight w:val="0"/>
              <w:marTop w:val="0"/>
              <w:marBottom w:val="0"/>
              <w:divBdr>
                <w:top w:val="none" w:sz="0" w:space="0" w:color="auto"/>
                <w:left w:val="none" w:sz="0" w:space="0" w:color="auto"/>
                <w:bottom w:val="none" w:sz="0" w:space="0" w:color="auto"/>
                <w:right w:val="none" w:sz="0" w:space="0" w:color="auto"/>
              </w:divBdr>
            </w:div>
            <w:div w:id="1801025211">
              <w:marLeft w:val="0"/>
              <w:marRight w:val="0"/>
              <w:marTop w:val="0"/>
              <w:marBottom w:val="0"/>
              <w:divBdr>
                <w:top w:val="none" w:sz="0" w:space="0" w:color="auto"/>
                <w:left w:val="none" w:sz="0" w:space="0" w:color="auto"/>
                <w:bottom w:val="none" w:sz="0" w:space="0" w:color="auto"/>
                <w:right w:val="none" w:sz="0" w:space="0" w:color="auto"/>
              </w:divBdr>
            </w:div>
            <w:div w:id="1811093306">
              <w:marLeft w:val="0"/>
              <w:marRight w:val="0"/>
              <w:marTop w:val="0"/>
              <w:marBottom w:val="0"/>
              <w:divBdr>
                <w:top w:val="none" w:sz="0" w:space="0" w:color="auto"/>
                <w:left w:val="none" w:sz="0" w:space="0" w:color="auto"/>
                <w:bottom w:val="none" w:sz="0" w:space="0" w:color="auto"/>
                <w:right w:val="none" w:sz="0" w:space="0" w:color="auto"/>
              </w:divBdr>
            </w:div>
            <w:div w:id="1812092155">
              <w:marLeft w:val="0"/>
              <w:marRight w:val="0"/>
              <w:marTop w:val="0"/>
              <w:marBottom w:val="0"/>
              <w:divBdr>
                <w:top w:val="none" w:sz="0" w:space="0" w:color="auto"/>
                <w:left w:val="none" w:sz="0" w:space="0" w:color="auto"/>
                <w:bottom w:val="none" w:sz="0" w:space="0" w:color="auto"/>
                <w:right w:val="none" w:sz="0" w:space="0" w:color="auto"/>
              </w:divBdr>
            </w:div>
            <w:div w:id="1820000899">
              <w:marLeft w:val="0"/>
              <w:marRight w:val="0"/>
              <w:marTop w:val="0"/>
              <w:marBottom w:val="0"/>
              <w:divBdr>
                <w:top w:val="none" w:sz="0" w:space="0" w:color="auto"/>
                <w:left w:val="none" w:sz="0" w:space="0" w:color="auto"/>
                <w:bottom w:val="none" w:sz="0" w:space="0" w:color="auto"/>
                <w:right w:val="none" w:sz="0" w:space="0" w:color="auto"/>
              </w:divBdr>
            </w:div>
            <w:div w:id="1897661375">
              <w:marLeft w:val="0"/>
              <w:marRight w:val="0"/>
              <w:marTop w:val="0"/>
              <w:marBottom w:val="0"/>
              <w:divBdr>
                <w:top w:val="none" w:sz="0" w:space="0" w:color="auto"/>
                <w:left w:val="none" w:sz="0" w:space="0" w:color="auto"/>
                <w:bottom w:val="none" w:sz="0" w:space="0" w:color="auto"/>
                <w:right w:val="none" w:sz="0" w:space="0" w:color="auto"/>
              </w:divBdr>
            </w:div>
          </w:divsChild>
        </w:div>
        <w:div w:id="720862100">
          <w:marLeft w:val="0"/>
          <w:marRight w:val="0"/>
          <w:marTop w:val="0"/>
          <w:marBottom w:val="0"/>
          <w:divBdr>
            <w:top w:val="none" w:sz="0" w:space="0" w:color="auto"/>
            <w:left w:val="none" w:sz="0" w:space="0" w:color="auto"/>
            <w:bottom w:val="none" w:sz="0" w:space="0" w:color="auto"/>
            <w:right w:val="none" w:sz="0" w:space="0" w:color="auto"/>
          </w:divBdr>
        </w:div>
        <w:div w:id="753819095">
          <w:marLeft w:val="0"/>
          <w:marRight w:val="0"/>
          <w:marTop w:val="0"/>
          <w:marBottom w:val="0"/>
          <w:divBdr>
            <w:top w:val="none" w:sz="0" w:space="0" w:color="auto"/>
            <w:left w:val="none" w:sz="0" w:space="0" w:color="auto"/>
            <w:bottom w:val="none" w:sz="0" w:space="0" w:color="auto"/>
            <w:right w:val="none" w:sz="0" w:space="0" w:color="auto"/>
          </w:divBdr>
        </w:div>
        <w:div w:id="815417570">
          <w:marLeft w:val="0"/>
          <w:marRight w:val="0"/>
          <w:marTop w:val="0"/>
          <w:marBottom w:val="0"/>
          <w:divBdr>
            <w:top w:val="none" w:sz="0" w:space="0" w:color="auto"/>
            <w:left w:val="none" w:sz="0" w:space="0" w:color="auto"/>
            <w:bottom w:val="none" w:sz="0" w:space="0" w:color="auto"/>
            <w:right w:val="none" w:sz="0" w:space="0" w:color="auto"/>
          </w:divBdr>
        </w:div>
        <w:div w:id="843478994">
          <w:marLeft w:val="0"/>
          <w:marRight w:val="0"/>
          <w:marTop w:val="0"/>
          <w:marBottom w:val="0"/>
          <w:divBdr>
            <w:top w:val="none" w:sz="0" w:space="0" w:color="auto"/>
            <w:left w:val="none" w:sz="0" w:space="0" w:color="auto"/>
            <w:bottom w:val="none" w:sz="0" w:space="0" w:color="auto"/>
            <w:right w:val="none" w:sz="0" w:space="0" w:color="auto"/>
          </w:divBdr>
          <w:divsChild>
            <w:div w:id="55708183">
              <w:marLeft w:val="0"/>
              <w:marRight w:val="0"/>
              <w:marTop w:val="0"/>
              <w:marBottom w:val="0"/>
              <w:divBdr>
                <w:top w:val="none" w:sz="0" w:space="0" w:color="auto"/>
                <w:left w:val="none" w:sz="0" w:space="0" w:color="auto"/>
                <w:bottom w:val="none" w:sz="0" w:space="0" w:color="auto"/>
                <w:right w:val="none" w:sz="0" w:space="0" w:color="auto"/>
              </w:divBdr>
            </w:div>
            <w:div w:id="218170188">
              <w:marLeft w:val="0"/>
              <w:marRight w:val="0"/>
              <w:marTop w:val="0"/>
              <w:marBottom w:val="0"/>
              <w:divBdr>
                <w:top w:val="none" w:sz="0" w:space="0" w:color="auto"/>
                <w:left w:val="none" w:sz="0" w:space="0" w:color="auto"/>
                <w:bottom w:val="none" w:sz="0" w:space="0" w:color="auto"/>
                <w:right w:val="none" w:sz="0" w:space="0" w:color="auto"/>
              </w:divBdr>
            </w:div>
            <w:div w:id="339742277">
              <w:marLeft w:val="0"/>
              <w:marRight w:val="0"/>
              <w:marTop w:val="0"/>
              <w:marBottom w:val="0"/>
              <w:divBdr>
                <w:top w:val="none" w:sz="0" w:space="0" w:color="auto"/>
                <w:left w:val="none" w:sz="0" w:space="0" w:color="auto"/>
                <w:bottom w:val="none" w:sz="0" w:space="0" w:color="auto"/>
                <w:right w:val="none" w:sz="0" w:space="0" w:color="auto"/>
              </w:divBdr>
            </w:div>
            <w:div w:id="368382611">
              <w:marLeft w:val="0"/>
              <w:marRight w:val="0"/>
              <w:marTop w:val="0"/>
              <w:marBottom w:val="0"/>
              <w:divBdr>
                <w:top w:val="none" w:sz="0" w:space="0" w:color="auto"/>
                <w:left w:val="none" w:sz="0" w:space="0" w:color="auto"/>
                <w:bottom w:val="none" w:sz="0" w:space="0" w:color="auto"/>
                <w:right w:val="none" w:sz="0" w:space="0" w:color="auto"/>
              </w:divBdr>
            </w:div>
            <w:div w:id="389303125">
              <w:marLeft w:val="0"/>
              <w:marRight w:val="0"/>
              <w:marTop w:val="0"/>
              <w:marBottom w:val="0"/>
              <w:divBdr>
                <w:top w:val="none" w:sz="0" w:space="0" w:color="auto"/>
                <w:left w:val="none" w:sz="0" w:space="0" w:color="auto"/>
                <w:bottom w:val="none" w:sz="0" w:space="0" w:color="auto"/>
                <w:right w:val="none" w:sz="0" w:space="0" w:color="auto"/>
              </w:divBdr>
            </w:div>
            <w:div w:id="466581831">
              <w:marLeft w:val="0"/>
              <w:marRight w:val="0"/>
              <w:marTop w:val="0"/>
              <w:marBottom w:val="0"/>
              <w:divBdr>
                <w:top w:val="none" w:sz="0" w:space="0" w:color="auto"/>
                <w:left w:val="none" w:sz="0" w:space="0" w:color="auto"/>
                <w:bottom w:val="none" w:sz="0" w:space="0" w:color="auto"/>
                <w:right w:val="none" w:sz="0" w:space="0" w:color="auto"/>
              </w:divBdr>
            </w:div>
            <w:div w:id="495728753">
              <w:marLeft w:val="0"/>
              <w:marRight w:val="0"/>
              <w:marTop w:val="0"/>
              <w:marBottom w:val="0"/>
              <w:divBdr>
                <w:top w:val="none" w:sz="0" w:space="0" w:color="auto"/>
                <w:left w:val="none" w:sz="0" w:space="0" w:color="auto"/>
                <w:bottom w:val="none" w:sz="0" w:space="0" w:color="auto"/>
                <w:right w:val="none" w:sz="0" w:space="0" w:color="auto"/>
              </w:divBdr>
            </w:div>
            <w:div w:id="527259732">
              <w:marLeft w:val="0"/>
              <w:marRight w:val="0"/>
              <w:marTop w:val="0"/>
              <w:marBottom w:val="0"/>
              <w:divBdr>
                <w:top w:val="none" w:sz="0" w:space="0" w:color="auto"/>
                <w:left w:val="none" w:sz="0" w:space="0" w:color="auto"/>
                <w:bottom w:val="none" w:sz="0" w:space="0" w:color="auto"/>
                <w:right w:val="none" w:sz="0" w:space="0" w:color="auto"/>
              </w:divBdr>
            </w:div>
            <w:div w:id="578909060">
              <w:marLeft w:val="0"/>
              <w:marRight w:val="0"/>
              <w:marTop w:val="0"/>
              <w:marBottom w:val="0"/>
              <w:divBdr>
                <w:top w:val="none" w:sz="0" w:space="0" w:color="auto"/>
                <w:left w:val="none" w:sz="0" w:space="0" w:color="auto"/>
                <w:bottom w:val="none" w:sz="0" w:space="0" w:color="auto"/>
                <w:right w:val="none" w:sz="0" w:space="0" w:color="auto"/>
              </w:divBdr>
            </w:div>
            <w:div w:id="852034392">
              <w:marLeft w:val="0"/>
              <w:marRight w:val="0"/>
              <w:marTop w:val="0"/>
              <w:marBottom w:val="0"/>
              <w:divBdr>
                <w:top w:val="none" w:sz="0" w:space="0" w:color="auto"/>
                <w:left w:val="none" w:sz="0" w:space="0" w:color="auto"/>
                <w:bottom w:val="none" w:sz="0" w:space="0" w:color="auto"/>
                <w:right w:val="none" w:sz="0" w:space="0" w:color="auto"/>
              </w:divBdr>
            </w:div>
            <w:div w:id="1255938487">
              <w:marLeft w:val="0"/>
              <w:marRight w:val="0"/>
              <w:marTop w:val="0"/>
              <w:marBottom w:val="0"/>
              <w:divBdr>
                <w:top w:val="none" w:sz="0" w:space="0" w:color="auto"/>
                <w:left w:val="none" w:sz="0" w:space="0" w:color="auto"/>
                <w:bottom w:val="none" w:sz="0" w:space="0" w:color="auto"/>
                <w:right w:val="none" w:sz="0" w:space="0" w:color="auto"/>
              </w:divBdr>
            </w:div>
            <w:div w:id="1314332021">
              <w:marLeft w:val="0"/>
              <w:marRight w:val="0"/>
              <w:marTop w:val="0"/>
              <w:marBottom w:val="0"/>
              <w:divBdr>
                <w:top w:val="none" w:sz="0" w:space="0" w:color="auto"/>
                <w:left w:val="none" w:sz="0" w:space="0" w:color="auto"/>
                <w:bottom w:val="none" w:sz="0" w:space="0" w:color="auto"/>
                <w:right w:val="none" w:sz="0" w:space="0" w:color="auto"/>
              </w:divBdr>
            </w:div>
            <w:div w:id="1404452555">
              <w:marLeft w:val="0"/>
              <w:marRight w:val="0"/>
              <w:marTop w:val="0"/>
              <w:marBottom w:val="0"/>
              <w:divBdr>
                <w:top w:val="none" w:sz="0" w:space="0" w:color="auto"/>
                <w:left w:val="none" w:sz="0" w:space="0" w:color="auto"/>
                <w:bottom w:val="none" w:sz="0" w:space="0" w:color="auto"/>
                <w:right w:val="none" w:sz="0" w:space="0" w:color="auto"/>
              </w:divBdr>
            </w:div>
            <w:div w:id="1418016838">
              <w:marLeft w:val="0"/>
              <w:marRight w:val="0"/>
              <w:marTop w:val="0"/>
              <w:marBottom w:val="0"/>
              <w:divBdr>
                <w:top w:val="none" w:sz="0" w:space="0" w:color="auto"/>
                <w:left w:val="none" w:sz="0" w:space="0" w:color="auto"/>
                <w:bottom w:val="none" w:sz="0" w:space="0" w:color="auto"/>
                <w:right w:val="none" w:sz="0" w:space="0" w:color="auto"/>
              </w:divBdr>
            </w:div>
            <w:div w:id="1625237637">
              <w:marLeft w:val="0"/>
              <w:marRight w:val="0"/>
              <w:marTop w:val="0"/>
              <w:marBottom w:val="0"/>
              <w:divBdr>
                <w:top w:val="none" w:sz="0" w:space="0" w:color="auto"/>
                <w:left w:val="none" w:sz="0" w:space="0" w:color="auto"/>
                <w:bottom w:val="none" w:sz="0" w:space="0" w:color="auto"/>
                <w:right w:val="none" w:sz="0" w:space="0" w:color="auto"/>
              </w:divBdr>
            </w:div>
            <w:div w:id="2066679213">
              <w:marLeft w:val="0"/>
              <w:marRight w:val="0"/>
              <w:marTop w:val="0"/>
              <w:marBottom w:val="0"/>
              <w:divBdr>
                <w:top w:val="none" w:sz="0" w:space="0" w:color="auto"/>
                <w:left w:val="none" w:sz="0" w:space="0" w:color="auto"/>
                <w:bottom w:val="none" w:sz="0" w:space="0" w:color="auto"/>
                <w:right w:val="none" w:sz="0" w:space="0" w:color="auto"/>
              </w:divBdr>
            </w:div>
            <w:div w:id="2079286564">
              <w:marLeft w:val="0"/>
              <w:marRight w:val="0"/>
              <w:marTop w:val="0"/>
              <w:marBottom w:val="0"/>
              <w:divBdr>
                <w:top w:val="none" w:sz="0" w:space="0" w:color="auto"/>
                <w:left w:val="none" w:sz="0" w:space="0" w:color="auto"/>
                <w:bottom w:val="none" w:sz="0" w:space="0" w:color="auto"/>
                <w:right w:val="none" w:sz="0" w:space="0" w:color="auto"/>
              </w:divBdr>
            </w:div>
          </w:divsChild>
        </w:div>
        <w:div w:id="939945820">
          <w:marLeft w:val="0"/>
          <w:marRight w:val="0"/>
          <w:marTop w:val="0"/>
          <w:marBottom w:val="0"/>
          <w:divBdr>
            <w:top w:val="none" w:sz="0" w:space="0" w:color="auto"/>
            <w:left w:val="none" w:sz="0" w:space="0" w:color="auto"/>
            <w:bottom w:val="none" w:sz="0" w:space="0" w:color="auto"/>
            <w:right w:val="none" w:sz="0" w:space="0" w:color="auto"/>
          </w:divBdr>
        </w:div>
        <w:div w:id="983126659">
          <w:marLeft w:val="0"/>
          <w:marRight w:val="0"/>
          <w:marTop w:val="0"/>
          <w:marBottom w:val="0"/>
          <w:divBdr>
            <w:top w:val="none" w:sz="0" w:space="0" w:color="auto"/>
            <w:left w:val="none" w:sz="0" w:space="0" w:color="auto"/>
            <w:bottom w:val="none" w:sz="0" w:space="0" w:color="auto"/>
            <w:right w:val="none" w:sz="0" w:space="0" w:color="auto"/>
          </w:divBdr>
          <w:divsChild>
            <w:div w:id="158934326">
              <w:marLeft w:val="0"/>
              <w:marRight w:val="0"/>
              <w:marTop w:val="0"/>
              <w:marBottom w:val="0"/>
              <w:divBdr>
                <w:top w:val="none" w:sz="0" w:space="0" w:color="auto"/>
                <w:left w:val="none" w:sz="0" w:space="0" w:color="auto"/>
                <w:bottom w:val="none" w:sz="0" w:space="0" w:color="auto"/>
                <w:right w:val="none" w:sz="0" w:space="0" w:color="auto"/>
              </w:divBdr>
            </w:div>
            <w:div w:id="232207819">
              <w:marLeft w:val="0"/>
              <w:marRight w:val="0"/>
              <w:marTop w:val="0"/>
              <w:marBottom w:val="0"/>
              <w:divBdr>
                <w:top w:val="none" w:sz="0" w:space="0" w:color="auto"/>
                <w:left w:val="none" w:sz="0" w:space="0" w:color="auto"/>
                <w:bottom w:val="none" w:sz="0" w:space="0" w:color="auto"/>
                <w:right w:val="none" w:sz="0" w:space="0" w:color="auto"/>
              </w:divBdr>
            </w:div>
            <w:div w:id="437141044">
              <w:marLeft w:val="0"/>
              <w:marRight w:val="0"/>
              <w:marTop w:val="0"/>
              <w:marBottom w:val="0"/>
              <w:divBdr>
                <w:top w:val="none" w:sz="0" w:space="0" w:color="auto"/>
                <w:left w:val="none" w:sz="0" w:space="0" w:color="auto"/>
                <w:bottom w:val="none" w:sz="0" w:space="0" w:color="auto"/>
                <w:right w:val="none" w:sz="0" w:space="0" w:color="auto"/>
              </w:divBdr>
            </w:div>
            <w:div w:id="490410695">
              <w:marLeft w:val="0"/>
              <w:marRight w:val="0"/>
              <w:marTop w:val="0"/>
              <w:marBottom w:val="0"/>
              <w:divBdr>
                <w:top w:val="none" w:sz="0" w:space="0" w:color="auto"/>
                <w:left w:val="none" w:sz="0" w:space="0" w:color="auto"/>
                <w:bottom w:val="none" w:sz="0" w:space="0" w:color="auto"/>
                <w:right w:val="none" w:sz="0" w:space="0" w:color="auto"/>
              </w:divBdr>
            </w:div>
            <w:div w:id="518928369">
              <w:marLeft w:val="0"/>
              <w:marRight w:val="0"/>
              <w:marTop w:val="0"/>
              <w:marBottom w:val="0"/>
              <w:divBdr>
                <w:top w:val="none" w:sz="0" w:space="0" w:color="auto"/>
                <w:left w:val="none" w:sz="0" w:space="0" w:color="auto"/>
                <w:bottom w:val="none" w:sz="0" w:space="0" w:color="auto"/>
                <w:right w:val="none" w:sz="0" w:space="0" w:color="auto"/>
              </w:divBdr>
            </w:div>
            <w:div w:id="520775798">
              <w:marLeft w:val="0"/>
              <w:marRight w:val="0"/>
              <w:marTop w:val="0"/>
              <w:marBottom w:val="0"/>
              <w:divBdr>
                <w:top w:val="none" w:sz="0" w:space="0" w:color="auto"/>
                <w:left w:val="none" w:sz="0" w:space="0" w:color="auto"/>
                <w:bottom w:val="none" w:sz="0" w:space="0" w:color="auto"/>
                <w:right w:val="none" w:sz="0" w:space="0" w:color="auto"/>
              </w:divBdr>
            </w:div>
            <w:div w:id="562521475">
              <w:marLeft w:val="0"/>
              <w:marRight w:val="0"/>
              <w:marTop w:val="0"/>
              <w:marBottom w:val="0"/>
              <w:divBdr>
                <w:top w:val="none" w:sz="0" w:space="0" w:color="auto"/>
                <w:left w:val="none" w:sz="0" w:space="0" w:color="auto"/>
                <w:bottom w:val="none" w:sz="0" w:space="0" w:color="auto"/>
                <w:right w:val="none" w:sz="0" w:space="0" w:color="auto"/>
              </w:divBdr>
            </w:div>
            <w:div w:id="638539503">
              <w:marLeft w:val="0"/>
              <w:marRight w:val="0"/>
              <w:marTop w:val="0"/>
              <w:marBottom w:val="0"/>
              <w:divBdr>
                <w:top w:val="none" w:sz="0" w:space="0" w:color="auto"/>
                <w:left w:val="none" w:sz="0" w:space="0" w:color="auto"/>
                <w:bottom w:val="none" w:sz="0" w:space="0" w:color="auto"/>
                <w:right w:val="none" w:sz="0" w:space="0" w:color="auto"/>
              </w:divBdr>
            </w:div>
            <w:div w:id="640305570">
              <w:marLeft w:val="0"/>
              <w:marRight w:val="0"/>
              <w:marTop w:val="0"/>
              <w:marBottom w:val="0"/>
              <w:divBdr>
                <w:top w:val="none" w:sz="0" w:space="0" w:color="auto"/>
                <w:left w:val="none" w:sz="0" w:space="0" w:color="auto"/>
                <w:bottom w:val="none" w:sz="0" w:space="0" w:color="auto"/>
                <w:right w:val="none" w:sz="0" w:space="0" w:color="auto"/>
              </w:divBdr>
            </w:div>
            <w:div w:id="1111432885">
              <w:marLeft w:val="0"/>
              <w:marRight w:val="0"/>
              <w:marTop w:val="0"/>
              <w:marBottom w:val="0"/>
              <w:divBdr>
                <w:top w:val="none" w:sz="0" w:space="0" w:color="auto"/>
                <w:left w:val="none" w:sz="0" w:space="0" w:color="auto"/>
                <w:bottom w:val="none" w:sz="0" w:space="0" w:color="auto"/>
                <w:right w:val="none" w:sz="0" w:space="0" w:color="auto"/>
              </w:divBdr>
            </w:div>
            <w:div w:id="1222207380">
              <w:marLeft w:val="0"/>
              <w:marRight w:val="0"/>
              <w:marTop w:val="0"/>
              <w:marBottom w:val="0"/>
              <w:divBdr>
                <w:top w:val="none" w:sz="0" w:space="0" w:color="auto"/>
                <w:left w:val="none" w:sz="0" w:space="0" w:color="auto"/>
                <w:bottom w:val="none" w:sz="0" w:space="0" w:color="auto"/>
                <w:right w:val="none" w:sz="0" w:space="0" w:color="auto"/>
              </w:divBdr>
            </w:div>
            <w:div w:id="1353529238">
              <w:marLeft w:val="0"/>
              <w:marRight w:val="0"/>
              <w:marTop w:val="0"/>
              <w:marBottom w:val="0"/>
              <w:divBdr>
                <w:top w:val="none" w:sz="0" w:space="0" w:color="auto"/>
                <w:left w:val="none" w:sz="0" w:space="0" w:color="auto"/>
                <w:bottom w:val="none" w:sz="0" w:space="0" w:color="auto"/>
                <w:right w:val="none" w:sz="0" w:space="0" w:color="auto"/>
              </w:divBdr>
            </w:div>
            <w:div w:id="1513766521">
              <w:marLeft w:val="0"/>
              <w:marRight w:val="0"/>
              <w:marTop w:val="0"/>
              <w:marBottom w:val="0"/>
              <w:divBdr>
                <w:top w:val="none" w:sz="0" w:space="0" w:color="auto"/>
                <w:left w:val="none" w:sz="0" w:space="0" w:color="auto"/>
                <w:bottom w:val="none" w:sz="0" w:space="0" w:color="auto"/>
                <w:right w:val="none" w:sz="0" w:space="0" w:color="auto"/>
              </w:divBdr>
            </w:div>
            <w:div w:id="1554191682">
              <w:marLeft w:val="0"/>
              <w:marRight w:val="0"/>
              <w:marTop w:val="0"/>
              <w:marBottom w:val="0"/>
              <w:divBdr>
                <w:top w:val="none" w:sz="0" w:space="0" w:color="auto"/>
                <w:left w:val="none" w:sz="0" w:space="0" w:color="auto"/>
                <w:bottom w:val="none" w:sz="0" w:space="0" w:color="auto"/>
                <w:right w:val="none" w:sz="0" w:space="0" w:color="auto"/>
              </w:divBdr>
            </w:div>
            <w:div w:id="1610355974">
              <w:marLeft w:val="0"/>
              <w:marRight w:val="0"/>
              <w:marTop w:val="0"/>
              <w:marBottom w:val="0"/>
              <w:divBdr>
                <w:top w:val="none" w:sz="0" w:space="0" w:color="auto"/>
                <w:left w:val="none" w:sz="0" w:space="0" w:color="auto"/>
                <w:bottom w:val="none" w:sz="0" w:space="0" w:color="auto"/>
                <w:right w:val="none" w:sz="0" w:space="0" w:color="auto"/>
              </w:divBdr>
            </w:div>
            <w:div w:id="1963657776">
              <w:marLeft w:val="0"/>
              <w:marRight w:val="0"/>
              <w:marTop w:val="0"/>
              <w:marBottom w:val="0"/>
              <w:divBdr>
                <w:top w:val="none" w:sz="0" w:space="0" w:color="auto"/>
                <w:left w:val="none" w:sz="0" w:space="0" w:color="auto"/>
                <w:bottom w:val="none" w:sz="0" w:space="0" w:color="auto"/>
                <w:right w:val="none" w:sz="0" w:space="0" w:color="auto"/>
              </w:divBdr>
            </w:div>
            <w:div w:id="2084257300">
              <w:marLeft w:val="0"/>
              <w:marRight w:val="0"/>
              <w:marTop w:val="0"/>
              <w:marBottom w:val="0"/>
              <w:divBdr>
                <w:top w:val="none" w:sz="0" w:space="0" w:color="auto"/>
                <w:left w:val="none" w:sz="0" w:space="0" w:color="auto"/>
                <w:bottom w:val="none" w:sz="0" w:space="0" w:color="auto"/>
                <w:right w:val="none" w:sz="0" w:space="0" w:color="auto"/>
              </w:divBdr>
            </w:div>
          </w:divsChild>
        </w:div>
        <w:div w:id="1271354633">
          <w:marLeft w:val="0"/>
          <w:marRight w:val="0"/>
          <w:marTop w:val="0"/>
          <w:marBottom w:val="0"/>
          <w:divBdr>
            <w:top w:val="none" w:sz="0" w:space="0" w:color="auto"/>
            <w:left w:val="none" w:sz="0" w:space="0" w:color="auto"/>
            <w:bottom w:val="none" w:sz="0" w:space="0" w:color="auto"/>
            <w:right w:val="none" w:sz="0" w:space="0" w:color="auto"/>
          </w:divBdr>
        </w:div>
        <w:div w:id="1298728432">
          <w:marLeft w:val="0"/>
          <w:marRight w:val="0"/>
          <w:marTop w:val="0"/>
          <w:marBottom w:val="0"/>
          <w:divBdr>
            <w:top w:val="none" w:sz="0" w:space="0" w:color="auto"/>
            <w:left w:val="none" w:sz="0" w:space="0" w:color="auto"/>
            <w:bottom w:val="none" w:sz="0" w:space="0" w:color="auto"/>
            <w:right w:val="none" w:sz="0" w:space="0" w:color="auto"/>
          </w:divBdr>
        </w:div>
        <w:div w:id="1352416377">
          <w:marLeft w:val="0"/>
          <w:marRight w:val="0"/>
          <w:marTop w:val="0"/>
          <w:marBottom w:val="0"/>
          <w:divBdr>
            <w:top w:val="none" w:sz="0" w:space="0" w:color="auto"/>
            <w:left w:val="none" w:sz="0" w:space="0" w:color="auto"/>
            <w:bottom w:val="none" w:sz="0" w:space="0" w:color="auto"/>
            <w:right w:val="none" w:sz="0" w:space="0" w:color="auto"/>
          </w:divBdr>
        </w:div>
        <w:div w:id="1603874423">
          <w:marLeft w:val="0"/>
          <w:marRight w:val="0"/>
          <w:marTop w:val="0"/>
          <w:marBottom w:val="0"/>
          <w:divBdr>
            <w:top w:val="none" w:sz="0" w:space="0" w:color="auto"/>
            <w:left w:val="none" w:sz="0" w:space="0" w:color="auto"/>
            <w:bottom w:val="none" w:sz="0" w:space="0" w:color="auto"/>
            <w:right w:val="none" w:sz="0" w:space="0" w:color="auto"/>
          </w:divBdr>
        </w:div>
        <w:div w:id="1630087311">
          <w:marLeft w:val="0"/>
          <w:marRight w:val="0"/>
          <w:marTop w:val="0"/>
          <w:marBottom w:val="0"/>
          <w:divBdr>
            <w:top w:val="none" w:sz="0" w:space="0" w:color="auto"/>
            <w:left w:val="none" w:sz="0" w:space="0" w:color="auto"/>
            <w:bottom w:val="none" w:sz="0" w:space="0" w:color="auto"/>
            <w:right w:val="none" w:sz="0" w:space="0" w:color="auto"/>
          </w:divBdr>
        </w:div>
        <w:div w:id="1635215146">
          <w:marLeft w:val="0"/>
          <w:marRight w:val="0"/>
          <w:marTop w:val="0"/>
          <w:marBottom w:val="0"/>
          <w:divBdr>
            <w:top w:val="none" w:sz="0" w:space="0" w:color="auto"/>
            <w:left w:val="none" w:sz="0" w:space="0" w:color="auto"/>
            <w:bottom w:val="none" w:sz="0" w:space="0" w:color="auto"/>
            <w:right w:val="none" w:sz="0" w:space="0" w:color="auto"/>
          </w:divBdr>
        </w:div>
        <w:div w:id="1754736158">
          <w:marLeft w:val="0"/>
          <w:marRight w:val="0"/>
          <w:marTop w:val="0"/>
          <w:marBottom w:val="0"/>
          <w:divBdr>
            <w:top w:val="none" w:sz="0" w:space="0" w:color="auto"/>
            <w:left w:val="none" w:sz="0" w:space="0" w:color="auto"/>
            <w:bottom w:val="none" w:sz="0" w:space="0" w:color="auto"/>
            <w:right w:val="none" w:sz="0" w:space="0" w:color="auto"/>
          </w:divBdr>
        </w:div>
        <w:div w:id="1788351234">
          <w:marLeft w:val="0"/>
          <w:marRight w:val="0"/>
          <w:marTop w:val="0"/>
          <w:marBottom w:val="0"/>
          <w:divBdr>
            <w:top w:val="none" w:sz="0" w:space="0" w:color="auto"/>
            <w:left w:val="none" w:sz="0" w:space="0" w:color="auto"/>
            <w:bottom w:val="none" w:sz="0" w:space="0" w:color="auto"/>
            <w:right w:val="none" w:sz="0" w:space="0" w:color="auto"/>
          </w:divBdr>
          <w:divsChild>
            <w:div w:id="184907076">
              <w:marLeft w:val="0"/>
              <w:marRight w:val="0"/>
              <w:marTop w:val="0"/>
              <w:marBottom w:val="0"/>
              <w:divBdr>
                <w:top w:val="none" w:sz="0" w:space="0" w:color="auto"/>
                <w:left w:val="none" w:sz="0" w:space="0" w:color="auto"/>
                <w:bottom w:val="none" w:sz="0" w:space="0" w:color="auto"/>
                <w:right w:val="none" w:sz="0" w:space="0" w:color="auto"/>
              </w:divBdr>
            </w:div>
            <w:div w:id="255285274">
              <w:marLeft w:val="0"/>
              <w:marRight w:val="0"/>
              <w:marTop w:val="0"/>
              <w:marBottom w:val="0"/>
              <w:divBdr>
                <w:top w:val="none" w:sz="0" w:space="0" w:color="auto"/>
                <w:left w:val="none" w:sz="0" w:space="0" w:color="auto"/>
                <w:bottom w:val="none" w:sz="0" w:space="0" w:color="auto"/>
                <w:right w:val="none" w:sz="0" w:space="0" w:color="auto"/>
              </w:divBdr>
            </w:div>
            <w:div w:id="433743801">
              <w:marLeft w:val="0"/>
              <w:marRight w:val="0"/>
              <w:marTop w:val="0"/>
              <w:marBottom w:val="0"/>
              <w:divBdr>
                <w:top w:val="none" w:sz="0" w:space="0" w:color="auto"/>
                <w:left w:val="none" w:sz="0" w:space="0" w:color="auto"/>
                <w:bottom w:val="none" w:sz="0" w:space="0" w:color="auto"/>
                <w:right w:val="none" w:sz="0" w:space="0" w:color="auto"/>
              </w:divBdr>
            </w:div>
            <w:div w:id="501631319">
              <w:marLeft w:val="0"/>
              <w:marRight w:val="0"/>
              <w:marTop w:val="0"/>
              <w:marBottom w:val="0"/>
              <w:divBdr>
                <w:top w:val="none" w:sz="0" w:space="0" w:color="auto"/>
                <w:left w:val="none" w:sz="0" w:space="0" w:color="auto"/>
                <w:bottom w:val="none" w:sz="0" w:space="0" w:color="auto"/>
                <w:right w:val="none" w:sz="0" w:space="0" w:color="auto"/>
              </w:divBdr>
            </w:div>
            <w:div w:id="547686516">
              <w:marLeft w:val="0"/>
              <w:marRight w:val="0"/>
              <w:marTop w:val="0"/>
              <w:marBottom w:val="0"/>
              <w:divBdr>
                <w:top w:val="none" w:sz="0" w:space="0" w:color="auto"/>
                <w:left w:val="none" w:sz="0" w:space="0" w:color="auto"/>
                <w:bottom w:val="none" w:sz="0" w:space="0" w:color="auto"/>
                <w:right w:val="none" w:sz="0" w:space="0" w:color="auto"/>
              </w:divBdr>
            </w:div>
            <w:div w:id="912591308">
              <w:marLeft w:val="0"/>
              <w:marRight w:val="0"/>
              <w:marTop w:val="0"/>
              <w:marBottom w:val="0"/>
              <w:divBdr>
                <w:top w:val="none" w:sz="0" w:space="0" w:color="auto"/>
                <w:left w:val="none" w:sz="0" w:space="0" w:color="auto"/>
                <w:bottom w:val="none" w:sz="0" w:space="0" w:color="auto"/>
                <w:right w:val="none" w:sz="0" w:space="0" w:color="auto"/>
              </w:divBdr>
            </w:div>
            <w:div w:id="1091464170">
              <w:marLeft w:val="0"/>
              <w:marRight w:val="0"/>
              <w:marTop w:val="0"/>
              <w:marBottom w:val="0"/>
              <w:divBdr>
                <w:top w:val="none" w:sz="0" w:space="0" w:color="auto"/>
                <w:left w:val="none" w:sz="0" w:space="0" w:color="auto"/>
                <w:bottom w:val="none" w:sz="0" w:space="0" w:color="auto"/>
                <w:right w:val="none" w:sz="0" w:space="0" w:color="auto"/>
              </w:divBdr>
            </w:div>
            <w:div w:id="1179197332">
              <w:marLeft w:val="0"/>
              <w:marRight w:val="0"/>
              <w:marTop w:val="0"/>
              <w:marBottom w:val="0"/>
              <w:divBdr>
                <w:top w:val="none" w:sz="0" w:space="0" w:color="auto"/>
                <w:left w:val="none" w:sz="0" w:space="0" w:color="auto"/>
                <w:bottom w:val="none" w:sz="0" w:space="0" w:color="auto"/>
                <w:right w:val="none" w:sz="0" w:space="0" w:color="auto"/>
              </w:divBdr>
            </w:div>
            <w:div w:id="1206941158">
              <w:marLeft w:val="0"/>
              <w:marRight w:val="0"/>
              <w:marTop w:val="0"/>
              <w:marBottom w:val="0"/>
              <w:divBdr>
                <w:top w:val="none" w:sz="0" w:space="0" w:color="auto"/>
                <w:left w:val="none" w:sz="0" w:space="0" w:color="auto"/>
                <w:bottom w:val="none" w:sz="0" w:space="0" w:color="auto"/>
                <w:right w:val="none" w:sz="0" w:space="0" w:color="auto"/>
              </w:divBdr>
            </w:div>
            <w:div w:id="1253390265">
              <w:marLeft w:val="0"/>
              <w:marRight w:val="0"/>
              <w:marTop w:val="0"/>
              <w:marBottom w:val="0"/>
              <w:divBdr>
                <w:top w:val="none" w:sz="0" w:space="0" w:color="auto"/>
                <w:left w:val="none" w:sz="0" w:space="0" w:color="auto"/>
                <w:bottom w:val="none" w:sz="0" w:space="0" w:color="auto"/>
                <w:right w:val="none" w:sz="0" w:space="0" w:color="auto"/>
              </w:divBdr>
            </w:div>
            <w:div w:id="1357345038">
              <w:marLeft w:val="0"/>
              <w:marRight w:val="0"/>
              <w:marTop w:val="0"/>
              <w:marBottom w:val="0"/>
              <w:divBdr>
                <w:top w:val="none" w:sz="0" w:space="0" w:color="auto"/>
                <w:left w:val="none" w:sz="0" w:space="0" w:color="auto"/>
                <w:bottom w:val="none" w:sz="0" w:space="0" w:color="auto"/>
                <w:right w:val="none" w:sz="0" w:space="0" w:color="auto"/>
              </w:divBdr>
            </w:div>
            <w:div w:id="1466660032">
              <w:marLeft w:val="0"/>
              <w:marRight w:val="0"/>
              <w:marTop w:val="0"/>
              <w:marBottom w:val="0"/>
              <w:divBdr>
                <w:top w:val="none" w:sz="0" w:space="0" w:color="auto"/>
                <w:left w:val="none" w:sz="0" w:space="0" w:color="auto"/>
                <w:bottom w:val="none" w:sz="0" w:space="0" w:color="auto"/>
                <w:right w:val="none" w:sz="0" w:space="0" w:color="auto"/>
              </w:divBdr>
            </w:div>
            <w:div w:id="1487937205">
              <w:marLeft w:val="0"/>
              <w:marRight w:val="0"/>
              <w:marTop w:val="0"/>
              <w:marBottom w:val="0"/>
              <w:divBdr>
                <w:top w:val="none" w:sz="0" w:space="0" w:color="auto"/>
                <w:left w:val="none" w:sz="0" w:space="0" w:color="auto"/>
                <w:bottom w:val="none" w:sz="0" w:space="0" w:color="auto"/>
                <w:right w:val="none" w:sz="0" w:space="0" w:color="auto"/>
              </w:divBdr>
            </w:div>
            <w:div w:id="1495343030">
              <w:marLeft w:val="0"/>
              <w:marRight w:val="0"/>
              <w:marTop w:val="0"/>
              <w:marBottom w:val="0"/>
              <w:divBdr>
                <w:top w:val="none" w:sz="0" w:space="0" w:color="auto"/>
                <w:left w:val="none" w:sz="0" w:space="0" w:color="auto"/>
                <w:bottom w:val="none" w:sz="0" w:space="0" w:color="auto"/>
                <w:right w:val="none" w:sz="0" w:space="0" w:color="auto"/>
              </w:divBdr>
            </w:div>
            <w:div w:id="1541548090">
              <w:marLeft w:val="0"/>
              <w:marRight w:val="0"/>
              <w:marTop w:val="0"/>
              <w:marBottom w:val="0"/>
              <w:divBdr>
                <w:top w:val="none" w:sz="0" w:space="0" w:color="auto"/>
                <w:left w:val="none" w:sz="0" w:space="0" w:color="auto"/>
                <w:bottom w:val="none" w:sz="0" w:space="0" w:color="auto"/>
                <w:right w:val="none" w:sz="0" w:space="0" w:color="auto"/>
              </w:divBdr>
            </w:div>
            <w:div w:id="1671983083">
              <w:marLeft w:val="0"/>
              <w:marRight w:val="0"/>
              <w:marTop w:val="0"/>
              <w:marBottom w:val="0"/>
              <w:divBdr>
                <w:top w:val="none" w:sz="0" w:space="0" w:color="auto"/>
                <w:left w:val="none" w:sz="0" w:space="0" w:color="auto"/>
                <w:bottom w:val="none" w:sz="0" w:space="0" w:color="auto"/>
                <w:right w:val="none" w:sz="0" w:space="0" w:color="auto"/>
              </w:divBdr>
            </w:div>
            <w:div w:id="2087023716">
              <w:marLeft w:val="0"/>
              <w:marRight w:val="0"/>
              <w:marTop w:val="0"/>
              <w:marBottom w:val="0"/>
              <w:divBdr>
                <w:top w:val="none" w:sz="0" w:space="0" w:color="auto"/>
                <w:left w:val="none" w:sz="0" w:space="0" w:color="auto"/>
                <w:bottom w:val="none" w:sz="0" w:space="0" w:color="auto"/>
                <w:right w:val="none" w:sz="0" w:space="0" w:color="auto"/>
              </w:divBdr>
            </w:div>
          </w:divsChild>
        </w:div>
        <w:div w:id="1951475843">
          <w:marLeft w:val="0"/>
          <w:marRight w:val="0"/>
          <w:marTop w:val="0"/>
          <w:marBottom w:val="0"/>
          <w:divBdr>
            <w:top w:val="none" w:sz="0" w:space="0" w:color="auto"/>
            <w:left w:val="none" w:sz="0" w:space="0" w:color="auto"/>
            <w:bottom w:val="none" w:sz="0" w:space="0" w:color="auto"/>
            <w:right w:val="none" w:sz="0" w:space="0" w:color="auto"/>
          </w:divBdr>
          <w:divsChild>
            <w:div w:id="573471781">
              <w:marLeft w:val="0"/>
              <w:marRight w:val="0"/>
              <w:marTop w:val="0"/>
              <w:marBottom w:val="0"/>
              <w:divBdr>
                <w:top w:val="none" w:sz="0" w:space="0" w:color="auto"/>
                <w:left w:val="none" w:sz="0" w:space="0" w:color="auto"/>
                <w:bottom w:val="none" w:sz="0" w:space="0" w:color="auto"/>
                <w:right w:val="none" w:sz="0" w:space="0" w:color="auto"/>
              </w:divBdr>
            </w:div>
            <w:div w:id="1022169111">
              <w:marLeft w:val="0"/>
              <w:marRight w:val="0"/>
              <w:marTop w:val="0"/>
              <w:marBottom w:val="0"/>
              <w:divBdr>
                <w:top w:val="none" w:sz="0" w:space="0" w:color="auto"/>
                <w:left w:val="none" w:sz="0" w:space="0" w:color="auto"/>
                <w:bottom w:val="none" w:sz="0" w:space="0" w:color="auto"/>
                <w:right w:val="none" w:sz="0" w:space="0" w:color="auto"/>
              </w:divBdr>
            </w:div>
            <w:div w:id="1271668156">
              <w:marLeft w:val="0"/>
              <w:marRight w:val="0"/>
              <w:marTop w:val="0"/>
              <w:marBottom w:val="0"/>
              <w:divBdr>
                <w:top w:val="none" w:sz="0" w:space="0" w:color="auto"/>
                <w:left w:val="none" w:sz="0" w:space="0" w:color="auto"/>
                <w:bottom w:val="none" w:sz="0" w:space="0" w:color="auto"/>
                <w:right w:val="none" w:sz="0" w:space="0" w:color="auto"/>
              </w:divBdr>
            </w:div>
            <w:div w:id="1296065953">
              <w:marLeft w:val="0"/>
              <w:marRight w:val="0"/>
              <w:marTop w:val="0"/>
              <w:marBottom w:val="0"/>
              <w:divBdr>
                <w:top w:val="none" w:sz="0" w:space="0" w:color="auto"/>
                <w:left w:val="none" w:sz="0" w:space="0" w:color="auto"/>
                <w:bottom w:val="none" w:sz="0" w:space="0" w:color="auto"/>
                <w:right w:val="none" w:sz="0" w:space="0" w:color="auto"/>
              </w:divBdr>
            </w:div>
            <w:div w:id="1352955443">
              <w:marLeft w:val="0"/>
              <w:marRight w:val="0"/>
              <w:marTop w:val="0"/>
              <w:marBottom w:val="0"/>
              <w:divBdr>
                <w:top w:val="none" w:sz="0" w:space="0" w:color="auto"/>
                <w:left w:val="none" w:sz="0" w:space="0" w:color="auto"/>
                <w:bottom w:val="none" w:sz="0" w:space="0" w:color="auto"/>
                <w:right w:val="none" w:sz="0" w:space="0" w:color="auto"/>
              </w:divBdr>
            </w:div>
            <w:div w:id="1470702961">
              <w:marLeft w:val="0"/>
              <w:marRight w:val="0"/>
              <w:marTop w:val="0"/>
              <w:marBottom w:val="0"/>
              <w:divBdr>
                <w:top w:val="none" w:sz="0" w:space="0" w:color="auto"/>
                <w:left w:val="none" w:sz="0" w:space="0" w:color="auto"/>
                <w:bottom w:val="none" w:sz="0" w:space="0" w:color="auto"/>
                <w:right w:val="none" w:sz="0" w:space="0" w:color="auto"/>
              </w:divBdr>
            </w:div>
          </w:divsChild>
        </w:div>
        <w:div w:id="2036467103">
          <w:marLeft w:val="0"/>
          <w:marRight w:val="0"/>
          <w:marTop w:val="0"/>
          <w:marBottom w:val="0"/>
          <w:divBdr>
            <w:top w:val="none" w:sz="0" w:space="0" w:color="auto"/>
            <w:left w:val="none" w:sz="0" w:space="0" w:color="auto"/>
            <w:bottom w:val="none" w:sz="0" w:space="0" w:color="auto"/>
            <w:right w:val="none" w:sz="0" w:space="0" w:color="auto"/>
          </w:divBdr>
        </w:div>
        <w:div w:id="2072927328">
          <w:marLeft w:val="0"/>
          <w:marRight w:val="0"/>
          <w:marTop w:val="0"/>
          <w:marBottom w:val="0"/>
          <w:divBdr>
            <w:top w:val="none" w:sz="0" w:space="0" w:color="auto"/>
            <w:left w:val="none" w:sz="0" w:space="0" w:color="auto"/>
            <w:bottom w:val="none" w:sz="0" w:space="0" w:color="auto"/>
            <w:right w:val="none" w:sz="0" w:space="0" w:color="auto"/>
          </w:divBdr>
        </w:div>
        <w:div w:id="2111463416">
          <w:marLeft w:val="0"/>
          <w:marRight w:val="0"/>
          <w:marTop w:val="0"/>
          <w:marBottom w:val="0"/>
          <w:divBdr>
            <w:top w:val="none" w:sz="0" w:space="0" w:color="auto"/>
            <w:left w:val="none" w:sz="0" w:space="0" w:color="auto"/>
            <w:bottom w:val="none" w:sz="0" w:space="0" w:color="auto"/>
            <w:right w:val="none" w:sz="0" w:space="0" w:color="auto"/>
          </w:divBdr>
        </w:div>
        <w:div w:id="2132699699">
          <w:marLeft w:val="0"/>
          <w:marRight w:val="0"/>
          <w:marTop w:val="0"/>
          <w:marBottom w:val="0"/>
          <w:divBdr>
            <w:top w:val="none" w:sz="0" w:space="0" w:color="auto"/>
            <w:left w:val="none" w:sz="0" w:space="0" w:color="auto"/>
            <w:bottom w:val="none" w:sz="0" w:space="0" w:color="auto"/>
            <w:right w:val="none" w:sz="0" w:space="0" w:color="auto"/>
          </w:divBdr>
        </w:div>
        <w:div w:id="2139181150">
          <w:marLeft w:val="0"/>
          <w:marRight w:val="0"/>
          <w:marTop w:val="0"/>
          <w:marBottom w:val="0"/>
          <w:divBdr>
            <w:top w:val="none" w:sz="0" w:space="0" w:color="auto"/>
            <w:left w:val="none" w:sz="0" w:space="0" w:color="auto"/>
            <w:bottom w:val="none" w:sz="0" w:space="0" w:color="auto"/>
            <w:right w:val="none" w:sz="0" w:space="0" w:color="auto"/>
          </w:divBdr>
        </w:div>
        <w:div w:id="2143376013">
          <w:marLeft w:val="0"/>
          <w:marRight w:val="0"/>
          <w:marTop w:val="0"/>
          <w:marBottom w:val="0"/>
          <w:divBdr>
            <w:top w:val="none" w:sz="0" w:space="0" w:color="auto"/>
            <w:left w:val="none" w:sz="0" w:space="0" w:color="auto"/>
            <w:bottom w:val="none" w:sz="0" w:space="0" w:color="auto"/>
            <w:right w:val="none" w:sz="0" w:space="0" w:color="auto"/>
          </w:divBdr>
        </w:div>
      </w:divsChild>
    </w:div>
    <w:div w:id="1859194049">
      <w:bodyDiv w:val="1"/>
      <w:marLeft w:val="0"/>
      <w:marRight w:val="0"/>
      <w:marTop w:val="0"/>
      <w:marBottom w:val="0"/>
      <w:divBdr>
        <w:top w:val="none" w:sz="0" w:space="0" w:color="auto"/>
        <w:left w:val="none" w:sz="0" w:space="0" w:color="auto"/>
        <w:bottom w:val="none" w:sz="0" w:space="0" w:color="auto"/>
        <w:right w:val="none" w:sz="0" w:space="0" w:color="auto"/>
      </w:divBdr>
    </w:div>
    <w:div w:id="19464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svg"/><Relationship Id="rId18" Type="http://schemas.openxmlformats.org/officeDocument/2006/relationships/header" Target="header1.xml"/><Relationship Id="rId26" Type="http://schemas.microsoft.com/office/2019/05/relationships/documenttasks" Target="documenttasks/documenttasks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7" Type="http://schemas.openxmlformats.org/officeDocument/2006/relationships/hyperlink" Target="https://www.australianapprenticeships.gov.au/sites/default/files/2023-03/trade-support-loans-priority-list-march-202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ewr.gov.au/skills-support-individuals/resources/trade-support-loans-tsl-qualifications-lis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ewr.gov.au/skills-support-individuals/trade-support-loans" TargetMode="External"/><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webSettings" Target="webSettings.xml"/><Relationship Id="rId14" Type="http://schemas.openxmlformats.org/officeDocument/2006/relationships/hyperlink" Target="https://www.dewr.gov.au/australian-apprenticeships/resources/australian-apprenticeships-priority-list-factsheet"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abs.gov.au/statistics/labour/jobs/job-vacancies-australia/latest-release" TargetMode="External"/><Relationship Id="rId18" Type="http://schemas.openxmlformats.org/officeDocument/2006/relationships/hyperlink" Target="https://journals.sagepub.com/doi/full/10.1177/10353046221096270" TargetMode="External"/><Relationship Id="rId26" Type="http://schemas.openxmlformats.org/officeDocument/2006/relationships/hyperlink" Target="https://7news.com.au/lifestyle/a-day-after-trying-to-take-her-own-life-melbourne-tradie-bardie-went-back-to-work-she-didnt-say-a-word-c-12411970" TargetMode="External"/><Relationship Id="rId39" Type="http://schemas.openxmlformats.org/officeDocument/2006/relationships/hyperlink" Target="https://doi.org/10.1177/0143831X17745979" TargetMode="External"/><Relationship Id="rId21" Type="http://schemas.openxmlformats.org/officeDocument/2006/relationships/hyperlink" Target="https://journals.sagepub.com/doi/full/10.1177/10353046221096270" TargetMode="External"/><Relationship Id="rId34" Type="http://schemas.openxmlformats.org/officeDocument/2006/relationships/hyperlink" Target="https://www.finance.gov.au/government/procurement/statistics-australian-government-procurement-contracts-" TargetMode="External"/><Relationship Id="rId42" Type="http://schemas.openxmlformats.org/officeDocument/2006/relationships/hyperlink" Target="https://www.gov.uk/government/publications/procurement-policy-note-0916-procuring-for-growth-balanced-scorecard" TargetMode="External"/><Relationship Id="rId47" Type="http://schemas.openxmlformats.org/officeDocument/2006/relationships/hyperlink" Target="https://www.wgea.gov.au/sites/default/files/documents/WGEA-MYOB.pdf" TargetMode="External"/><Relationship Id="rId50" Type="http://schemas.openxmlformats.org/officeDocument/2006/relationships/hyperlink" Target="https://www.pmc.gov.au/news/womens-economic-equality-taskforce-final-report-government" TargetMode="External"/><Relationship Id="rId55" Type="http://schemas.openxmlformats.org/officeDocument/2006/relationships/hyperlink" Target="https://www.infrastructureaustralia.gov.au/sites/default/files/2022-12/2022_IA_Market-Capacity-Report.pdf" TargetMode="External"/><Relationship Id="rId63" Type="http://schemas.openxmlformats.org/officeDocument/2006/relationships/hyperlink" Target="https://humanrights.gov.au/our-work/sex-discrimination/publications/everyones-business-fourth-national-survey-sexual" TargetMode="External"/><Relationship Id="rId68" Type="http://schemas.openxmlformats.org/officeDocument/2006/relationships/hyperlink" Target="https://cedakenticomedia.blob.core.windows.net/cedamediacontainer/kentico/media/attachments/occupational-gender-segregation-ceda_1.pdf" TargetMode="External"/><Relationship Id="rId7" Type="http://schemas.openxmlformats.org/officeDocument/2006/relationships/hyperlink" Target="https://www.ncver.edu.au/research-and-statistics/publications/all-publications/apprentices-and-trainees-2022-june-quarter" TargetMode="External"/><Relationship Id="rId71" Type="http://schemas.openxmlformats.org/officeDocument/2006/relationships/hyperlink" Target="https://www.apprenticeships.gov.au/support-and-resources/financial-support-employers" TargetMode="External"/><Relationship Id="rId2" Type="http://schemas.openxmlformats.org/officeDocument/2006/relationships/hyperlink" Target="../Jobs%20and%20Skills%20Australia,%20Employment%20Projections.%20https:/www.jobsandskills.gov.au/data/employment-projections" TargetMode="External"/><Relationship Id="rId16" Type="http://schemas.openxmlformats.org/officeDocument/2006/relationships/hyperlink" Target="https://journals.sagepub.com/doi/full/10.1177/10353046221096270" TargetMode="External"/><Relationship Id="rId29" Type="http://schemas.openxmlformats.org/officeDocument/2006/relationships/hyperlink" Target="https://www.pmc.gov.au/news/womens-economic-equality-taskforce-final-report-government" TargetMode="External"/><Relationship Id="rId11" Type="http://schemas.openxmlformats.org/officeDocument/2006/relationships/hyperlink" Target="https://www.jobsandskills.gov.au/data/recruitment-experiences-and-outlook-survey" TargetMode="External"/><Relationship Id="rId24" Type="http://schemas.openxmlformats.org/officeDocument/2006/relationships/hyperlink" Target="https://journals.sagepub.com/doi/full/10.1177/10353046221096270" TargetMode="External"/><Relationship Id="rId32" Type="http://schemas.openxmlformats.org/officeDocument/2006/relationships/hyperlink" Target="https://www.jobsandskills.gov.au/sites/default/files/2023-10/2023%20SPL%20Key%20Findings%20Report.pdf" TargetMode="External"/><Relationship Id="rId37" Type="http://schemas.openxmlformats.org/officeDocument/2006/relationships/hyperlink" Target="https://www.epw.qld.gov.au/about/initiatives/women-in-construction" TargetMode="External"/><Relationship Id="rId40" Type="http://schemas.openxmlformats.org/officeDocument/2006/relationships/hyperlink" Target="https://doi.org/10.1177/0143831X17745979" TargetMode="External"/><Relationship Id="rId45" Type="http://schemas.openxmlformats.org/officeDocument/2006/relationships/hyperlink" Target="https://www.dewr.gov.au/australian-apprenticeships/resources/australian-apprenticeships-incentive-system-factsheet" TargetMode="External"/><Relationship Id="rId53" Type="http://schemas.openxmlformats.org/officeDocument/2006/relationships/hyperlink" Target="https://www.jobsandskills.gov.au/data/recruitment-experiences-and-outlook-survey" TargetMode="External"/><Relationship Id="rId58" Type="http://schemas.openxmlformats.org/officeDocument/2006/relationships/hyperlink" Target="https://www.wgea.gov.au/sites/default/files/documents/PMC-WGE-Procurement-Principles.pdf" TargetMode="External"/><Relationship Id="rId66" Type="http://schemas.openxmlformats.org/officeDocument/2006/relationships/hyperlink" Target="https://www.apprenticeships.gov.au/support-and-resources/support-priority-cohorts" TargetMode="External"/><Relationship Id="rId5" Type="http://schemas.openxmlformats.org/officeDocument/2006/relationships/hyperlink" Target="https://www.jobsandskills.gov.au/data/skills-priority-list" TargetMode="External"/><Relationship Id="rId15" Type="http://schemas.openxmlformats.org/officeDocument/2006/relationships/hyperlink" Target="https://online.rmit.edu.au/blog/digital-skills-gap-costing-australian-businesses-9-million-day" TargetMode="External"/><Relationship Id="rId23" Type="http://schemas.openxmlformats.org/officeDocument/2006/relationships/hyperlink" Target="https://journals.sagepub.com/doi/full/10.1177/10353046221096270" TargetMode="External"/><Relationship Id="rId28" Type="http://schemas.openxmlformats.org/officeDocument/2006/relationships/hyperlink" Target="https://www.wgea.gov.au/sites/default/files/documents/WGEA-St-Barbara.pdf" TargetMode="External"/><Relationship Id="rId36" Type="http://schemas.openxmlformats.org/officeDocument/2006/relationships/hyperlink" Target="https://www.nsw.gov.au/education-and-training/vocational/vet-programs/infrastructure-skills" TargetMode="External"/><Relationship Id="rId49" Type="http://schemas.openxmlformats.org/officeDocument/2006/relationships/hyperlink" Target="https://www.dewr.gov.au/australian-skills-guarantee/resources/australian-skills-guarantee-discussion-paper" TargetMode="External"/><Relationship Id="rId57" Type="http://schemas.openxmlformats.org/officeDocument/2006/relationships/hyperlink" Target="https://www.legislation.gov.au/Details/C2023C00009" TargetMode="External"/><Relationship Id="rId61" Type="http://schemas.openxmlformats.org/officeDocument/2006/relationships/hyperlink" Target="https://www.jobsandskills.gov.au/data/vet-national-data-asset-vnda" TargetMode="External"/><Relationship Id="rId10" Type="http://schemas.openxmlformats.org/officeDocument/2006/relationships/hyperlink" Target="https://www.pmc.gov.au/news/womens-economic-equality-taskforce-final-report-government" TargetMode="External"/><Relationship Id="rId19" Type="http://schemas.openxmlformats.org/officeDocument/2006/relationships/hyperlink" Target="https://journals.sagepub.com/doi/full/10.1177/10353046221096270" TargetMode="External"/><Relationship Id="rId31" Type="http://schemas.openxmlformats.org/officeDocument/2006/relationships/hyperlink" Target="https://www.rba.gov.au/publications/fsr/2022/oct/box-c-financial-stress-and-contagion-risks-in-the-residential-construction-industry.html" TargetMode="External"/><Relationship Id="rId44" Type="http://schemas.openxmlformats.org/officeDocument/2006/relationships/hyperlink" Target="https://www.procurement.govt.nz/broader-outcomes/construction-skills-and-training/" TargetMode="External"/><Relationship Id="rId52" Type="http://schemas.openxmlformats.org/officeDocument/2006/relationships/hyperlink" Target="https://www.deloitte.com/au/en/services/economics/perspectives/breaking-norm-unleashing-australia-economic-potential.html" TargetMode="External"/><Relationship Id="rId60" Type="http://schemas.openxmlformats.org/officeDocument/2006/relationships/hyperlink" Target="https://www.fairwork.gov.au/pay-and-wages/minimum-wages/apprentice-and-trainee-pay-rates" TargetMode="External"/><Relationship Id="rId65" Type="http://schemas.openxmlformats.org/officeDocument/2006/relationships/hyperlink" Target="https://www.wgea.gov.au/sites/default/files/documents/BCEC_WGEA_Gender_Pay_Equity_Insights_2016_Report.pdf" TargetMode="External"/><Relationship Id="rId73" Type="http://schemas.openxmlformats.org/officeDocument/2006/relationships/hyperlink" Target="https://www.apprenticeships.gov.au/support-and-resources/support-priority-cohorts" TargetMode="External"/><Relationship Id="rId4" Type="http://schemas.openxmlformats.org/officeDocument/2006/relationships/hyperlink" Target="https://www.jobsandskills.gov.au/sites/default/files/2022-03/ABS%20Paper%20-%20Digital%20Skills.pdf" TargetMode="External"/><Relationship Id="rId9" Type="http://schemas.openxmlformats.org/officeDocument/2006/relationships/hyperlink" Target="https://www.jobsandskills.gov.au/news/gender-inequality-impacting-fill-rates" TargetMode="External"/><Relationship Id="rId14" Type="http://schemas.openxmlformats.org/officeDocument/2006/relationships/hyperlink" Target="https://cybercx.com.au/resource/cyber-skills-report-2022/" TargetMode="External"/><Relationship Id="rId22" Type="http://schemas.openxmlformats.org/officeDocument/2006/relationships/hyperlink" Target="https://journals.sagepub.com/doi/full/10.1177/10353046221096270" TargetMode="External"/><Relationship Id="rId27" Type="http://schemas.openxmlformats.org/officeDocument/2006/relationships/hyperlink" Target="https://www.ncver.edu.au/research-and-statistics/publications/all-publications/total-vet-students-and-courses-2022" TargetMode="External"/><Relationship Id="rId30" Type="http://schemas.openxmlformats.org/officeDocument/2006/relationships/hyperlink" Target="https://www.jobsandskills.gov.au/data/skills-priority-list" TargetMode="External"/><Relationship Id="rId35" Type="http://schemas.openxmlformats.org/officeDocument/2006/relationships/hyperlink" Target="https://localjobsfirst.vic.gov.au/__data/assets/pdf_file/0040/189859/Local-Jobs-First-Annual-Report-to-Parliament-2021-2022-PDF-22-mb.pdf" TargetMode="External"/><Relationship Id="rId43" Type="http://schemas.openxmlformats.org/officeDocument/2006/relationships/hyperlink" Target="https://www.canada.ca/en/services/jobs/training/support-skilled-trades-apprentices/contracts.html" TargetMode="External"/><Relationship Id="rId48" Type="http://schemas.openxmlformats.org/officeDocument/2006/relationships/hyperlink" Target="https://sharedservicescentre.sharepoint.com/sites/DEWR-SkillsSupplyPolicy/Shared%20Documents/Australian%20Skills%20Guarantee/Budget-Costings-PBS-PAES/2024-2025%20Budget/Impact%20Analysis/Jobs%20and%20Skills%20Australia,%20Employment%20Projections.%20https:/www.jobsandskills.gov.au/data/employment-projections" TargetMode="External"/><Relationship Id="rId56" Type="http://schemas.openxmlformats.org/officeDocument/2006/relationships/hyperlink" Target="https://library.fairwork.gov.au/viewer/?krn=K600434" TargetMode="External"/><Relationship Id="rId64" Type="http://schemas.openxmlformats.org/officeDocument/2006/relationships/hyperlink" Target="https://www.pmc.gov.au/publications/wgea-review-report/wgea-review-recommendations" TargetMode="External"/><Relationship Id="rId69" Type="http://schemas.openxmlformats.org/officeDocument/2006/relationships/hyperlink" Target="https://www.abs.gov.au/statistics/labour/employment-and-unemployment/labour-force-australia/may-2023" TargetMode="External"/><Relationship Id="rId8" Type="http://schemas.openxmlformats.org/officeDocument/2006/relationships/hyperlink" Target="https://www.pmc.gov.au/resources/national-strategy-achieve-gender-equality-discussion-paper/current-state/stereotypes" TargetMode="External"/><Relationship Id="rId51" Type="http://schemas.openxmlformats.org/officeDocument/2006/relationships/hyperlink" Target="https://www.deloitte.com/au/en/services/economics/perspectives/breaking-norm-unleashing-australia-economic-potential.html" TargetMode="External"/><Relationship Id="rId72" Type="http://schemas.openxmlformats.org/officeDocument/2006/relationships/hyperlink" Target="https://www.dewr.gov.au/australian-apprenticeships/resources/australian-apprenticeships-priority-list-factsheet" TargetMode="External"/><Relationship Id="rId3" Type="http://schemas.openxmlformats.org/officeDocument/2006/relationships/hyperlink" Target="https://www.jobsandskills.gov.au/data/skills-priority-list" TargetMode="External"/><Relationship Id="rId12" Type="http://schemas.openxmlformats.org/officeDocument/2006/relationships/hyperlink" Target="http://www.abs.gov.au/statistics/labour/jobs/job-vacancies-australia/latest-release" TargetMode="External"/><Relationship Id="rId17" Type="http://schemas.openxmlformats.org/officeDocument/2006/relationships/hyperlink" Target="https://journals.sagepub.com/doi/full/10.1177/10353046221096270" TargetMode="External"/><Relationship Id="rId25" Type="http://schemas.openxmlformats.org/officeDocument/2006/relationships/hyperlink" Target="https://humanrights.gov.au/our-work/sex-discrimination/publications/everyones-business-fourth-national-survey-sexual" TargetMode="External"/><Relationship Id="rId33" Type="http://schemas.openxmlformats.org/officeDocument/2006/relationships/hyperlink" Target="https://www.finance.gov.au/government/procurement/statistics-australian-government-procurement-contracts-" TargetMode="External"/><Relationship Id="rId38" Type="http://schemas.openxmlformats.org/officeDocument/2006/relationships/hyperlink" Target="https://nawic.com.au/NAWIC/Chapters/QLD/QLD_11percentStrategy.aspx" TargetMode="External"/><Relationship Id="rId46" Type="http://schemas.openxmlformats.org/officeDocument/2006/relationships/hyperlink" Target="https://www.wgea.gov.au/sites/default/files/documents/Aurecon_elevating_women_in_STEM.pdf" TargetMode="External"/><Relationship Id="rId59" Type="http://schemas.openxmlformats.org/officeDocument/2006/relationships/hyperlink" Target="https://www.anglicare.asn.au/publications/2023-rental-affordability-snapshot/" TargetMode="External"/><Relationship Id="rId67" Type="http://schemas.openxmlformats.org/officeDocument/2006/relationships/hyperlink" Target="https://www.dewr.gov.au/australian-skills-guarantee/resources/australian-skills-guarantee-consultation-summary" TargetMode="External"/><Relationship Id="rId20" Type="http://schemas.openxmlformats.org/officeDocument/2006/relationships/hyperlink" Target="https://journals.sagepub.com/doi/full/10.1177/10353046221096270" TargetMode="External"/><Relationship Id="rId41" Type="http://schemas.openxmlformats.org/officeDocument/2006/relationships/hyperlink" Target="https://www.gov.uk/government/publications/procurement-policy-note-0620-taking-account-of-social-value-in-the-award-of-central-government-contracts" TargetMode="External"/><Relationship Id="rId54" Type="http://schemas.openxmlformats.org/officeDocument/2006/relationships/hyperlink" Target="https://www.abs.gov.au/statistics/labour/employment-and-unemployment/labour-force-australia/may-2023" TargetMode="External"/><Relationship Id="rId62" Type="http://schemas.openxmlformats.org/officeDocument/2006/relationships/hyperlink" Target="https://www.apprenticeships.gov.au/support-and-resources/financial-support-apprentices" TargetMode="External"/><Relationship Id="rId70" Type="http://schemas.openxmlformats.org/officeDocument/2006/relationships/hyperlink" Target="https://www.apprenticeships.gov.au/who-to-contact/search-for-an-australian-apprenticeship-support-network-provider" TargetMode="External"/><Relationship Id="rId1" Type="http://schemas.openxmlformats.org/officeDocument/2006/relationships/hyperlink" Target="https://www.jobsandskills.gov.au/data/skills-priority-list" TargetMode="External"/><Relationship Id="rId6" Type="http://schemas.openxmlformats.org/officeDocument/2006/relationships/hyperlink" Target="https://www.jobsandskills.gov.au/data/skills-priority-list" TargetMode="External"/></Relationships>
</file>

<file path=word/documenttasks/documenttasks1.xml><?xml version="1.0" encoding="utf-8"?>
<t:Tasks xmlns:t="http://schemas.microsoft.com/office/tasks/2019/documenttasks" xmlns:oel="http://schemas.microsoft.com/office/2019/extlst">
  <t:Task id="{4538FE3D-29C7-4A70-9553-89F6A5E56BA4}">
    <t:Anchor>
      <t:Comment id="90008386"/>
    </t:Anchor>
    <t:History>
      <t:Event id="{D995AE57-6AC9-418F-8725-D3E82020781D}" time="2024-02-19T00:19:35.483Z">
        <t:Attribution userId="S::Harrison.Lodwick@dewr.gov.au::378e9f12-2ef1-4113-8f41-c70f4404ce83" userProvider="AD" userName="LODWICK,Harrison"/>
        <t:Anchor>
          <t:Comment id="90008386"/>
        </t:Anchor>
        <t:Create/>
      </t:Event>
      <t:Event id="{9C30E39B-E857-4B19-82A0-BCEFDFF4A0A2}" time="2024-02-19T00:19:35.483Z">
        <t:Attribution userId="S::Harrison.Lodwick@dewr.gov.au::378e9f12-2ef1-4113-8f41-c70f4404ce83" userProvider="AD" userName="LODWICK,Harrison"/>
        <t:Anchor>
          <t:Comment id="90008386"/>
        </t:Anchor>
        <t:Assign userId="S::Rebecca.Pardew@dewr.gov.au::99ae65d1-5e4f-43e3-b840-7b3caba142f7" userProvider="AD" userName="PARDEW,Rebecca"/>
      </t:Event>
      <t:Event id="{5192959D-7D53-450F-A245-8D1C1ACDA320}" time="2024-02-19T00:19:35.483Z">
        <t:Attribution userId="S::Harrison.Lodwick@dewr.gov.au::378e9f12-2ef1-4113-8f41-c70f4404ce83" userProvider="AD" userName="LODWICK,Harrison"/>
        <t:Anchor>
          <t:Comment id="90008386"/>
        </t:Anchor>
        <t:SetTitle title="@PARDEW,Rebecca Could you please check if my edits make sense?"/>
      </t:Event>
      <t:Event id="{181D0DCC-5D52-437E-B63B-C427B15DFF85}" time="2024-02-19T00:52:03.086Z">
        <t:Attribution userId="S::Rebecca.Pardew@dewr.gov.au::99ae65d1-5e4f-43e3-b840-7b3caba142f7" userProvider="AD" userName="PARDEW,Rebecca"/>
        <t:Progress percentComplete="100"/>
      </t:Event>
      <t:Event id="{A7EFA039-486C-4B49-B508-E4422FB3C412}" time="2024-02-19T02:32:40.379Z">
        <t:Attribution userId="S::Rebecca.Pardew@dewr.gov.au::99ae65d1-5e4f-43e3-b840-7b3caba142f7" userProvider="AD" userName="PARDEW,Rebecca"/>
        <t:Progress percentComplete="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22747</Words>
  <Characters>129661</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152104</CharactersWithSpaces>
  <SharedDoc>false</SharedDoc>
  <HLinks>
    <vt:vector size="726" baseType="variant">
      <vt:variant>
        <vt:i4>5832717</vt:i4>
      </vt:variant>
      <vt:variant>
        <vt:i4>282</vt:i4>
      </vt:variant>
      <vt:variant>
        <vt:i4>0</vt:i4>
      </vt:variant>
      <vt:variant>
        <vt:i4>5</vt:i4>
      </vt:variant>
      <vt:variant>
        <vt:lpwstr>https://www.australianapprenticeships.gov.au/sites/default/files/2023-03/trade-support-loans-priority-list-march-2023.pdf</vt:lpwstr>
      </vt:variant>
      <vt:variant>
        <vt:lpwstr/>
      </vt:variant>
      <vt:variant>
        <vt:i4>5046362</vt:i4>
      </vt:variant>
      <vt:variant>
        <vt:i4>279</vt:i4>
      </vt:variant>
      <vt:variant>
        <vt:i4>0</vt:i4>
      </vt:variant>
      <vt:variant>
        <vt:i4>5</vt:i4>
      </vt:variant>
      <vt:variant>
        <vt:lpwstr>https://www.dewr.gov.au/skills-support-individuals/resources/trade-support-loans-tsl-qualifications-list</vt:lpwstr>
      </vt:variant>
      <vt:variant>
        <vt:lpwstr/>
      </vt:variant>
      <vt:variant>
        <vt:i4>7798896</vt:i4>
      </vt:variant>
      <vt:variant>
        <vt:i4>276</vt:i4>
      </vt:variant>
      <vt:variant>
        <vt:i4>0</vt:i4>
      </vt:variant>
      <vt:variant>
        <vt:i4>5</vt:i4>
      </vt:variant>
      <vt:variant>
        <vt:lpwstr>https://www.dewr.gov.au/skills-support-individuals/trade-support-loans</vt:lpwstr>
      </vt:variant>
      <vt:variant>
        <vt:lpwstr/>
      </vt:variant>
      <vt:variant>
        <vt:i4>3866685</vt:i4>
      </vt:variant>
      <vt:variant>
        <vt:i4>273</vt:i4>
      </vt:variant>
      <vt:variant>
        <vt:i4>0</vt:i4>
      </vt:variant>
      <vt:variant>
        <vt:i4>5</vt:i4>
      </vt:variant>
      <vt:variant>
        <vt:lpwstr>https://www.dewr.gov.au/australian-apprenticeships/resources/australian-apprenticeships-priority-list-factsheet</vt:lpwstr>
      </vt:variant>
      <vt:variant>
        <vt:lpwstr/>
      </vt:variant>
      <vt:variant>
        <vt:i4>1114171</vt:i4>
      </vt:variant>
      <vt:variant>
        <vt:i4>266</vt:i4>
      </vt:variant>
      <vt:variant>
        <vt:i4>0</vt:i4>
      </vt:variant>
      <vt:variant>
        <vt:i4>5</vt:i4>
      </vt:variant>
      <vt:variant>
        <vt:lpwstr/>
      </vt:variant>
      <vt:variant>
        <vt:lpwstr>_Toc158642675</vt:lpwstr>
      </vt:variant>
      <vt:variant>
        <vt:i4>1114171</vt:i4>
      </vt:variant>
      <vt:variant>
        <vt:i4>260</vt:i4>
      </vt:variant>
      <vt:variant>
        <vt:i4>0</vt:i4>
      </vt:variant>
      <vt:variant>
        <vt:i4>5</vt:i4>
      </vt:variant>
      <vt:variant>
        <vt:lpwstr/>
      </vt:variant>
      <vt:variant>
        <vt:lpwstr>_Toc158642674</vt:lpwstr>
      </vt:variant>
      <vt:variant>
        <vt:i4>1114171</vt:i4>
      </vt:variant>
      <vt:variant>
        <vt:i4>254</vt:i4>
      </vt:variant>
      <vt:variant>
        <vt:i4>0</vt:i4>
      </vt:variant>
      <vt:variant>
        <vt:i4>5</vt:i4>
      </vt:variant>
      <vt:variant>
        <vt:lpwstr/>
      </vt:variant>
      <vt:variant>
        <vt:lpwstr>_Toc158642673</vt:lpwstr>
      </vt:variant>
      <vt:variant>
        <vt:i4>1114171</vt:i4>
      </vt:variant>
      <vt:variant>
        <vt:i4>248</vt:i4>
      </vt:variant>
      <vt:variant>
        <vt:i4>0</vt:i4>
      </vt:variant>
      <vt:variant>
        <vt:i4>5</vt:i4>
      </vt:variant>
      <vt:variant>
        <vt:lpwstr/>
      </vt:variant>
      <vt:variant>
        <vt:lpwstr>_Toc158642672</vt:lpwstr>
      </vt:variant>
      <vt:variant>
        <vt:i4>1114171</vt:i4>
      </vt:variant>
      <vt:variant>
        <vt:i4>242</vt:i4>
      </vt:variant>
      <vt:variant>
        <vt:i4>0</vt:i4>
      </vt:variant>
      <vt:variant>
        <vt:i4>5</vt:i4>
      </vt:variant>
      <vt:variant>
        <vt:lpwstr/>
      </vt:variant>
      <vt:variant>
        <vt:lpwstr>_Toc158642671</vt:lpwstr>
      </vt:variant>
      <vt:variant>
        <vt:i4>1114171</vt:i4>
      </vt:variant>
      <vt:variant>
        <vt:i4>236</vt:i4>
      </vt:variant>
      <vt:variant>
        <vt:i4>0</vt:i4>
      </vt:variant>
      <vt:variant>
        <vt:i4>5</vt:i4>
      </vt:variant>
      <vt:variant>
        <vt:lpwstr/>
      </vt:variant>
      <vt:variant>
        <vt:lpwstr>_Toc158642670</vt:lpwstr>
      </vt:variant>
      <vt:variant>
        <vt:i4>1048635</vt:i4>
      </vt:variant>
      <vt:variant>
        <vt:i4>230</vt:i4>
      </vt:variant>
      <vt:variant>
        <vt:i4>0</vt:i4>
      </vt:variant>
      <vt:variant>
        <vt:i4>5</vt:i4>
      </vt:variant>
      <vt:variant>
        <vt:lpwstr/>
      </vt:variant>
      <vt:variant>
        <vt:lpwstr>_Toc158642669</vt:lpwstr>
      </vt:variant>
      <vt:variant>
        <vt:i4>1048635</vt:i4>
      </vt:variant>
      <vt:variant>
        <vt:i4>224</vt:i4>
      </vt:variant>
      <vt:variant>
        <vt:i4>0</vt:i4>
      </vt:variant>
      <vt:variant>
        <vt:i4>5</vt:i4>
      </vt:variant>
      <vt:variant>
        <vt:lpwstr/>
      </vt:variant>
      <vt:variant>
        <vt:lpwstr>_Toc158642668</vt:lpwstr>
      </vt:variant>
      <vt:variant>
        <vt:i4>1048635</vt:i4>
      </vt:variant>
      <vt:variant>
        <vt:i4>218</vt:i4>
      </vt:variant>
      <vt:variant>
        <vt:i4>0</vt:i4>
      </vt:variant>
      <vt:variant>
        <vt:i4>5</vt:i4>
      </vt:variant>
      <vt:variant>
        <vt:lpwstr/>
      </vt:variant>
      <vt:variant>
        <vt:lpwstr>_Toc158642667</vt:lpwstr>
      </vt:variant>
      <vt:variant>
        <vt:i4>1048635</vt:i4>
      </vt:variant>
      <vt:variant>
        <vt:i4>212</vt:i4>
      </vt:variant>
      <vt:variant>
        <vt:i4>0</vt:i4>
      </vt:variant>
      <vt:variant>
        <vt:i4>5</vt:i4>
      </vt:variant>
      <vt:variant>
        <vt:lpwstr/>
      </vt:variant>
      <vt:variant>
        <vt:lpwstr>_Toc158642666</vt:lpwstr>
      </vt:variant>
      <vt:variant>
        <vt:i4>1048635</vt:i4>
      </vt:variant>
      <vt:variant>
        <vt:i4>206</vt:i4>
      </vt:variant>
      <vt:variant>
        <vt:i4>0</vt:i4>
      </vt:variant>
      <vt:variant>
        <vt:i4>5</vt:i4>
      </vt:variant>
      <vt:variant>
        <vt:lpwstr/>
      </vt:variant>
      <vt:variant>
        <vt:lpwstr>_Toc158642665</vt:lpwstr>
      </vt:variant>
      <vt:variant>
        <vt:i4>1048635</vt:i4>
      </vt:variant>
      <vt:variant>
        <vt:i4>200</vt:i4>
      </vt:variant>
      <vt:variant>
        <vt:i4>0</vt:i4>
      </vt:variant>
      <vt:variant>
        <vt:i4>5</vt:i4>
      </vt:variant>
      <vt:variant>
        <vt:lpwstr/>
      </vt:variant>
      <vt:variant>
        <vt:lpwstr>_Toc158642664</vt:lpwstr>
      </vt:variant>
      <vt:variant>
        <vt:i4>1048635</vt:i4>
      </vt:variant>
      <vt:variant>
        <vt:i4>194</vt:i4>
      </vt:variant>
      <vt:variant>
        <vt:i4>0</vt:i4>
      </vt:variant>
      <vt:variant>
        <vt:i4>5</vt:i4>
      </vt:variant>
      <vt:variant>
        <vt:lpwstr/>
      </vt:variant>
      <vt:variant>
        <vt:lpwstr>_Toc158642663</vt:lpwstr>
      </vt:variant>
      <vt:variant>
        <vt:i4>1048635</vt:i4>
      </vt:variant>
      <vt:variant>
        <vt:i4>188</vt:i4>
      </vt:variant>
      <vt:variant>
        <vt:i4>0</vt:i4>
      </vt:variant>
      <vt:variant>
        <vt:i4>5</vt:i4>
      </vt:variant>
      <vt:variant>
        <vt:lpwstr/>
      </vt:variant>
      <vt:variant>
        <vt:lpwstr>_Toc158642662</vt:lpwstr>
      </vt:variant>
      <vt:variant>
        <vt:i4>1048635</vt:i4>
      </vt:variant>
      <vt:variant>
        <vt:i4>182</vt:i4>
      </vt:variant>
      <vt:variant>
        <vt:i4>0</vt:i4>
      </vt:variant>
      <vt:variant>
        <vt:i4>5</vt:i4>
      </vt:variant>
      <vt:variant>
        <vt:lpwstr/>
      </vt:variant>
      <vt:variant>
        <vt:lpwstr>_Toc158642661</vt:lpwstr>
      </vt:variant>
      <vt:variant>
        <vt:i4>1048635</vt:i4>
      </vt:variant>
      <vt:variant>
        <vt:i4>176</vt:i4>
      </vt:variant>
      <vt:variant>
        <vt:i4>0</vt:i4>
      </vt:variant>
      <vt:variant>
        <vt:i4>5</vt:i4>
      </vt:variant>
      <vt:variant>
        <vt:lpwstr/>
      </vt:variant>
      <vt:variant>
        <vt:lpwstr>_Toc158642660</vt:lpwstr>
      </vt:variant>
      <vt:variant>
        <vt:i4>1245243</vt:i4>
      </vt:variant>
      <vt:variant>
        <vt:i4>170</vt:i4>
      </vt:variant>
      <vt:variant>
        <vt:i4>0</vt:i4>
      </vt:variant>
      <vt:variant>
        <vt:i4>5</vt:i4>
      </vt:variant>
      <vt:variant>
        <vt:lpwstr/>
      </vt:variant>
      <vt:variant>
        <vt:lpwstr>_Toc158642659</vt:lpwstr>
      </vt:variant>
      <vt:variant>
        <vt:i4>1245243</vt:i4>
      </vt:variant>
      <vt:variant>
        <vt:i4>164</vt:i4>
      </vt:variant>
      <vt:variant>
        <vt:i4>0</vt:i4>
      </vt:variant>
      <vt:variant>
        <vt:i4>5</vt:i4>
      </vt:variant>
      <vt:variant>
        <vt:lpwstr/>
      </vt:variant>
      <vt:variant>
        <vt:lpwstr>_Toc158642658</vt:lpwstr>
      </vt:variant>
      <vt:variant>
        <vt:i4>1245243</vt:i4>
      </vt:variant>
      <vt:variant>
        <vt:i4>158</vt:i4>
      </vt:variant>
      <vt:variant>
        <vt:i4>0</vt:i4>
      </vt:variant>
      <vt:variant>
        <vt:i4>5</vt:i4>
      </vt:variant>
      <vt:variant>
        <vt:lpwstr/>
      </vt:variant>
      <vt:variant>
        <vt:lpwstr>_Toc158642657</vt:lpwstr>
      </vt:variant>
      <vt:variant>
        <vt:i4>1245243</vt:i4>
      </vt:variant>
      <vt:variant>
        <vt:i4>152</vt:i4>
      </vt:variant>
      <vt:variant>
        <vt:i4>0</vt:i4>
      </vt:variant>
      <vt:variant>
        <vt:i4>5</vt:i4>
      </vt:variant>
      <vt:variant>
        <vt:lpwstr/>
      </vt:variant>
      <vt:variant>
        <vt:lpwstr>_Toc158642656</vt:lpwstr>
      </vt:variant>
      <vt:variant>
        <vt:i4>1245243</vt:i4>
      </vt:variant>
      <vt:variant>
        <vt:i4>146</vt:i4>
      </vt:variant>
      <vt:variant>
        <vt:i4>0</vt:i4>
      </vt:variant>
      <vt:variant>
        <vt:i4>5</vt:i4>
      </vt:variant>
      <vt:variant>
        <vt:lpwstr/>
      </vt:variant>
      <vt:variant>
        <vt:lpwstr>_Toc158642655</vt:lpwstr>
      </vt:variant>
      <vt:variant>
        <vt:i4>1245243</vt:i4>
      </vt:variant>
      <vt:variant>
        <vt:i4>140</vt:i4>
      </vt:variant>
      <vt:variant>
        <vt:i4>0</vt:i4>
      </vt:variant>
      <vt:variant>
        <vt:i4>5</vt:i4>
      </vt:variant>
      <vt:variant>
        <vt:lpwstr/>
      </vt:variant>
      <vt:variant>
        <vt:lpwstr>_Toc158642654</vt:lpwstr>
      </vt:variant>
      <vt:variant>
        <vt:i4>1245243</vt:i4>
      </vt:variant>
      <vt:variant>
        <vt:i4>134</vt:i4>
      </vt:variant>
      <vt:variant>
        <vt:i4>0</vt:i4>
      </vt:variant>
      <vt:variant>
        <vt:i4>5</vt:i4>
      </vt:variant>
      <vt:variant>
        <vt:lpwstr/>
      </vt:variant>
      <vt:variant>
        <vt:lpwstr>_Toc158642653</vt:lpwstr>
      </vt:variant>
      <vt:variant>
        <vt:i4>1245243</vt:i4>
      </vt:variant>
      <vt:variant>
        <vt:i4>128</vt:i4>
      </vt:variant>
      <vt:variant>
        <vt:i4>0</vt:i4>
      </vt:variant>
      <vt:variant>
        <vt:i4>5</vt:i4>
      </vt:variant>
      <vt:variant>
        <vt:lpwstr/>
      </vt:variant>
      <vt:variant>
        <vt:lpwstr>_Toc158642652</vt:lpwstr>
      </vt:variant>
      <vt:variant>
        <vt:i4>1245243</vt:i4>
      </vt:variant>
      <vt:variant>
        <vt:i4>122</vt:i4>
      </vt:variant>
      <vt:variant>
        <vt:i4>0</vt:i4>
      </vt:variant>
      <vt:variant>
        <vt:i4>5</vt:i4>
      </vt:variant>
      <vt:variant>
        <vt:lpwstr/>
      </vt:variant>
      <vt:variant>
        <vt:lpwstr>_Toc158642651</vt:lpwstr>
      </vt:variant>
      <vt:variant>
        <vt:i4>1245243</vt:i4>
      </vt:variant>
      <vt:variant>
        <vt:i4>116</vt:i4>
      </vt:variant>
      <vt:variant>
        <vt:i4>0</vt:i4>
      </vt:variant>
      <vt:variant>
        <vt:i4>5</vt:i4>
      </vt:variant>
      <vt:variant>
        <vt:lpwstr/>
      </vt:variant>
      <vt:variant>
        <vt:lpwstr>_Toc158642650</vt:lpwstr>
      </vt:variant>
      <vt:variant>
        <vt:i4>1179707</vt:i4>
      </vt:variant>
      <vt:variant>
        <vt:i4>110</vt:i4>
      </vt:variant>
      <vt:variant>
        <vt:i4>0</vt:i4>
      </vt:variant>
      <vt:variant>
        <vt:i4>5</vt:i4>
      </vt:variant>
      <vt:variant>
        <vt:lpwstr/>
      </vt:variant>
      <vt:variant>
        <vt:lpwstr>_Toc158642649</vt:lpwstr>
      </vt:variant>
      <vt:variant>
        <vt:i4>1179707</vt:i4>
      </vt:variant>
      <vt:variant>
        <vt:i4>104</vt:i4>
      </vt:variant>
      <vt:variant>
        <vt:i4>0</vt:i4>
      </vt:variant>
      <vt:variant>
        <vt:i4>5</vt:i4>
      </vt:variant>
      <vt:variant>
        <vt:lpwstr/>
      </vt:variant>
      <vt:variant>
        <vt:lpwstr>_Toc158642648</vt:lpwstr>
      </vt:variant>
      <vt:variant>
        <vt:i4>1179707</vt:i4>
      </vt:variant>
      <vt:variant>
        <vt:i4>98</vt:i4>
      </vt:variant>
      <vt:variant>
        <vt:i4>0</vt:i4>
      </vt:variant>
      <vt:variant>
        <vt:i4>5</vt:i4>
      </vt:variant>
      <vt:variant>
        <vt:lpwstr/>
      </vt:variant>
      <vt:variant>
        <vt:lpwstr>_Toc158642647</vt:lpwstr>
      </vt:variant>
      <vt:variant>
        <vt:i4>1179707</vt:i4>
      </vt:variant>
      <vt:variant>
        <vt:i4>92</vt:i4>
      </vt:variant>
      <vt:variant>
        <vt:i4>0</vt:i4>
      </vt:variant>
      <vt:variant>
        <vt:i4>5</vt:i4>
      </vt:variant>
      <vt:variant>
        <vt:lpwstr/>
      </vt:variant>
      <vt:variant>
        <vt:lpwstr>_Toc158642646</vt:lpwstr>
      </vt:variant>
      <vt:variant>
        <vt:i4>1179707</vt:i4>
      </vt:variant>
      <vt:variant>
        <vt:i4>86</vt:i4>
      </vt:variant>
      <vt:variant>
        <vt:i4>0</vt:i4>
      </vt:variant>
      <vt:variant>
        <vt:i4>5</vt:i4>
      </vt:variant>
      <vt:variant>
        <vt:lpwstr/>
      </vt:variant>
      <vt:variant>
        <vt:lpwstr>_Toc158642645</vt:lpwstr>
      </vt:variant>
      <vt:variant>
        <vt:i4>1179707</vt:i4>
      </vt:variant>
      <vt:variant>
        <vt:i4>80</vt:i4>
      </vt:variant>
      <vt:variant>
        <vt:i4>0</vt:i4>
      </vt:variant>
      <vt:variant>
        <vt:i4>5</vt:i4>
      </vt:variant>
      <vt:variant>
        <vt:lpwstr/>
      </vt:variant>
      <vt:variant>
        <vt:lpwstr>_Toc158642644</vt:lpwstr>
      </vt:variant>
      <vt:variant>
        <vt:i4>1179707</vt:i4>
      </vt:variant>
      <vt:variant>
        <vt:i4>74</vt:i4>
      </vt:variant>
      <vt:variant>
        <vt:i4>0</vt:i4>
      </vt:variant>
      <vt:variant>
        <vt:i4>5</vt:i4>
      </vt:variant>
      <vt:variant>
        <vt:lpwstr/>
      </vt:variant>
      <vt:variant>
        <vt:lpwstr>_Toc158642643</vt:lpwstr>
      </vt:variant>
      <vt:variant>
        <vt:i4>1179707</vt:i4>
      </vt:variant>
      <vt:variant>
        <vt:i4>68</vt:i4>
      </vt:variant>
      <vt:variant>
        <vt:i4>0</vt:i4>
      </vt:variant>
      <vt:variant>
        <vt:i4>5</vt:i4>
      </vt:variant>
      <vt:variant>
        <vt:lpwstr/>
      </vt:variant>
      <vt:variant>
        <vt:lpwstr>_Toc158642642</vt:lpwstr>
      </vt:variant>
      <vt:variant>
        <vt:i4>1179707</vt:i4>
      </vt:variant>
      <vt:variant>
        <vt:i4>62</vt:i4>
      </vt:variant>
      <vt:variant>
        <vt:i4>0</vt:i4>
      </vt:variant>
      <vt:variant>
        <vt:i4>5</vt:i4>
      </vt:variant>
      <vt:variant>
        <vt:lpwstr/>
      </vt:variant>
      <vt:variant>
        <vt:lpwstr>_Toc158642641</vt:lpwstr>
      </vt:variant>
      <vt:variant>
        <vt:i4>1179707</vt:i4>
      </vt:variant>
      <vt:variant>
        <vt:i4>56</vt:i4>
      </vt:variant>
      <vt:variant>
        <vt:i4>0</vt:i4>
      </vt:variant>
      <vt:variant>
        <vt:i4>5</vt:i4>
      </vt:variant>
      <vt:variant>
        <vt:lpwstr/>
      </vt:variant>
      <vt:variant>
        <vt:lpwstr>_Toc158642640</vt:lpwstr>
      </vt:variant>
      <vt:variant>
        <vt:i4>1376315</vt:i4>
      </vt:variant>
      <vt:variant>
        <vt:i4>50</vt:i4>
      </vt:variant>
      <vt:variant>
        <vt:i4>0</vt:i4>
      </vt:variant>
      <vt:variant>
        <vt:i4>5</vt:i4>
      </vt:variant>
      <vt:variant>
        <vt:lpwstr/>
      </vt:variant>
      <vt:variant>
        <vt:lpwstr>_Toc158642639</vt:lpwstr>
      </vt:variant>
      <vt:variant>
        <vt:i4>1376315</vt:i4>
      </vt:variant>
      <vt:variant>
        <vt:i4>44</vt:i4>
      </vt:variant>
      <vt:variant>
        <vt:i4>0</vt:i4>
      </vt:variant>
      <vt:variant>
        <vt:i4>5</vt:i4>
      </vt:variant>
      <vt:variant>
        <vt:lpwstr/>
      </vt:variant>
      <vt:variant>
        <vt:lpwstr>_Toc158642638</vt:lpwstr>
      </vt:variant>
      <vt:variant>
        <vt:i4>1376315</vt:i4>
      </vt:variant>
      <vt:variant>
        <vt:i4>38</vt:i4>
      </vt:variant>
      <vt:variant>
        <vt:i4>0</vt:i4>
      </vt:variant>
      <vt:variant>
        <vt:i4>5</vt:i4>
      </vt:variant>
      <vt:variant>
        <vt:lpwstr/>
      </vt:variant>
      <vt:variant>
        <vt:lpwstr>_Toc158642637</vt:lpwstr>
      </vt:variant>
      <vt:variant>
        <vt:i4>1376315</vt:i4>
      </vt:variant>
      <vt:variant>
        <vt:i4>32</vt:i4>
      </vt:variant>
      <vt:variant>
        <vt:i4>0</vt:i4>
      </vt:variant>
      <vt:variant>
        <vt:i4>5</vt:i4>
      </vt:variant>
      <vt:variant>
        <vt:lpwstr/>
      </vt:variant>
      <vt:variant>
        <vt:lpwstr>_Toc158642636</vt:lpwstr>
      </vt:variant>
      <vt:variant>
        <vt:i4>1376315</vt:i4>
      </vt:variant>
      <vt:variant>
        <vt:i4>26</vt:i4>
      </vt:variant>
      <vt:variant>
        <vt:i4>0</vt:i4>
      </vt:variant>
      <vt:variant>
        <vt:i4>5</vt:i4>
      </vt:variant>
      <vt:variant>
        <vt:lpwstr/>
      </vt:variant>
      <vt:variant>
        <vt:lpwstr>_Toc158642635</vt:lpwstr>
      </vt:variant>
      <vt:variant>
        <vt:i4>1376315</vt:i4>
      </vt:variant>
      <vt:variant>
        <vt:i4>20</vt:i4>
      </vt:variant>
      <vt:variant>
        <vt:i4>0</vt:i4>
      </vt:variant>
      <vt:variant>
        <vt:i4>5</vt:i4>
      </vt:variant>
      <vt:variant>
        <vt:lpwstr/>
      </vt:variant>
      <vt:variant>
        <vt:lpwstr>_Toc158642634</vt:lpwstr>
      </vt:variant>
      <vt:variant>
        <vt:i4>1376315</vt:i4>
      </vt:variant>
      <vt:variant>
        <vt:i4>14</vt:i4>
      </vt:variant>
      <vt:variant>
        <vt:i4>0</vt:i4>
      </vt:variant>
      <vt:variant>
        <vt:i4>5</vt:i4>
      </vt:variant>
      <vt:variant>
        <vt:lpwstr/>
      </vt:variant>
      <vt:variant>
        <vt:lpwstr>_Toc158642633</vt:lpwstr>
      </vt:variant>
      <vt:variant>
        <vt:i4>1376315</vt:i4>
      </vt:variant>
      <vt:variant>
        <vt:i4>8</vt:i4>
      </vt:variant>
      <vt:variant>
        <vt:i4>0</vt:i4>
      </vt:variant>
      <vt:variant>
        <vt:i4>5</vt:i4>
      </vt:variant>
      <vt:variant>
        <vt:lpwstr/>
      </vt:variant>
      <vt:variant>
        <vt:lpwstr>_Toc158642632</vt:lpwstr>
      </vt:variant>
      <vt:variant>
        <vt:i4>1376315</vt:i4>
      </vt:variant>
      <vt:variant>
        <vt:i4>2</vt:i4>
      </vt:variant>
      <vt:variant>
        <vt:i4>0</vt:i4>
      </vt:variant>
      <vt:variant>
        <vt:i4>5</vt:i4>
      </vt:variant>
      <vt:variant>
        <vt:lpwstr/>
      </vt:variant>
      <vt:variant>
        <vt:lpwstr>_Toc158642631</vt:lpwstr>
      </vt:variant>
      <vt:variant>
        <vt:i4>1179676</vt:i4>
      </vt:variant>
      <vt:variant>
        <vt:i4>216</vt:i4>
      </vt:variant>
      <vt:variant>
        <vt:i4>0</vt:i4>
      </vt:variant>
      <vt:variant>
        <vt:i4>5</vt:i4>
      </vt:variant>
      <vt:variant>
        <vt:lpwstr>https://www.apprenticeships.gov.au/support-and-resources/support-priority-cohorts</vt:lpwstr>
      </vt:variant>
      <vt:variant>
        <vt:lpwstr>get-free-training-through-fee-free-tafe-courses-1</vt:lpwstr>
      </vt:variant>
      <vt:variant>
        <vt:i4>3866685</vt:i4>
      </vt:variant>
      <vt:variant>
        <vt:i4>213</vt:i4>
      </vt:variant>
      <vt:variant>
        <vt:i4>0</vt:i4>
      </vt:variant>
      <vt:variant>
        <vt:i4>5</vt:i4>
      </vt:variant>
      <vt:variant>
        <vt:lpwstr>https://www.dewr.gov.au/australian-apprenticeships/resources/australian-apprenticeships-priority-list-factsheet</vt:lpwstr>
      </vt:variant>
      <vt:variant>
        <vt:lpwstr/>
      </vt:variant>
      <vt:variant>
        <vt:i4>4456521</vt:i4>
      </vt:variant>
      <vt:variant>
        <vt:i4>210</vt:i4>
      </vt:variant>
      <vt:variant>
        <vt:i4>0</vt:i4>
      </vt:variant>
      <vt:variant>
        <vt:i4>5</vt:i4>
      </vt:variant>
      <vt:variant>
        <vt:lpwstr>https://www.apprenticeships.gov.au/support-and-resources/financial-support-employers</vt:lpwstr>
      </vt:variant>
      <vt:variant>
        <vt:lpwstr/>
      </vt:variant>
      <vt:variant>
        <vt:i4>2949242</vt:i4>
      </vt:variant>
      <vt:variant>
        <vt:i4>207</vt:i4>
      </vt:variant>
      <vt:variant>
        <vt:i4>0</vt:i4>
      </vt:variant>
      <vt:variant>
        <vt:i4>5</vt:i4>
      </vt:variant>
      <vt:variant>
        <vt:lpwstr>https://www.apprenticeships.gov.au/who-to-contact/search-for-an-australian-apprenticeship-support-network-provider</vt:lpwstr>
      </vt:variant>
      <vt:variant>
        <vt:lpwstr/>
      </vt:variant>
      <vt:variant>
        <vt:i4>65547</vt:i4>
      </vt:variant>
      <vt:variant>
        <vt:i4>204</vt:i4>
      </vt:variant>
      <vt:variant>
        <vt:i4>0</vt:i4>
      </vt:variant>
      <vt:variant>
        <vt:i4>5</vt:i4>
      </vt:variant>
      <vt:variant>
        <vt:lpwstr>https://www.abs.gov.au/statistics/labour/employment-and-unemployment/labour-force-australia/may-2023</vt:lpwstr>
      </vt:variant>
      <vt:variant>
        <vt:lpwstr/>
      </vt:variant>
      <vt:variant>
        <vt:i4>7012353</vt:i4>
      </vt:variant>
      <vt:variant>
        <vt:i4>201</vt:i4>
      </vt:variant>
      <vt:variant>
        <vt:i4>0</vt:i4>
      </vt:variant>
      <vt:variant>
        <vt:i4>5</vt:i4>
      </vt:variant>
      <vt:variant>
        <vt:lpwstr>https://cedakenticomedia.blob.core.windows.net/cedamediacontainer/kentico/media/attachments/occupational-gender-segregation-ceda_1.pdf</vt:lpwstr>
      </vt:variant>
      <vt:variant>
        <vt:lpwstr/>
      </vt:variant>
      <vt:variant>
        <vt:i4>2097277</vt:i4>
      </vt:variant>
      <vt:variant>
        <vt:i4>198</vt:i4>
      </vt:variant>
      <vt:variant>
        <vt:i4>0</vt:i4>
      </vt:variant>
      <vt:variant>
        <vt:i4>5</vt:i4>
      </vt:variant>
      <vt:variant>
        <vt:lpwstr>https://www.dewr.gov.au/australian-skills-guarantee/resources/australian-skills-guarantee-consultation-summary</vt:lpwstr>
      </vt:variant>
      <vt:variant>
        <vt:lpwstr/>
      </vt:variant>
      <vt:variant>
        <vt:i4>1638469</vt:i4>
      </vt:variant>
      <vt:variant>
        <vt:i4>195</vt:i4>
      </vt:variant>
      <vt:variant>
        <vt:i4>0</vt:i4>
      </vt:variant>
      <vt:variant>
        <vt:i4>5</vt:i4>
      </vt:variant>
      <vt:variant>
        <vt:lpwstr>https://www.apprenticeships.gov.au/support-and-resources/support-priority-cohorts</vt:lpwstr>
      </vt:variant>
      <vt:variant>
        <vt:lpwstr>women-in-trades-2</vt:lpwstr>
      </vt:variant>
      <vt:variant>
        <vt:i4>5636201</vt:i4>
      </vt:variant>
      <vt:variant>
        <vt:i4>192</vt:i4>
      </vt:variant>
      <vt:variant>
        <vt:i4>0</vt:i4>
      </vt:variant>
      <vt:variant>
        <vt:i4>5</vt:i4>
      </vt:variant>
      <vt:variant>
        <vt:lpwstr>https://www.wgea.gov.au/sites/default/files/documents/BCEC_WGEA_Gender_Pay_Equity_Insights_2016_Report.pdf</vt:lpwstr>
      </vt:variant>
      <vt:variant>
        <vt:lpwstr/>
      </vt:variant>
      <vt:variant>
        <vt:i4>6815776</vt:i4>
      </vt:variant>
      <vt:variant>
        <vt:i4>189</vt:i4>
      </vt:variant>
      <vt:variant>
        <vt:i4>0</vt:i4>
      </vt:variant>
      <vt:variant>
        <vt:i4>5</vt:i4>
      </vt:variant>
      <vt:variant>
        <vt:lpwstr>https://www.pmc.gov.au/publications/wgea-review-report/wgea-review-recommendations</vt:lpwstr>
      </vt:variant>
      <vt:variant>
        <vt:lpwstr/>
      </vt:variant>
      <vt:variant>
        <vt:i4>196616</vt:i4>
      </vt:variant>
      <vt:variant>
        <vt:i4>186</vt:i4>
      </vt:variant>
      <vt:variant>
        <vt:i4>0</vt:i4>
      </vt:variant>
      <vt:variant>
        <vt:i4>5</vt:i4>
      </vt:variant>
      <vt:variant>
        <vt:lpwstr>https://humanrights.gov.au/our-work/sex-discrimination/publications/everyones-business-fourth-national-survey-sexual</vt:lpwstr>
      </vt:variant>
      <vt:variant>
        <vt:lpwstr/>
      </vt:variant>
      <vt:variant>
        <vt:i4>3670051</vt:i4>
      </vt:variant>
      <vt:variant>
        <vt:i4>183</vt:i4>
      </vt:variant>
      <vt:variant>
        <vt:i4>0</vt:i4>
      </vt:variant>
      <vt:variant>
        <vt:i4>5</vt:i4>
      </vt:variant>
      <vt:variant>
        <vt:lpwstr>https://www.apprenticeships.gov.au/support-and-resources/financial-support-apprentices</vt:lpwstr>
      </vt:variant>
      <vt:variant>
        <vt:lpwstr/>
      </vt:variant>
      <vt:variant>
        <vt:i4>2228265</vt:i4>
      </vt:variant>
      <vt:variant>
        <vt:i4>180</vt:i4>
      </vt:variant>
      <vt:variant>
        <vt:i4>0</vt:i4>
      </vt:variant>
      <vt:variant>
        <vt:i4>5</vt:i4>
      </vt:variant>
      <vt:variant>
        <vt:lpwstr>https://www.jobsandskills.gov.au/data/vet-national-data-asset-vnda</vt:lpwstr>
      </vt:variant>
      <vt:variant>
        <vt:lpwstr/>
      </vt:variant>
      <vt:variant>
        <vt:i4>5242953</vt:i4>
      </vt:variant>
      <vt:variant>
        <vt:i4>177</vt:i4>
      </vt:variant>
      <vt:variant>
        <vt:i4>0</vt:i4>
      </vt:variant>
      <vt:variant>
        <vt:i4>5</vt:i4>
      </vt:variant>
      <vt:variant>
        <vt:lpwstr>https://www.fairwork.gov.au/pay-and-wages/minimum-wages/apprentice-and-trainee-pay-rates</vt:lpwstr>
      </vt:variant>
      <vt:variant>
        <vt:lpwstr/>
      </vt:variant>
      <vt:variant>
        <vt:i4>262219</vt:i4>
      </vt:variant>
      <vt:variant>
        <vt:i4>174</vt:i4>
      </vt:variant>
      <vt:variant>
        <vt:i4>0</vt:i4>
      </vt:variant>
      <vt:variant>
        <vt:i4>5</vt:i4>
      </vt:variant>
      <vt:variant>
        <vt:lpwstr>https://www.anglicare.asn.au/publications/2023-rental-affordability-snapshot/</vt:lpwstr>
      </vt:variant>
      <vt:variant>
        <vt:lpwstr/>
      </vt:variant>
      <vt:variant>
        <vt:i4>4784139</vt:i4>
      </vt:variant>
      <vt:variant>
        <vt:i4>171</vt:i4>
      </vt:variant>
      <vt:variant>
        <vt:i4>0</vt:i4>
      </vt:variant>
      <vt:variant>
        <vt:i4>5</vt:i4>
      </vt:variant>
      <vt:variant>
        <vt:lpwstr>https://www.wgea.gov.au/sites/default/files/documents/PMC-WGE-Procurement-Principles.pdf</vt:lpwstr>
      </vt:variant>
      <vt:variant>
        <vt:lpwstr/>
      </vt:variant>
      <vt:variant>
        <vt:i4>7995429</vt:i4>
      </vt:variant>
      <vt:variant>
        <vt:i4>168</vt:i4>
      </vt:variant>
      <vt:variant>
        <vt:i4>0</vt:i4>
      </vt:variant>
      <vt:variant>
        <vt:i4>5</vt:i4>
      </vt:variant>
      <vt:variant>
        <vt:lpwstr>https://www.legislation.gov.au/Details/C2023C00009</vt:lpwstr>
      </vt:variant>
      <vt:variant>
        <vt:lpwstr/>
      </vt:variant>
      <vt:variant>
        <vt:i4>3604597</vt:i4>
      </vt:variant>
      <vt:variant>
        <vt:i4>165</vt:i4>
      </vt:variant>
      <vt:variant>
        <vt:i4>0</vt:i4>
      </vt:variant>
      <vt:variant>
        <vt:i4>5</vt:i4>
      </vt:variant>
      <vt:variant>
        <vt:lpwstr>https://library.fairwork.gov.au/viewer/?krn=K600434</vt:lpwstr>
      </vt:variant>
      <vt:variant>
        <vt:lpwstr/>
      </vt:variant>
      <vt:variant>
        <vt:i4>6750253</vt:i4>
      </vt:variant>
      <vt:variant>
        <vt:i4>162</vt:i4>
      </vt:variant>
      <vt:variant>
        <vt:i4>0</vt:i4>
      </vt:variant>
      <vt:variant>
        <vt:i4>5</vt:i4>
      </vt:variant>
      <vt:variant>
        <vt:lpwstr>https://www.infrastructureaustralia.gov.au/sites/default/files/2022-12/2022_IA_Market-Capacity-Report.pdf</vt:lpwstr>
      </vt:variant>
      <vt:variant>
        <vt:lpwstr/>
      </vt:variant>
      <vt:variant>
        <vt:i4>65547</vt:i4>
      </vt:variant>
      <vt:variant>
        <vt:i4>159</vt:i4>
      </vt:variant>
      <vt:variant>
        <vt:i4>0</vt:i4>
      </vt:variant>
      <vt:variant>
        <vt:i4>5</vt:i4>
      </vt:variant>
      <vt:variant>
        <vt:lpwstr>https://www.abs.gov.au/statistics/labour/employment-and-unemployment/labour-force-australia/may-2023</vt:lpwstr>
      </vt:variant>
      <vt:variant>
        <vt:lpwstr/>
      </vt:variant>
      <vt:variant>
        <vt:i4>589835</vt:i4>
      </vt:variant>
      <vt:variant>
        <vt:i4>156</vt:i4>
      </vt:variant>
      <vt:variant>
        <vt:i4>0</vt:i4>
      </vt:variant>
      <vt:variant>
        <vt:i4>5</vt:i4>
      </vt:variant>
      <vt:variant>
        <vt:lpwstr>https://www.jobsandskills.gov.au/data/recruitment-experiences-and-outlook-survey</vt:lpwstr>
      </vt:variant>
      <vt:variant>
        <vt:lpwstr/>
      </vt:variant>
      <vt:variant>
        <vt:i4>4325401</vt:i4>
      </vt:variant>
      <vt:variant>
        <vt:i4>153</vt:i4>
      </vt:variant>
      <vt:variant>
        <vt:i4>0</vt:i4>
      </vt:variant>
      <vt:variant>
        <vt:i4>5</vt:i4>
      </vt:variant>
      <vt:variant>
        <vt:lpwstr>https://www.deloitte.com/au/en/services/economics/perspectives/breaking-norm-unleashing-australia-economic-potential.html</vt:lpwstr>
      </vt:variant>
      <vt:variant>
        <vt:lpwstr/>
      </vt:variant>
      <vt:variant>
        <vt:i4>4325401</vt:i4>
      </vt:variant>
      <vt:variant>
        <vt:i4>150</vt:i4>
      </vt:variant>
      <vt:variant>
        <vt:i4>0</vt:i4>
      </vt:variant>
      <vt:variant>
        <vt:i4>5</vt:i4>
      </vt:variant>
      <vt:variant>
        <vt:lpwstr>https://www.deloitte.com/au/en/services/economics/perspectives/breaking-norm-unleashing-australia-economic-potential.html</vt:lpwstr>
      </vt:variant>
      <vt:variant>
        <vt:lpwstr/>
      </vt:variant>
      <vt:variant>
        <vt:i4>7012469</vt:i4>
      </vt:variant>
      <vt:variant>
        <vt:i4>147</vt:i4>
      </vt:variant>
      <vt:variant>
        <vt:i4>0</vt:i4>
      </vt:variant>
      <vt:variant>
        <vt:i4>5</vt:i4>
      </vt:variant>
      <vt:variant>
        <vt:lpwstr>https://www.pmc.gov.au/news/womens-economic-equality-taskforce-final-report-government</vt:lpwstr>
      </vt:variant>
      <vt:variant>
        <vt:lpwstr/>
      </vt:variant>
      <vt:variant>
        <vt:i4>3932282</vt:i4>
      </vt:variant>
      <vt:variant>
        <vt:i4>144</vt:i4>
      </vt:variant>
      <vt:variant>
        <vt:i4>0</vt:i4>
      </vt:variant>
      <vt:variant>
        <vt:i4>5</vt:i4>
      </vt:variant>
      <vt:variant>
        <vt:lpwstr>https://www.dewr.gov.au/australian-skills-guarantee/resources/australian-skills-guarantee-discussion-paper</vt:lpwstr>
      </vt:variant>
      <vt:variant>
        <vt:lpwstr/>
      </vt:variant>
      <vt:variant>
        <vt:i4>7602231</vt:i4>
      </vt:variant>
      <vt:variant>
        <vt:i4>141</vt:i4>
      </vt:variant>
      <vt:variant>
        <vt:i4>0</vt:i4>
      </vt:variant>
      <vt:variant>
        <vt:i4>5</vt:i4>
      </vt:variant>
      <vt:variant>
        <vt:lpwstr>https://sharedservicescentre.sharepoint.com/sites/DEWR-SkillsSupplyPolicy/Shared Documents/Australian Skills Guarantee/Budget-Costings-PBS-PAES/2024-2025 Budget/Impact Analysis/Jobs and Skills Australia, Employment Projections. https:/www.jobsandskills.gov.au/data/employment-projections</vt:lpwstr>
      </vt:variant>
      <vt:variant>
        <vt:lpwstr/>
      </vt:variant>
      <vt:variant>
        <vt:i4>3932261</vt:i4>
      </vt:variant>
      <vt:variant>
        <vt:i4>138</vt:i4>
      </vt:variant>
      <vt:variant>
        <vt:i4>0</vt:i4>
      </vt:variant>
      <vt:variant>
        <vt:i4>5</vt:i4>
      </vt:variant>
      <vt:variant>
        <vt:lpwstr>https://www.wgea.gov.au/sites/default/files/documents/WGEA-MYOB.pdf</vt:lpwstr>
      </vt:variant>
      <vt:variant>
        <vt:lpwstr/>
      </vt:variant>
      <vt:variant>
        <vt:i4>6946923</vt:i4>
      </vt:variant>
      <vt:variant>
        <vt:i4>135</vt:i4>
      </vt:variant>
      <vt:variant>
        <vt:i4>0</vt:i4>
      </vt:variant>
      <vt:variant>
        <vt:i4>5</vt:i4>
      </vt:variant>
      <vt:variant>
        <vt:lpwstr>https://www.wgea.gov.au/sites/default/files/documents/Aurecon_elevating_women_in_STEM.pdf</vt:lpwstr>
      </vt:variant>
      <vt:variant>
        <vt:lpwstr/>
      </vt:variant>
      <vt:variant>
        <vt:i4>4128825</vt:i4>
      </vt:variant>
      <vt:variant>
        <vt:i4>132</vt:i4>
      </vt:variant>
      <vt:variant>
        <vt:i4>0</vt:i4>
      </vt:variant>
      <vt:variant>
        <vt:i4>5</vt:i4>
      </vt:variant>
      <vt:variant>
        <vt:lpwstr>https://www.dewr.gov.au/australian-apprenticeships/resources/australian-apprenticeships-incentive-system-factsheet</vt:lpwstr>
      </vt:variant>
      <vt:variant>
        <vt:lpwstr/>
      </vt:variant>
      <vt:variant>
        <vt:i4>8257593</vt:i4>
      </vt:variant>
      <vt:variant>
        <vt:i4>129</vt:i4>
      </vt:variant>
      <vt:variant>
        <vt:i4>0</vt:i4>
      </vt:variant>
      <vt:variant>
        <vt:i4>5</vt:i4>
      </vt:variant>
      <vt:variant>
        <vt:lpwstr>https://www.procurement.govt.nz/broader-outcomes/construction-skills-and-training/</vt:lpwstr>
      </vt:variant>
      <vt:variant>
        <vt:lpwstr/>
      </vt:variant>
      <vt:variant>
        <vt:i4>327761</vt:i4>
      </vt:variant>
      <vt:variant>
        <vt:i4>126</vt:i4>
      </vt:variant>
      <vt:variant>
        <vt:i4>0</vt:i4>
      </vt:variant>
      <vt:variant>
        <vt:i4>5</vt:i4>
      </vt:variant>
      <vt:variant>
        <vt:lpwstr>https://www.canada.ca/en/services/jobs/training/support-skilled-trades-apprentices/contracts.html</vt:lpwstr>
      </vt:variant>
      <vt:variant>
        <vt:lpwstr/>
      </vt:variant>
      <vt:variant>
        <vt:i4>7471224</vt:i4>
      </vt:variant>
      <vt:variant>
        <vt:i4>123</vt:i4>
      </vt:variant>
      <vt:variant>
        <vt:i4>0</vt:i4>
      </vt:variant>
      <vt:variant>
        <vt:i4>5</vt:i4>
      </vt:variant>
      <vt:variant>
        <vt:lpwstr>https://www.gov.uk/government/publications/procurement-policy-note-0916-procuring-for-growth-balanced-scorecard</vt:lpwstr>
      </vt:variant>
      <vt:variant>
        <vt:lpwstr/>
      </vt:variant>
      <vt:variant>
        <vt:i4>7471154</vt:i4>
      </vt:variant>
      <vt:variant>
        <vt:i4>120</vt:i4>
      </vt:variant>
      <vt:variant>
        <vt:i4>0</vt:i4>
      </vt:variant>
      <vt:variant>
        <vt:i4>5</vt:i4>
      </vt:variant>
      <vt:variant>
        <vt:lpwstr>https://www.gov.uk/government/publications/procurement-policy-note-0620-taking-account-of-social-value-in-the-award-of-central-government-contracts</vt:lpwstr>
      </vt:variant>
      <vt:variant>
        <vt:lpwstr/>
      </vt:variant>
      <vt:variant>
        <vt:i4>6160469</vt:i4>
      </vt:variant>
      <vt:variant>
        <vt:i4>117</vt:i4>
      </vt:variant>
      <vt:variant>
        <vt:i4>0</vt:i4>
      </vt:variant>
      <vt:variant>
        <vt:i4>5</vt:i4>
      </vt:variant>
      <vt:variant>
        <vt:lpwstr>https://doi.org/10.1177/0143831X17745979</vt:lpwstr>
      </vt:variant>
      <vt:variant>
        <vt:lpwstr/>
      </vt:variant>
      <vt:variant>
        <vt:i4>6160469</vt:i4>
      </vt:variant>
      <vt:variant>
        <vt:i4>114</vt:i4>
      </vt:variant>
      <vt:variant>
        <vt:i4>0</vt:i4>
      </vt:variant>
      <vt:variant>
        <vt:i4>5</vt:i4>
      </vt:variant>
      <vt:variant>
        <vt:lpwstr>https://doi.org/10.1177/0143831X17745979</vt:lpwstr>
      </vt:variant>
      <vt:variant>
        <vt:lpwstr/>
      </vt:variant>
      <vt:variant>
        <vt:i4>4980841</vt:i4>
      </vt:variant>
      <vt:variant>
        <vt:i4>111</vt:i4>
      </vt:variant>
      <vt:variant>
        <vt:i4>0</vt:i4>
      </vt:variant>
      <vt:variant>
        <vt:i4>5</vt:i4>
      </vt:variant>
      <vt:variant>
        <vt:lpwstr>https://nawic.com.au/NAWIC/Chapters/QLD/QLD_11percentStrategy.aspx</vt:lpwstr>
      </vt:variant>
      <vt:variant>
        <vt:lpwstr/>
      </vt:variant>
      <vt:variant>
        <vt:i4>3670054</vt:i4>
      </vt:variant>
      <vt:variant>
        <vt:i4>108</vt:i4>
      </vt:variant>
      <vt:variant>
        <vt:i4>0</vt:i4>
      </vt:variant>
      <vt:variant>
        <vt:i4>5</vt:i4>
      </vt:variant>
      <vt:variant>
        <vt:lpwstr>https://www.epw.qld.gov.au/about/initiatives/women-in-construction</vt:lpwstr>
      </vt:variant>
      <vt:variant>
        <vt:lpwstr/>
      </vt:variant>
      <vt:variant>
        <vt:i4>8323171</vt:i4>
      </vt:variant>
      <vt:variant>
        <vt:i4>105</vt:i4>
      </vt:variant>
      <vt:variant>
        <vt:i4>0</vt:i4>
      </vt:variant>
      <vt:variant>
        <vt:i4>5</vt:i4>
      </vt:variant>
      <vt:variant>
        <vt:lpwstr>https://www.nsw.gov.au/education-and-training/vocational/vet-programs/infrastructure-skills</vt:lpwstr>
      </vt:variant>
      <vt:variant>
        <vt:lpwstr>toc-case-studies-and-achievements</vt:lpwstr>
      </vt:variant>
      <vt:variant>
        <vt:i4>983086</vt:i4>
      </vt:variant>
      <vt:variant>
        <vt:i4>102</vt:i4>
      </vt:variant>
      <vt:variant>
        <vt:i4>0</vt:i4>
      </vt:variant>
      <vt:variant>
        <vt:i4>5</vt:i4>
      </vt:variant>
      <vt:variant>
        <vt:lpwstr>https://localjobsfirst.vic.gov.au/__data/assets/pdf_file/0040/189859/Local-Jobs-First-Annual-Report-to-Parliament-2021-2022-PDF-22-mb.pdf</vt:lpwstr>
      </vt:variant>
      <vt:variant>
        <vt:lpwstr/>
      </vt:variant>
      <vt:variant>
        <vt:i4>1310815</vt:i4>
      </vt:variant>
      <vt:variant>
        <vt:i4>99</vt:i4>
      </vt:variant>
      <vt:variant>
        <vt:i4>0</vt:i4>
      </vt:variant>
      <vt:variant>
        <vt:i4>5</vt:i4>
      </vt:variant>
      <vt:variant>
        <vt:lpwstr>https://www.finance.gov.au/government/procurement/statistics-australian-government-procurement-contracts-</vt:lpwstr>
      </vt:variant>
      <vt:variant>
        <vt:lpwstr/>
      </vt:variant>
      <vt:variant>
        <vt:i4>1310815</vt:i4>
      </vt:variant>
      <vt:variant>
        <vt:i4>96</vt:i4>
      </vt:variant>
      <vt:variant>
        <vt:i4>0</vt:i4>
      </vt:variant>
      <vt:variant>
        <vt:i4>5</vt:i4>
      </vt:variant>
      <vt:variant>
        <vt:lpwstr>https://www.finance.gov.au/government/procurement/statistics-australian-government-procurement-contracts-</vt:lpwstr>
      </vt:variant>
      <vt:variant>
        <vt:lpwstr/>
      </vt:variant>
      <vt:variant>
        <vt:i4>5898266</vt:i4>
      </vt:variant>
      <vt:variant>
        <vt:i4>93</vt:i4>
      </vt:variant>
      <vt:variant>
        <vt:i4>0</vt:i4>
      </vt:variant>
      <vt:variant>
        <vt:i4>5</vt:i4>
      </vt:variant>
      <vt:variant>
        <vt:lpwstr>https://www.jobsandskills.gov.au/sites/default/files/2023-10/2023 SPL Key Findings Report.pdf</vt:lpwstr>
      </vt:variant>
      <vt:variant>
        <vt:lpwstr/>
      </vt:variant>
      <vt:variant>
        <vt:i4>524371</vt:i4>
      </vt:variant>
      <vt:variant>
        <vt:i4>90</vt:i4>
      </vt:variant>
      <vt:variant>
        <vt:i4>0</vt:i4>
      </vt:variant>
      <vt:variant>
        <vt:i4>5</vt:i4>
      </vt:variant>
      <vt:variant>
        <vt:lpwstr>https://www.rba.gov.au/publications/fsr/2022/oct/box-c-financial-stress-and-contagion-risks-in-the-residential-construction-industry.html</vt:lpwstr>
      </vt:variant>
      <vt:variant>
        <vt:lpwstr/>
      </vt:variant>
      <vt:variant>
        <vt:i4>3276847</vt:i4>
      </vt:variant>
      <vt:variant>
        <vt:i4>87</vt:i4>
      </vt:variant>
      <vt:variant>
        <vt:i4>0</vt:i4>
      </vt:variant>
      <vt:variant>
        <vt:i4>5</vt:i4>
      </vt:variant>
      <vt:variant>
        <vt:lpwstr>https://www.jobsandskills.gov.au/data/skills-priority-list</vt:lpwstr>
      </vt:variant>
      <vt:variant>
        <vt:lpwstr/>
      </vt:variant>
      <vt:variant>
        <vt:i4>7012469</vt:i4>
      </vt:variant>
      <vt:variant>
        <vt:i4>84</vt:i4>
      </vt:variant>
      <vt:variant>
        <vt:i4>0</vt:i4>
      </vt:variant>
      <vt:variant>
        <vt:i4>5</vt:i4>
      </vt:variant>
      <vt:variant>
        <vt:lpwstr>https://www.pmc.gov.au/news/womens-economic-equality-taskforce-final-report-government</vt:lpwstr>
      </vt:variant>
      <vt:variant>
        <vt:lpwstr/>
      </vt:variant>
      <vt:variant>
        <vt:i4>1114138</vt:i4>
      </vt:variant>
      <vt:variant>
        <vt:i4>81</vt:i4>
      </vt:variant>
      <vt:variant>
        <vt:i4>0</vt:i4>
      </vt:variant>
      <vt:variant>
        <vt:i4>5</vt:i4>
      </vt:variant>
      <vt:variant>
        <vt:lpwstr>https://www.wgea.gov.au/sites/default/files/documents/WGEA-St-Barbara.pdf</vt:lpwstr>
      </vt:variant>
      <vt:variant>
        <vt:lpwstr/>
      </vt:variant>
      <vt:variant>
        <vt:i4>7995504</vt:i4>
      </vt:variant>
      <vt:variant>
        <vt:i4>78</vt:i4>
      </vt:variant>
      <vt:variant>
        <vt:i4>0</vt:i4>
      </vt:variant>
      <vt:variant>
        <vt:i4>5</vt:i4>
      </vt:variant>
      <vt:variant>
        <vt:lpwstr>https://www.ncver.edu.au/research-and-statistics/publications/all-publications/total-vet-students-and-courses-2022</vt:lpwstr>
      </vt:variant>
      <vt:variant>
        <vt:lpwstr/>
      </vt:variant>
      <vt:variant>
        <vt:i4>196616</vt:i4>
      </vt:variant>
      <vt:variant>
        <vt:i4>72</vt:i4>
      </vt:variant>
      <vt:variant>
        <vt:i4>0</vt:i4>
      </vt:variant>
      <vt:variant>
        <vt:i4>5</vt:i4>
      </vt:variant>
      <vt:variant>
        <vt:lpwstr>https://humanrights.gov.au/our-work/sex-discrimination/publications/everyones-business-fourth-national-survey-sexual</vt:lpwstr>
      </vt:variant>
      <vt:variant>
        <vt:lpwstr/>
      </vt:variant>
      <vt:variant>
        <vt:i4>2555937</vt:i4>
      </vt:variant>
      <vt:variant>
        <vt:i4>69</vt:i4>
      </vt:variant>
      <vt:variant>
        <vt:i4>0</vt:i4>
      </vt:variant>
      <vt:variant>
        <vt:i4>5</vt:i4>
      </vt:variant>
      <vt:variant>
        <vt:lpwstr>https://journals.sagepub.com/doi/full/10.1177/10353046221096270</vt:lpwstr>
      </vt:variant>
      <vt:variant>
        <vt:lpwstr/>
      </vt:variant>
      <vt:variant>
        <vt:i4>2555937</vt:i4>
      </vt:variant>
      <vt:variant>
        <vt:i4>66</vt:i4>
      </vt:variant>
      <vt:variant>
        <vt:i4>0</vt:i4>
      </vt:variant>
      <vt:variant>
        <vt:i4>5</vt:i4>
      </vt:variant>
      <vt:variant>
        <vt:lpwstr>https://journals.sagepub.com/doi/full/10.1177/10353046221096270</vt:lpwstr>
      </vt:variant>
      <vt:variant>
        <vt:lpwstr/>
      </vt:variant>
      <vt:variant>
        <vt:i4>2555937</vt:i4>
      </vt:variant>
      <vt:variant>
        <vt:i4>63</vt:i4>
      </vt:variant>
      <vt:variant>
        <vt:i4>0</vt:i4>
      </vt:variant>
      <vt:variant>
        <vt:i4>5</vt:i4>
      </vt:variant>
      <vt:variant>
        <vt:lpwstr>https://journals.sagepub.com/doi/full/10.1177/10353046221096270</vt:lpwstr>
      </vt:variant>
      <vt:variant>
        <vt:lpwstr/>
      </vt:variant>
      <vt:variant>
        <vt:i4>2555937</vt:i4>
      </vt:variant>
      <vt:variant>
        <vt:i4>60</vt:i4>
      </vt:variant>
      <vt:variant>
        <vt:i4>0</vt:i4>
      </vt:variant>
      <vt:variant>
        <vt:i4>5</vt:i4>
      </vt:variant>
      <vt:variant>
        <vt:lpwstr>https://journals.sagepub.com/doi/full/10.1177/10353046221096270</vt:lpwstr>
      </vt:variant>
      <vt:variant>
        <vt:lpwstr/>
      </vt:variant>
      <vt:variant>
        <vt:i4>2555937</vt:i4>
      </vt:variant>
      <vt:variant>
        <vt:i4>57</vt:i4>
      </vt:variant>
      <vt:variant>
        <vt:i4>0</vt:i4>
      </vt:variant>
      <vt:variant>
        <vt:i4>5</vt:i4>
      </vt:variant>
      <vt:variant>
        <vt:lpwstr>https://journals.sagepub.com/doi/full/10.1177/10353046221096270</vt:lpwstr>
      </vt:variant>
      <vt:variant>
        <vt:lpwstr/>
      </vt:variant>
      <vt:variant>
        <vt:i4>2555937</vt:i4>
      </vt:variant>
      <vt:variant>
        <vt:i4>54</vt:i4>
      </vt:variant>
      <vt:variant>
        <vt:i4>0</vt:i4>
      </vt:variant>
      <vt:variant>
        <vt:i4>5</vt:i4>
      </vt:variant>
      <vt:variant>
        <vt:lpwstr>https://journals.sagepub.com/doi/full/10.1177/10353046221096270</vt:lpwstr>
      </vt:variant>
      <vt:variant>
        <vt:lpwstr/>
      </vt:variant>
      <vt:variant>
        <vt:i4>2555937</vt:i4>
      </vt:variant>
      <vt:variant>
        <vt:i4>51</vt:i4>
      </vt:variant>
      <vt:variant>
        <vt:i4>0</vt:i4>
      </vt:variant>
      <vt:variant>
        <vt:i4>5</vt:i4>
      </vt:variant>
      <vt:variant>
        <vt:lpwstr>https://journals.sagepub.com/doi/full/10.1177/10353046221096270</vt:lpwstr>
      </vt:variant>
      <vt:variant>
        <vt:lpwstr/>
      </vt:variant>
      <vt:variant>
        <vt:i4>2555937</vt:i4>
      </vt:variant>
      <vt:variant>
        <vt:i4>48</vt:i4>
      </vt:variant>
      <vt:variant>
        <vt:i4>0</vt:i4>
      </vt:variant>
      <vt:variant>
        <vt:i4>5</vt:i4>
      </vt:variant>
      <vt:variant>
        <vt:lpwstr>https://journals.sagepub.com/doi/full/10.1177/10353046221096270</vt:lpwstr>
      </vt:variant>
      <vt:variant>
        <vt:lpwstr/>
      </vt:variant>
      <vt:variant>
        <vt:i4>2555937</vt:i4>
      </vt:variant>
      <vt:variant>
        <vt:i4>45</vt:i4>
      </vt:variant>
      <vt:variant>
        <vt:i4>0</vt:i4>
      </vt:variant>
      <vt:variant>
        <vt:i4>5</vt:i4>
      </vt:variant>
      <vt:variant>
        <vt:lpwstr>https://journals.sagepub.com/doi/full/10.1177/10353046221096270</vt:lpwstr>
      </vt:variant>
      <vt:variant>
        <vt:lpwstr/>
      </vt:variant>
      <vt:variant>
        <vt:i4>7405619</vt:i4>
      </vt:variant>
      <vt:variant>
        <vt:i4>42</vt:i4>
      </vt:variant>
      <vt:variant>
        <vt:i4>0</vt:i4>
      </vt:variant>
      <vt:variant>
        <vt:i4>5</vt:i4>
      </vt:variant>
      <vt:variant>
        <vt:lpwstr>https://online.rmit.edu.au/blog/digital-skills-gap-costing-australian-businesses-9-million-day</vt:lpwstr>
      </vt:variant>
      <vt:variant>
        <vt:lpwstr/>
      </vt:variant>
      <vt:variant>
        <vt:i4>5636160</vt:i4>
      </vt:variant>
      <vt:variant>
        <vt:i4>39</vt:i4>
      </vt:variant>
      <vt:variant>
        <vt:i4>0</vt:i4>
      </vt:variant>
      <vt:variant>
        <vt:i4>5</vt:i4>
      </vt:variant>
      <vt:variant>
        <vt:lpwstr>https://cybercx.com.au/resource/cyber-skills-report-2022/</vt:lpwstr>
      </vt:variant>
      <vt:variant>
        <vt:lpwstr/>
      </vt:variant>
      <vt:variant>
        <vt:i4>851997</vt:i4>
      </vt:variant>
      <vt:variant>
        <vt:i4>36</vt:i4>
      </vt:variant>
      <vt:variant>
        <vt:i4>0</vt:i4>
      </vt:variant>
      <vt:variant>
        <vt:i4>5</vt:i4>
      </vt:variant>
      <vt:variant>
        <vt:lpwstr>https://www.abs.gov.au/statistics/labour/jobs/job-vacancies-australia/latest-release</vt:lpwstr>
      </vt:variant>
      <vt:variant>
        <vt:lpwstr/>
      </vt:variant>
      <vt:variant>
        <vt:i4>7733360</vt:i4>
      </vt:variant>
      <vt:variant>
        <vt:i4>33</vt:i4>
      </vt:variant>
      <vt:variant>
        <vt:i4>0</vt:i4>
      </vt:variant>
      <vt:variant>
        <vt:i4>5</vt:i4>
      </vt:variant>
      <vt:variant>
        <vt:lpwstr>http://www.abs.gov.au/statistics/labour/jobs/job-vacancies-australia/latest-release</vt:lpwstr>
      </vt:variant>
      <vt:variant>
        <vt:lpwstr/>
      </vt:variant>
      <vt:variant>
        <vt:i4>589835</vt:i4>
      </vt:variant>
      <vt:variant>
        <vt:i4>30</vt:i4>
      </vt:variant>
      <vt:variant>
        <vt:i4>0</vt:i4>
      </vt:variant>
      <vt:variant>
        <vt:i4>5</vt:i4>
      </vt:variant>
      <vt:variant>
        <vt:lpwstr>https://www.jobsandskills.gov.au/data/recruitment-experiences-and-outlook-survey</vt:lpwstr>
      </vt:variant>
      <vt:variant>
        <vt:lpwstr/>
      </vt:variant>
      <vt:variant>
        <vt:i4>7012469</vt:i4>
      </vt:variant>
      <vt:variant>
        <vt:i4>27</vt:i4>
      </vt:variant>
      <vt:variant>
        <vt:i4>0</vt:i4>
      </vt:variant>
      <vt:variant>
        <vt:i4>5</vt:i4>
      </vt:variant>
      <vt:variant>
        <vt:lpwstr>https://www.pmc.gov.au/news/womens-economic-equality-taskforce-final-report-government</vt:lpwstr>
      </vt:variant>
      <vt:variant>
        <vt:lpwstr/>
      </vt:variant>
      <vt:variant>
        <vt:i4>1310728</vt:i4>
      </vt:variant>
      <vt:variant>
        <vt:i4>24</vt:i4>
      </vt:variant>
      <vt:variant>
        <vt:i4>0</vt:i4>
      </vt:variant>
      <vt:variant>
        <vt:i4>5</vt:i4>
      </vt:variant>
      <vt:variant>
        <vt:lpwstr>https://www.jobsandskills.gov.au/news/gender-inequality-impacting-fill-rates</vt:lpwstr>
      </vt:variant>
      <vt:variant>
        <vt:lpwstr/>
      </vt:variant>
      <vt:variant>
        <vt:i4>4521984</vt:i4>
      </vt:variant>
      <vt:variant>
        <vt:i4>21</vt:i4>
      </vt:variant>
      <vt:variant>
        <vt:i4>0</vt:i4>
      </vt:variant>
      <vt:variant>
        <vt:i4>5</vt:i4>
      </vt:variant>
      <vt:variant>
        <vt:lpwstr>https://www.pmc.gov.au/resources/national-strategy-achieve-gender-equality-discussion-paper/current-state/stereotypes</vt:lpwstr>
      </vt:variant>
      <vt:variant>
        <vt:lpwstr/>
      </vt:variant>
      <vt:variant>
        <vt:i4>5570655</vt:i4>
      </vt:variant>
      <vt:variant>
        <vt:i4>18</vt:i4>
      </vt:variant>
      <vt:variant>
        <vt:i4>0</vt:i4>
      </vt:variant>
      <vt:variant>
        <vt:i4>5</vt:i4>
      </vt:variant>
      <vt:variant>
        <vt:lpwstr>https://www.ncver.edu.au/research-and-statistics/publications/all-publications/apprentices-and-trainees-2022-june-quarter</vt:lpwstr>
      </vt:variant>
      <vt:variant>
        <vt:lpwstr/>
      </vt:variant>
      <vt:variant>
        <vt:i4>3276847</vt:i4>
      </vt:variant>
      <vt:variant>
        <vt:i4>15</vt:i4>
      </vt:variant>
      <vt:variant>
        <vt:i4>0</vt:i4>
      </vt:variant>
      <vt:variant>
        <vt:i4>5</vt:i4>
      </vt:variant>
      <vt:variant>
        <vt:lpwstr>https://www.jobsandskills.gov.au/data/skills-priority-list</vt:lpwstr>
      </vt:variant>
      <vt:variant>
        <vt:lpwstr/>
      </vt:variant>
      <vt:variant>
        <vt:i4>3276847</vt:i4>
      </vt:variant>
      <vt:variant>
        <vt:i4>12</vt:i4>
      </vt:variant>
      <vt:variant>
        <vt:i4>0</vt:i4>
      </vt:variant>
      <vt:variant>
        <vt:i4>5</vt:i4>
      </vt:variant>
      <vt:variant>
        <vt:lpwstr>https://www.jobsandskills.gov.au/data/skills-priority-list</vt:lpwstr>
      </vt:variant>
      <vt:variant>
        <vt:lpwstr/>
      </vt:variant>
      <vt:variant>
        <vt:i4>2883647</vt:i4>
      </vt:variant>
      <vt:variant>
        <vt:i4>9</vt:i4>
      </vt:variant>
      <vt:variant>
        <vt:i4>0</vt:i4>
      </vt:variant>
      <vt:variant>
        <vt:i4>5</vt:i4>
      </vt:variant>
      <vt:variant>
        <vt:lpwstr>https://www.jobsandskills.gov.au/sites/default/files/2022-03/ABS Paper - Digital Skills.pdf</vt:lpwstr>
      </vt:variant>
      <vt:variant>
        <vt:lpwstr/>
      </vt:variant>
      <vt:variant>
        <vt:i4>3276847</vt:i4>
      </vt:variant>
      <vt:variant>
        <vt:i4>6</vt:i4>
      </vt:variant>
      <vt:variant>
        <vt:i4>0</vt:i4>
      </vt:variant>
      <vt:variant>
        <vt:i4>5</vt:i4>
      </vt:variant>
      <vt:variant>
        <vt:lpwstr>https://www.jobsandskills.gov.au/data/skills-priority-list</vt:lpwstr>
      </vt:variant>
      <vt:variant>
        <vt:lpwstr/>
      </vt:variant>
      <vt:variant>
        <vt:i4>2228276</vt:i4>
      </vt:variant>
      <vt:variant>
        <vt:i4>3</vt:i4>
      </vt:variant>
      <vt:variant>
        <vt:i4>0</vt:i4>
      </vt:variant>
      <vt:variant>
        <vt:i4>5</vt:i4>
      </vt:variant>
      <vt:variant>
        <vt:lpwstr>Jobs and Skills Australia, Employment Projections. https:/www.jobsandskills.gov.au/data/employment-projections</vt:lpwstr>
      </vt:variant>
      <vt:variant>
        <vt:lpwstr/>
      </vt:variant>
      <vt:variant>
        <vt:i4>3276847</vt:i4>
      </vt:variant>
      <vt:variant>
        <vt:i4>0</vt:i4>
      </vt:variant>
      <vt:variant>
        <vt:i4>0</vt:i4>
      </vt:variant>
      <vt:variant>
        <vt:i4>5</vt:i4>
      </vt:variant>
      <vt:variant>
        <vt:lpwstr>https://www.jobsandskills.gov.au/data/skills-priority-list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2024-05-14T06:29:00Z</dcterms:created>
  <dcterms:modified xsi:type="dcterms:W3CDTF">2024-05-14T06:30:00Z</dcterms:modified>
</cp:coreProperties>
</file>