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475" w:rsidRPr="001B4B5A" w:rsidRDefault="00F66475" w:rsidP="00F66475">
      <w:pPr>
        <w:rPr>
          <w:rFonts w:asciiTheme="majorHAnsi" w:hAnsiTheme="majorHAnsi" w:cstheme="majorHAnsi"/>
          <w:b/>
          <w:bCs/>
          <w:color w:val="009999"/>
          <w:sz w:val="64"/>
          <w:szCs w:val="64"/>
          <w:lang w:eastAsia="ja-JP"/>
        </w:rPr>
      </w:pPr>
      <w:bookmarkStart w:id="0" w:name="_Toc148025969"/>
      <w:bookmarkStart w:id="1" w:name="_Toc96326909"/>
      <w:bookmarkStart w:id="2" w:name="_GoBack"/>
      <w:bookmarkEnd w:id="2"/>
      <w:r w:rsidRPr="00835EB2">
        <w:rPr>
          <w:rFonts w:asciiTheme="majorHAnsi" w:hAnsiTheme="majorHAnsi" w:cstheme="majorHAnsi"/>
          <w:b/>
          <w:color w:val="009999"/>
          <w:sz w:val="64"/>
          <w:szCs w:val="64"/>
          <w:lang w:eastAsia="ja-JP"/>
        </w:rPr>
        <w:t>Options for e</w:t>
      </w:r>
      <w:r w:rsidRPr="001B4B5A">
        <w:rPr>
          <w:rFonts w:asciiTheme="majorHAnsi" w:hAnsiTheme="majorHAnsi" w:cstheme="majorHAnsi"/>
          <w:b/>
          <w:bCs/>
          <w:color w:val="009999"/>
          <w:sz w:val="64"/>
          <w:szCs w:val="64"/>
          <w:lang w:eastAsia="ja-JP"/>
        </w:rPr>
        <w:t xml:space="preserve">lectricity generation and storage capacity </w:t>
      </w:r>
      <w:bookmarkEnd w:id="0"/>
    </w:p>
    <w:p w:rsidR="00F66475" w:rsidRDefault="00F66475" w:rsidP="00F66475"/>
    <w:p w:rsidR="00F66475" w:rsidRPr="00835EB2" w:rsidRDefault="00F66475" w:rsidP="00F66475">
      <w:pPr>
        <w:rPr>
          <w:rFonts w:asciiTheme="majorHAnsi" w:hAnsiTheme="majorHAnsi" w:cstheme="majorHAnsi"/>
          <w:color w:val="197C7D"/>
          <w:sz w:val="44"/>
          <w:szCs w:val="44"/>
          <w:lang w:val="en-US"/>
        </w:rPr>
      </w:pPr>
      <w:bookmarkStart w:id="3" w:name="_Toc148025970"/>
      <w:r w:rsidRPr="00835EB2">
        <w:rPr>
          <w:rFonts w:asciiTheme="majorHAnsi" w:hAnsiTheme="majorHAnsi" w:cstheme="majorHAnsi"/>
          <w:color w:val="197C7D"/>
          <w:sz w:val="44"/>
          <w:szCs w:val="44"/>
          <w:lang w:val="en-US"/>
        </w:rPr>
        <w:t>Impact Analysis</w:t>
      </w:r>
      <w:bookmarkEnd w:id="3"/>
    </w:p>
    <w:p w:rsidR="00F66475" w:rsidRDefault="00F66475" w:rsidP="00F66475">
      <w:pPr>
        <w:rPr>
          <w:rStyle w:val="Emphasis"/>
          <w:i w:val="0"/>
        </w:rPr>
      </w:pPr>
    </w:p>
    <w:p w:rsidR="00F66475" w:rsidRPr="00C243DF" w:rsidRDefault="00F66475" w:rsidP="00F66475">
      <w:pPr>
        <w:rPr>
          <w:rStyle w:val="Emphasis"/>
          <w:i w:val="0"/>
        </w:rPr>
      </w:pPr>
    </w:p>
    <w:p w:rsidR="00F66475" w:rsidRDefault="00F66475" w:rsidP="00F66475">
      <w:pPr>
        <w:spacing w:after="200" w:line="288" w:lineRule="auto"/>
        <w:rPr>
          <w:iCs/>
        </w:rPr>
      </w:pPr>
      <w:r>
        <w:rPr>
          <w:iCs/>
        </w:rPr>
        <w:br w:type="page"/>
      </w:r>
    </w:p>
    <w:p w:rsidR="00F66475" w:rsidRPr="00E827BA" w:rsidRDefault="00F66475" w:rsidP="00F66475">
      <w:pPr>
        <w:spacing w:after="120"/>
        <w:ind w:right="567"/>
        <w:rPr>
          <w:rFonts w:asciiTheme="majorHAnsi" w:eastAsiaTheme="majorEastAsia" w:hAnsiTheme="majorHAnsi" w:cstheme="majorBidi"/>
          <w:color w:val="197C7D"/>
          <w:sz w:val="24"/>
          <w:szCs w:val="24"/>
        </w:rPr>
      </w:pPr>
      <w:bookmarkStart w:id="4" w:name="_Toc19023739"/>
      <w:bookmarkStart w:id="5" w:name="_Toc19289802"/>
      <w:bookmarkStart w:id="6" w:name="_Toc47966973"/>
      <w:bookmarkStart w:id="7" w:name="_Toc49184892"/>
      <w:bookmarkStart w:id="8" w:name="_Toc49374439"/>
      <w:bookmarkStart w:id="9" w:name="_Toc49855056"/>
      <w:bookmarkStart w:id="10" w:name="_Toc49855083"/>
      <w:bookmarkStart w:id="11" w:name="_Toc49893663"/>
      <w:bookmarkStart w:id="12" w:name="_Toc50062338"/>
      <w:bookmarkStart w:id="13" w:name="_Toc117176800"/>
      <w:bookmarkStart w:id="14" w:name="_Toc117255403"/>
      <w:bookmarkStart w:id="15" w:name="_Toc117263144"/>
      <w:bookmarkStart w:id="16" w:name="_Toc117437225"/>
      <w:bookmarkStart w:id="17" w:name="_Toc117499173"/>
      <w:bookmarkStart w:id="18" w:name="_Toc117521020"/>
      <w:bookmarkStart w:id="19" w:name="_Toc117524767"/>
      <w:bookmarkStart w:id="20" w:name="_Toc117543958"/>
      <w:bookmarkStart w:id="21" w:name="_Toc117548309"/>
      <w:bookmarkStart w:id="22" w:name="_Toc117588627"/>
      <w:bookmarkStart w:id="23" w:name="_Toc117588671"/>
      <w:bookmarkStart w:id="24" w:name="_Toc117604789"/>
      <w:bookmarkStart w:id="25" w:name="_Toc117612871"/>
      <w:bookmarkStart w:id="26" w:name="_Toc117627709"/>
      <w:bookmarkStart w:id="27" w:name="_Toc117630374"/>
      <w:bookmarkStart w:id="28" w:name="_Toc117867981"/>
      <w:bookmarkStart w:id="29" w:name="_Toc117887995"/>
      <w:bookmarkStart w:id="30" w:name="_Toc117951439"/>
      <w:bookmarkStart w:id="31" w:name="_Toc117960086"/>
      <w:bookmarkStart w:id="32" w:name="_Toc118040347"/>
      <w:bookmarkStart w:id="33" w:name="_Toc118196199"/>
      <w:bookmarkStart w:id="34" w:name="_Toc118198368"/>
      <w:bookmarkStart w:id="35" w:name="_Toc118198783"/>
      <w:bookmarkStart w:id="36" w:name="_Toc118198974"/>
      <w:bookmarkStart w:id="37" w:name="_Toc118199528"/>
      <w:bookmarkStart w:id="38" w:name="_Toc118304100"/>
      <w:bookmarkStart w:id="39" w:name="_Toc118304131"/>
      <w:bookmarkStart w:id="40" w:name="_Toc118306333"/>
      <w:bookmarkStart w:id="41" w:name="_Toc118308325"/>
      <w:bookmarkStart w:id="42" w:name="_Toc118317104"/>
      <w:r w:rsidRPr="00E827BA">
        <w:rPr>
          <w:rFonts w:asciiTheme="majorHAnsi" w:eastAsiaTheme="majorEastAsia" w:hAnsiTheme="majorHAnsi" w:cstheme="majorBidi"/>
          <w:color w:val="197C7D"/>
          <w:sz w:val="24"/>
          <w:szCs w:val="24"/>
        </w:rPr>
        <w:lastRenderedPageBreak/>
        <w:t>Copyright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66475" w:rsidRPr="00E827BA" w:rsidRDefault="00F66475" w:rsidP="00F66475">
      <w:pPr>
        <w:spacing w:after="120"/>
        <w:rPr>
          <w:rFonts w:ascii="Calibri" w:eastAsia="Calibri" w:hAnsi="Calibri" w:cs="Times New Roman"/>
          <w:b/>
          <w:bCs/>
          <w:color w:val="262626"/>
          <w:sz w:val="20"/>
          <w:szCs w:val="20"/>
        </w:rPr>
      </w:pPr>
      <w:r w:rsidRPr="00E827BA">
        <w:rPr>
          <w:rFonts w:ascii="Calibri" w:eastAsia="Calibri" w:hAnsi="Calibri" w:cs="Times New Roman"/>
          <w:b/>
          <w:bCs/>
          <w:color w:val="262626"/>
          <w:sz w:val="20"/>
          <w:szCs w:val="20"/>
        </w:rPr>
        <w:t>© Commonwealth of Australia 2023</w:t>
      </w:r>
    </w:p>
    <w:p w:rsidR="00F66475" w:rsidRPr="00E827BA" w:rsidRDefault="00F66475" w:rsidP="00F66475">
      <w:pPr>
        <w:spacing w:after="120"/>
        <w:rPr>
          <w:rFonts w:ascii="Calibri" w:eastAsia="Calibri" w:hAnsi="Calibri" w:cs="Times New Roman"/>
          <w:b/>
          <w:bCs/>
          <w:color w:val="262626"/>
          <w:sz w:val="20"/>
          <w:szCs w:val="20"/>
        </w:rPr>
      </w:pPr>
      <w:r w:rsidRPr="00E827BA">
        <w:rPr>
          <w:rFonts w:ascii="Calibri" w:eastAsia="Calibri" w:hAnsi="Calibri" w:cs="Times New Roman"/>
          <w:b/>
          <w:bCs/>
          <w:color w:val="262626"/>
          <w:sz w:val="20"/>
          <w:szCs w:val="20"/>
        </w:rPr>
        <w:t>Ownership of intellectual property rights</w:t>
      </w:r>
    </w:p>
    <w:p w:rsidR="00F66475" w:rsidRPr="00E827BA" w:rsidRDefault="00F66475" w:rsidP="00F66475">
      <w:pPr>
        <w:spacing w:after="120"/>
        <w:rPr>
          <w:rFonts w:ascii="Calibri" w:eastAsia="Calibri" w:hAnsi="Calibri" w:cs="Times New Roman"/>
          <w:color w:val="262626"/>
          <w:sz w:val="20"/>
          <w:szCs w:val="20"/>
        </w:rPr>
      </w:pPr>
      <w:r w:rsidRPr="00E827BA">
        <w:rPr>
          <w:rFonts w:ascii="Calibri" w:eastAsia="Calibri" w:hAnsi="Calibri" w:cs="Times New Roman"/>
          <w:color w:val="262626"/>
          <w:sz w:val="20"/>
          <w:szCs w:val="20"/>
        </w:rPr>
        <w:t>Unless otherwise noted, copyright (and any other intellectual property rights, if any) in this publication is owned by the Commonwealth of Australia.</w:t>
      </w:r>
    </w:p>
    <w:p w:rsidR="00F66475" w:rsidRPr="00E827BA" w:rsidRDefault="00F66475" w:rsidP="00F66475">
      <w:pPr>
        <w:spacing w:after="120"/>
        <w:ind w:right="567"/>
        <w:rPr>
          <w:rFonts w:asciiTheme="majorHAnsi" w:eastAsiaTheme="majorEastAsia" w:hAnsiTheme="majorHAnsi" w:cstheme="majorBidi"/>
          <w:color w:val="197C7D"/>
          <w:sz w:val="24"/>
          <w:szCs w:val="24"/>
        </w:rPr>
      </w:pPr>
      <w:bookmarkStart w:id="43" w:name="_Toc19023740"/>
      <w:bookmarkStart w:id="44" w:name="_Toc19289803"/>
      <w:bookmarkStart w:id="45" w:name="_Toc47966974"/>
      <w:bookmarkStart w:id="46" w:name="_Toc49184893"/>
      <w:bookmarkStart w:id="47" w:name="_Toc49374440"/>
      <w:bookmarkStart w:id="48" w:name="_Toc49855057"/>
      <w:bookmarkStart w:id="49" w:name="_Toc49855084"/>
      <w:bookmarkStart w:id="50" w:name="_Toc49893664"/>
      <w:bookmarkStart w:id="51" w:name="_Toc50062339"/>
      <w:bookmarkStart w:id="52" w:name="_Toc117176801"/>
      <w:bookmarkStart w:id="53" w:name="_Toc117255404"/>
      <w:bookmarkStart w:id="54" w:name="_Toc117263145"/>
      <w:bookmarkStart w:id="55" w:name="_Toc117437226"/>
      <w:bookmarkStart w:id="56" w:name="_Toc117499174"/>
      <w:bookmarkStart w:id="57" w:name="_Toc117521021"/>
      <w:bookmarkStart w:id="58" w:name="_Toc117524768"/>
      <w:bookmarkStart w:id="59" w:name="_Toc117543959"/>
      <w:bookmarkStart w:id="60" w:name="_Toc117548310"/>
      <w:bookmarkStart w:id="61" w:name="_Toc117588628"/>
      <w:bookmarkStart w:id="62" w:name="_Toc117588672"/>
      <w:bookmarkStart w:id="63" w:name="_Toc117604790"/>
      <w:bookmarkStart w:id="64" w:name="_Toc117612872"/>
      <w:bookmarkStart w:id="65" w:name="_Toc117627710"/>
      <w:bookmarkStart w:id="66" w:name="_Toc117630375"/>
      <w:bookmarkStart w:id="67" w:name="_Toc117867982"/>
      <w:bookmarkStart w:id="68" w:name="_Toc117887996"/>
      <w:bookmarkStart w:id="69" w:name="_Toc117951440"/>
      <w:bookmarkStart w:id="70" w:name="_Toc117960087"/>
      <w:bookmarkStart w:id="71" w:name="_Toc118040348"/>
      <w:bookmarkStart w:id="72" w:name="_Toc118196200"/>
      <w:bookmarkStart w:id="73" w:name="_Toc118198369"/>
      <w:bookmarkStart w:id="74" w:name="_Toc118198784"/>
      <w:bookmarkStart w:id="75" w:name="_Toc118198975"/>
      <w:bookmarkStart w:id="76" w:name="_Toc118199529"/>
      <w:bookmarkStart w:id="77" w:name="_Toc118304101"/>
      <w:bookmarkStart w:id="78" w:name="_Toc118304132"/>
      <w:bookmarkStart w:id="79" w:name="_Toc118306334"/>
      <w:bookmarkStart w:id="80" w:name="_Toc118308326"/>
      <w:bookmarkStart w:id="81" w:name="_Toc118317105"/>
      <w:r w:rsidRPr="00E827BA">
        <w:rPr>
          <w:rFonts w:asciiTheme="majorHAnsi" w:eastAsiaTheme="majorEastAsia" w:hAnsiTheme="majorHAnsi" w:cstheme="majorBidi"/>
          <w:color w:val="197C7D"/>
          <w:sz w:val="24"/>
          <w:szCs w:val="24"/>
        </w:rPr>
        <w:t>Disclaimer</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F66475" w:rsidRPr="00E827BA" w:rsidRDefault="00F66475" w:rsidP="00F66475">
      <w:pPr>
        <w:spacing w:after="120"/>
        <w:rPr>
          <w:rFonts w:ascii="Calibri" w:eastAsia="Calibri" w:hAnsi="Calibri" w:cs="Times New Roman"/>
          <w:color w:val="262626"/>
          <w:sz w:val="20"/>
          <w:szCs w:val="20"/>
        </w:rPr>
      </w:pPr>
      <w:r>
        <w:rPr>
          <w:rFonts w:ascii="Calibri" w:eastAsia="Calibri" w:hAnsi="Calibri" w:cs="Times New Roman"/>
          <w:color w:val="262626"/>
          <w:sz w:val="20"/>
          <w:szCs w:val="20"/>
        </w:rPr>
        <w:t>T</w:t>
      </w:r>
      <w:r w:rsidRPr="00E827BA">
        <w:rPr>
          <w:rFonts w:ascii="Calibri" w:eastAsia="Calibri" w:hAnsi="Calibri" w:cs="Times New Roman"/>
          <w:color w:val="262626"/>
          <w:sz w:val="20"/>
          <w:szCs w:val="20"/>
        </w:rPr>
        <w:t>he Australian Government as represented by the Department of Climate Change, Energy, the Environment and Water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commitment by the Australian Government to a particular course of action.</w:t>
      </w: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p w:rsidR="00F66475" w:rsidRDefault="00F66475" w:rsidP="00F66475">
      <w:pPr>
        <w:jc w:val="center"/>
        <w:rPr>
          <w:rFonts w:ascii="Calibri" w:eastAsia="Calibri" w:hAnsi="Calibri" w:cs="Times New Roman"/>
          <w:sz w:val="20"/>
          <w:szCs w:val="20"/>
        </w:rPr>
      </w:pPr>
    </w:p>
    <w:bookmarkStart w:id="82" w:name="_Toc1524846623" w:displacedByCustomXml="next"/>
    <w:sdt>
      <w:sdtPr>
        <w:rPr>
          <w:rFonts w:asciiTheme="minorHAnsi" w:eastAsiaTheme="minorEastAsia" w:hAnsiTheme="minorHAnsi" w:cstheme="minorBidi"/>
          <w:color w:val="auto"/>
          <w:sz w:val="22"/>
          <w:szCs w:val="21"/>
        </w:rPr>
        <w:id w:val="765363345"/>
        <w:docPartObj>
          <w:docPartGallery w:val="Table of Contents"/>
          <w:docPartUnique/>
        </w:docPartObj>
      </w:sdtPr>
      <w:sdtEndPr/>
      <w:sdtContent>
        <w:p w:rsidR="00F66475" w:rsidRPr="002802ED" w:rsidRDefault="00F66475" w:rsidP="00F66475">
          <w:pPr>
            <w:pStyle w:val="Heading2"/>
            <w:keepNext w:val="0"/>
            <w:keepLines w:val="0"/>
            <w:pageBreakBefore/>
            <w:spacing w:before="0" w:after="240"/>
            <w:ind w:left="720" w:hanging="720"/>
            <w:rPr>
              <w:rFonts w:eastAsiaTheme="minorEastAsia"/>
              <w:b/>
              <w:bCs/>
              <w:color w:val="197C7D"/>
              <w:sz w:val="48"/>
              <w:szCs w:val="48"/>
              <w:lang w:eastAsia="ja-JP"/>
            </w:rPr>
          </w:pPr>
          <w:r w:rsidRPr="52A7AAAB">
            <w:rPr>
              <w:rFonts w:eastAsiaTheme="minorEastAsia"/>
              <w:color w:val="197C7D"/>
              <w:sz w:val="48"/>
              <w:szCs w:val="48"/>
              <w:lang w:eastAsia="ja-JP"/>
            </w:rPr>
            <w:t>Contents</w:t>
          </w:r>
          <w:bookmarkEnd w:id="82"/>
        </w:p>
        <w:p w:rsidR="00F66475" w:rsidRDefault="00F66475" w:rsidP="00F66475">
          <w:pPr>
            <w:pStyle w:val="TOC2"/>
            <w:tabs>
              <w:tab w:val="clear" w:pos="9628"/>
              <w:tab w:val="right" w:leader="dot" w:pos="9630"/>
            </w:tabs>
            <w:rPr>
              <w:rStyle w:val="Hyperlink"/>
              <w:kern w:val="2"/>
              <w:lang w:eastAsia="en-AU"/>
              <w14:ligatures w14:val="standardContextual"/>
            </w:rPr>
          </w:pPr>
          <w:r>
            <w:fldChar w:fldCharType="begin"/>
          </w:r>
          <w:r>
            <w:instrText>TOC \o "1-3" \h \z \u</w:instrText>
          </w:r>
          <w:r>
            <w:fldChar w:fldCharType="separate"/>
          </w:r>
          <w:hyperlink w:anchor="_Toc1524846623">
            <w:r w:rsidRPr="52A7AAAB">
              <w:rPr>
                <w:rStyle w:val="Hyperlink"/>
              </w:rPr>
              <w:t>Contents</w:t>
            </w:r>
            <w:r>
              <w:tab/>
            </w:r>
            <w:r>
              <w:fldChar w:fldCharType="begin"/>
            </w:r>
            <w:r>
              <w:instrText>PAGEREF _Toc1524846623 \h</w:instrText>
            </w:r>
            <w:r>
              <w:fldChar w:fldCharType="separate"/>
            </w:r>
            <w:r>
              <w:t>2</w:t>
            </w:r>
            <w:r>
              <w:fldChar w:fldCharType="end"/>
            </w:r>
          </w:hyperlink>
        </w:p>
        <w:p w:rsidR="00F66475" w:rsidRDefault="0031449E" w:rsidP="00F66475">
          <w:pPr>
            <w:pStyle w:val="TOC2"/>
            <w:tabs>
              <w:tab w:val="clear" w:pos="9628"/>
              <w:tab w:val="right" w:leader="dot" w:pos="9630"/>
            </w:tabs>
            <w:rPr>
              <w:rStyle w:val="Hyperlink"/>
              <w:kern w:val="2"/>
              <w:lang w:eastAsia="en-AU"/>
              <w14:ligatures w14:val="standardContextual"/>
            </w:rPr>
          </w:pPr>
          <w:hyperlink w:anchor="_Toc23330842">
            <w:r w:rsidR="00F66475" w:rsidRPr="52A7AAAB">
              <w:rPr>
                <w:rStyle w:val="Hyperlink"/>
              </w:rPr>
              <w:t>Glossary</w:t>
            </w:r>
            <w:r w:rsidR="00F66475">
              <w:tab/>
            </w:r>
            <w:r w:rsidR="00F66475">
              <w:fldChar w:fldCharType="begin"/>
            </w:r>
            <w:r w:rsidR="00F66475">
              <w:instrText>PAGEREF _Toc23330842 \h</w:instrText>
            </w:r>
            <w:r w:rsidR="00F66475">
              <w:fldChar w:fldCharType="separate"/>
            </w:r>
            <w:r w:rsidR="00F66475">
              <w:t>4</w:t>
            </w:r>
            <w:r w:rsidR="00F66475">
              <w:fldChar w:fldCharType="end"/>
            </w:r>
          </w:hyperlink>
        </w:p>
        <w:p w:rsidR="00F66475" w:rsidRPr="002802ED" w:rsidRDefault="0031449E" w:rsidP="00F66475">
          <w:pPr>
            <w:pStyle w:val="TOC2"/>
            <w:tabs>
              <w:tab w:val="clear" w:pos="9628"/>
              <w:tab w:val="right" w:leader="dot" w:pos="9630"/>
            </w:tabs>
            <w:rPr>
              <w:rStyle w:val="Hyperlink"/>
              <w:kern w:val="2"/>
              <w:lang w:eastAsia="en-AU"/>
              <w14:ligatures w14:val="standardContextual"/>
            </w:rPr>
          </w:pPr>
          <w:hyperlink w:anchor="_Toc11484506">
            <w:r w:rsidR="00F66475" w:rsidRPr="52A7AAAB">
              <w:rPr>
                <w:rStyle w:val="Hyperlink"/>
              </w:rPr>
              <w:t>Executive Summary</w:t>
            </w:r>
            <w:r w:rsidR="00F66475">
              <w:tab/>
            </w:r>
            <w:r w:rsidR="00F66475">
              <w:fldChar w:fldCharType="begin"/>
            </w:r>
            <w:r w:rsidR="00F66475">
              <w:instrText>PAGEREF _Toc11484506 \h</w:instrText>
            </w:r>
            <w:r w:rsidR="00F66475">
              <w:fldChar w:fldCharType="separate"/>
            </w:r>
            <w:r w:rsidR="00F66475">
              <w:t>5</w:t>
            </w:r>
            <w:r w:rsidR="00F66475">
              <w:fldChar w:fldCharType="end"/>
            </w:r>
          </w:hyperlink>
        </w:p>
        <w:p w:rsidR="00F66475" w:rsidRDefault="0031449E" w:rsidP="00F66475">
          <w:pPr>
            <w:pStyle w:val="TOC2"/>
            <w:tabs>
              <w:tab w:val="clear" w:pos="9628"/>
              <w:tab w:val="right" w:leader="dot" w:pos="9630"/>
            </w:tabs>
            <w:rPr>
              <w:rStyle w:val="Hyperlink"/>
              <w:kern w:val="2"/>
              <w:lang w:eastAsia="en-AU"/>
              <w14:ligatures w14:val="standardContextual"/>
            </w:rPr>
          </w:pPr>
          <w:hyperlink w:anchor="_Toc59281796">
            <w:r w:rsidR="00F66475" w:rsidRPr="52A7AAAB">
              <w:rPr>
                <w:rStyle w:val="Hyperlink"/>
              </w:rPr>
              <w:t>What is the policy problem?</w:t>
            </w:r>
            <w:r w:rsidR="00F66475">
              <w:tab/>
            </w:r>
            <w:r w:rsidR="00F66475">
              <w:fldChar w:fldCharType="begin"/>
            </w:r>
            <w:r w:rsidR="00F66475">
              <w:instrText>PAGEREF _Toc59281796 \h</w:instrText>
            </w:r>
            <w:r w:rsidR="00F66475">
              <w:fldChar w:fldCharType="separate"/>
            </w:r>
            <w:r w:rsidR="00F66475">
              <w:t>6</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462520799">
            <w:r w:rsidR="00F66475" w:rsidRPr="52A7AAAB">
              <w:rPr>
                <w:rStyle w:val="Hyperlink"/>
              </w:rPr>
              <w:t>Rapid transformation of the electricity sector is needed</w:t>
            </w:r>
            <w:r w:rsidR="00F66475">
              <w:tab/>
            </w:r>
            <w:r w:rsidR="00F66475">
              <w:fldChar w:fldCharType="begin"/>
            </w:r>
            <w:r w:rsidR="00F66475">
              <w:instrText>PAGEREF _Toc1462520799 \h</w:instrText>
            </w:r>
            <w:r w:rsidR="00F66475">
              <w:fldChar w:fldCharType="separate"/>
            </w:r>
            <w:r w:rsidR="00F66475">
              <w:rPr>
                <w:noProof/>
              </w:rPr>
              <w:t>6</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944943500">
            <w:r w:rsidR="00F66475" w:rsidRPr="52A7AAAB">
              <w:rPr>
                <w:rStyle w:val="Hyperlink"/>
              </w:rPr>
              <w:t>Risk of supply and demand imbalance</w:t>
            </w:r>
            <w:r w:rsidR="00F66475">
              <w:tab/>
            </w:r>
            <w:r w:rsidR="00F66475">
              <w:fldChar w:fldCharType="begin"/>
            </w:r>
            <w:r w:rsidR="00F66475">
              <w:instrText>PAGEREF _Toc1944943500 \h</w:instrText>
            </w:r>
            <w:r w:rsidR="00F66475">
              <w:fldChar w:fldCharType="separate"/>
            </w:r>
            <w:r w:rsidR="00F66475">
              <w:rPr>
                <w:noProof/>
              </w:rPr>
              <w:t>8</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711668099">
            <w:r w:rsidR="00F66475" w:rsidRPr="52A7AAAB">
              <w:rPr>
                <w:rStyle w:val="Hyperlink"/>
              </w:rPr>
              <w:t>Key stakeholder groups impacted</w:t>
            </w:r>
            <w:r w:rsidR="00F66475">
              <w:tab/>
            </w:r>
            <w:r w:rsidR="00F66475">
              <w:fldChar w:fldCharType="begin"/>
            </w:r>
            <w:r w:rsidR="00F66475">
              <w:instrText>PAGEREF _Toc1711668099 \h</w:instrText>
            </w:r>
            <w:r w:rsidR="00F66475">
              <w:fldChar w:fldCharType="separate"/>
            </w:r>
            <w:r w:rsidR="00F66475">
              <w:rPr>
                <w:noProof/>
              </w:rPr>
              <w:t>8</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583213215">
            <w:r w:rsidR="00F66475" w:rsidRPr="52A7AAAB">
              <w:rPr>
                <w:rStyle w:val="Hyperlink"/>
              </w:rPr>
              <w:t>Existing government support for energy transformation</w:t>
            </w:r>
            <w:r w:rsidR="00F66475">
              <w:tab/>
            </w:r>
            <w:r w:rsidR="00F66475">
              <w:fldChar w:fldCharType="begin"/>
            </w:r>
            <w:r w:rsidR="00F66475">
              <w:instrText>PAGEREF _Toc583213215 \h</w:instrText>
            </w:r>
            <w:r w:rsidR="00F66475">
              <w:fldChar w:fldCharType="separate"/>
            </w:r>
            <w:r w:rsidR="00F66475">
              <w:rPr>
                <w:noProof/>
              </w:rPr>
              <w:t>8</w:t>
            </w:r>
            <w:r w:rsidR="00F66475">
              <w:fldChar w:fldCharType="end"/>
            </w:r>
          </w:hyperlink>
        </w:p>
        <w:p w:rsidR="00F66475" w:rsidRPr="00044530" w:rsidRDefault="0031449E" w:rsidP="00F66475">
          <w:pPr>
            <w:pStyle w:val="TOC3"/>
            <w:rPr>
              <w:rStyle w:val="Hyperlink"/>
              <w:noProof/>
              <w:kern w:val="2"/>
              <w:lang w:eastAsia="en-AU"/>
              <w14:ligatures w14:val="standardContextual"/>
            </w:rPr>
          </w:pPr>
          <w:hyperlink w:anchor="_Toc1169342048">
            <w:r w:rsidR="00F66475" w:rsidRPr="52A7AAAB">
              <w:rPr>
                <w:rStyle w:val="Hyperlink"/>
              </w:rPr>
              <w:t>Why is government intervention needed?</w:t>
            </w:r>
            <w:r w:rsidR="00F66475">
              <w:tab/>
            </w:r>
            <w:r w:rsidR="00F66475">
              <w:fldChar w:fldCharType="begin"/>
            </w:r>
            <w:r w:rsidR="00F66475">
              <w:instrText>PAGEREF _Toc1169342048 \h</w:instrText>
            </w:r>
            <w:r w:rsidR="00F66475">
              <w:fldChar w:fldCharType="separate"/>
            </w:r>
            <w:r w:rsidR="00F66475">
              <w:rPr>
                <w:noProof/>
              </w:rPr>
              <w:t>9</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550619837">
            <w:r w:rsidR="00F66475" w:rsidRPr="52A7AAAB">
              <w:rPr>
                <w:rStyle w:val="Hyperlink"/>
              </w:rPr>
              <w:t>Investment uncertainty is putting pressure on electricity reliability and affordability</w:t>
            </w:r>
            <w:r w:rsidR="00F66475">
              <w:tab/>
            </w:r>
            <w:r w:rsidR="00F66475">
              <w:fldChar w:fldCharType="begin"/>
            </w:r>
            <w:r w:rsidR="00F66475">
              <w:instrText>PAGEREF _Toc1550619837 \h</w:instrText>
            </w:r>
            <w:r w:rsidR="00F66475">
              <w:fldChar w:fldCharType="separate"/>
            </w:r>
            <w:r w:rsidR="00F66475">
              <w:rPr>
                <w:noProof/>
              </w:rPr>
              <w:t>9</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495896141">
            <w:r w:rsidR="00F66475" w:rsidRPr="52A7AAAB">
              <w:rPr>
                <w:rStyle w:val="Hyperlink"/>
              </w:rPr>
              <w:t>Objectives of Government action</w:t>
            </w:r>
            <w:r w:rsidR="00F66475">
              <w:tab/>
            </w:r>
            <w:r w:rsidR="00F66475">
              <w:fldChar w:fldCharType="begin"/>
            </w:r>
            <w:r w:rsidR="00F66475">
              <w:instrText>PAGEREF _Toc495896141 \h</w:instrText>
            </w:r>
            <w:r w:rsidR="00F66475">
              <w:fldChar w:fldCharType="separate"/>
            </w:r>
            <w:r w:rsidR="00F66475">
              <w:rPr>
                <w:noProof/>
              </w:rPr>
              <w:t>10</w:t>
            </w:r>
            <w:r w:rsidR="00F66475">
              <w:fldChar w:fldCharType="end"/>
            </w:r>
          </w:hyperlink>
        </w:p>
        <w:p w:rsidR="00F66475" w:rsidRPr="00D97593" w:rsidRDefault="0031449E" w:rsidP="00F66475">
          <w:pPr>
            <w:pStyle w:val="TOC3"/>
            <w:rPr>
              <w:rStyle w:val="Hyperlink"/>
              <w:noProof/>
              <w:kern w:val="2"/>
              <w:lang w:eastAsia="en-AU"/>
              <w14:ligatures w14:val="standardContextual"/>
            </w:rPr>
          </w:pPr>
          <w:hyperlink w:anchor="_Toc229773912">
            <w:r w:rsidR="00F66475" w:rsidRPr="52A7AAAB">
              <w:rPr>
                <w:rStyle w:val="Hyperlink"/>
              </w:rPr>
              <w:t>What policy options are being considered?</w:t>
            </w:r>
            <w:r w:rsidR="00F66475">
              <w:tab/>
            </w:r>
            <w:r w:rsidR="00F66475">
              <w:fldChar w:fldCharType="begin"/>
            </w:r>
            <w:r w:rsidR="00F66475">
              <w:instrText>PAGEREF _Toc229773912 \h</w:instrText>
            </w:r>
            <w:r w:rsidR="00F66475">
              <w:fldChar w:fldCharType="separate"/>
            </w:r>
            <w:r w:rsidR="00F66475">
              <w:rPr>
                <w:noProof/>
              </w:rPr>
              <w:t>11</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796917199">
            <w:r w:rsidR="00F66475" w:rsidRPr="52A7AAAB">
              <w:rPr>
                <w:rStyle w:val="Hyperlink"/>
              </w:rPr>
              <w:t>Option 1 – No Government Intervention – business as usual</w:t>
            </w:r>
            <w:r w:rsidR="00F66475">
              <w:tab/>
            </w:r>
            <w:r w:rsidR="00F66475">
              <w:fldChar w:fldCharType="begin"/>
            </w:r>
            <w:r w:rsidR="00F66475">
              <w:instrText>PAGEREF _Toc796917199 \h</w:instrText>
            </w:r>
            <w:r w:rsidR="00F66475">
              <w:fldChar w:fldCharType="separate"/>
            </w:r>
            <w:r w:rsidR="00F66475">
              <w:rPr>
                <w:noProof/>
              </w:rPr>
              <w:t>11</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47000912">
            <w:r w:rsidR="00F66475" w:rsidRPr="52A7AAAB">
              <w:rPr>
                <w:rStyle w:val="Hyperlink"/>
              </w:rPr>
              <w:t>Option 2 – Expanding the Large-scale Renewable Energy Target (LRET)</w:t>
            </w:r>
            <w:r w:rsidR="00F66475">
              <w:tab/>
            </w:r>
            <w:r w:rsidR="00F66475">
              <w:fldChar w:fldCharType="begin"/>
            </w:r>
            <w:r w:rsidR="00F66475">
              <w:instrText>PAGEREF _Toc47000912 \h</w:instrText>
            </w:r>
            <w:r w:rsidR="00F66475">
              <w:fldChar w:fldCharType="separate"/>
            </w:r>
            <w:r w:rsidR="00F66475">
              <w:rPr>
                <w:noProof/>
              </w:rPr>
              <w:t>12</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936834526">
            <w:r w:rsidR="00F66475" w:rsidRPr="52A7AAAB">
              <w:rPr>
                <w:rStyle w:val="Hyperlink"/>
              </w:rPr>
              <w:t>Option 3 – Strategic Reserve</w:t>
            </w:r>
            <w:r w:rsidR="00F66475">
              <w:tab/>
            </w:r>
            <w:r w:rsidR="00F66475">
              <w:fldChar w:fldCharType="begin"/>
            </w:r>
            <w:r w:rsidR="00F66475">
              <w:instrText>PAGEREF _Toc936834526 \h</w:instrText>
            </w:r>
            <w:r w:rsidR="00F66475">
              <w:fldChar w:fldCharType="separate"/>
            </w:r>
            <w:r w:rsidR="00F66475">
              <w:rPr>
                <w:noProof/>
              </w:rPr>
              <w:t>12</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787387552">
            <w:r w:rsidR="00F66475" w:rsidRPr="52A7AAAB">
              <w:rPr>
                <w:rStyle w:val="Hyperlink"/>
              </w:rPr>
              <w:t>Option 4 – Capacity Investment Scheme (CIS)</w:t>
            </w:r>
            <w:r w:rsidR="00F66475">
              <w:tab/>
            </w:r>
            <w:r w:rsidR="00F66475">
              <w:fldChar w:fldCharType="begin"/>
            </w:r>
            <w:r w:rsidR="00F66475">
              <w:instrText>PAGEREF _Toc1787387552 \h</w:instrText>
            </w:r>
            <w:r w:rsidR="00F66475">
              <w:fldChar w:fldCharType="separate"/>
            </w:r>
            <w:r w:rsidR="00F66475">
              <w:rPr>
                <w:noProof/>
              </w:rPr>
              <w:t>13</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342187685">
            <w:r w:rsidR="00F66475" w:rsidRPr="52A7AAAB">
              <w:rPr>
                <w:rStyle w:val="Hyperlink"/>
              </w:rPr>
              <w:t>Comparative assessment of options against key objectives</w:t>
            </w:r>
            <w:r w:rsidR="00F66475">
              <w:tab/>
            </w:r>
            <w:r w:rsidR="00F66475">
              <w:fldChar w:fldCharType="begin"/>
            </w:r>
            <w:r w:rsidR="00F66475">
              <w:instrText>PAGEREF _Toc1342187685 \h</w:instrText>
            </w:r>
            <w:r w:rsidR="00F66475">
              <w:fldChar w:fldCharType="separate"/>
            </w:r>
            <w:r w:rsidR="00F66475">
              <w:rPr>
                <w:noProof/>
              </w:rPr>
              <w:t>14</w:t>
            </w:r>
            <w:r w:rsidR="00F66475">
              <w:fldChar w:fldCharType="end"/>
            </w:r>
          </w:hyperlink>
        </w:p>
        <w:p w:rsidR="00F66475" w:rsidRPr="00D97593" w:rsidRDefault="0031449E" w:rsidP="00F66475">
          <w:pPr>
            <w:pStyle w:val="TOC3"/>
            <w:rPr>
              <w:rStyle w:val="Hyperlink"/>
              <w:noProof/>
              <w:kern w:val="2"/>
              <w:lang w:eastAsia="en-AU"/>
              <w14:ligatures w14:val="standardContextual"/>
            </w:rPr>
          </w:pPr>
          <w:hyperlink w:anchor="_Toc1911936953">
            <w:r w:rsidR="00F66475" w:rsidRPr="52A7AAAB">
              <w:rPr>
                <w:rStyle w:val="Hyperlink"/>
              </w:rPr>
              <w:t>What is the likely net benefit of each option?</w:t>
            </w:r>
            <w:r w:rsidR="00F66475">
              <w:tab/>
            </w:r>
            <w:r w:rsidR="00F66475">
              <w:fldChar w:fldCharType="begin"/>
            </w:r>
            <w:r w:rsidR="00F66475">
              <w:instrText>PAGEREF _Toc1911936953 \h</w:instrText>
            </w:r>
            <w:r w:rsidR="00F66475">
              <w:fldChar w:fldCharType="separate"/>
            </w:r>
            <w:r w:rsidR="00F66475">
              <w:rPr>
                <w:noProof/>
              </w:rPr>
              <w:t>15</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230780383">
            <w:r w:rsidR="00F66475" w:rsidRPr="52A7AAAB">
              <w:rPr>
                <w:rStyle w:val="Hyperlink"/>
              </w:rPr>
              <w:t>No Government Intervention</w:t>
            </w:r>
            <w:r w:rsidR="00F66475">
              <w:tab/>
            </w:r>
            <w:r w:rsidR="00F66475">
              <w:fldChar w:fldCharType="begin"/>
            </w:r>
            <w:r w:rsidR="00F66475">
              <w:instrText>PAGEREF _Toc230780383 \h</w:instrText>
            </w:r>
            <w:r w:rsidR="00F66475">
              <w:fldChar w:fldCharType="separate"/>
            </w:r>
            <w:r w:rsidR="00F66475">
              <w:rPr>
                <w:noProof/>
              </w:rPr>
              <w:t>15</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875549875">
            <w:r w:rsidR="00F66475" w:rsidRPr="52A7AAAB">
              <w:rPr>
                <w:rStyle w:val="Hyperlink"/>
              </w:rPr>
              <w:t>Renewable generation</w:t>
            </w:r>
            <w:r w:rsidR="00F66475">
              <w:tab/>
            </w:r>
            <w:r w:rsidR="00F66475">
              <w:fldChar w:fldCharType="begin"/>
            </w:r>
            <w:r w:rsidR="00F66475">
              <w:instrText>PAGEREF _Toc1875549875 \h</w:instrText>
            </w:r>
            <w:r w:rsidR="00F66475">
              <w:fldChar w:fldCharType="separate"/>
            </w:r>
            <w:r w:rsidR="00F66475">
              <w:rPr>
                <w:noProof/>
              </w:rPr>
              <w:t>15</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2087884374">
            <w:r w:rsidR="00F66475" w:rsidRPr="52A7AAAB">
              <w:rPr>
                <w:rStyle w:val="Hyperlink"/>
              </w:rPr>
              <w:t>Emissions</w:t>
            </w:r>
            <w:r w:rsidR="00F66475">
              <w:tab/>
            </w:r>
            <w:r w:rsidR="00F66475">
              <w:fldChar w:fldCharType="begin"/>
            </w:r>
            <w:r w:rsidR="00F66475">
              <w:instrText>PAGEREF _Toc2087884374 \h</w:instrText>
            </w:r>
            <w:r w:rsidR="00F66475">
              <w:fldChar w:fldCharType="separate"/>
            </w:r>
            <w:r w:rsidR="00F66475">
              <w:rPr>
                <w:noProof/>
              </w:rPr>
              <w:t>16</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967662563">
            <w:r w:rsidR="00F66475" w:rsidRPr="52A7AAAB">
              <w:rPr>
                <w:rStyle w:val="Hyperlink"/>
              </w:rPr>
              <w:t>Prices</w:t>
            </w:r>
            <w:r w:rsidR="00F66475">
              <w:tab/>
            </w:r>
            <w:r w:rsidR="00F66475">
              <w:fldChar w:fldCharType="begin"/>
            </w:r>
            <w:r w:rsidR="00F66475">
              <w:instrText>PAGEREF _Toc967662563 \h</w:instrText>
            </w:r>
            <w:r w:rsidR="00F66475">
              <w:fldChar w:fldCharType="separate"/>
            </w:r>
            <w:r w:rsidR="00F66475">
              <w:rPr>
                <w:noProof/>
              </w:rPr>
              <w:t>17</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846198632">
            <w:r w:rsidR="00F66475" w:rsidRPr="52A7AAAB">
              <w:rPr>
                <w:rStyle w:val="Hyperlink"/>
              </w:rPr>
              <w:t>Benefits of Capacity Investment Scheme and LRET</w:t>
            </w:r>
            <w:r w:rsidR="00F66475">
              <w:tab/>
            </w:r>
            <w:r w:rsidR="00F66475">
              <w:fldChar w:fldCharType="begin"/>
            </w:r>
            <w:r w:rsidR="00F66475">
              <w:instrText>PAGEREF _Toc1846198632 \h</w:instrText>
            </w:r>
            <w:r w:rsidR="00F66475">
              <w:fldChar w:fldCharType="separate"/>
            </w:r>
            <w:r w:rsidR="00F66475">
              <w:rPr>
                <w:noProof/>
              </w:rPr>
              <w:t>19</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952281595">
            <w:r w:rsidR="00F66475" w:rsidRPr="52A7AAAB">
              <w:rPr>
                <w:rStyle w:val="Hyperlink"/>
              </w:rPr>
              <w:t>Renewable generation</w:t>
            </w:r>
            <w:r w:rsidR="00F66475">
              <w:tab/>
            </w:r>
            <w:r w:rsidR="00F66475">
              <w:fldChar w:fldCharType="begin"/>
            </w:r>
            <w:r w:rsidR="00F66475">
              <w:instrText>PAGEREF _Toc952281595 \h</w:instrText>
            </w:r>
            <w:r w:rsidR="00F66475">
              <w:fldChar w:fldCharType="separate"/>
            </w:r>
            <w:r w:rsidR="00F66475">
              <w:rPr>
                <w:noProof/>
              </w:rPr>
              <w:t>19</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527436050">
            <w:r w:rsidR="00F66475" w:rsidRPr="52A7AAAB">
              <w:rPr>
                <w:rStyle w:val="Hyperlink"/>
              </w:rPr>
              <w:t>Emissions</w:t>
            </w:r>
            <w:r w:rsidR="00F66475">
              <w:tab/>
            </w:r>
            <w:r w:rsidR="00F66475">
              <w:fldChar w:fldCharType="begin"/>
            </w:r>
            <w:r w:rsidR="00F66475">
              <w:instrText>PAGEREF _Toc1527436050 \h</w:instrText>
            </w:r>
            <w:r w:rsidR="00F66475">
              <w:fldChar w:fldCharType="separate"/>
            </w:r>
            <w:r w:rsidR="00F66475">
              <w:rPr>
                <w:noProof/>
              </w:rPr>
              <w:t>20</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324117630">
            <w:r w:rsidR="00F66475" w:rsidRPr="52A7AAAB">
              <w:rPr>
                <w:rStyle w:val="Hyperlink"/>
              </w:rPr>
              <w:t>Prices</w:t>
            </w:r>
            <w:r w:rsidR="00F66475">
              <w:tab/>
            </w:r>
            <w:r w:rsidR="00F66475">
              <w:fldChar w:fldCharType="begin"/>
            </w:r>
            <w:r w:rsidR="00F66475">
              <w:instrText>PAGEREF _Toc1324117630 \h</w:instrText>
            </w:r>
            <w:r w:rsidR="00F66475">
              <w:fldChar w:fldCharType="separate"/>
            </w:r>
            <w:r w:rsidR="00F66475">
              <w:rPr>
                <w:noProof/>
              </w:rPr>
              <w:t>20</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313378508">
            <w:r w:rsidR="00F66475" w:rsidRPr="52A7AAAB">
              <w:rPr>
                <w:rStyle w:val="Hyperlink"/>
              </w:rPr>
              <w:t>Revenue gap</w:t>
            </w:r>
            <w:r w:rsidR="00F66475">
              <w:tab/>
            </w:r>
            <w:r w:rsidR="00F66475">
              <w:fldChar w:fldCharType="begin"/>
            </w:r>
            <w:r w:rsidR="00F66475">
              <w:instrText>PAGEREF _Toc1313378508 \h</w:instrText>
            </w:r>
            <w:r w:rsidR="00F66475">
              <w:fldChar w:fldCharType="separate"/>
            </w:r>
            <w:r w:rsidR="00F66475">
              <w:rPr>
                <w:noProof/>
              </w:rPr>
              <w:t>22</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81509664">
            <w:r w:rsidR="00F66475" w:rsidRPr="52A7AAAB">
              <w:rPr>
                <w:rStyle w:val="Hyperlink"/>
              </w:rPr>
              <w:t>Comparative analysis</w:t>
            </w:r>
            <w:r w:rsidR="00F66475">
              <w:tab/>
            </w:r>
            <w:r w:rsidR="00F66475">
              <w:fldChar w:fldCharType="begin"/>
            </w:r>
            <w:r w:rsidR="00F66475">
              <w:instrText>PAGEREF _Toc81509664 \h</w:instrText>
            </w:r>
            <w:r w:rsidR="00F66475">
              <w:fldChar w:fldCharType="separate"/>
            </w:r>
            <w:r w:rsidR="00F66475">
              <w:rPr>
                <w:noProof/>
              </w:rPr>
              <w:t>22</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910861667">
            <w:r w:rsidR="00F66475" w:rsidRPr="52A7AAAB">
              <w:rPr>
                <w:rStyle w:val="Hyperlink"/>
              </w:rPr>
              <w:t>Economic and system efficiency</w:t>
            </w:r>
            <w:r w:rsidR="00F66475">
              <w:tab/>
            </w:r>
            <w:r w:rsidR="00F66475">
              <w:fldChar w:fldCharType="begin"/>
            </w:r>
            <w:r w:rsidR="00F66475">
              <w:instrText>PAGEREF _Toc1910861667 \h</w:instrText>
            </w:r>
            <w:r w:rsidR="00F66475">
              <w:fldChar w:fldCharType="separate"/>
            </w:r>
            <w:r w:rsidR="00F66475">
              <w:rPr>
                <w:noProof/>
              </w:rPr>
              <w:t>22</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2114314431">
            <w:r w:rsidR="00F66475" w:rsidRPr="52A7AAAB">
              <w:rPr>
                <w:rStyle w:val="Hyperlink"/>
              </w:rPr>
              <w:t>Fiscal costs and risks</w:t>
            </w:r>
            <w:r w:rsidR="00F66475">
              <w:tab/>
            </w:r>
            <w:r w:rsidR="00F66475">
              <w:fldChar w:fldCharType="begin"/>
            </w:r>
            <w:r w:rsidR="00F66475">
              <w:instrText>PAGEREF _Toc2114314431 \h</w:instrText>
            </w:r>
            <w:r w:rsidR="00F66475">
              <w:fldChar w:fldCharType="separate"/>
            </w:r>
            <w:r w:rsidR="00F66475">
              <w:rPr>
                <w:noProof/>
              </w:rPr>
              <w:t>23</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842873099">
            <w:r w:rsidR="00F66475" w:rsidRPr="52A7AAAB">
              <w:rPr>
                <w:rStyle w:val="Hyperlink"/>
              </w:rPr>
              <w:t>Implementation challenges and time to impact</w:t>
            </w:r>
            <w:r w:rsidR="00F66475">
              <w:tab/>
            </w:r>
            <w:r w:rsidR="00F66475">
              <w:fldChar w:fldCharType="begin"/>
            </w:r>
            <w:r w:rsidR="00F66475">
              <w:instrText>PAGEREF _Toc1842873099 \h</w:instrText>
            </w:r>
            <w:r w:rsidR="00F66475">
              <w:fldChar w:fldCharType="separate"/>
            </w:r>
            <w:r w:rsidR="00F66475">
              <w:rPr>
                <w:noProof/>
              </w:rPr>
              <w:t>23</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725430124">
            <w:r w:rsidR="00F66475" w:rsidRPr="52A7AAAB">
              <w:rPr>
                <w:rStyle w:val="Hyperlink"/>
              </w:rPr>
              <w:t>Preferred option</w:t>
            </w:r>
            <w:r w:rsidR="00F66475">
              <w:tab/>
            </w:r>
            <w:r w:rsidR="00F66475">
              <w:fldChar w:fldCharType="begin"/>
            </w:r>
            <w:r w:rsidR="00F66475">
              <w:instrText>PAGEREF _Toc1725430124 \h</w:instrText>
            </w:r>
            <w:r w:rsidR="00F66475">
              <w:fldChar w:fldCharType="separate"/>
            </w:r>
            <w:r w:rsidR="00F66475">
              <w:rPr>
                <w:noProof/>
              </w:rPr>
              <w:t>24</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916263036">
            <w:r w:rsidR="00F66475" w:rsidRPr="52A7AAAB">
              <w:rPr>
                <w:rStyle w:val="Hyperlink"/>
              </w:rPr>
              <w:t>Stakeholder impacts</w:t>
            </w:r>
            <w:r w:rsidR="00F66475">
              <w:tab/>
            </w:r>
            <w:r w:rsidR="00F66475">
              <w:fldChar w:fldCharType="begin"/>
            </w:r>
            <w:r w:rsidR="00F66475">
              <w:instrText>PAGEREF _Toc1916263036 \h</w:instrText>
            </w:r>
            <w:r w:rsidR="00F66475">
              <w:fldChar w:fldCharType="separate"/>
            </w:r>
            <w:r w:rsidR="00F66475">
              <w:rPr>
                <w:noProof/>
              </w:rPr>
              <w:t>24</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250927066">
            <w:r w:rsidR="00F66475" w:rsidRPr="52A7AAAB">
              <w:rPr>
                <w:rStyle w:val="Hyperlink"/>
              </w:rPr>
              <w:t>Regulatory burden estimate (RBE)</w:t>
            </w:r>
            <w:r w:rsidR="00F66475">
              <w:tab/>
            </w:r>
            <w:r w:rsidR="00F66475">
              <w:fldChar w:fldCharType="begin"/>
            </w:r>
            <w:r w:rsidR="00F66475">
              <w:instrText>PAGEREF _Toc250927066 \h</w:instrText>
            </w:r>
            <w:r w:rsidR="00F66475">
              <w:fldChar w:fldCharType="separate"/>
            </w:r>
            <w:r w:rsidR="00F66475">
              <w:rPr>
                <w:noProof/>
              </w:rPr>
              <w:t>25</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401153677">
            <w:r w:rsidR="00F66475" w:rsidRPr="52A7AAAB">
              <w:rPr>
                <w:rStyle w:val="Hyperlink"/>
              </w:rPr>
              <w:t>Comparable international schemes</w:t>
            </w:r>
            <w:r w:rsidR="00F66475">
              <w:tab/>
            </w:r>
            <w:r w:rsidR="00F66475">
              <w:fldChar w:fldCharType="begin"/>
            </w:r>
            <w:r w:rsidR="00F66475">
              <w:instrText>PAGEREF _Toc1401153677 \h</w:instrText>
            </w:r>
            <w:r w:rsidR="00F66475">
              <w:fldChar w:fldCharType="separate"/>
            </w:r>
            <w:r w:rsidR="00F66475">
              <w:rPr>
                <w:noProof/>
              </w:rPr>
              <w:t>25</w:t>
            </w:r>
            <w:r w:rsidR="00F66475">
              <w:fldChar w:fldCharType="end"/>
            </w:r>
          </w:hyperlink>
        </w:p>
        <w:p w:rsidR="00F66475" w:rsidRPr="00DA0369" w:rsidRDefault="0031449E" w:rsidP="00F66475">
          <w:pPr>
            <w:pStyle w:val="TOC3"/>
            <w:rPr>
              <w:rStyle w:val="Hyperlink"/>
              <w:noProof/>
              <w:kern w:val="2"/>
              <w:lang w:eastAsia="en-AU"/>
              <w14:ligatures w14:val="standardContextual"/>
            </w:rPr>
          </w:pPr>
          <w:hyperlink w:anchor="_Toc1388400294">
            <w:r w:rsidR="00F66475" w:rsidRPr="52A7AAAB">
              <w:rPr>
                <w:rStyle w:val="Hyperlink"/>
              </w:rPr>
              <w:t>Stakeholder consultation</w:t>
            </w:r>
            <w:r w:rsidR="00F66475">
              <w:tab/>
            </w:r>
            <w:r w:rsidR="00F66475">
              <w:fldChar w:fldCharType="begin"/>
            </w:r>
            <w:r w:rsidR="00F66475">
              <w:instrText>PAGEREF _Toc1388400294 \h</w:instrText>
            </w:r>
            <w:r w:rsidR="00F66475">
              <w:fldChar w:fldCharType="separate"/>
            </w:r>
            <w:r w:rsidR="00F66475">
              <w:rPr>
                <w:noProof/>
              </w:rPr>
              <w:t>26</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2031748162">
            <w:r w:rsidR="00F66475" w:rsidRPr="52A7AAAB">
              <w:rPr>
                <w:rStyle w:val="Hyperlink"/>
              </w:rPr>
              <w:t>Public Consultation Paper</w:t>
            </w:r>
            <w:r w:rsidR="00F66475">
              <w:tab/>
            </w:r>
            <w:r w:rsidR="00F66475">
              <w:fldChar w:fldCharType="begin"/>
            </w:r>
            <w:r w:rsidR="00F66475">
              <w:instrText>PAGEREF _Toc2031748162 \h</w:instrText>
            </w:r>
            <w:r w:rsidR="00F66475">
              <w:fldChar w:fldCharType="separate"/>
            </w:r>
            <w:r w:rsidR="00F66475">
              <w:rPr>
                <w:noProof/>
              </w:rPr>
              <w:t>26</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434680071">
            <w:r w:rsidR="00F66475" w:rsidRPr="52A7AAAB">
              <w:rPr>
                <w:rStyle w:val="Hyperlink"/>
              </w:rPr>
              <w:t>Consultation with industry groups and experts</w:t>
            </w:r>
            <w:r w:rsidR="00F66475">
              <w:tab/>
            </w:r>
            <w:r w:rsidR="00F66475">
              <w:fldChar w:fldCharType="begin"/>
            </w:r>
            <w:r w:rsidR="00F66475">
              <w:instrText>PAGEREF _Toc1434680071 \h</w:instrText>
            </w:r>
            <w:r w:rsidR="00F66475">
              <w:fldChar w:fldCharType="separate"/>
            </w:r>
            <w:r w:rsidR="00F66475">
              <w:rPr>
                <w:noProof/>
              </w:rPr>
              <w:t>27</w:t>
            </w:r>
            <w:r w:rsidR="00F66475">
              <w:fldChar w:fldCharType="end"/>
            </w:r>
          </w:hyperlink>
        </w:p>
        <w:p w:rsidR="00F66475" w:rsidRPr="00DA0369" w:rsidRDefault="0031449E" w:rsidP="00F66475">
          <w:pPr>
            <w:pStyle w:val="TOC3"/>
            <w:rPr>
              <w:rStyle w:val="Hyperlink"/>
              <w:noProof/>
              <w:kern w:val="2"/>
              <w:lang w:eastAsia="en-AU"/>
              <w14:ligatures w14:val="standardContextual"/>
            </w:rPr>
          </w:pPr>
          <w:hyperlink w:anchor="_Toc191532258">
            <w:r w:rsidR="00F66475" w:rsidRPr="52A7AAAB">
              <w:rPr>
                <w:rStyle w:val="Hyperlink"/>
              </w:rPr>
              <w:t>How will you implement and evaluate your chosen option?</w:t>
            </w:r>
            <w:r w:rsidR="00F66475">
              <w:tab/>
            </w:r>
            <w:r w:rsidR="00F66475">
              <w:fldChar w:fldCharType="begin"/>
            </w:r>
            <w:r w:rsidR="00F66475">
              <w:instrText>PAGEREF _Toc191532258 \h</w:instrText>
            </w:r>
            <w:r w:rsidR="00F66475">
              <w:fldChar w:fldCharType="separate"/>
            </w:r>
            <w:r w:rsidR="00F66475">
              <w:rPr>
                <w:noProof/>
              </w:rPr>
              <w:t>27</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1494054228">
            <w:r w:rsidR="00F66475" w:rsidRPr="52A7AAAB">
              <w:rPr>
                <w:rStyle w:val="Hyperlink"/>
              </w:rPr>
              <w:t>Implementation and Measuring Success</w:t>
            </w:r>
            <w:r w:rsidR="00F66475">
              <w:tab/>
            </w:r>
            <w:r w:rsidR="00F66475">
              <w:fldChar w:fldCharType="begin"/>
            </w:r>
            <w:r w:rsidR="00F66475">
              <w:instrText>PAGEREF _Toc1494054228 \h</w:instrText>
            </w:r>
            <w:r w:rsidR="00F66475">
              <w:fldChar w:fldCharType="separate"/>
            </w:r>
            <w:r w:rsidR="00F66475">
              <w:rPr>
                <w:noProof/>
              </w:rPr>
              <w:t>27</w:t>
            </w:r>
            <w:r w:rsidR="00F66475">
              <w:fldChar w:fldCharType="end"/>
            </w:r>
          </w:hyperlink>
        </w:p>
        <w:p w:rsidR="00F66475" w:rsidRDefault="0031449E" w:rsidP="00F66475">
          <w:pPr>
            <w:pStyle w:val="TOC3"/>
            <w:rPr>
              <w:rStyle w:val="Hyperlink"/>
              <w:noProof/>
              <w:kern w:val="2"/>
              <w:lang w:eastAsia="en-AU"/>
              <w14:ligatures w14:val="standardContextual"/>
            </w:rPr>
          </w:pPr>
          <w:hyperlink w:anchor="_Toc462853971">
            <w:r w:rsidR="00F66475" w:rsidRPr="52A7AAAB">
              <w:rPr>
                <w:rStyle w:val="Hyperlink"/>
              </w:rPr>
              <w:t>Risks to implementation</w:t>
            </w:r>
            <w:r w:rsidR="00F66475">
              <w:tab/>
            </w:r>
            <w:r w:rsidR="00F66475">
              <w:fldChar w:fldCharType="begin"/>
            </w:r>
            <w:r w:rsidR="00F66475">
              <w:instrText>PAGEREF _Toc462853971 \h</w:instrText>
            </w:r>
            <w:r w:rsidR="00F66475">
              <w:fldChar w:fldCharType="separate"/>
            </w:r>
            <w:r w:rsidR="00F66475">
              <w:rPr>
                <w:noProof/>
              </w:rPr>
              <w:t>28</w:t>
            </w:r>
            <w:r w:rsidR="00F66475">
              <w:fldChar w:fldCharType="end"/>
            </w:r>
          </w:hyperlink>
        </w:p>
        <w:p w:rsidR="00F66475" w:rsidRPr="00B91027" w:rsidRDefault="0031449E" w:rsidP="00F66475">
          <w:pPr>
            <w:pStyle w:val="TOC3"/>
            <w:rPr>
              <w:rStyle w:val="Hyperlink"/>
              <w:noProof/>
              <w:kern w:val="2"/>
              <w:lang w:eastAsia="en-AU"/>
              <w14:ligatures w14:val="standardContextual"/>
            </w:rPr>
          </w:pPr>
          <w:hyperlink w:anchor="_Toc1690647021">
            <w:r w:rsidR="00F66475" w:rsidRPr="52A7AAAB">
              <w:rPr>
                <w:rStyle w:val="Hyperlink"/>
              </w:rPr>
              <w:t>Appendix 1: Regulatory burden calculations</w:t>
            </w:r>
            <w:r w:rsidR="00F66475">
              <w:tab/>
            </w:r>
            <w:r w:rsidR="00F66475">
              <w:fldChar w:fldCharType="begin"/>
            </w:r>
            <w:r w:rsidR="00F66475">
              <w:instrText>PAGEREF _Toc1690647021 \h</w:instrText>
            </w:r>
            <w:r w:rsidR="00F66475">
              <w:fldChar w:fldCharType="separate"/>
            </w:r>
            <w:r w:rsidR="00F66475">
              <w:rPr>
                <w:noProof/>
              </w:rPr>
              <w:t>30</w:t>
            </w:r>
            <w:r w:rsidR="00F66475">
              <w:fldChar w:fldCharType="end"/>
            </w:r>
          </w:hyperlink>
        </w:p>
        <w:p w:rsidR="00F66475" w:rsidRPr="00B91027" w:rsidRDefault="0031449E" w:rsidP="00F66475">
          <w:pPr>
            <w:pStyle w:val="TOC3"/>
            <w:rPr>
              <w:rStyle w:val="Hyperlink"/>
              <w:noProof/>
              <w:kern w:val="2"/>
              <w:lang w:eastAsia="en-AU"/>
              <w14:ligatures w14:val="standardContextual"/>
            </w:rPr>
          </w:pPr>
          <w:hyperlink w:anchor="_Toc714618502">
            <w:r w:rsidR="00F66475" w:rsidRPr="52A7AAAB">
              <w:rPr>
                <w:rStyle w:val="Hyperlink"/>
              </w:rPr>
              <w:t>Appendix 2: Examples of comparable domestic and international underwriting schemes</w:t>
            </w:r>
            <w:r w:rsidR="00F66475">
              <w:tab/>
            </w:r>
            <w:r w:rsidR="00F66475">
              <w:fldChar w:fldCharType="begin"/>
            </w:r>
            <w:r w:rsidR="00F66475">
              <w:instrText>PAGEREF _Toc714618502 \h</w:instrText>
            </w:r>
            <w:r w:rsidR="00F66475">
              <w:fldChar w:fldCharType="separate"/>
            </w:r>
            <w:r w:rsidR="00F66475">
              <w:rPr>
                <w:noProof/>
              </w:rPr>
              <w:t>31</w:t>
            </w:r>
            <w:r w:rsidR="00F66475">
              <w:fldChar w:fldCharType="end"/>
            </w:r>
          </w:hyperlink>
        </w:p>
        <w:p w:rsidR="00F66475" w:rsidRPr="00B91027" w:rsidRDefault="0031449E" w:rsidP="00F66475">
          <w:pPr>
            <w:pStyle w:val="TOC3"/>
            <w:rPr>
              <w:rStyle w:val="Hyperlink"/>
              <w:noProof/>
              <w:kern w:val="2"/>
              <w:lang w:eastAsia="en-AU"/>
              <w14:ligatures w14:val="standardContextual"/>
            </w:rPr>
          </w:pPr>
          <w:hyperlink w:anchor="_Toc1095989352">
            <w:r w:rsidR="00F66475" w:rsidRPr="00B463EE">
              <w:rPr>
                <w:rStyle w:val="Hyperlink"/>
                <w:highlight w:val="black"/>
              </w:rPr>
              <w:t>A</w:t>
            </w:r>
          </w:hyperlink>
          <w:r w:rsidR="00F66475">
            <w:fldChar w:fldCharType="end"/>
          </w:r>
        </w:p>
      </w:sdtContent>
    </w:sdt>
    <w:p w:rsidR="00F66475" w:rsidRDefault="00F66475" w:rsidP="00F66475"/>
    <w:p w:rsidR="00F66475" w:rsidRDefault="00F66475" w:rsidP="00F66475">
      <w:pPr>
        <w:rPr>
          <w:rFonts w:ascii="Calibri" w:eastAsia="Calibri" w:hAnsi="Calibri" w:cs="Times New Roman"/>
          <w:sz w:val="20"/>
          <w:szCs w:val="20"/>
        </w:rPr>
      </w:pPr>
    </w:p>
    <w:p w:rsidR="00F66475" w:rsidRPr="00F93CC4" w:rsidRDefault="00F66475" w:rsidP="00F66475">
      <w:pPr>
        <w:rPr>
          <w:rFonts w:ascii="Calibri" w:eastAsia="Calibri" w:hAnsi="Calibri" w:cs="Times New Roman"/>
          <w:sz w:val="20"/>
          <w:szCs w:val="20"/>
        </w:rPr>
      </w:pPr>
    </w:p>
    <w:p w:rsidR="00F66475" w:rsidRPr="00F93CC4" w:rsidRDefault="00F66475" w:rsidP="00F66475">
      <w:pPr>
        <w:rPr>
          <w:rFonts w:ascii="Calibri" w:eastAsia="Calibri" w:hAnsi="Calibri" w:cs="Times New Roman"/>
          <w:sz w:val="20"/>
          <w:szCs w:val="20"/>
        </w:rPr>
      </w:pPr>
    </w:p>
    <w:p w:rsidR="00F66475" w:rsidRPr="00F93CC4" w:rsidRDefault="00F66475" w:rsidP="00F66475">
      <w:pPr>
        <w:rPr>
          <w:rFonts w:ascii="Calibri" w:eastAsia="Calibri" w:hAnsi="Calibri" w:cs="Times New Roman"/>
          <w:sz w:val="20"/>
          <w:szCs w:val="20"/>
        </w:rPr>
      </w:pPr>
    </w:p>
    <w:p w:rsidR="00F66475" w:rsidRPr="00F93CC4" w:rsidRDefault="00F66475" w:rsidP="00F66475">
      <w:pPr>
        <w:rPr>
          <w:rFonts w:ascii="Calibri" w:eastAsia="Calibri" w:hAnsi="Calibri" w:cs="Times New Roman"/>
          <w:sz w:val="20"/>
          <w:szCs w:val="20"/>
        </w:rPr>
      </w:pPr>
    </w:p>
    <w:p w:rsidR="00F66475" w:rsidRPr="00F93CC4" w:rsidRDefault="00F66475" w:rsidP="00F66475">
      <w:pPr>
        <w:rPr>
          <w:rFonts w:ascii="Calibri" w:eastAsia="Calibri" w:hAnsi="Calibri" w:cs="Times New Roman"/>
          <w:sz w:val="20"/>
          <w:szCs w:val="20"/>
        </w:rPr>
      </w:pPr>
    </w:p>
    <w:p w:rsidR="00F66475" w:rsidRDefault="00F66475" w:rsidP="00F66475">
      <w:pPr>
        <w:rPr>
          <w:rFonts w:ascii="Calibri" w:eastAsia="Calibri" w:hAnsi="Calibri" w:cs="Times New Roman"/>
          <w:sz w:val="20"/>
          <w:szCs w:val="20"/>
        </w:rPr>
      </w:pPr>
    </w:p>
    <w:p w:rsidR="00F66475" w:rsidRPr="00F93CC4" w:rsidRDefault="00F66475" w:rsidP="00F66475">
      <w:pPr>
        <w:tabs>
          <w:tab w:val="left" w:pos="7473"/>
        </w:tabs>
        <w:rPr>
          <w:rFonts w:ascii="Calibri" w:eastAsia="Calibri" w:hAnsi="Calibri" w:cs="Times New Roman"/>
          <w:sz w:val="20"/>
          <w:szCs w:val="20"/>
        </w:rPr>
      </w:pPr>
      <w:r>
        <w:rPr>
          <w:rFonts w:ascii="Calibri" w:eastAsia="Calibri" w:hAnsi="Calibri" w:cs="Times New Roman"/>
          <w:sz w:val="20"/>
          <w:szCs w:val="20"/>
        </w:rPr>
        <w:tab/>
      </w:r>
    </w:p>
    <w:p w:rsidR="00F66475" w:rsidRDefault="00F66475" w:rsidP="00F66475">
      <w:pPr>
        <w:pStyle w:val="Heading2"/>
        <w:keepNext w:val="0"/>
        <w:keepLines w:val="0"/>
        <w:pageBreakBefore/>
        <w:spacing w:before="0" w:after="240"/>
        <w:ind w:left="720" w:hanging="720"/>
        <w:rPr>
          <w:rFonts w:eastAsiaTheme="minorEastAsia"/>
          <w:color w:val="197C7D"/>
          <w:sz w:val="48"/>
          <w:szCs w:val="48"/>
          <w:lang w:eastAsia="ja-JP"/>
        </w:rPr>
      </w:pPr>
      <w:bookmarkStart w:id="83" w:name="_Toc23330842"/>
      <w:bookmarkEnd w:id="1"/>
      <w:r w:rsidRPr="52A7AAAB">
        <w:rPr>
          <w:rFonts w:eastAsiaTheme="minorEastAsia"/>
          <w:color w:val="197C7D"/>
          <w:sz w:val="48"/>
          <w:szCs w:val="48"/>
          <w:lang w:eastAsia="ja-JP"/>
        </w:rPr>
        <w:lastRenderedPageBreak/>
        <w:t>Glossary</w:t>
      </w:r>
      <w:bookmarkEnd w:id="83"/>
      <w:r w:rsidRPr="52A7AAAB">
        <w:rPr>
          <w:rFonts w:eastAsiaTheme="minorEastAsia"/>
          <w:color w:val="197C7D"/>
          <w:sz w:val="48"/>
          <w:szCs w:val="48"/>
          <w:lang w:eastAsia="ja-JP"/>
        </w:rPr>
        <w:t xml:space="preserve"> </w:t>
      </w:r>
    </w:p>
    <w:p w:rsidR="00F66475" w:rsidRDefault="00F66475" w:rsidP="00F66475">
      <w:pPr>
        <w:rPr>
          <w:rFonts w:ascii="Calibri Light" w:hAnsi="Calibri Light" w:cs="Calibri Light"/>
        </w:rPr>
      </w:pPr>
      <w:r w:rsidRPr="00E302CC">
        <w:rPr>
          <w:rFonts w:ascii="Calibri Light" w:hAnsi="Calibri Light" w:cs="Calibri Light"/>
          <w:b/>
          <w:bCs/>
        </w:rPr>
        <w:t>AEMO</w:t>
      </w:r>
      <w:r>
        <w:rPr>
          <w:rFonts w:ascii="Calibri Light" w:hAnsi="Calibri Light" w:cs="Calibri Light"/>
          <w:b/>
          <w:bCs/>
        </w:rPr>
        <w:t xml:space="preserve"> - </w:t>
      </w:r>
      <w:r w:rsidRPr="00C151A1">
        <w:rPr>
          <w:rFonts w:ascii="Calibri Light" w:hAnsi="Calibri Light" w:cs="Calibri Light"/>
        </w:rPr>
        <w:t>The</w:t>
      </w:r>
      <w:r>
        <w:rPr>
          <w:rFonts w:ascii="Calibri Light" w:hAnsi="Calibri Light" w:cs="Calibri Light"/>
          <w:b/>
          <w:bCs/>
        </w:rPr>
        <w:t xml:space="preserve"> </w:t>
      </w:r>
      <w:r w:rsidRPr="00AE16DD">
        <w:rPr>
          <w:rFonts w:ascii="Calibri Light" w:hAnsi="Calibri Light" w:cs="Calibri Light"/>
        </w:rPr>
        <w:t>Australian Energy Market Operator</w:t>
      </w:r>
      <w:r>
        <w:rPr>
          <w:rFonts w:ascii="Calibri Light" w:hAnsi="Calibri Light" w:cs="Calibri Light"/>
        </w:rPr>
        <w:t>.</w:t>
      </w:r>
    </w:p>
    <w:p w:rsidR="00F66475" w:rsidRDefault="00F66475" w:rsidP="00F66475">
      <w:pPr>
        <w:rPr>
          <w:rFonts w:ascii="Calibri Light" w:hAnsi="Calibri Light" w:cs="Calibri Light"/>
        </w:rPr>
      </w:pPr>
      <w:r w:rsidRPr="00C151A1">
        <w:rPr>
          <w:rFonts w:ascii="Calibri Light" w:hAnsi="Calibri Light" w:cs="Calibri Light"/>
          <w:b/>
          <w:bCs/>
        </w:rPr>
        <w:t>AER</w:t>
      </w:r>
      <w:r>
        <w:rPr>
          <w:rFonts w:ascii="Calibri Light" w:hAnsi="Calibri Light" w:cs="Calibri Light"/>
        </w:rPr>
        <w:t xml:space="preserve"> - The Australian Energy Regulator.</w:t>
      </w:r>
    </w:p>
    <w:p w:rsidR="00F66475" w:rsidRDefault="00F66475" w:rsidP="00F66475">
      <w:pPr>
        <w:rPr>
          <w:rFonts w:ascii="Calibri Light" w:hAnsi="Calibri Light" w:cs="Calibri Light"/>
        </w:rPr>
      </w:pPr>
      <w:r w:rsidRPr="00C151A1">
        <w:rPr>
          <w:rFonts w:ascii="Calibri Light" w:hAnsi="Calibri Light" w:cs="Calibri Light"/>
          <w:b/>
          <w:bCs/>
        </w:rPr>
        <w:t>CER</w:t>
      </w:r>
      <w:r>
        <w:rPr>
          <w:rFonts w:ascii="Calibri Light" w:hAnsi="Calibri Light" w:cs="Calibri Light"/>
        </w:rPr>
        <w:t xml:space="preserve"> - The Clean Energy Operator.</w:t>
      </w:r>
    </w:p>
    <w:p w:rsidR="00F66475" w:rsidRDefault="00F66475" w:rsidP="00F66475">
      <w:pPr>
        <w:rPr>
          <w:rFonts w:ascii="Calibri Light" w:hAnsi="Calibri Light" w:cs="Calibri Light"/>
        </w:rPr>
      </w:pPr>
      <w:r w:rsidRPr="00C151A1">
        <w:rPr>
          <w:rFonts w:ascii="Calibri Light" w:hAnsi="Calibri Light" w:cs="Calibri Light"/>
          <w:b/>
          <w:bCs/>
        </w:rPr>
        <w:t>C</w:t>
      </w:r>
      <w:r>
        <w:rPr>
          <w:rFonts w:ascii="Calibri Light" w:hAnsi="Calibri Light" w:cs="Calibri Light"/>
          <w:b/>
          <w:bCs/>
        </w:rPr>
        <w:t>fD</w:t>
      </w:r>
      <w:r>
        <w:rPr>
          <w:rFonts w:ascii="Calibri Light" w:hAnsi="Calibri Light" w:cs="Calibri Light"/>
        </w:rPr>
        <w:t xml:space="preserve"> – Contract for difference</w:t>
      </w:r>
    </w:p>
    <w:p w:rsidR="00F66475" w:rsidRDefault="00F66475" w:rsidP="00F66475">
      <w:pPr>
        <w:rPr>
          <w:rFonts w:ascii="Calibri Light" w:hAnsi="Calibri Light" w:cs="Calibri Light"/>
        </w:rPr>
      </w:pPr>
      <w:r w:rsidRPr="00C151A1">
        <w:rPr>
          <w:rFonts w:ascii="Calibri Light" w:hAnsi="Calibri Light" w:cs="Calibri Light"/>
          <w:b/>
          <w:bCs/>
        </w:rPr>
        <w:t>Dispatchable capacity</w:t>
      </w:r>
      <w:r>
        <w:rPr>
          <w:rFonts w:ascii="Calibri Light" w:hAnsi="Calibri Light" w:cs="Calibri Light"/>
        </w:rPr>
        <w:t xml:space="preserve"> - On-demand generation from energy sources like pumped hydro and batteries.</w:t>
      </w:r>
    </w:p>
    <w:p w:rsidR="00F66475" w:rsidRDefault="00F66475" w:rsidP="00F66475">
      <w:pPr>
        <w:rPr>
          <w:rFonts w:ascii="Calibri Light" w:hAnsi="Calibri Light" w:cs="Calibri Light"/>
        </w:rPr>
      </w:pPr>
      <w:r w:rsidRPr="006605DF">
        <w:rPr>
          <w:rFonts w:ascii="Calibri Light" w:hAnsi="Calibri Light" w:cs="Calibri Light"/>
          <w:b/>
          <w:bCs/>
        </w:rPr>
        <w:t>ECMC</w:t>
      </w:r>
      <w:r>
        <w:rPr>
          <w:rFonts w:ascii="Calibri Light" w:hAnsi="Calibri Light" w:cs="Calibri Light"/>
        </w:rPr>
        <w:t xml:space="preserve"> - The </w:t>
      </w:r>
      <w:r w:rsidRPr="006605DF">
        <w:rPr>
          <w:rFonts w:ascii="Calibri Light" w:hAnsi="Calibri Light" w:cs="Calibri Light"/>
        </w:rPr>
        <w:t>Energy and Climate Change Ministerial Council</w:t>
      </w:r>
      <w:r>
        <w:rPr>
          <w:rFonts w:ascii="Calibri Light" w:hAnsi="Calibri Light" w:cs="Calibri Light"/>
        </w:rPr>
        <w:t>.</w:t>
      </w:r>
    </w:p>
    <w:p w:rsidR="00F66475" w:rsidRDefault="00F66475" w:rsidP="00F66475">
      <w:pPr>
        <w:rPr>
          <w:rFonts w:ascii="Calibri Light" w:hAnsi="Calibri Light" w:cs="Calibri Light"/>
        </w:rPr>
      </w:pPr>
      <w:r>
        <w:rPr>
          <w:rFonts w:ascii="Calibri Light" w:hAnsi="Calibri Light" w:cs="Calibri Light"/>
          <w:b/>
          <w:bCs/>
        </w:rPr>
        <w:t>FID</w:t>
      </w:r>
      <w:r>
        <w:rPr>
          <w:rFonts w:ascii="Calibri Light" w:hAnsi="Calibri Light" w:cs="Calibri Light"/>
        </w:rPr>
        <w:t xml:space="preserve"> - Final investment decision</w:t>
      </w:r>
    </w:p>
    <w:p w:rsidR="00F66475" w:rsidRDefault="00F66475" w:rsidP="00F66475">
      <w:pPr>
        <w:rPr>
          <w:rFonts w:ascii="Calibri Light" w:hAnsi="Calibri Light" w:cs="Calibri Light"/>
        </w:rPr>
      </w:pPr>
      <w:r w:rsidRPr="004A107B">
        <w:rPr>
          <w:rFonts w:ascii="Calibri Light" w:hAnsi="Calibri Light" w:cs="Calibri Light"/>
          <w:b/>
          <w:bCs/>
        </w:rPr>
        <w:t>Firm Capacity</w:t>
      </w:r>
      <w:r>
        <w:rPr>
          <w:rFonts w:ascii="Calibri Light" w:hAnsi="Calibri Light" w:cs="Calibri Light"/>
        </w:rPr>
        <w:t xml:space="preserve"> - </w:t>
      </w:r>
      <w:r w:rsidRPr="003B26C1">
        <w:rPr>
          <w:rFonts w:ascii="Calibri Light" w:hAnsi="Calibri Light" w:cs="Calibri Light"/>
        </w:rPr>
        <w:t>A guarantee of a level of supplied power committed to by a supplier to be available at all times during a period covered by a commitment.</w:t>
      </w:r>
    </w:p>
    <w:p w:rsidR="00F66475" w:rsidRDefault="00F66475" w:rsidP="00F66475">
      <w:pPr>
        <w:rPr>
          <w:rFonts w:ascii="Calibri Light" w:hAnsi="Calibri Light" w:cs="Calibri Light"/>
        </w:rPr>
      </w:pPr>
      <w:r w:rsidRPr="00787720">
        <w:rPr>
          <w:rFonts w:ascii="Calibri Light" w:hAnsi="Calibri Light" w:cs="Calibri Light"/>
          <w:b/>
          <w:bCs/>
        </w:rPr>
        <w:t>GW</w:t>
      </w:r>
      <w:r>
        <w:rPr>
          <w:rFonts w:ascii="Calibri Light" w:hAnsi="Calibri Light" w:cs="Calibri Light"/>
        </w:rPr>
        <w:t xml:space="preserve"> – Gigawatt.</w:t>
      </w:r>
    </w:p>
    <w:p w:rsidR="00F66475" w:rsidRDefault="00F66475" w:rsidP="00F66475">
      <w:pPr>
        <w:rPr>
          <w:rFonts w:ascii="Calibri Light" w:hAnsi="Calibri Light" w:cs="Calibri Light"/>
        </w:rPr>
      </w:pPr>
      <w:r w:rsidRPr="00787720">
        <w:rPr>
          <w:rFonts w:ascii="Calibri Light" w:hAnsi="Calibri Light" w:cs="Calibri Light"/>
          <w:b/>
          <w:bCs/>
        </w:rPr>
        <w:t>LRET</w:t>
      </w:r>
      <w:r>
        <w:rPr>
          <w:rFonts w:ascii="Calibri Light" w:hAnsi="Calibri Light" w:cs="Calibri Light"/>
        </w:rPr>
        <w:t xml:space="preserve"> - Large-scale Renewable Energy Target.</w:t>
      </w:r>
    </w:p>
    <w:p w:rsidR="00F66475" w:rsidRDefault="00F66475" w:rsidP="00F66475">
      <w:pPr>
        <w:rPr>
          <w:rFonts w:ascii="Calibri Light" w:hAnsi="Calibri Light" w:cs="Calibri Light"/>
          <w:b/>
          <w:bCs/>
        </w:rPr>
      </w:pPr>
      <w:r>
        <w:rPr>
          <w:rFonts w:ascii="Calibri Light" w:hAnsi="Calibri Light" w:cs="Calibri Light"/>
          <w:b/>
          <w:bCs/>
        </w:rPr>
        <w:t xml:space="preserve">LGC - </w:t>
      </w:r>
      <w:r>
        <w:rPr>
          <w:rFonts w:ascii="Calibri Light" w:hAnsi="Calibri Light" w:cs="Calibri Light"/>
        </w:rPr>
        <w:t>L</w:t>
      </w:r>
      <w:r w:rsidRPr="00AC5C78">
        <w:rPr>
          <w:rFonts w:ascii="Calibri Light" w:hAnsi="Calibri Light" w:cs="Calibri Light"/>
        </w:rPr>
        <w:t>arge</w:t>
      </w:r>
      <w:r>
        <w:rPr>
          <w:rFonts w:ascii="Calibri Light" w:hAnsi="Calibri Light" w:cs="Calibri Light"/>
        </w:rPr>
        <w:t>-</w:t>
      </w:r>
      <w:r w:rsidRPr="00AC5C78">
        <w:rPr>
          <w:rFonts w:ascii="Calibri Light" w:hAnsi="Calibri Light" w:cs="Calibri Light"/>
        </w:rPr>
        <w:t>scale generation certificates</w:t>
      </w:r>
    </w:p>
    <w:p w:rsidR="00F66475" w:rsidRDefault="00F66475" w:rsidP="00F66475">
      <w:pPr>
        <w:rPr>
          <w:rFonts w:ascii="Calibri Light" w:hAnsi="Calibri Light" w:cs="Calibri Light"/>
        </w:rPr>
      </w:pPr>
      <w:r w:rsidRPr="00B67134">
        <w:rPr>
          <w:rFonts w:ascii="Calibri Light" w:hAnsi="Calibri Light" w:cs="Calibri Light"/>
          <w:b/>
          <w:bCs/>
        </w:rPr>
        <w:t>MW</w:t>
      </w:r>
      <w:r>
        <w:rPr>
          <w:rFonts w:ascii="Calibri Light" w:hAnsi="Calibri Light" w:cs="Calibri Light"/>
        </w:rPr>
        <w:t xml:space="preserve"> -</w:t>
      </w:r>
      <w:r w:rsidRPr="00787720">
        <w:rPr>
          <w:rFonts w:ascii="Calibri Light" w:hAnsi="Calibri Light" w:cs="Calibri Light"/>
        </w:rPr>
        <w:t xml:space="preserve"> </w:t>
      </w:r>
      <w:r>
        <w:rPr>
          <w:rFonts w:ascii="Calibri Light" w:hAnsi="Calibri Light" w:cs="Calibri Light"/>
        </w:rPr>
        <w:t>Megawatt</w:t>
      </w:r>
    </w:p>
    <w:p w:rsidR="00F66475" w:rsidRDefault="00F66475" w:rsidP="00F66475">
      <w:pPr>
        <w:rPr>
          <w:rFonts w:ascii="Calibri Light" w:hAnsi="Calibri Light" w:cs="Calibri Light"/>
        </w:rPr>
      </w:pPr>
      <w:r w:rsidRPr="00B67134">
        <w:rPr>
          <w:rFonts w:ascii="Calibri Light" w:hAnsi="Calibri Light" w:cs="Calibri Light"/>
          <w:b/>
          <w:bCs/>
        </w:rPr>
        <w:t xml:space="preserve">MWh </w:t>
      </w:r>
      <w:r>
        <w:rPr>
          <w:rFonts w:ascii="Calibri Light" w:hAnsi="Calibri Light" w:cs="Calibri Light"/>
        </w:rPr>
        <w:t>- Megawatt-hour</w:t>
      </w:r>
    </w:p>
    <w:p w:rsidR="00F66475" w:rsidRDefault="00F66475" w:rsidP="00F66475">
      <w:pPr>
        <w:rPr>
          <w:rFonts w:ascii="Calibri Light" w:hAnsi="Calibri Light" w:cs="Calibri Light"/>
        </w:rPr>
      </w:pPr>
      <w:r w:rsidRPr="00F671FA">
        <w:rPr>
          <w:rFonts w:ascii="Calibri Light" w:hAnsi="Calibri Light" w:cs="Calibri Light"/>
          <w:b/>
          <w:bCs/>
        </w:rPr>
        <w:t>Mt</w:t>
      </w:r>
      <w:r>
        <w:rPr>
          <w:rFonts w:ascii="Calibri Light" w:hAnsi="Calibri Light" w:cs="Calibri Light"/>
        </w:rPr>
        <w:t xml:space="preserve"> – Mega tonne</w:t>
      </w:r>
    </w:p>
    <w:p w:rsidR="00F66475" w:rsidRDefault="00F66475" w:rsidP="00F66475">
      <w:pPr>
        <w:rPr>
          <w:rFonts w:ascii="Calibri Light" w:hAnsi="Calibri Light" w:cs="Calibri Light"/>
        </w:rPr>
      </w:pPr>
      <w:r w:rsidRPr="00A935DA">
        <w:rPr>
          <w:rFonts w:ascii="Calibri Light" w:hAnsi="Calibri Light" w:cs="Calibri Light"/>
          <w:b/>
          <w:bCs/>
        </w:rPr>
        <w:t>NEM</w:t>
      </w:r>
      <w:r>
        <w:rPr>
          <w:rFonts w:ascii="Calibri Light" w:hAnsi="Calibri Light" w:cs="Calibri Light"/>
        </w:rPr>
        <w:t xml:space="preserve"> – The National Electricity Market</w:t>
      </w:r>
    </w:p>
    <w:p w:rsidR="00F66475" w:rsidRDefault="00F66475" w:rsidP="00F66475">
      <w:pPr>
        <w:rPr>
          <w:rFonts w:ascii="Arial" w:hAnsi="Arial" w:cs="Arial"/>
          <w:color w:val="202124"/>
          <w:sz w:val="30"/>
          <w:szCs w:val="30"/>
          <w:shd w:val="clear" w:color="auto" w:fill="FFFFFF"/>
        </w:rPr>
      </w:pPr>
      <w:r w:rsidRPr="00292081">
        <w:rPr>
          <w:rFonts w:ascii="Calibri Light" w:hAnsi="Calibri Light" w:cs="Calibri Light"/>
          <w:b/>
          <w:bCs/>
        </w:rPr>
        <w:t>Reverse auctions</w:t>
      </w:r>
      <w:r>
        <w:rPr>
          <w:rFonts w:ascii="Calibri Light" w:hAnsi="Calibri Light" w:cs="Calibri Light"/>
        </w:rPr>
        <w:t xml:space="preserve"> - T</w:t>
      </w:r>
      <w:r w:rsidRPr="009E7AD2">
        <w:rPr>
          <w:rFonts w:ascii="Calibri Light" w:hAnsi="Calibri Light" w:cs="Calibri Light"/>
        </w:rPr>
        <w:t>ype of tendering process used to obtain the best price by encouraging competition among bidders.</w:t>
      </w:r>
      <w:r>
        <w:rPr>
          <w:rFonts w:ascii="Arial" w:hAnsi="Arial" w:cs="Arial"/>
          <w:color w:val="202124"/>
          <w:sz w:val="30"/>
          <w:szCs w:val="30"/>
          <w:shd w:val="clear" w:color="auto" w:fill="FFFFFF"/>
        </w:rPr>
        <w:t> </w:t>
      </w:r>
    </w:p>
    <w:p w:rsidR="00F66475" w:rsidRDefault="00F66475" w:rsidP="00F66475">
      <w:pPr>
        <w:rPr>
          <w:rFonts w:ascii="Calibri Light" w:hAnsi="Calibri Light" w:cs="Calibri Light"/>
        </w:rPr>
      </w:pPr>
      <w:r w:rsidRPr="00292081">
        <w:rPr>
          <w:rFonts w:ascii="Calibri Light" w:hAnsi="Calibri Light" w:cs="Calibri Light"/>
          <w:b/>
          <w:bCs/>
        </w:rPr>
        <w:t>Scope 1 Emissions</w:t>
      </w:r>
      <w:r>
        <w:rPr>
          <w:rFonts w:ascii="Calibri Light" w:hAnsi="Calibri Light" w:cs="Calibri Light"/>
        </w:rPr>
        <w:t xml:space="preserve"> - Scope 1 emissions are direct emissions that are owned or controlled by a company.</w:t>
      </w:r>
    </w:p>
    <w:p w:rsidR="00F66475" w:rsidRDefault="00F66475" w:rsidP="00F66475">
      <w:pPr>
        <w:rPr>
          <w:rFonts w:ascii="Calibri Light" w:hAnsi="Calibri Light" w:cs="Calibri Light"/>
        </w:rPr>
      </w:pPr>
      <w:r w:rsidRPr="00292081">
        <w:rPr>
          <w:rFonts w:ascii="Calibri Light" w:hAnsi="Calibri Light" w:cs="Calibri Light"/>
          <w:b/>
          <w:bCs/>
        </w:rPr>
        <w:t>TWh</w:t>
      </w:r>
      <w:r>
        <w:rPr>
          <w:rFonts w:ascii="Calibri Light" w:hAnsi="Calibri Light" w:cs="Calibri Light"/>
        </w:rPr>
        <w:t xml:space="preserve"> – Terawatt-hour</w:t>
      </w:r>
    </w:p>
    <w:p w:rsidR="00F66475" w:rsidRPr="00787720" w:rsidRDefault="00F66475" w:rsidP="00F66475">
      <w:pPr>
        <w:rPr>
          <w:rFonts w:ascii="Calibri Light" w:hAnsi="Calibri Light" w:cs="Calibri Light"/>
          <w:b/>
          <w:bCs/>
        </w:rPr>
      </w:pPr>
      <w:r w:rsidRPr="00292081">
        <w:rPr>
          <w:rFonts w:ascii="Calibri Light" w:hAnsi="Calibri Light" w:cs="Calibri Light"/>
          <w:b/>
          <w:bCs/>
        </w:rPr>
        <w:t>Variable Renewable Energy</w:t>
      </w:r>
      <w:r>
        <w:rPr>
          <w:rFonts w:ascii="Calibri Light" w:hAnsi="Calibri Light" w:cs="Calibri Light"/>
          <w:b/>
        </w:rPr>
        <w:t xml:space="preserve"> </w:t>
      </w:r>
      <w:r>
        <w:rPr>
          <w:rFonts w:ascii="Calibri Light" w:hAnsi="Calibri Light" w:cs="Calibri Light"/>
          <w:b/>
          <w:bCs/>
        </w:rPr>
        <w:t>(VRE)</w:t>
      </w:r>
      <w:r>
        <w:rPr>
          <w:rFonts w:ascii="Calibri Light" w:hAnsi="Calibri Light" w:cs="Calibri Light"/>
        </w:rPr>
        <w:t xml:space="preserve"> - </w:t>
      </w:r>
      <w:r w:rsidRPr="009E7AD2">
        <w:rPr>
          <w:rFonts w:ascii="Calibri Light" w:hAnsi="Calibri Light" w:cs="Calibri Light"/>
        </w:rPr>
        <w:t>Variable Renewable Energy refers to intermittent renewable energy sources such as wind and solar.</w:t>
      </w:r>
    </w:p>
    <w:p w:rsidR="00F66475" w:rsidRPr="00D72217" w:rsidRDefault="00F66475" w:rsidP="00F66475">
      <w:pPr>
        <w:pStyle w:val="Heading2"/>
        <w:keepNext w:val="0"/>
        <w:keepLines w:val="0"/>
        <w:pageBreakBefore/>
        <w:spacing w:before="0" w:after="240"/>
        <w:ind w:left="720" w:hanging="720"/>
        <w:rPr>
          <w:rFonts w:eastAsiaTheme="minorEastAsia"/>
          <w:color w:val="197C7D"/>
          <w:sz w:val="48"/>
          <w:szCs w:val="48"/>
          <w:lang w:eastAsia="ja-JP"/>
        </w:rPr>
      </w:pPr>
      <w:bookmarkStart w:id="84" w:name="_Toc11484506"/>
      <w:r w:rsidRPr="52A7AAAB">
        <w:rPr>
          <w:rFonts w:eastAsiaTheme="minorEastAsia"/>
          <w:color w:val="197C7D"/>
          <w:sz w:val="48"/>
          <w:szCs w:val="48"/>
          <w:lang w:eastAsia="ja-JP"/>
        </w:rPr>
        <w:lastRenderedPageBreak/>
        <w:t>Executive Summary</w:t>
      </w:r>
      <w:bookmarkEnd w:id="84"/>
      <w:r w:rsidRPr="52A7AAAB">
        <w:rPr>
          <w:rFonts w:eastAsiaTheme="minorEastAsia"/>
          <w:color w:val="197C7D"/>
          <w:sz w:val="48"/>
          <w:szCs w:val="48"/>
          <w:lang w:eastAsia="ja-JP"/>
        </w:rPr>
        <w:t xml:space="preserve"> </w:t>
      </w:r>
    </w:p>
    <w:p w:rsidR="00F66475" w:rsidRPr="00010878" w:rsidRDefault="00F66475" w:rsidP="00F66475">
      <w:pPr>
        <w:spacing w:after="200" w:line="288" w:lineRule="auto"/>
        <w:rPr>
          <w:rFonts w:ascii="Calibri Light" w:hAnsi="Calibri Light" w:cs="Calibri Light"/>
          <w:szCs w:val="22"/>
        </w:rPr>
      </w:pPr>
      <w:r w:rsidRPr="00010878">
        <w:rPr>
          <w:rFonts w:ascii="Calibri Light" w:hAnsi="Calibri Light" w:cs="Calibri Light"/>
          <w:szCs w:val="22"/>
        </w:rPr>
        <w:t xml:space="preserve">Australia is in the midst of an energy transformation driven by the need to decarbonise in the face of climate change, ageing coal-fired generation assets and growth in innovative technologies driving reforms in the electricity sector.  Significant investment in new generation and storage capacity is needed to </w:t>
      </w:r>
      <w:r w:rsidRPr="00010878" w:rsidDel="00E762E3">
        <w:rPr>
          <w:rFonts w:ascii="Calibri Light" w:hAnsi="Calibri Light" w:cs="Calibri Light"/>
          <w:szCs w:val="22"/>
        </w:rPr>
        <w:t xml:space="preserve">ensure </w:t>
      </w:r>
      <w:r w:rsidRPr="00010878">
        <w:rPr>
          <w:rFonts w:ascii="Calibri Light" w:hAnsi="Calibri Light" w:cs="Calibri Light"/>
          <w:szCs w:val="22"/>
        </w:rPr>
        <w:t xml:space="preserve">the continuing reliability and affordability of electricity supply and secure a smooth transformation that delivers economic benefits to Australian households, businesses and communities. </w:t>
      </w:r>
    </w:p>
    <w:p w:rsidR="00F66475" w:rsidRPr="00010878" w:rsidRDefault="00F66475" w:rsidP="00F66475">
      <w:pPr>
        <w:spacing w:after="200" w:line="288" w:lineRule="auto"/>
        <w:rPr>
          <w:rFonts w:ascii="Calibri Light" w:hAnsi="Calibri Light" w:cs="Calibri Light"/>
          <w:szCs w:val="22"/>
        </w:rPr>
      </w:pPr>
      <w:r w:rsidRPr="00010878" w:rsidDel="00B17248">
        <w:rPr>
          <w:rFonts w:ascii="Calibri Light" w:hAnsi="Calibri Light" w:cs="Calibri Light"/>
          <w:szCs w:val="22"/>
        </w:rPr>
        <w:t xml:space="preserve">This </w:t>
      </w:r>
      <w:r w:rsidRPr="00010878">
        <w:rPr>
          <w:rFonts w:ascii="Calibri Light" w:hAnsi="Calibri Light" w:cs="Calibri Light"/>
          <w:szCs w:val="22"/>
        </w:rPr>
        <w:t>document considers potential options for government intervention to accelerate investment in clean dispatchable capacity and renewable generation to mitigate risks of a disorderly transition and contribute to the Australian Government</w:t>
      </w:r>
      <w:r>
        <w:rPr>
          <w:rFonts w:ascii="Calibri Light" w:hAnsi="Calibri Light" w:cs="Calibri Light"/>
          <w:szCs w:val="22"/>
        </w:rPr>
        <w:t>’s</w:t>
      </w:r>
      <w:r w:rsidRPr="00010878">
        <w:rPr>
          <w:rFonts w:ascii="Calibri Light" w:hAnsi="Calibri Light" w:cs="Calibri Light"/>
          <w:szCs w:val="22"/>
        </w:rPr>
        <w:t xml:space="preserve"> legislated target to reduce emissions by 43 per cent by 2030. All options are evaluated against assessment criteria such as value for money, timeliness and certainty etc. Of the</w:t>
      </w:r>
      <w:r w:rsidRPr="00010878" w:rsidDel="006614BB">
        <w:rPr>
          <w:rFonts w:ascii="Calibri Light" w:hAnsi="Calibri Light" w:cs="Calibri Light"/>
          <w:szCs w:val="22"/>
        </w:rPr>
        <w:t xml:space="preserve"> </w:t>
      </w:r>
      <w:r w:rsidRPr="00010878">
        <w:rPr>
          <w:rFonts w:ascii="Calibri Light" w:hAnsi="Calibri Light" w:cs="Calibri Light"/>
          <w:szCs w:val="22"/>
        </w:rPr>
        <w:t xml:space="preserve">options, the Capacity Investment Scheme (CIS) is determined to be the most feasible option. </w:t>
      </w:r>
    </w:p>
    <w:p w:rsidR="00F66475" w:rsidRPr="00010878" w:rsidRDefault="00F66475" w:rsidP="00F66475">
      <w:pPr>
        <w:spacing w:after="200" w:line="288" w:lineRule="auto"/>
        <w:rPr>
          <w:rFonts w:ascii="Calibri Light" w:hAnsi="Calibri Light" w:cs="Calibri Light"/>
          <w:szCs w:val="22"/>
        </w:rPr>
      </w:pPr>
      <w:r>
        <w:rPr>
          <w:rFonts w:ascii="Calibri Light" w:hAnsi="Calibri Light" w:cs="Calibri Light"/>
          <w:szCs w:val="22"/>
        </w:rPr>
        <w:t xml:space="preserve">The CIS will incentivise the additional investment in clean dispatchable capacity and renewable generation necessary to achieve the Government’s 82 per cent renewable energy target by 2030. This is critical to achieve the legislated 43 per cent emissions reduction target </w:t>
      </w:r>
      <w:bookmarkStart w:id="85" w:name="_Hlk147755536"/>
      <w:r>
        <w:rPr>
          <w:rFonts w:ascii="Calibri Light" w:hAnsi="Calibri Light" w:cs="Calibri Light"/>
          <w:szCs w:val="22"/>
        </w:rPr>
        <w:t>at lowest cost, support decarbonisation in other sectors such as industry and transport, and necessary to ensure reliability as</w:t>
      </w:r>
      <w:bookmarkEnd w:id="85"/>
      <w:r>
        <w:rPr>
          <w:rFonts w:ascii="Calibri Light" w:hAnsi="Calibri Light" w:cs="Calibri Light"/>
          <w:szCs w:val="22"/>
        </w:rPr>
        <w:t xml:space="preserve"> Australia’s electricity market transitions. </w:t>
      </w:r>
      <w:r w:rsidRPr="00010878">
        <w:rPr>
          <w:rFonts w:ascii="Calibri Light" w:hAnsi="Calibri Light" w:cs="Calibri Light"/>
          <w:szCs w:val="22"/>
        </w:rPr>
        <w:t>It will involve competitive tenders seeking bids for clean renewable generation and storage projects to fill expected reliability needs. Projects selected through open tenders will be offered long-term Commonwealth underwriting agreements for an agreed revenue ‘floor’ and ‘ceiling’. The CIS complements current market settings and is flexible to adjustment as the market evolves and circumstances change, allowing</w:t>
      </w:r>
      <w:r w:rsidRPr="00010878" w:rsidDel="00D103F2">
        <w:rPr>
          <w:rFonts w:ascii="Calibri Light" w:hAnsi="Calibri Light" w:cs="Calibri Light"/>
          <w:szCs w:val="22"/>
        </w:rPr>
        <w:t xml:space="preserve"> </w:t>
      </w:r>
      <w:r w:rsidRPr="00010878">
        <w:rPr>
          <w:rFonts w:ascii="Calibri Light" w:hAnsi="Calibri Light" w:cs="Calibri Light"/>
          <w:szCs w:val="22"/>
        </w:rPr>
        <w:t xml:space="preserve">for the type, timing and location of new generation and storage to be specified to match identified shortfalls. </w:t>
      </w:r>
    </w:p>
    <w:p w:rsidR="00F66475" w:rsidRPr="00010878" w:rsidRDefault="00F66475" w:rsidP="00F66475">
      <w:pPr>
        <w:spacing w:after="200" w:line="288" w:lineRule="auto"/>
        <w:rPr>
          <w:rFonts w:ascii="Calibri Light" w:hAnsi="Calibri Light" w:cs="Calibri Light"/>
          <w:szCs w:val="22"/>
        </w:rPr>
      </w:pPr>
      <w:r w:rsidRPr="00010878">
        <w:rPr>
          <w:rFonts w:ascii="Calibri Light" w:hAnsi="Calibri Light" w:cs="Calibri Light"/>
          <w:szCs w:val="22"/>
        </w:rPr>
        <w:t>On 8 December 2022, Commonwealth, state, and territory ministers provided unanimous endorsement for the design principles of the CIS as a priority national reform for Australia’s electricity sector. The CIS</w:t>
      </w:r>
      <w:r w:rsidRPr="00010878" w:rsidDel="00DC3FA2">
        <w:rPr>
          <w:rFonts w:ascii="Calibri Light" w:hAnsi="Calibri Light" w:cs="Calibri Light"/>
          <w:szCs w:val="22"/>
        </w:rPr>
        <w:t xml:space="preserve"> </w:t>
      </w:r>
      <w:r w:rsidRPr="00010878">
        <w:rPr>
          <w:rFonts w:ascii="Calibri Light" w:hAnsi="Calibri Light" w:cs="Calibri Light"/>
          <w:szCs w:val="22"/>
        </w:rPr>
        <w:t>will complement</w:t>
      </w:r>
      <w:r w:rsidRPr="00010878" w:rsidDel="00AB322C">
        <w:rPr>
          <w:rFonts w:ascii="Calibri Light" w:hAnsi="Calibri Light" w:cs="Calibri Light"/>
          <w:szCs w:val="22"/>
        </w:rPr>
        <w:t xml:space="preserve"> </w:t>
      </w:r>
      <w:r w:rsidRPr="00010878">
        <w:rPr>
          <w:rFonts w:ascii="Calibri Light" w:hAnsi="Calibri Light" w:cs="Calibri Light"/>
          <w:szCs w:val="22"/>
        </w:rPr>
        <w:t xml:space="preserve">other Commonwealth government initiatives driving the energy transformation, such as </w:t>
      </w:r>
      <w:r>
        <w:rPr>
          <w:rFonts w:ascii="Calibri Light" w:hAnsi="Calibri Light" w:cs="Calibri Light"/>
          <w:szCs w:val="22"/>
        </w:rPr>
        <w:t xml:space="preserve">the </w:t>
      </w:r>
      <w:r w:rsidRPr="00010878">
        <w:rPr>
          <w:rFonts w:ascii="Calibri Light" w:hAnsi="Calibri Light" w:cs="Calibri Light"/>
          <w:szCs w:val="22"/>
        </w:rPr>
        <w:t>Rewiring the Nation program and the Large-scale Renewable Energy Target, as well as a range of State and Territory government programs and initiatives.</w:t>
      </w:r>
    </w:p>
    <w:p w:rsidR="00F66475" w:rsidRPr="007D1E83" w:rsidRDefault="00F66475" w:rsidP="00F66475">
      <w:pPr>
        <w:spacing w:after="200" w:line="288" w:lineRule="auto"/>
        <w:rPr>
          <w:rFonts w:ascii="Calibri Light" w:hAnsi="Calibri Light" w:cs="Calibri Light"/>
          <w:szCs w:val="22"/>
        </w:rPr>
      </w:pPr>
      <w:r w:rsidRPr="007D1E83">
        <w:rPr>
          <w:rFonts w:ascii="Calibri Light" w:hAnsi="Calibri Light" w:cs="Calibri Light"/>
          <w:szCs w:val="22"/>
        </w:rPr>
        <w:t>A comparative assessment of the CIS option indicates</w:t>
      </w:r>
      <w:r w:rsidRPr="007D1E83" w:rsidDel="001A4DB3">
        <w:rPr>
          <w:rFonts w:ascii="Calibri Light" w:hAnsi="Calibri Light" w:cs="Calibri Light"/>
          <w:szCs w:val="22"/>
        </w:rPr>
        <w:t xml:space="preserve"> </w:t>
      </w:r>
      <w:r w:rsidRPr="007D1E83">
        <w:rPr>
          <w:rFonts w:ascii="Calibri Light" w:hAnsi="Calibri Light" w:cs="Calibri Light"/>
          <w:szCs w:val="22"/>
        </w:rPr>
        <w:t>it will drive lower electricity costs and a reduction in reliability risks due to a greater certainty of investment in storage and generatio</w:t>
      </w:r>
      <w:r w:rsidRPr="008F63FE">
        <w:rPr>
          <w:rFonts w:ascii="Calibri Light" w:hAnsi="Calibri Light" w:cs="Calibri Light"/>
          <w:szCs w:val="22"/>
        </w:rPr>
        <w:t xml:space="preserve">n. </w:t>
      </w:r>
      <w:r>
        <w:rPr>
          <w:rFonts w:ascii="Calibri Light" w:hAnsi="Calibri Light" w:cs="Calibri Light"/>
          <w:szCs w:val="22"/>
          <w:highlight w:val="black"/>
        </w:rPr>
        <w:t>REDACTED TEXT HERE</w:t>
      </w:r>
      <w:r w:rsidRPr="00B463EE">
        <w:rPr>
          <w:rFonts w:ascii="Calibri Light" w:hAnsi="Calibri Light" w:cs="Calibri Light"/>
          <w:szCs w:val="22"/>
          <w:highlight w:val="black"/>
        </w:rPr>
        <w:t>.</w:t>
      </w:r>
      <w:r w:rsidRPr="007D1E83">
        <w:rPr>
          <w:rFonts w:ascii="Calibri Light" w:hAnsi="Calibri Light" w:cs="Calibri Light"/>
          <w:szCs w:val="22"/>
        </w:rPr>
        <w:t xml:space="preserve"> The CIS makes tangible the transition to 82 per cent of electricity coming from renewable sources to achieve the Commonwealth’s emissions reduction target of 43 per cent by 2030.</w:t>
      </w:r>
    </w:p>
    <w:p w:rsidR="00F66475" w:rsidRPr="007D1E83" w:rsidRDefault="00F66475" w:rsidP="00F66475">
      <w:pPr>
        <w:rPr>
          <w:lang w:val="en-US"/>
        </w:rPr>
      </w:pPr>
    </w:p>
    <w:p w:rsidR="00F66475" w:rsidRPr="00D72217" w:rsidRDefault="00F66475" w:rsidP="00F66475">
      <w:pPr>
        <w:pStyle w:val="Heading2"/>
        <w:keepNext w:val="0"/>
        <w:keepLines w:val="0"/>
        <w:pageBreakBefore/>
        <w:spacing w:before="0"/>
        <w:ind w:left="720" w:hanging="720"/>
        <w:rPr>
          <w:rFonts w:eastAsiaTheme="minorEastAsia"/>
          <w:color w:val="197C7D"/>
          <w:sz w:val="48"/>
          <w:szCs w:val="48"/>
          <w:lang w:eastAsia="ja-JP"/>
        </w:rPr>
      </w:pPr>
      <w:bookmarkStart w:id="86" w:name="_Toc147847750"/>
      <w:bookmarkStart w:id="87" w:name="_Toc147847757"/>
      <w:bookmarkStart w:id="88" w:name="_Toc59281796"/>
      <w:bookmarkEnd w:id="86"/>
      <w:bookmarkEnd w:id="87"/>
      <w:r w:rsidRPr="52A7AAAB">
        <w:rPr>
          <w:rFonts w:eastAsiaTheme="minorEastAsia"/>
          <w:color w:val="197C7D"/>
          <w:sz w:val="48"/>
          <w:szCs w:val="48"/>
          <w:lang w:eastAsia="ja-JP"/>
        </w:rPr>
        <w:lastRenderedPageBreak/>
        <w:t>What is the policy problem?</w:t>
      </w:r>
      <w:bookmarkEnd w:id="88"/>
    </w:p>
    <w:p w:rsidR="00F66475" w:rsidRPr="00D37BAA" w:rsidRDefault="00F66475" w:rsidP="00F66475">
      <w:pPr>
        <w:pStyle w:val="Heading3"/>
        <w:rPr>
          <w:rFonts w:ascii="Calibri Light" w:hAnsi="Calibri Light" w:cs="Calibri Light"/>
          <w:color w:val="197C7D"/>
          <w:sz w:val="36"/>
          <w:szCs w:val="36"/>
          <w:lang w:val="en-US"/>
        </w:rPr>
      </w:pPr>
      <w:bookmarkStart w:id="89" w:name="_Toc1462520799"/>
      <w:r w:rsidRPr="52A7AAAB">
        <w:rPr>
          <w:rFonts w:ascii="Calibri Light" w:hAnsi="Calibri Light" w:cs="Calibri Light"/>
          <w:color w:val="197C7D"/>
          <w:sz w:val="36"/>
          <w:szCs w:val="36"/>
          <w:lang w:val="en-US"/>
        </w:rPr>
        <w:t>Rapid transformation of the electricity sector is needed</w:t>
      </w:r>
      <w:bookmarkEnd w:id="89"/>
    </w:p>
    <w:p w:rsidR="00F66475" w:rsidRPr="001D69FF" w:rsidRDefault="00F66475" w:rsidP="00F66475">
      <w:pPr>
        <w:spacing w:after="240" w:line="288" w:lineRule="auto"/>
        <w:rPr>
          <w:rFonts w:ascii="Calibri Light" w:hAnsi="Calibri Light" w:cs="Calibri Light"/>
          <w:szCs w:val="22"/>
        </w:rPr>
      </w:pPr>
      <w:r w:rsidRPr="009E7AD2">
        <w:rPr>
          <w:rFonts w:ascii="Calibri Light" w:hAnsi="Calibri Light" w:cs="Calibri Light"/>
          <w:szCs w:val="22"/>
        </w:rPr>
        <w:t>The Australian electricity sector is undergoing a once-in-a-century transformation</w:t>
      </w:r>
      <w:r>
        <w:rPr>
          <w:rFonts w:ascii="Calibri Light" w:hAnsi="Calibri Light" w:cs="Calibri Light"/>
          <w:szCs w:val="22"/>
        </w:rPr>
        <w:t xml:space="preserve">. </w:t>
      </w:r>
      <w:r w:rsidRPr="00AC4276">
        <w:rPr>
          <w:rFonts w:ascii="Calibri Light" w:hAnsi="Calibri Light" w:cs="Calibri Light"/>
        </w:rPr>
        <w:t>The Australian Energy Market Operator’s (AEMO) 2022 Integrated System Plan (ISP)</w:t>
      </w:r>
      <w:r w:rsidRPr="00AC4276">
        <w:rPr>
          <w:rFonts w:ascii="Calibri Light" w:hAnsi="Calibri Light" w:cs="Calibri Light"/>
          <w:vertAlign w:val="superscript"/>
        </w:rPr>
        <w:footnoteReference w:id="1"/>
      </w:r>
      <w:r w:rsidRPr="00AC4276">
        <w:rPr>
          <w:rFonts w:ascii="Calibri Light" w:hAnsi="Calibri Light" w:cs="Calibri Light"/>
        </w:rPr>
        <w:t xml:space="preserve"> indicates that over the next two decades the bulk of Australia’s coal fleet is expected to retire, with 60 per cent retiring by 2030. Concurrently, AEMO has forecast that electricity demand could double by 2050 (including through increased electrification of transport, industry and residential uses).</w:t>
      </w:r>
    </w:p>
    <w:p w:rsidR="00F66475" w:rsidRPr="005718C6" w:rsidRDefault="00F66475" w:rsidP="00F66475">
      <w:pPr>
        <w:spacing w:after="200" w:line="288" w:lineRule="auto"/>
        <w:rPr>
          <w:rFonts w:ascii="Calibri Light" w:hAnsi="Calibri Light" w:cs="Calibri Light"/>
          <w:szCs w:val="22"/>
        </w:rPr>
      </w:pPr>
      <w:r w:rsidRPr="001D69FF">
        <w:rPr>
          <w:rFonts w:ascii="Calibri Light" w:hAnsi="Calibri Light" w:cs="Calibri Light"/>
          <w:szCs w:val="22"/>
        </w:rPr>
        <w:t xml:space="preserve">AEMO’s 2022 </w:t>
      </w:r>
      <w:r>
        <w:rPr>
          <w:rFonts w:ascii="Calibri Light" w:hAnsi="Calibri Light" w:cs="Calibri Light"/>
          <w:szCs w:val="22"/>
        </w:rPr>
        <w:t>ISP</w:t>
      </w:r>
      <w:r w:rsidRPr="001D69FF">
        <w:rPr>
          <w:rFonts w:ascii="Calibri Light" w:hAnsi="Calibri Light" w:cs="Calibri Light"/>
          <w:szCs w:val="22"/>
        </w:rPr>
        <w:t xml:space="preserve"> projects that around 16 GW of new firm </w:t>
      </w:r>
      <w:r>
        <w:rPr>
          <w:rFonts w:ascii="Calibri Light" w:hAnsi="Calibri Light" w:cs="Calibri Light"/>
          <w:szCs w:val="22"/>
        </w:rPr>
        <w:t xml:space="preserve">dispatchable </w:t>
      </w:r>
      <w:r w:rsidRPr="001D69FF">
        <w:rPr>
          <w:rFonts w:ascii="Calibri Light" w:hAnsi="Calibri Light" w:cs="Calibri Light"/>
          <w:szCs w:val="22"/>
        </w:rPr>
        <w:t>capacity</w:t>
      </w:r>
      <w:r>
        <w:rPr>
          <w:rFonts w:ascii="Calibri Light" w:hAnsi="Calibri Light" w:cs="Calibri Light"/>
          <w:szCs w:val="22"/>
        </w:rPr>
        <w:t xml:space="preserve">, </w:t>
      </w:r>
      <w:r w:rsidRPr="001D69FF">
        <w:rPr>
          <w:rFonts w:ascii="Calibri Light" w:hAnsi="Calibri Light" w:cs="Calibri Light"/>
          <w:szCs w:val="22"/>
        </w:rPr>
        <w:t xml:space="preserve">will need to be built over the next eight years to replace 14 GW of coal capacity that will become uneconomic over this time. Yet only 1 GW of new firm capacity has been delivered over the past ten years. </w:t>
      </w:r>
      <w:r>
        <w:rPr>
          <w:rFonts w:ascii="Calibri Light" w:hAnsi="Calibri Light" w:cs="Calibri Light"/>
        </w:rPr>
        <w:t>The Clean Energy Regulator (CER) reports that only 526 MW of new capacity reached final investment decision in the first half of 2023</w:t>
      </w:r>
      <w:r w:rsidRPr="00AC4276">
        <w:rPr>
          <w:rFonts w:ascii="Calibri Light" w:hAnsi="Calibri Light" w:cs="Calibri Light"/>
          <w:vertAlign w:val="superscript"/>
        </w:rPr>
        <w:footnoteReference w:id="2"/>
      </w:r>
      <w:r>
        <w:rPr>
          <w:rFonts w:ascii="Calibri Light" w:hAnsi="Calibri Light" w:cs="Calibri Light"/>
        </w:rPr>
        <w:t xml:space="preserve"> - </w:t>
      </w:r>
      <w:r w:rsidRPr="00CD574B">
        <w:rPr>
          <w:rFonts w:ascii="Calibri Light" w:hAnsi="Calibri Light" w:cs="Calibri Light"/>
          <w:szCs w:val="22"/>
        </w:rPr>
        <w:t xml:space="preserve">in the current </w:t>
      </w:r>
      <w:r>
        <w:rPr>
          <w:rFonts w:ascii="Calibri Light" w:hAnsi="Calibri Light" w:cs="Calibri Light"/>
          <w:szCs w:val="22"/>
        </w:rPr>
        <w:t xml:space="preserve">highly </w:t>
      </w:r>
      <w:r w:rsidRPr="00CD574B">
        <w:rPr>
          <w:rFonts w:ascii="Calibri Light" w:hAnsi="Calibri Light" w:cs="Calibri Light"/>
          <w:szCs w:val="22"/>
        </w:rPr>
        <w:t>uncertain market environment</w:t>
      </w:r>
      <w:r>
        <w:rPr>
          <w:rFonts w:ascii="Calibri Light" w:hAnsi="Calibri Light" w:cs="Calibri Light"/>
          <w:szCs w:val="22"/>
        </w:rPr>
        <w:t xml:space="preserve"> - </w:t>
      </w:r>
      <w:r>
        <w:rPr>
          <w:rFonts w:ascii="Calibri Light" w:hAnsi="Calibri Light" w:cs="Calibri Light"/>
        </w:rPr>
        <w:t xml:space="preserve">project revenue uncertainty is a key contributing </w:t>
      </w:r>
      <w:r w:rsidRPr="005718C6">
        <w:rPr>
          <w:rFonts w:ascii="Calibri Light" w:hAnsi="Calibri Light" w:cs="Calibri Light"/>
          <w:szCs w:val="22"/>
        </w:rPr>
        <w:t>factor</w:t>
      </w:r>
    </w:p>
    <w:p w:rsidR="00F66475" w:rsidRPr="00AC4276" w:rsidRDefault="00F66475" w:rsidP="00F66475">
      <w:pPr>
        <w:spacing w:after="200" w:line="288" w:lineRule="auto"/>
        <w:rPr>
          <w:rFonts w:ascii="Calibri Light" w:hAnsi="Calibri Light" w:cs="Calibri Light"/>
        </w:rPr>
      </w:pPr>
      <w:r>
        <w:rPr>
          <w:rFonts w:ascii="Calibri Light" w:hAnsi="Calibri Light" w:cs="Calibri Light"/>
          <w:szCs w:val="22"/>
        </w:rPr>
        <w:t xml:space="preserve">Unless the pace of investment is significantly increased over the coming years, there will be </w:t>
      </w:r>
      <w:r w:rsidRPr="00AC4276">
        <w:rPr>
          <w:rFonts w:ascii="Calibri Light" w:hAnsi="Calibri Light" w:cs="Calibri Light"/>
        </w:rPr>
        <w:t>a supply-demand imbalance, leading to increasing system vulnerability, and poor outcomes for industry and consumers</w:t>
      </w:r>
      <w:r>
        <w:rPr>
          <w:rFonts w:ascii="Calibri Light" w:hAnsi="Calibri Light" w:cs="Calibri Light"/>
        </w:rPr>
        <w:t xml:space="preserve"> via increased electricity prices and decreased electricity system reliability</w:t>
      </w:r>
      <w:r w:rsidRPr="00AC4276">
        <w:rPr>
          <w:rFonts w:ascii="Calibri Light" w:hAnsi="Calibri Light" w:cs="Calibri Light"/>
        </w:rPr>
        <w:t>. The urgency of the challenge is heightened by long-lead times of new energy projects, often taking several years for development, financing and construction</w:t>
      </w:r>
      <w:r>
        <w:rPr>
          <w:rFonts w:ascii="Calibri Light" w:hAnsi="Calibri Light" w:cs="Calibri Light"/>
        </w:rPr>
        <w:t xml:space="preserve">. </w:t>
      </w:r>
    </w:p>
    <w:p w:rsidR="00F66475" w:rsidRPr="00E67372" w:rsidRDefault="00F66475" w:rsidP="00F66475">
      <w:pPr>
        <w:spacing w:after="200" w:line="288" w:lineRule="auto"/>
        <w:rPr>
          <w:rFonts w:ascii="Calibri Light" w:hAnsi="Calibri Light" w:cs="Calibri Light"/>
        </w:rPr>
      </w:pPr>
      <w:r>
        <w:rPr>
          <w:rFonts w:ascii="Calibri Light" w:hAnsi="Calibri Light" w:cs="Calibri Light"/>
        </w:rPr>
        <w:t xml:space="preserve">Without a significant and urgent increase in new dispatchable capacity and generation Australia’s legislated 43 per cent emissions reduction target will not be met. </w:t>
      </w:r>
      <w:r w:rsidRPr="00232B65">
        <w:rPr>
          <w:rFonts w:ascii="Calibri Light" w:hAnsi="Calibri Light" w:cs="Calibri Light"/>
        </w:rPr>
        <w:t xml:space="preserve">The electricity sector is a key enabler to reach Australia’s emissions goals with broader benefits beyond </w:t>
      </w:r>
      <w:r w:rsidRPr="00F15489">
        <w:rPr>
          <w:rFonts w:ascii="Calibri Light" w:hAnsi="Calibri Light" w:cs="Calibri Light"/>
          <w:szCs w:val="22"/>
        </w:rPr>
        <w:t xml:space="preserve">the electricity sector. </w:t>
      </w:r>
      <w:r>
        <w:rPr>
          <w:rFonts w:ascii="Calibri Light" w:hAnsi="Calibri Light" w:cs="Calibri Light"/>
          <w:szCs w:val="22"/>
        </w:rPr>
        <w:t xml:space="preserve">Relying on the market response alone to secure the pathway to meet emissions target would stall Australia’s energy transition ambition to reach 82 per cent renewables by 2030. </w:t>
      </w:r>
      <w:r w:rsidRPr="00F15489">
        <w:rPr>
          <w:rFonts w:ascii="Calibri Light" w:hAnsi="Calibri Light" w:cs="Calibri Light"/>
          <w:szCs w:val="22"/>
        </w:rPr>
        <w:t>Clear government policy and financial commitment is required to deliver Australia’s clean energy transition to support our emissions reduction targets and position Australia as a super power in clean energy.</w:t>
      </w:r>
    </w:p>
    <w:p w:rsidR="00F66475" w:rsidRPr="00781A02" w:rsidRDefault="00F66475" w:rsidP="00F66475">
      <w:pPr>
        <w:spacing w:after="200" w:line="288" w:lineRule="auto"/>
        <w:rPr>
          <w:rFonts w:ascii="Calibri Light" w:hAnsi="Calibri Light" w:cs="Calibri Light"/>
        </w:rPr>
      </w:pPr>
      <w:r>
        <w:rPr>
          <w:rFonts w:ascii="Calibri Light" w:hAnsi="Calibri Light" w:cs="Calibri Light"/>
          <w:szCs w:val="22"/>
        </w:rPr>
        <w:t xml:space="preserve">   </w:t>
      </w:r>
    </w:p>
    <w:p w:rsidR="00F66475" w:rsidRDefault="00F66475" w:rsidP="00F66475">
      <w:pPr>
        <w:spacing w:after="200" w:line="288" w:lineRule="auto"/>
        <w:rPr>
          <w:rFonts w:ascii="Calibri Light" w:hAnsi="Calibri Light" w:cs="Calibri Light"/>
        </w:rPr>
      </w:pPr>
    </w:p>
    <w:p w:rsidR="00F66475" w:rsidRDefault="00F66475" w:rsidP="00F66475">
      <w:pPr>
        <w:spacing w:after="200" w:line="288" w:lineRule="auto"/>
        <w:rPr>
          <w:rFonts w:ascii="Calibri Light" w:hAnsi="Calibri Light" w:cs="Calibri Light"/>
        </w:rPr>
      </w:pPr>
    </w:p>
    <w:p w:rsidR="00F66475" w:rsidRDefault="00F66475" w:rsidP="00F66475">
      <w:pPr>
        <w:spacing w:after="200" w:line="288" w:lineRule="auto"/>
        <w:rPr>
          <w:rFonts w:ascii="Calibri Light" w:hAnsi="Calibri Light" w:cs="Calibri Light"/>
        </w:rPr>
      </w:pPr>
    </w:p>
    <w:p w:rsidR="00F66475" w:rsidRDefault="00F66475" w:rsidP="00F66475">
      <w:pPr>
        <w:spacing w:after="200" w:line="288" w:lineRule="auto"/>
        <w:rPr>
          <w:rFonts w:ascii="Calibri Light" w:hAnsi="Calibri Light" w:cs="Calibri Light"/>
        </w:rPr>
      </w:pPr>
    </w:p>
    <w:p w:rsidR="00F66475" w:rsidRPr="00AC4276" w:rsidRDefault="00F66475" w:rsidP="00F66475">
      <w:pPr>
        <w:spacing w:after="200" w:line="288" w:lineRule="auto"/>
        <w:rPr>
          <w:rFonts w:ascii="Calibri Light" w:hAnsi="Calibri Light" w:cs="Calibri Light"/>
        </w:rPr>
      </w:pPr>
    </w:p>
    <w:p w:rsidR="00F66475" w:rsidRDefault="00F66475" w:rsidP="00F66475">
      <w:pPr>
        <w:rPr>
          <w:rFonts w:ascii="Calibri Light" w:hAnsi="Calibri Light" w:cs="Calibri Light"/>
          <w:b/>
          <w:bCs/>
          <w:szCs w:val="22"/>
        </w:rPr>
      </w:pPr>
      <w:r w:rsidRPr="000F03F6">
        <w:rPr>
          <w:rFonts w:ascii="Calibri Light" w:hAnsi="Calibri Light" w:cs="Calibri Light"/>
          <w:b/>
        </w:rPr>
        <w:t xml:space="preserve">Figure </w:t>
      </w:r>
      <w:r>
        <w:rPr>
          <w:rFonts w:ascii="Calibri Light" w:hAnsi="Calibri Light" w:cs="Calibri Light"/>
          <w:b/>
          <w:bCs/>
        </w:rPr>
        <w:t>1</w:t>
      </w:r>
      <w:r w:rsidRPr="005B02AC">
        <w:rPr>
          <w:rFonts w:ascii="Calibri Light" w:hAnsi="Calibri Light" w:cs="Calibri Light"/>
          <w:b/>
          <w:bCs/>
        </w:rPr>
        <w:t xml:space="preserve">: </w:t>
      </w:r>
      <w:r>
        <w:rPr>
          <w:rFonts w:ascii="Calibri Light" w:hAnsi="Calibri Light" w:cs="Calibri Light"/>
          <w:b/>
          <w:bCs/>
        </w:rPr>
        <w:t xml:space="preserve">Electricity generation by fuel type </w:t>
      </w:r>
      <w:r w:rsidRPr="00104A11">
        <w:rPr>
          <w:rFonts w:ascii="Calibri Light" w:hAnsi="Calibri Light" w:cs="Calibri Light"/>
          <w:b/>
          <w:bCs/>
        </w:rPr>
        <w:t>in the</w:t>
      </w:r>
      <w:r>
        <w:rPr>
          <w:rFonts w:ascii="Calibri Light" w:hAnsi="Calibri Light" w:cs="Calibri Light"/>
          <w:b/>
          <w:bCs/>
        </w:rPr>
        <w:t xml:space="preserve"> </w:t>
      </w:r>
      <w:r w:rsidRPr="00104A11">
        <w:rPr>
          <w:rFonts w:ascii="Calibri Light" w:hAnsi="Calibri Light" w:cs="Calibri Light"/>
          <w:b/>
          <w:bCs/>
        </w:rPr>
        <w:t>NEM</w:t>
      </w:r>
    </w:p>
    <w:p w:rsidR="00F66475" w:rsidRPr="00104A11" w:rsidRDefault="00F66475" w:rsidP="00F66475">
      <w:pPr>
        <w:rPr>
          <w:rFonts w:ascii="Calibri Light" w:hAnsi="Calibri Light" w:cs="Calibri Light"/>
        </w:rPr>
      </w:pPr>
      <w:r w:rsidRPr="004B75A3">
        <w:rPr>
          <w:rFonts w:ascii="Calibri Light" w:hAnsi="Calibri Light" w:cs="Calibri Light"/>
          <w:noProof/>
          <w:lang w:eastAsia="en-AU"/>
        </w:rPr>
        <w:drawing>
          <wp:inline distT="0" distB="0" distL="0" distR="0" wp14:anchorId="1803E121" wp14:editId="67E075F1">
            <wp:extent cx="6060360" cy="2652395"/>
            <wp:effectExtent l="0" t="0" r="0" b="0"/>
            <wp:docPr id="1922848999" name="Picture 192284899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48999" name="Picture 1922848999" descr="A screenshot of a graph&#10;&#10;Description automatically generated"/>
                    <pic:cNvPicPr/>
                  </pic:nvPicPr>
                  <pic:blipFill>
                    <a:blip r:embed="rId7"/>
                    <a:stretch>
                      <a:fillRect/>
                    </a:stretch>
                  </pic:blipFill>
                  <pic:spPr>
                    <a:xfrm>
                      <a:off x="0" y="0"/>
                      <a:ext cx="6100828" cy="2670106"/>
                    </a:xfrm>
                    <a:prstGeom prst="rect">
                      <a:avLst/>
                    </a:prstGeom>
                    <a:effectLst/>
                  </pic:spPr>
                </pic:pic>
              </a:graphicData>
            </a:graphic>
          </wp:inline>
        </w:drawing>
      </w:r>
    </w:p>
    <w:p w:rsidR="00F66475" w:rsidRPr="009003F6" w:rsidRDefault="00F66475" w:rsidP="00F66475">
      <w:pPr>
        <w:spacing w:after="200" w:line="288" w:lineRule="auto"/>
        <w:rPr>
          <w:rFonts w:ascii="Calibri Light" w:hAnsi="Calibri Light" w:cs="Calibri Light"/>
          <w:sz w:val="18"/>
          <w:szCs w:val="18"/>
        </w:rPr>
      </w:pPr>
      <w:r w:rsidRPr="009003F6">
        <w:rPr>
          <w:rFonts w:ascii="Calibri Light" w:hAnsi="Calibri Light" w:cs="Calibri Light"/>
          <w:sz w:val="18"/>
          <w:szCs w:val="18"/>
        </w:rPr>
        <w:t xml:space="preserve">Source: </w:t>
      </w:r>
      <w:hyperlink r:id="rId8" w:history="1">
        <w:r w:rsidRPr="009003F6">
          <w:rPr>
            <w:rFonts w:ascii="Calibri Light" w:hAnsi="Calibri Light" w:cs="Calibri Light"/>
            <w:sz w:val="18"/>
            <w:szCs w:val="18"/>
          </w:rPr>
          <w:t>Market Fact Sheet - 31 May 2023.pdf (aemo.com.au)</w:t>
        </w:r>
      </w:hyperlink>
    </w:p>
    <w:p w:rsidR="00F66475" w:rsidRDefault="00F66475" w:rsidP="00F66475">
      <w:pPr>
        <w:spacing w:after="200" w:line="288" w:lineRule="auto"/>
        <w:rPr>
          <w:rFonts w:ascii="Calibri Light" w:hAnsi="Calibri Light" w:cs="Calibri Light"/>
          <w:b/>
          <w:bCs/>
          <w:szCs w:val="22"/>
        </w:rPr>
      </w:pPr>
    </w:p>
    <w:p w:rsidR="00F66475" w:rsidRPr="001D69FF" w:rsidRDefault="00F66475" w:rsidP="00F66475">
      <w:pPr>
        <w:spacing w:after="200" w:line="288" w:lineRule="auto"/>
        <w:rPr>
          <w:rFonts w:ascii="Calibri Light" w:hAnsi="Calibri Light" w:cs="Calibri Light"/>
          <w:b/>
          <w:bCs/>
          <w:szCs w:val="22"/>
        </w:rPr>
      </w:pPr>
      <w:r w:rsidRPr="00FC395D">
        <w:rPr>
          <w:rFonts w:ascii="Calibri Light" w:hAnsi="Calibri Light" w:cs="Calibri Light"/>
          <w:b/>
          <w:szCs w:val="22"/>
        </w:rPr>
        <w:t>Figure 2: Dispatchable capacity entry and exit (historic and forecast under ISP Step Change scenario)</w:t>
      </w:r>
    </w:p>
    <w:p w:rsidR="00F66475" w:rsidRPr="005B02AC" w:rsidRDefault="00F66475" w:rsidP="00F66475">
      <w:pPr>
        <w:pBdr>
          <w:top w:val="single" w:sz="4" w:space="1" w:color="auto"/>
          <w:left w:val="single" w:sz="4" w:space="0" w:color="auto"/>
          <w:bottom w:val="single" w:sz="4" w:space="1" w:color="auto"/>
          <w:right w:val="single" w:sz="4" w:space="0" w:color="auto"/>
        </w:pBdr>
        <w:spacing w:after="200" w:line="288" w:lineRule="auto"/>
        <w:rPr>
          <w:rFonts w:ascii="Calibri Light" w:hAnsi="Calibri Light" w:cs="Calibri Light"/>
          <w:szCs w:val="22"/>
        </w:rPr>
      </w:pPr>
      <w:r w:rsidRPr="001D69FF">
        <w:rPr>
          <w:rFonts w:ascii="Calibri Light" w:hAnsi="Calibri Light" w:cs="Calibri Light"/>
          <w:noProof/>
          <w:szCs w:val="22"/>
          <w:lang w:eastAsia="en-AU"/>
        </w:rPr>
        <w:drawing>
          <wp:inline distT="0" distB="0" distL="0" distR="0" wp14:anchorId="29199F48" wp14:editId="570042E1">
            <wp:extent cx="6060360" cy="3060065"/>
            <wp:effectExtent l="0" t="0" r="0" b="6985"/>
            <wp:docPr id="8" name="Picture 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people&#10;&#10;Description automatically generated with medium confidence"/>
                    <pic:cNvPicPr>
                      <a:picLocks noChangeAspect="1"/>
                    </pic:cNvPicPr>
                  </pic:nvPicPr>
                  <pic:blipFill>
                    <a:blip r:embed="rId9"/>
                    <a:stretch>
                      <a:fillRect/>
                    </a:stretch>
                  </pic:blipFill>
                  <pic:spPr>
                    <a:xfrm>
                      <a:off x="0" y="0"/>
                      <a:ext cx="6097127" cy="3078630"/>
                    </a:xfrm>
                    <a:prstGeom prst="rect">
                      <a:avLst/>
                    </a:prstGeom>
                  </pic:spPr>
                </pic:pic>
              </a:graphicData>
            </a:graphic>
          </wp:inline>
        </w:drawing>
      </w:r>
    </w:p>
    <w:p w:rsidR="00F66475" w:rsidRPr="00117C14" w:rsidRDefault="00F66475" w:rsidP="00F66475">
      <w:pPr>
        <w:spacing w:after="200" w:line="288" w:lineRule="auto"/>
        <w:rPr>
          <w:rFonts w:ascii="Calibri Light" w:hAnsi="Calibri Light" w:cs="Calibri Light"/>
          <w:sz w:val="18"/>
          <w:szCs w:val="18"/>
        </w:rPr>
      </w:pPr>
      <w:r w:rsidRPr="00117C14">
        <w:rPr>
          <w:rFonts w:ascii="Calibri Light" w:hAnsi="Calibri Light" w:cs="Calibri Light"/>
          <w:sz w:val="18"/>
          <w:szCs w:val="18"/>
        </w:rPr>
        <w:t>Source: Energy Security Board Capacity Mechanism High-level Design Paper</w:t>
      </w:r>
    </w:p>
    <w:p w:rsidR="00F66475" w:rsidRPr="008909AF" w:rsidRDefault="00F66475" w:rsidP="00F66475">
      <w:pPr>
        <w:pStyle w:val="Heading3"/>
        <w:rPr>
          <w:rFonts w:ascii="Calibri Light" w:hAnsi="Calibri Light" w:cs="Calibri Light"/>
          <w:color w:val="197C7D"/>
          <w:sz w:val="36"/>
          <w:szCs w:val="36"/>
          <w:lang w:val="en-US"/>
        </w:rPr>
      </w:pPr>
      <w:bookmarkStart w:id="90" w:name="_Toc1944943500"/>
      <w:r w:rsidRPr="52A7AAAB">
        <w:rPr>
          <w:rFonts w:ascii="Calibri Light" w:hAnsi="Calibri Light" w:cs="Calibri Light"/>
          <w:color w:val="197C7D"/>
          <w:sz w:val="36"/>
          <w:szCs w:val="36"/>
          <w:lang w:val="en-US"/>
        </w:rPr>
        <w:lastRenderedPageBreak/>
        <w:t>Risk of supply and demand imbalance</w:t>
      </w:r>
      <w:bookmarkEnd w:id="90"/>
      <w:r w:rsidRPr="52A7AAAB">
        <w:rPr>
          <w:rFonts w:ascii="Calibri Light" w:hAnsi="Calibri Light" w:cs="Calibri Light"/>
          <w:color w:val="197C7D"/>
          <w:sz w:val="36"/>
          <w:szCs w:val="36"/>
          <w:lang w:val="en-US"/>
        </w:rPr>
        <w:t xml:space="preserve"> </w:t>
      </w:r>
    </w:p>
    <w:p w:rsidR="00F66475" w:rsidRPr="00781A02" w:rsidRDefault="00F66475" w:rsidP="00F66475">
      <w:pPr>
        <w:spacing w:after="200" w:line="288" w:lineRule="auto"/>
        <w:rPr>
          <w:rFonts w:ascii="Calibri Light" w:hAnsi="Calibri Light" w:cs="Calibri Light"/>
        </w:rPr>
      </w:pPr>
      <w:r w:rsidRPr="00391F0E">
        <w:rPr>
          <w:rFonts w:ascii="Calibri Light" w:hAnsi="Calibri Light" w:cs="Calibri Light"/>
        </w:rPr>
        <w:t>Insufficient new generation and storage capacity to replace exiting generation will result in a supply-demand imbalance</w:t>
      </w:r>
      <w:r>
        <w:rPr>
          <w:rFonts w:ascii="Calibri Light" w:hAnsi="Calibri Light" w:cs="Calibri Light"/>
        </w:rPr>
        <w:t xml:space="preserve"> from either suboptimal </w:t>
      </w:r>
      <w:r w:rsidRPr="001C78C5">
        <w:rPr>
          <w:rFonts w:ascii="Calibri Light" w:hAnsi="Calibri Light" w:cs="Calibri Light"/>
        </w:rPr>
        <w:t>timing for new investment (too little, too late) or the wrong mix of investment (not enough dispatchable capacity, including long-duration storage, to back up intermittent renewable generation).</w:t>
      </w:r>
      <w:r>
        <w:rPr>
          <w:rFonts w:ascii="Calibri Light" w:hAnsi="Calibri Light" w:cs="Calibri Light"/>
        </w:rPr>
        <w:t xml:space="preserve"> This would have a negative impact on all energy consumers, including households, small and medium businesses, commercial and industrial users, energy sector businesses such as retailers, for example, and governments. These consumers would face</w:t>
      </w:r>
      <w:r w:rsidDel="00886218">
        <w:rPr>
          <w:rFonts w:ascii="Calibri Light" w:hAnsi="Calibri Light" w:cs="Calibri Light"/>
        </w:rPr>
        <w:t xml:space="preserve"> </w:t>
      </w:r>
      <w:r w:rsidRPr="001C78C5">
        <w:rPr>
          <w:rFonts w:ascii="Calibri Light" w:hAnsi="Calibri Light" w:cs="Calibri Light"/>
        </w:rPr>
        <w:t xml:space="preserve">increased electricity prices and greater </w:t>
      </w:r>
      <w:r>
        <w:rPr>
          <w:rFonts w:ascii="Calibri Light" w:hAnsi="Calibri Light" w:cs="Calibri Light"/>
        </w:rPr>
        <w:t xml:space="preserve">frequency of </w:t>
      </w:r>
      <w:r w:rsidRPr="001C78C5">
        <w:rPr>
          <w:rFonts w:ascii="Calibri Light" w:hAnsi="Calibri Light" w:cs="Calibri Light"/>
        </w:rPr>
        <w:t>supply disruption</w:t>
      </w:r>
      <w:r>
        <w:rPr>
          <w:rFonts w:ascii="Calibri Light" w:hAnsi="Calibri Light" w:cs="Calibri Light"/>
        </w:rPr>
        <w:t>s</w:t>
      </w:r>
      <w:r w:rsidRPr="001C78C5">
        <w:rPr>
          <w:rFonts w:ascii="Calibri Light" w:hAnsi="Calibri Light" w:cs="Calibri Light"/>
        </w:rPr>
        <w:t xml:space="preserve"> and blackouts.</w:t>
      </w:r>
      <w:r>
        <w:rPr>
          <w:rFonts w:ascii="Calibri Light" w:hAnsi="Calibri Light" w:cs="Calibri Light"/>
        </w:rPr>
        <w:t xml:space="preserve"> </w:t>
      </w:r>
      <w:r w:rsidRPr="14845761">
        <w:rPr>
          <w:rFonts w:ascii="Calibri Light" w:hAnsi="Calibri Light" w:cs="Calibri Light"/>
        </w:rPr>
        <w:t xml:space="preserve">Households are particularly concerned about increased electricity prices </w:t>
      </w:r>
      <w:r>
        <w:rPr>
          <w:rFonts w:ascii="Calibri Light" w:hAnsi="Calibri Light" w:cs="Calibri Light"/>
        </w:rPr>
        <w:t>impacting electricity bills and further exacerbating cost of living pressures</w:t>
      </w:r>
      <w:r w:rsidRPr="14845761">
        <w:rPr>
          <w:rFonts w:ascii="Calibri Light" w:hAnsi="Calibri Light" w:cs="Calibri Light"/>
        </w:rPr>
        <w:t>.</w:t>
      </w:r>
      <w:r w:rsidRPr="00B52F53">
        <w:rPr>
          <w:rFonts w:ascii="Calibri Light" w:hAnsi="Calibri Light" w:cs="Calibri Light"/>
        </w:rPr>
        <w:t xml:space="preserve"> </w:t>
      </w:r>
      <w:r w:rsidRPr="14845761">
        <w:rPr>
          <w:rFonts w:ascii="Calibri Light" w:hAnsi="Calibri Light" w:cs="Calibri Light"/>
        </w:rPr>
        <w:t xml:space="preserve"> </w:t>
      </w:r>
    </w:p>
    <w:p w:rsidR="00F66475" w:rsidRPr="008909AF" w:rsidRDefault="00F66475" w:rsidP="00F66475">
      <w:pPr>
        <w:pStyle w:val="Heading3"/>
        <w:rPr>
          <w:rFonts w:ascii="Calibri Light" w:hAnsi="Calibri Light" w:cs="Calibri Light"/>
          <w:color w:val="197C7D"/>
          <w:sz w:val="36"/>
          <w:szCs w:val="36"/>
          <w:lang w:val="en-US"/>
        </w:rPr>
      </w:pPr>
      <w:bookmarkStart w:id="91" w:name="_Toc1711668099"/>
      <w:r w:rsidRPr="52A7AAAB">
        <w:rPr>
          <w:rFonts w:ascii="Calibri Light" w:hAnsi="Calibri Light" w:cs="Calibri Light"/>
          <w:color w:val="197C7D"/>
          <w:sz w:val="36"/>
          <w:szCs w:val="36"/>
          <w:lang w:val="en-US"/>
        </w:rPr>
        <w:t>Key stakeholder groups impacted</w:t>
      </w:r>
      <w:bookmarkEnd w:id="91"/>
    </w:p>
    <w:p w:rsidR="00F66475" w:rsidRDefault="00F66475" w:rsidP="00F66475">
      <w:pPr>
        <w:spacing w:after="200" w:line="288" w:lineRule="auto"/>
        <w:rPr>
          <w:rFonts w:ascii="Calibri Light" w:hAnsi="Calibri Light" w:cs="Calibri Light"/>
          <w:szCs w:val="22"/>
        </w:rPr>
      </w:pPr>
      <w:r w:rsidRPr="003E63E0">
        <w:rPr>
          <w:rFonts w:ascii="Calibri Light" w:hAnsi="Calibri Light" w:cs="Calibri Light"/>
          <w:szCs w:val="22"/>
        </w:rPr>
        <w:t xml:space="preserve">Australia’s energy markets involve a </w:t>
      </w:r>
      <w:r>
        <w:rPr>
          <w:rFonts w:ascii="Calibri Light" w:hAnsi="Calibri Light" w:cs="Calibri Light"/>
          <w:szCs w:val="22"/>
        </w:rPr>
        <w:t>range</w:t>
      </w:r>
      <w:r w:rsidRPr="003E63E0">
        <w:rPr>
          <w:rFonts w:ascii="Calibri Light" w:hAnsi="Calibri Light" w:cs="Calibri Light"/>
          <w:szCs w:val="22"/>
        </w:rPr>
        <w:t xml:space="preserve"> of </w:t>
      </w:r>
      <w:r>
        <w:rPr>
          <w:rFonts w:ascii="Calibri Light" w:hAnsi="Calibri Light" w:cs="Calibri Light"/>
          <w:szCs w:val="22"/>
        </w:rPr>
        <w:t>stakeholders</w:t>
      </w:r>
      <w:r w:rsidRPr="003E63E0">
        <w:rPr>
          <w:rFonts w:ascii="Calibri Light" w:hAnsi="Calibri Light" w:cs="Calibri Light"/>
          <w:szCs w:val="22"/>
        </w:rPr>
        <w:t xml:space="preserve">. The following are considered in this Impact Analysis in determining the impacts of options to address </w:t>
      </w:r>
      <w:r>
        <w:rPr>
          <w:rFonts w:ascii="Calibri Light" w:hAnsi="Calibri Light" w:cs="Calibri Light"/>
          <w:szCs w:val="22"/>
        </w:rPr>
        <w:t>electricity generation and storage issues</w:t>
      </w:r>
      <w:r w:rsidRPr="003E63E0">
        <w:rPr>
          <w:rFonts w:ascii="Calibri Light" w:hAnsi="Calibri Light" w:cs="Calibri Light"/>
          <w:szCs w:val="22"/>
        </w:rPr>
        <w:t xml:space="preserve">. </w:t>
      </w:r>
    </w:p>
    <w:tbl>
      <w:tblPr>
        <w:tblStyle w:val="TableGridLight"/>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953"/>
        <w:gridCol w:w="6597"/>
      </w:tblGrid>
      <w:tr w:rsidR="00F66475" w:rsidRPr="00F82FC7" w:rsidTr="00E2051A">
        <w:trPr>
          <w:trHeight w:val="575"/>
        </w:trPr>
        <w:tc>
          <w:tcPr>
            <w:tcW w:w="2953" w:type="dxa"/>
            <w:tcBorders>
              <w:top w:val="nil"/>
              <w:bottom w:val="single" w:sz="4" w:space="0" w:color="auto"/>
            </w:tcBorders>
            <w:shd w:val="clear" w:color="auto" w:fill="F2F2F2" w:themeFill="background1" w:themeFillShade="F2"/>
            <w:vAlign w:val="center"/>
          </w:tcPr>
          <w:p w:rsidR="00F66475" w:rsidRPr="00F82FC7" w:rsidRDefault="00F66475" w:rsidP="00E2051A">
            <w:pPr>
              <w:spacing w:before="120" w:after="120" w:line="288" w:lineRule="auto"/>
              <w:rPr>
                <w:rFonts w:ascii="Calibri Light" w:eastAsia="Calibri" w:hAnsi="Calibri Light" w:cs="Calibri Light"/>
                <w:b/>
                <w:bCs/>
                <w:szCs w:val="22"/>
              </w:rPr>
            </w:pPr>
            <w:r w:rsidRPr="00F82FC7">
              <w:rPr>
                <w:rFonts w:ascii="Calibri Light" w:eastAsia="Calibri" w:hAnsi="Calibri Light" w:cs="Calibri Light"/>
                <w:b/>
                <w:bCs/>
                <w:szCs w:val="22"/>
              </w:rPr>
              <w:t>Stakeholder group</w:t>
            </w:r>
          </w:p>
        </w:tc>
        <w:tc>
          <w:tcPr>
            <w:tcW w:w="6597" w:type="dxa"/>
            <w:tcBorders>
              <w:top w:val="nil"/>
              <w:bottom w:val="single" w:sz="4" w:space="0" w:color="auto"/>
            </w:tcBorders>
            <w:shd w:val="clear" w:color="auto" w:fill="F2F2F2" w:themeFill="background1" w:themeFillShade="F2"/>
            <w:vAlign w:val="center"/>
          </w:tcPr>
          <w:p w:rsidR="00F66475" w:rsidRPr="00F82FC7" w:rsidRDefault="00F66475" w:rsidP="00E2051A">
            <w:pPr>
              <w:spacing w:before="120" w:after="120" w:line="288" w:lineRule="auto"/>
              <w:rPr>
                <w:rFonts w:ascii="Calibri Light" w:eastAsia="Calibri" w:hAnsi="Calibri Light" w:cs="Calibri Light"/>
                <w:b/>
                <w:bCs/>
                <w:szCs w:val="22"/>
              </w:rPr>
            </w:pPr>
            <w:r>
              <w:rPr>
                <w:rFonts w:ascii="Calibri Light" w:eastAsia="Calibri" w:hAnsi="Calibri Light" w:cs="Calibri Light"/>
                <w:b/>
                <w:bCs/>
                <w:szCs w:val="22"/>
              </w:rPr>
              <w:t>Role in the problem</w:t>
            </w:r>
          </w:p>
        </w:tc>
      </w:tr>
      <w:tr w:rsidR="00F66475" w:rsidTr="00E2051A">
        <w:trPr>
          <w:trHeight w:val="1039"/>
        </w:trPr>
        <w:tc>
          <w:tcPr>
            <w:tcW w:w="2953" w:type="dxa"/>
            <w:tcBorders>
              <w:top w:val="single" w:sz="4" w:space="0" w:color="auto"/>
            </w:tcBorders>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 xml:space="preserve">Consumers, including households </w:t>
            </w:r>
          </w:p>
        </w:tc>
        <w:tc>
          <w:tcPr>
            <w:tcW w:w="6597" w:type="dxa"/>
            <w:tcBorders>
              <w:top w:val="single" w:sz="4" w:space="0" w:color="auto"/>
            </w:tcBorders>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I</w:t>
            </w:r>
            <w:r w:rsidRPr="00072A05">
              <w:rPr>
                <w:rFonts w:ascii="Calibri Light" w:eastAsia="Calibri" w:hAnsi="Calibri Light" w:cs="Calibri Light"/>
                <w:szCs w:val="22"/>
              </w:rPr>
              <w:t>ncrease in retail electricity bills are contributing to cost-of-living pressures for Australian households</w:t>
            </w:r>
            <w:r>
              <w:rPr>
                <w:rFonts w:ascii="Calibri Light" w:eastAsia="Calibri" w:hAnsi="Calibri Light" w:cs="Calibri Light"/>
                <w:szCs w:val="22"/>
              </w:rPr>
              <w:t xml:space="preserve"> and increased operational costs for business consumers.</w:t>
            </w:r>
            <w:r w:rsidRPr="00072A05">
              <w:rPr>
                <w:rFonts w:ascii="Calibri Light" w:eastAsia="Calibri" w:hAnsi="Calibri Light" w:cs="Calibri Light"/>
                <w:szCs w:val="22"/>
              </w:rPr>
              <w:t xml:space="preserve"> </w:t>
            </w:r>
          </w:p>
        </w:tc>
      </w:tr>
      <w:tr w:rsidR="00F66475" w:rsidTr="00E2051A">
        <w:trPr>
          <w:trHeight w:val="1048"/>
        </w:trPr>
        <w:tc>
          <w:tcPr>
            <w:tcW w:w="2953" w:type="dxa"/>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Energy intensive users</w:t>
            </w:r>
          </w:p>
        </w:tc>
        <w:tc>
          <w:tcPr>
            <w:tcW w:w="6597" w:type="dxa"/>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While energy intensive users can negotiate with retailers as to the price they should pay for electricity, they too are facing increased electricity costs due to energy retailers facing higher wholesale costs.</w:t>
            </w:r>
          </w:p>
        </w:tc>
      </w:tr>
      <w:tr w:rsidR="00F66475" w:rsidTr="00E2051A">
        <w:trPr>
          <w:trHeight w:val="1048"/>
        </w:trPr>
        <w:tc>
          <w:tcPr>
            <w:tcW w:w="2953" w:type="dxa"/>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Energy retailers</w:t>
            </w:r>
          </w:p>
        </w:tc>
        <w:tc>
          <w:tcPr>
            <w:tcW w:w="6597" w:type="dxa"/>
          </w:tcPr>
          <w:p w:rsidR="00F66475" w:rsidRDefault="00F66475" w:rsidP="00E2051A">
            <w:pPr>
              <w:spacing w:after="60" w:line="288" w:lineRule="auto"/>
              <w:rPr>
                <w:rFonts w:ascii="Calibri Light" w:eastAsia="Calibri" w:hAnsi="Calibri Light" w:cs="Calibri Light"/>
                <w:szCs w:val="22"/>
              </w:rPr>
            </w:pPr>
            <w:r w:rsidRPr="001C630E">
              <w:rPr>
                <w:rFonts w:ascii="Calibri Light" w:eastAsia="Calibri" w:hAnsi="Calibri Light" w:cs="Calibri Light"/>
                <w:szCs w:val="22"/>
              </w:rPr>
              <w:t xml:space="preserve">Energy retailers sell electricity to residential and business customers. The retail sector is the final link in the electricity supply chain, providing energy services and final retail energy bills to end-user customers. </w:t>
            </w:r>
          </w:p>
        </w:tc>
      </w:tr>
      <w:tr w:rsidR="00F66475" w:rsidTr="00E2051A">
        <w:trPr>
          <w:trHeight w:val="1698"/>
        </w:trPr>
        <w:tc>
          <w:tcPr>
            <w:tcW w:w="2953" w:type="dxa"/>
            <w:tcBorders>
              <w:bottom w:val="single" w:sz="4" w:space="0" w:color="auto"/>
            </w:tcBorders>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Renewable energy generators</w:t>
            </w:r>
          </w:p>
        </w:tc>
        <w:tc>
          <w:tcPr>
            <w:tcW w:w="6597" w:type="dxa"/>
            <w:tcBorders>
              <w:bottom w:val="single" w:sz="4" w:space="0" w:color="auto"/>
            </w:tcBorders>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Renewable</w:t>
            </w:r>
            <w:r w:rsidRPr="006B18F0">
              <w:rPr>
                <w:rFonts w:ascii="Calibri Light" w:eastAsia="Calibri" w:hAnsi="Calibri Light" w:cs="Calibri Light"/>
                <w:szCs w:val="22"/>
              </w:rPr>
              <w:t xml:space="preserve"> </w:t>
            </w:r>
            <w:r>
              <w:rPr>
                <w:rFonts w:ascii="Calibri Light" w:eastAsia="Calibri" w:hAnsi="Calibri Light" w:cs="Calibri Light"/>
                <w:szCs w:val="22"/>
              </w:rPr>
              <w:t xml:space="preserve">energy </w:t>
            </w:r>
            <w:r w:rsidRPr="006B18F0">
              <w:rPr>
                <w:rFonts w:ascii="Calibri Light" w:eastAsia="Calibri" w:hAnsi="Calibri Light" w:cs="Calibri Light"/>
                <w:szCs w:val="22"/>
              </w:rPr>
              <w:t xml:space="preserve">generators use </w:t>
            </w:r>
            <w:r>
              <w:rPr>
                <w:rFonts w:ascii="Calibri Light" w:eastAsia="Calibri" w:hAnsi="Calibri Light" w:cs="Calibri Light"/>
                <w:szCs w:val="22"/>
              </w:rPr>
              <w:t>renewable sources</w:t>
            </w:r>
            <w:r w:rsidRPr="006B18F0">
              <w:rPr>
                <w:rFonts w:ascii="Calibri Light" w:eastAsia="Calibri" w:hAnsi="Calibri Light" w:cs="Calibri Light"/>
                <w:szCs w:val="22"/>
              </w:rPr>
              <w:t xml:space="preserve"> (e.g. </w:t>
            </w:r>
            <w:r>
              <w:rPr>
                <w:rFonts w:ascii="Calibri Light" w:eastAsia="Calibri" w:hAnsi="Calibri Light" w:cs="Calibri Light"/>
                <w:szCs w:val="22"/>
              </w:rPr>
              <w:t>wind</w:t>
            </w:r>
            <w:r w:rsidRPr="006B18F0">
              <w:rPr>
                <w:rFonts w:ascii="Calibri Light" w:eastAsia="Calibri" w:hAnsi="Calibri Light" w:cs="Calibri Light"/>
                <w:szCs w:val="22"/>
              </w:rPr>
              <w:t xml:space="preserve">, </w:t>
            </w:r>
            <w:r>
              <w:rPr>
                <w:rFonts w:ascii="Calibri Light" w:eastAsia="Calibri" w:hAnsi="Calibri Light" w:cs="Calibri Light"/>
                <w:szCs w:val="22"/>
              </w:rPr>
              <w:t>solar, hydro</w:t>
            </w:r>
            <w:r w:rsidRPr="006B18F0">
              <w:rPr>
                <w:rFonts w:ascii="Calibri Light" w:eastAsia="Calibri" w:hAnsi="Calibri Light" w:cs="Calibri Light"/>
                <w:szCs w:val="22"/>
              </w:rPr>
              <w:t xml:space="preserve">) to generate electricity and then offer to supply the wholesale market with a certain volume of electricity for a bid price. </w:t>
            </w:r>
            <w:r>
              <w:rPr>
                <w:rFonts w:ascii="Calibri Light" w:eastAsia="Calibri" w:hAnsi="Calibri Light" w:cs="Calibri Light"/>
                <w:szCs w:val="22"/>
              </w:rPr>
              <w:t>Renewable generators do not create emissions when generating electricity and are essential to reducing Australia’s</w:t>
            </w:r>
            <w:r w:rsidRPr="006B18F0">
              <w:rPr>
                <w:rFonts w:ascii="Calibri Light" w:eastAsia="Calibri" w:hAnsi="Calibri Light" w:cs="Calibri Light"/>
                <w:szCs w:val="22"/>
              </w:rPr>
              <w:t xml:space="preserve"> </w:t>
            </w:r>
            <w:r>
              <w:rPr>
                <w:rFonts w:ascii="Calibri Light" w:eastAsia="Calibri" w:hAnsi="Calibri Light" w:cs="Calibri Light"/>
                <w:szCs w:val="22"/>
              </w:rPr>
              <w:t>carbon emissions.</w:t>
            </w:r>
          </w:p>
        </w:tc>
      </w:tr>
      <w:tr w:rsidR="00F66475" w:rsidTr="00E2051A">
        <w:trPr>
          <w:trHeight w:val="1381"/>
        </w:trPr>
        <w:tc>
          <w:tcPr>
            <w:tcW w:w="2953" w:type="dxa"/>
            <w:tcBorders>
              <w:top w:val="single" w:sz="4" w:space="0" w:color="auto"/>
              <w:bottom w:val="single" w:sz="4" w:space="0" w:color="auto"/>
            </w:tcBorders>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Fossil fuel generators</w:t>
            </w:r>
          </w:p>
        </w:tc>
        <w:tc>
          <w:tcPr>
            <w:tcW w:w="6597" w:type="dxa"/>
            <w:tcBorders>
              <w:top w:val="single" w:sz="4" w:space="0" w:color="auto"/>
              <w:bottom w:val="single" w:sz="4" w:space="0" w:color="auto"/>
            </w:tcBorders>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Fossil fuel</w:t>
            </w:r>
            <w:r w:rsidRPr="006B18F0">
              <w:rPr>
                <w:rFonts w:ascii="Calibri Light" w:eastAsia="Calibri" w:hAnsi="Calibri Light" w:cs="Calibri Light"/>
                <w:szCs w:val="22"/>
              </w:rPr>
              <w:t xml:space="preserve"> generators use </w:t>
            </w:r>
            <w:r>
              <w:rPr>
                <w:rFonts w:ascii="Calibri Light" w:eastAsia="Calibri" w:hAnsi="Calibri Light" w:cs="Calibri Light"/>
                <w:szCs w:val="22"/>
              </w:rPr>
              <w:t xml:space="preserve">fossil fuel sources </w:t>
            </w:r>
            <w:r w:rsidRPr="006B18F0">
              <w:rPr>
                <w:rFonts w:ascii="Calibri Light" w:eastAsia="Calibri" w:hAnsi="Calibri Light" w:cs="Calibri Light"/>
                <w:szCs w:val="22"/>
              </w:rPr>
              <w:t xml:space="preserve">(e.g. </w:t>
            </w:r>
            <w:r>
              <w:rPr>
                <w:rFonts w:ascii="Calibri Light" w:eastAsia="Calibri" w:hAnsi="Calibri Light" w:cs="Calibri Light"/>
                <w:szCs w:val="22"/>
              </w:rPr>
              <w:t>coal, gas</w:t>
            </w:r>
            <w:r w:rsidRPr="006B18F0">
              <w:rPr>
                <w:rFonts w:ascii="Calibri Light" w:eastAsia="Calibri" w:hAnsi="Calibri Light" w:cs="Calibri Light"/>
                <w:szCs w:val="22"/>
              </w:rPr>
              <w:t xml:space="preserve">) to generate electricity and then offer to supply the wholesale market with a certain volume of electricity for a bid price. </w:t>
            </w:r>
            <w:r>
              <w:rPr>
                <w:rFonts w:ascii="Calibri Light" w:eastAsia="Calibri" w:hAnsi="Calibri Light" w:cs="Calibri Light"/>
                <w:szCs w:val="22"/>
              </w:rPr>
              <w:t>Fossil fuel produce carbon emissions when generating electricity.</w:t>
            </w:r>
          </w:p>
        </w:tc>
      </w:tr>
    </w:tbl>
    <w:p w:rsidR="00F66475" w:rsidRPr="008909AF" w:rsidRDefault="00F66475" w:rsidP="00F66475">
      <w:pPr>
        <w:pStyle w:val="Heading3"/>
        <w:rPr>
          <w:rFonts w:ascii="Calibri Light" w:hAnsi="Calibri Light" w:cs="Calibri Light"/>
          <w:color w:val="197C7D"/>
          <w:sz w:val="36"/>
          <w:szCs w:val="36"/>
          <w:lang w:val="en-US"/>
        </w:rPr>
      </w:pPr>
      <w:bookmarkStart w:id="92" w:name="_Toc583213215"/>
      <w:r w:rsidRPr="52A7AAAB">
        <w:rPr>
          <w:rFonts w:ascii="Calibri Light" w:hAnsi="Calibri Light" w:cs="Calibri Light"/>
          <w:color w:val="197C7D"/>
          <w:sz w:val="36"/>
          <w:szCs w:val="36"/>
          <w:lang w:val="en-US"/>
        </w:rPr>
        <w:lastRenderedPageBreak/>
        <w:t>Existing government support for energy transformation</w:t>
      </w:r>
      <w:bookmarkEnd w:id="92"/>
      <w:r w:rsidRPr="52A7AAAB">
        <w:rPr>
          <w:rFonts w:ascii="Calibri Light" w:hAnsi="Calibri Light" w:cs="Calibri Light"/>
          <w:color w:val="197C7D"/>
          <w:sz w:val="36"/>
          <w:szCs w:val="36"/>
          <w:lang w:val="en-US"/>
        </w:rPr>
        <w:t xml:space="preserve"> </w:t>
      </w:r>
    </w:p>
    <w:p w:rsidR="00F66475" w:rsidRDefault="00F66475" w:rsidP="00F66475">
      <w:pPr>
        <w:spacing w:after="200" w:line="288" w:lineRule="auto"/>
        <w:rPr>
          <w:rFonts w:ascii="Calibri Light" w:hAnsi="Calibri Light" w:cs="Calibri Light"/>
          <w:szCs w:val="22"/>
        </w:rPr>
      </w:pPr>
      <w:r w:rsidRPr="001D69FF">
        <w:rPr>
          <w:rFonts w:ascii="Calibri Light" w:hAnsi="Calibri Light" w:cs="Calibri Light"/>
          <w:szCs w:val="22"/>
        </w:rPr>
        <w:t xml:space="preserve">In response to the </w:t>
      </w:r>
      <w:r>
        <w:rPr>
          <w:rFonts w:ascii="Calibri Light" w:hAnsi="Calibri Light" w:cs="Calibri Light"/>
          <w:szCs w:val="22"/>
        </w:rPr>
        <w:t>rapid transformation of the electricity sector</w:t>
      </w:r>
      <w:r w:rsidRPr="001D69FF">
        <w:rPr>
          <w:rFonts w:ascii="Calibri Light" w:hAnsi="Calibri Light" w:cs="Calibri Light"/>
          <w:szCs w:val="22"/>
        </w:rPr>
        <w:t xml:space="preserve">, </w:t>
      </w:r>
      <w:r>
        <w:rPr>
          <w:rFonts w:ascii="Calibri Light" w:hAnsi="Calibri Light" w:cs="Calibri Light"/>
          <w:szCs w:val="22"/>
        </w:rPr>
        <w:t xml:space="preserve">governments at all levels are responding </w:t>
      </w:r>
      <w:r w:rsidRPr="001D69FF">
        <w:rPr>
          <w:rFonts w:ascii="Calibri Light" w:hAnsi="Calibri Light" w:cs="Calibri Light"/>
          <w:szCs w:val="22"/>
        </w:rPr>
        <w:t>in various ways</w:t>
      </w:r>
      <w:r>
        <w:rPr>
          <w:rFonts w:ascii="Calibri Light" w:hAnsi="Calibri Light" w:cs="Calibri Light"/>
          <w:szCs w:val="22"/>
        </w:rPr>
        <w:t xml:space="preserve">. This includes planning and investment through initiatives </w:t>
      </w:r>
      <w:r w:rsidRPr="001D69FF">
        <w:rPr>
          <w:rFonts w:ascii="Calibri Light" w:hAnsi="Calibri Light" w:cs="Calibri Light"/>
          <w:szCs w:val="22"/>
        </w:rPr>
        <w:t>such as the N</w:t>
      </w:r>
      <w:r>
        <w:rPr>
          <w:rFonts w:ascii="Calibri Light" w:hAnsi="Calibri Light" w:cs="Calibri Light"/>
          <w:szCs w:val="22"/>
        </w:rPr>
        <w:t xml:space="preserve">ew South Wales (NSW) </w:t>
      </w:r>
      <w:r w:rsidRPr="001D69FF">
        <w:rPr>
          <w:rFonts w:ascii="Calibri Light" w:hAnsi="Calibri Light" w:cs="Calibri Light"/>
          <w:szCs w:val="22"/>
        </w:rPr>
        <w:t>Energy</w:t>
      </w:r>
      <w:r>
        <w:rPr>
          <w:rFonts w:ascii="Calibri Light" w:hAnsi="Calibri Light" w:cs="Calibri Light"/>
          <w:szCs w:val="22"/>
        </w:rPr>
        <w:t xml:space="preserve"> </w:t>
      </w:r>
      <w:r w:rsidRPr="001D69FF">
        <w:rPr>
          <w:rFonts w:ascii="Calibri Light" w:hAnsi="Calibri Light" w:cs="Calibri Light"/>
          <w:szCs w:val="22"/>
        </w:rPr>
        <w:t xml:space="preserve">Roadmap, the Queensland Jobs and Energy Plan, and Victoria’s renewable and storage targets. The Commonwealth </w:t>
      </w:r>
      <w:r>
        <w:rPr>
          <w:rFonts w:ascii="Calibri Light" w:hAnsi="Calibri Light" w:cs="Calibri Light"/>
          <w:szCs w:val="22"/>
        </w:rPr>
        <w:t xml:space="preserve">is </w:t>
      </w:r>
      <w:r w:rsidRPr="001D69FF">
        <w:rPr>
          <w:rFonts w:ascii="Calibri Light" w:hAnsi="Calibri Light" w:cs="Calibri Light"/>
          <w:szCs w:val="22"/>
        </w:rPr>
        <w:t>also contribut</w:t>
      </w:r>
      <w:r>
        <w:rPr>
          <w:rFonts w:ascii="Calibri Light" w:hAnsi="Calibri Light" w:cs="Calibri Light"/>
          <w:szCs w:val="22"/>
        </w:rPr>
        <w:t>ing</w:t>
      </w:r>
      <w:r w:rsidRPr="001D69FF">
        <w:rPr>
          <w:rFonts w:ascii="Calibri Light" w:hAnsi="Calibri Light" w:cs="Calibri Light"/>
          <w:szCs w:val="22"/>
        </w:rPr>
        <w:t xml:space="preserve"> </w:t>
      </w:r>
      <w:r>
        <w:rPr>
          <w:rFonts w:ascii="Calibri Light" w:hAnsi="Calibri Light" w:cs="Calibri Light"/>
          <w:szCs w:val="22"/>
        </w:rPr>
        <w:t xml:space="preserve">through major investment in new generation, storage and transmission infrastructure. </w:t>
      </w:r>
    </w:p>
    <w:p w:rsidR="00F66475" w:rsidRDefault="00F66475" w:rsidP="00F66475">
      <w:pPr>
        <w:spacing w:after="200" w:line="288" w:lineRule="auto"/>
        <w:rPr>
          <w:rFonts w:ascii="Calibri Light" w:hAnsi="Calibri Light" w:cs="Calibri Light"/>
        </w:rPr>
      </w:pPr>
      <w:r w:rsidRPr="00666107">
        <w:rPr>
          <w:rFonts w:ascii="Calibri Light" w:hAnsi="Calibri Light" w:cs="Calibri Light"/>
          <w:szCs w:val="22"/>
        </w:rPr>
        <w:t>While these measures will substantially assist, they are unlikely to be sufficient to deliver a smooth transformation, nor achieve</w:t>
      </w:r>
      <w:r w:rsidRPr="00666107" w:rsidDel="00A83B09">
        <w:rPr>
          <w:rFonts w:ascii="Calibri Light" w:hAnsi="Calibri Light" w:cs="Calibri Light"/>
          <w:szCs w:val="22"/>
        </w:rPr>
        <w:t xml:space="preserve"> </w:t>
      </w:r>
      <w:r w:rsidRPr="00666107">
        <w:rPr>
          <w:rFonts w:ascii="Calibri Light" w:hAnsi="Calibri Light" w:cs="Calibri Light"/>
          <w:szCs w:val="22"/>
        </w:rPr>
        <w:t xml:space="preserve">82 per cent renewables to facilitate the 43 per cent emissions reduction target by 2030. </w:t>
      </w:r>
      <w:r>
        <w:rPr>
          <w:rFonts w:ascii="Calibri Light" w:hAnsi="Calibri Light" w:cs="Calibri Light"/>
          <w:szCs w:val="22"/>
          <w:highlight w:val="black"/>
        </w:rPr>
        <w:t>REDACTED TEXT HERE</w:t>
      </w:r>
      <w:r w:rsidRPr="00B463EE">
        <w:rPr>
          <w:rFonts w:ascii="Calibri Light" w:hAnsi="Calibri Light" w:cs="Calibri Light"/>
          <w:szCs w:val="22"/>
          <w:highlight w:val="black"/>
        </w:rPr>
        <w:t>.</w:t>
      </w:r>
      <w:bookmarkStart w:id="93" w:name="_Toc147847760"/>
      <w:bookmarkEnd w:id="93"/>
      <w:r>
        <w:rPr>
          <w:rFonts w:ascii="Calibri Light" w:hAnsi="Calibri Light" w:cs="Calibri Light"/>
          <w:szCs w:val="22"/>
        </w:rPr>
        <w:t xml:space="preserve"> </w:t>
      </w:r>
    </w:p>
    <w:p w:rsidR="00F66475" w:rsidRPr="00D72217" w:rsidRDefault="00F66475" w:rsidP="00F66475">
      <w:pPr>
        <w:pStyle w:val="Heading3"/>
        <w:rPr>
          <w:rFonts w:eastAsiaTheme="minorEastAsia" w:cstheme="majorBidi"/>
          <w:color w:val="197C7D"/>
          <w:sz w:val="48"/>
          <w:szCs w:val="48"/>
          <w:lang w:eastAsia="ja-JP"/>
        </w:rPr>
      </w:pPr>
      <w:bookmarkStart w:id="94" w:name="_Toc146800942"/>
      <w:bookmarkStart w:id="95" w:name="_Toc146808105"/>
      <w:bookmarkStart w:id="96" w:name="_Toc146866761"/>
      <w:bookmarkStart w:id="97" w:name="_Toc147152117"/>
      <w:bookmarkStart w:id="98" w:name="_Toc147396158"/>
      <w:bookmarkStart w:id="99" w:name="_Toc147479663"/>
      <w:bookmarkStart w:id="100" w:name="_Toc147735759"/>
      <w:bookmarkStart w:id="101" w:name="_Toc147742214"/>
      <w:bookmarkStart w:id="102" w:name="_Toc1169342048"/>
      <w:bookmarkEnd w:id="94"/>
      <w:bookmarkEnd w:id="95"/>
      <w:bookmarkEnd w:id="96"/>
      <w:bookmarkEnd w:id="97"/>
      <w:bookmarkEnd w:id="98"/>
      <w:bookmarkEnd w:id="99"/>
      <w:bookmarkEnd w:id="100"/>
      <w:bookmarkEnd w:id="101"/>
      <w:r w:rsidRPr="52A7AAAB">
        <w:rPr>
          <w:rFonts w:eastAsiaTheme="minorEastAsia" w:cstheme="majorBidi"/>
          <w:color w:val="197C7D"/>
          <w:sz w:val="48"/>
          <w:szCs w:val="48"/>
          <w:lang w:eastAsia="ja-JP"/>
        </w:rPr>
        <w:t>Why is government intervention needed?</w:t>
      </w:r>
      <w:bookmarkEnd w:id="102"/>
      <w:r w:rsidRPr="52A7AAAB">
        <w:rPr>
          <w:rFonts w:eastAsiaTheme="minorEastAsia" w:cstheme="majorBidi"/>
          <w:color w:val="197C7D"/>
          <w:sz w:val="48"/>
          <w:szCs w:val="48"/>
          <w:lang w:eastAsia="ja-JP"/>
        </w:rPr>
        <w:t xml:space="preserve"> </w:t>
      </w:r>
    </w:p>
    <w:p w:rsidR="00F66475" w:rsidRPr="008909AF" w:rsidRDefault="00F66475" w:rsidP="00F66475">
      <w:pPr>
        <w:pStyle w:val="Heading3"/>
        <w:rPr>
          <w:rFonts w:ascii="Calibri Light" w:hAnsi="Calibri Light" w:cs="Calibri Light"/>
          <w:color w:val="197C7D"/>
          <w:sz w:val="36"/>
          <w:szCs w:val="36"/>
          <w:lang w:val="en-US"/>
        </w:rPr>
      </w:pPr>
      <w:bookmarkStart w:id="103" w:name="_Toc1550619837"/>
      <w:bookmarkStart w:id="104" w:name="_Toc96326922"/>
      <w:r w:rsidRPr="52A7AAAB">
        <w:rPr>
          <w:rFonts w:ascii="Calibri Light" w:hAnsi="Calibri Light" w:cs="Calibri Light"/>
          <w:color w:val="197C7D"/>
          <w:sz w:val="36"/>
          <w:szCs w:val="36"/>
          <w:lang w:val="en-US"/>
        </w:rPr>
        <w:t>Investment uncertainty is putting pressure on electricity reliability and affordability</w:t>
      </w:r>
      <w:bookmarkEnd w:id="103"/>
    </w:p>
    <w:p w:rsidR="00F66475" w:rsidRDefault="00F66475" w:rsidP="00F66475">
      <w:pPr>
        <w:spacing w:after="200" w:line="288" w:lineRule="auto"/>
        <w:rPr>
          <w:rFonts w:ascii="Calibri Light" w:hAnsi="Calibri Light" w:cs="Calibri Light"/>
        </w:rPr>
      </w:pPr>
      <w:r>
        <w:rPr>
          <w:rFonts w:ascii="Calibri Light" w:hAnsi="Calibri Light" w:cs="Calibri Light"/>
        </w:rPr>
        <w:t>The</w:t>
      </w:r>
      <w:r w:rsidRPr="00471272" w:rsidDel="00833F39">
        <w:rPr>
          <w:rFonts w:ascii="Calibri Light" w:hAnsi="Calibri Light" w:cs="Calibri Light"/>
        </w:rPr>
        <w:t xml:space="preserve"> </w:t>
      </w:r>
      <w:r w:rsidRPr="00471272">
        <w:rPr>
          <w:rFonts w:ascii="Calibri Light" w:hAnsi="Calibri Light" w:cs="Calibri Light"/>
        </w:rPr>
        <w:t xml:space="preserve">pace </w:t>
      </w:r>
      <w:r>
        <w:rPr>
          <w:rFonts w:ascii="Calibri Light" w:hAnsi="Calibri Light" w:cs="Calibri Light"/>
        </w:rPr>
        <w:t>at</w:t>
      </w:r>
      <w:r w:rsidRPr="00471272">
        <w:rPr>
          <w:rFonts w:ascii="Calibri Light" w:hAnsi="Calibri Light" w:cs="Calibri Light"/>
        </w:rPr>
        <w:t xml:space="preserve"> which </w:t>
      </w:r>
      <w:r>
        <w:rPr>
          <w:rFonts w:ascii="Calibri Light" w:hAnsi="Calibri Light" w:cs="Calibri Light"/>
        </w:rPr>
        <w:t xml:space="preserve">electricity </w:t>
      </w:r>
      <w:r w:rsidRPr="00471272">
        <w:rPr>
          <w:rFonts w:ascii="Calibri Light" w:hAnsi="Calibri Light" w:cs="Calibri Light"/>
        </w:rPr>
        <w:t>market</w:t>
      </w:r>
      <w:r>
        <w:rPr>
          <w:rFonts w:ascii="Calibri Light" w:hAnsi="Calibri Light" w:cs="Calibri Light"/>
        </w:rPr>
        <w:t>s</w:t>
      </w:r>
      <w:r w:rsidRPr="00471272">
        <w:rPr>
          <w:rFonts w:ascii="Calibri Light" w:hAnsi="Calibri Light" w:cs="Calibri Light"/>
        </w:rPr>
        <w:t xml:space="preserve"> ha</w:t>
      </w:r>
      <w:r>
        <w:rPr>
          <w:rFonts w:ascii="Calibri Light" w:hAnsi="Calibri Light" w:cs="Calibri Light"/>
        </w:rPr>
        <w:t>ve</w:t>
      </w:r>
      <w:r w:rsidRPr="00471272">
        <w:rPr>
          <w:rFonts w:ascii="Calibri Light" w:hAnsi="Calibri Light" w:cs="Calibri Light"/>
        </w:rPr>
        <w:t xml:space="preserve"> been responding to </w:t>
      </w:r>
      <w:r>
        <w:rPr>
          <w:rFonts w:ascii="Calibri Light" w:hAnsi="Calibri Light" w:cs="Calibri Light"/>
        </w:rPr>
        <w:t xml:space="preserve">the need to </w:t>
      </w:r>
      <w:r w:rsidRPr="00471272">
        <w:rPr>
          <w:rFonts w:ascii="Calibri Light" w:hAnsi="Calibri Light" w:cs="Calibri Light"/>
        </w:rPr>
        <w:t xml:space="preserve">deliver new </w:t>
      </w:r>
      <w:r>
        <w:rPr>
          <w:rFonts w:ascii="Calibri Light" w:hAnsi="Calibri Light" w:cs="Calibri Light"/>
        </w:rPr>
        <w:t xml:space="preserve">dispatchable capacity and </w:t>
      </w:r>
      <w:r w:rsidRPr="00471272">
        <w:rPr>
          <w:rFonts w:ascii="Calibri Light" w:hAnsi="Calibri Light" w:cs="Calibri Light"/>
        </w:rPr>
        <w:t xml:space="preserve">renewable </w:t>
      </w:r>
      <w:r>
        <w:rPr>
          <w:rFonts w:ascii="Calibri Light" w:hAnsi="Calibri Light" w:cs="Calibri Light"/>
        </w:rPr>
        <w:t>generation</w:t>
      </w:r>
      <w:r w:rsidRPr="00471272">
        <w:rPr>
          <w:rFonts w:ascii="Calibri Light" w:hAnsi="Calibri Light" w:cs="Calibri Light"/>
        </w:rPr>
        <w:t xml:space="preserve"> investments </w:t>
      </w:r>
      <w:r>
        <w:rPr>
          <w:rFonts w:ascii="Calibri Light" w:hAnsi="Calibri Light" w:cs="Calibri Light"/>
        </w:rPr>
        <w:t xml:space="preserve">is straining market settings and is </w:t>
      </w:r>
      <w:r w:rsidRPr="00471272">
        <w:rPr>
          <w:rFonts w:ascii="Calibri Light" w:hAnsi="Calibri Light" w:cs="Calibri Light"/>
        </w:rPr>
        <w:t xml:space="preserve">likely to </w:t>
      </w:r>
      <w:r>
        <w:rPr>
          <w:rFonts w:ascii="Calibri Light" w:hAnsi="Calibri Light" w:cs="Calibri Light"/>
        </w:rPr>
        <w:t xml:space="preserve">cause </w:t>
      </w:r>
      <w:r w:rsidRPr="00471272">
        <w:rPr>
          <w:rFonts w:ascii="Calibri Light" w:hAnsi="Calibri Light" w:cs="Calibri Light"/>
        </w:rPr>
        <w:t>supply shortfall</w:t>
      </w:r>
      <w:r>
        <w:rPr>
          <w:rFonts w:ascii="Calibri Light" w:hAnsi="Calibri Light" w:cs="Calibri Light"/>
        </w:rPr>
        <w:t>s, placing risks on electricity affordability and reliability.</w:t>
      </w:r>
      <w:r w:rsidRPr="00471272">
        <w:rPr>
          <w:rFonts w:ascii="Calibri Light" w:hAnsi="Calibri Light" w:cs="Calibri Light"/>
        </w:rPr>
        <w:t xml:space="preserve"> </w:t>
      </w:r>
    </w:p>
    <w:p w:rsidR="00F66475" w:rsidRPr="00844E6F" w:rsidRDefault="00F66475" w:rsidP="00F66475">
      <w:r>
        <w:rPr>
          <w:rFonts w:ascii="Calibri Light" w:hAnsi="Calibri Light" w:cs="Calibri Light"/>
        </w:rPr>
        <w:t xml:space="preserve">Drivers of </w:t>
      </w:r>
      <w:r w:rsidDel="00AF35DE">
        <w:rPr>
          <w:rFonts w:ascii="Calibri Light" w:hAnsi="Calibri Light" w:cs="Calibri Light"/>
        </w:rPr>
        <w:t xml:space="preserve">investment </w:t>
      </w:r>
      <w:r>
        <w:rPr>
          <w:rFonts w:ascii="Calibri Light" w:hAnsi="Calibri Light" w:cs="Calibri Light"/>
        </w:rPr>
        <w:t>uncertainty</w:t>
      </w:r>
      <w:r w:rsidDel="008E0F74">
        <w:rPr>
          <w:rFonts w:ascii="Calibri Light" w:hAnsi="Calibri Light" w:cs="Calibri Light"/>
        </w:rPr>
        <w:t xml:space="preserve"> </w:t>
      </w:r>
      <w:r>
        <w:rPr>
          <w:rFonts w:ascii="Calibri Light" w:hAnsi="Calibri Light" w:cs="Calibri Light"/>
        </w:rPr>
        <w:t>include:</w:t>
      </w:r>
    </w:p>
    <w:p w:rsidR="00F66475" w:rsidRPr="00F30A11" w:rsidRDefault="00F66475" w:rsidP="00F66475">
      <w:pPr>
        <w:pStyle w:val="ListParagraph"/>
        <w:numPr>
          <w:ilvl w:val="0"/>
          <w:numId w:val="18"/>
        </w:numPr>
        <w:spacing w:after="120" w:line="288" w:lineRule="auto"/>
        <w:ind w:left="714" w:hanging="357"/>
        <w:contextualSpacing w:val="0"/>
        <w:rPr>
          <w:rFonts w:ascii="Calibri Light" w:hAnsi="Calibri Light" w:cs="Calibri Light"/>
        </w:rPr>
      </w:pPr>
      <w:r w:rsidRPr="00F30A11">
        <w:rPr>
          <w:rFonts w:ascii="Calibri Light" w:hAnsi="Calibri Light" w:cs="Calibri Light"/>
        </w:rPr>
        <w:t>Demand uncertainty</w:t>
      </w:r>
      <w:r>
        <w:rPr>
          <w:rFonts w:ascii="Calibri Light" w:hAnsi="Calibri Light" w:cs="Calibri Light"/>
        </w:rPr>
        <w:t xml:space="preserve"> -</w:t>
      </w:r>
      <w:r w:rsidRPr="00F30A11">
        <w:rPr>
          <w:rFonts w:ascii="Calibri Light" w:hAnsi="Calibri Light" w:cs="Calibri Light"/>
        </w:rPr>
        <w:t xml:space="preserve"> related to the transition of major electricity users such as smelters, the timing and scale of trends such as electrification, energy efficiency and orchestration as well as the uptake of distributed generation and storage solutions. </w:t>
      </w:r>
    </w:p>
    <w:p w:rsidR="00F66475" w:rsidRPr="00F30A11" w:rsidRDefault="00F66475" w:rsidP="00F66475">
      <w:pPr>
        <w:pStyle w:val="ListParagraph"/>
        <w:numPr>
          <w:ilvl w:val="0"/>
          <w:numId w:val="18"/>
        </w:numPr>
        <w:spacing w:after="120" w:line="288" w:lineRule="auto"/>
        <w:ind w:left="714" w:hanging="357"/>
        <w:contextualSpacing w:val="0"/>
        <w:rPr>
          <w:rFonts w:ascii="Calibri Light" w:hAnsi="Calibri Light" w:cs="Calibri Light"/>
        </w:rPr>
      </w:pPr>
      <w:r>
        <w:rPr>
          <w:rFonts w:ascii="Calibri Light" w:hAnsi="Calibri Light" w:cs="Calibri Light"/>
        </w:rPr>
        <w:t>Timing u</w:t>
      </w:r>
      <w:r w:rsidRPr="00F30A11">
        <w:rPr>
          <w:rFonts w:ascii="Calibri Light" w:hAnsi="Calibri Light" w:cs="Calibri Light"/>
        </w:rPr>
        <w:t>ncertainty</w:t>
      </w:r>
      <w:r>
        <w:rPr>
          <w:rFonts w:ascii="Calibri Light" w:hAnsi="Calibri Light" w:cs="Calibri Light"/>
        </w:rPr>
        <w:t xml:space="preserve"> - </w:t>
      </w:r>
      <w:r w:rsidRPr="00F30A11">
        <w:rPr>
          <w:rFonts w:ascii="Calibri Light" w:hAnsi="Calibri Light" w:cs="Calibri Light"/>
        </w:rPr>
        <w:t xml:space="preserve">over large generator closures and associated demand for new generation sources and resulting price effects. </w:t>
      </w:r>
    </w:p>
    <w:p w:rsidR="00F66475" w:rsidRPr="00F30A11" w:rsidRDefault="00F66475" w:rsidP="00F66475">
      <w:pPr>
        <w:pStyle w:val="ListParagraph"/>
        <w:numPr>
          <w:ilvl w:val="0"/>
          <w:numId w:val="18"/>
        </w:numPr>
        <w:spacing w:after="120" w:line="288" w:lineRule="auto"/>
        <w:ind w:left="714" w:hanging="357"/>
        <w:contextualSpacing w:val="0"/>
        <w:rPr>
          <w:rFonts w:ascii="Calibri Light" w:hAnsi="Calibri Light" w:cs="Calibri Light"/>
        </w:rPr>
      </w:pPr>
      <w:r w:rsidRPr="00F30A11">
        <w:rPr>
          <w:rFonts w:ascii="Calibri Light" w:hAnsi="Calibri Light" w:cs="Calibri Light"/>
        </w:rPr>
        <w:t>Policy uncertainty</w:t>
      </w:r>
      <w:r>
        <w:rPr>
          <w:rFonts w:ascii="Calibri Light" w:hAnsi="Calibri Light" w:cs="Calibri Light"/>
        </w:rPr>
        <w:t xml:space="preserve"> - i</w:t>
      </w:r>
      <w:r w:rsidRPr="00F30A11">
        <w:rPr>
          <w:rFonts w:ascii="Calibri Light" w:hAnsi="Calibri Light" w:cs="Calibri Light"/>
        </w:rPr>
        <w:t>nvestors are aware of the gap between announced jurisdictional targets and existing policies as well as the gap between jurisdictional targets and the Commonwealth’s 82</w:t>
      </w:r>
      <w:r>
        <w:rPr>
          <w:rFonts w:ascii="Calibri Light" w:hAnsi="Calibri Light" w:cs="Calibri Light"/>
        </w:rPr>
        <w:t> </w:t>
      </w:r>
      <w:r w:rsidRPr="00F30A11">
        <w:rPr>
          <w:rFonts w:ascii="Calibri Light" w:hAnsi="Calibri Light" w:cs="Calibri Light"/>
        </w:rPr>
        <w:t>per</w:t>
      </w:r>
      <w:r>
        <w:rPr>
          <w:rFonts w:ascii="Calibri Light" w:hAnsi="Calibri Light" w:cs="Calibri Light"/>
        </w:rPr>
        <w:t> </w:t>
      </w:r>
      <w:r w:rsidRPr="00F30A11">
        <w:rPr>
          <w:rFonts w:ascii="Calibri Light" w:hAnsi="Calibri Light" w:cs="Calibri Light"/>
        </w:rPr>
        <w:t>cent renewable target. This is contributing to delays in investment decisions as proponents wait for additional policy announcements.</w:t>
      </w:r>
    </w:p>
    <w:p w:rsidR="00F66475" w:rsidRPr="00F30A11" w:rsidRDefault="00F66475" w:rsidP="00F66475">
      <w:pPr>
        <w:pStyle w:val="ListParagraph"/>
        <w:numPr>
          <w:ilvl w:val="0"/>
          <w:numId w:val="18"/>
        </w:numPr>
        <w:spacing w:after="120" w:line="288" w:lineRule="auto"/>
        <w:ind w:left="714" w:hanging="357"/>
        <w:contextualSpacing w:val="0"/>
        <w:rPr>
          <w:rFonts w:ascii="Calibri Light" w:hAnsi="Calibri Light" w:cs="Calibri Light"/>
        </w:rPr>
      </w:pPr>
      <w:r w:rsidRPr="00F30A11">
        <w:rPr>
          <w:rFonts w:ascii="Calibri Light" w:hAnsi="Calibri Light" w:cs="Calibri Light"/>
        </w:rPr>
        <w:t>The impacts of geopolitical events on global energy prices, the risk of transmission congestion and curtailment, skills shortages and supply chain disruptions and shortages.</w:t>
      </w:r>
    </w:p>
    <w:p w:rsidR="00F66475" w:rsidRPr="00F30A11" w:rsidRDefault="00F66475" w:rsidP="00F66475">
      <w:pPr>
        <w:pStyle w:val="ListParagraph"/>
        <w:numPr>
          <w:ilvl w:val="0"/>
          <w:numId w:val="18"/>
        </w:numPr>
        <w:spacing w:after="200" w:line="288" w:lineRule="auto"/>
        <w:rPr>
          <w:rFonts w:ascii="Calibri Light" w:hAnsi="Calibri Light" w:cs="Calibri Light"/>
        </w:rPr>
      </w:pPr>
      <w:r w:rsidRPr="00F30A11">
        <w:rPr>
          <w:rFonts w:ascii="Calibri Light" w:hAnsi="Calibri Light" w:cs="Calibri Light"/>
        </w:rPr>
        <w:t>Lengthy and complex environmental and regulatory approval processes, as well as social licence challenges associated with the generation and transmission build.</w:t>
      </w:r>
    </w:p>
    <w:p w:rsidR="00F66475" w:rsidRPr="00E67372" w:rsidRDefault="00F66475" w:rsidP="00F66475">
      <w:pPr>
        <w:spacing w:after="200" w:line="288" w:lineRule="auto"/>
        <w:rPr>
          <w:rFonts w:ascii="Calibri Light" w:hAnsi="Calibri Light" w:cs="Calibri Light"/>
        </w:rPr>
      </w:pPr>
      <w:r w:rsidRPr="00FC395D">
        <w:rPr>
          <w:rFonts w:ascii="Calibri Light" w:hAnsi="Calibri Light" w:cs="Calibri Light"/>
        </w:rPr>
        <w:lastRenderedPageBreak/>
        <w:t>The Energy Security Board (ESB) also noted in its 2022 Capacity Mechanism High-Level Design Paper</w:t>
      </w:r>
      <w:r w:rsidRPr="00FC395D">
        <w:rPr>
          <w:rFonts w:ascii="Calibri Light" w:hAnsi="Calibri Light" w:cs="Calibri Light"/>
          <w:vertAlign w:val="superscript"/>
        </w:rPr>
        <w:footnoteReference w:id="3"/>
      </w:r>
      <w:r w:rsidRPr="00FC395D">
        <w:rPr>
          <w:rFonts w:ascii="Calibri Light" w:hAnsi="Calibri Light" w:cs="Calibri Light"/>
        </w:rPr>
        <w:t xml:space="preserve"> that against the backdrop of rapid transformation, investment uncertainty has never been greater, with challenges on both the demand and supply side.</w:t>
      </w:r>
      <w:r w:rsidRPr="00E67372">
        <w:rPr>
          <w:rFonts w:ascii="Calibri Light" w:hAnsi="Calibri Light" w:cs="Calibri Light"/>
        </w:rPr>
        <w:t xml:space="preserve"> </w:t>
      </w:r>
      <w:r w:rsidRPr="00FC395D">
        <w:rPr>
          <w:rFonts w:ascii="Calibri Light" w:hAnsi="Calibri Light" w:cs="Calibri Light"/>
        </w:rPr>
        <w:t>The ESB considers that investors have adopted a 'wait and see' approach as a rational response to such uncertainty</w:t>
      </w:r>
      <w:r w:rsidRPr="00E67372">
        <w:rPr>
          <w:rFonts w:ascii="Calibri Light" w:hAnsi="Calibri Light" w:cs="Calibri Light"/>
        </w:rPr>
        <w:t>. But widespread 'waiting and seeing' has resulted in significant risk that too little investment is being committed and new clean dispatchable capacity and renewable generation will arrive too late.</w:t>
      </w:r>
    </w:p>
    <w:p w:rsidR="00F66475" w:rsidRPr="00066278" w:rsidRDefault="00F66475" w:rsidP="00F66475">
      <w:pPr>
        <w:pStyle w:val="Heading3"/>
        <w:rPr>
          <w:rFonts w:ascii="Calibri Light" w:hAnsi="Calibri Light" w:cs="Calibri Light"/>
          <w:color w:val="197C7D"/>
          <w:sz w:val="36"/>
          <w:szCs w:val="36"/>
          <w:lang w:val="en-US"/>
        </w:rPr>
      </w:pPr>
      <w:bookmarkStart w:id="105" w:name="_Toc495896141"/>
      <w:r w:rsidRPr="52A7AAAB">
        <w:rPr>
          <w:rFonts w:ascii="Calibri Light" w:hAnsi="Calibri Light" w:cs="Calibri Light"/>
          <w:color w:val="197C7D"/>
          <w:sz w:val="36"/>
          <w:szCs w:val="36"/>
          <w:lang w:val="en-US"/>
        </w:rPr>
        <w:t>Objectives of Government action</w:t>
      </w:r>
      <w:bookmarkEnd w:id="105"/>
    </w:p>
    <w:p w:rsidR="00F66475" w:rsidRDefault="00F66475" w:rsidP="00F66475">
      <w:pPr>
        <w:spacing w:after="200" w:line="288" w:lineRule="auto"/>
        <w:rPr>
          <w:rFonts w:ascii="Calibri Light" w:hAnsi="Calibri Light" w:cs="Calibri Light"/>
        </w:rPr>
      </w:pPr>
      <w:r w:rsidRPr="00EB5037">
        <w:rPr>
          <w:rFonts w:ascii="Calibri Light" w:hAnsi="Calibri Light" w:cs="Calibri Light"/>
        </w:rPr>
        <w:t xml:space="preserve">Given the </w:t>
      </w:r>
      <w:r>
        <w:rPr>
          <w:rFonts w:ascii="Calibri Light" w:hAnsi="Calibri Light" w:cs="Calibri Light"/>
        </w:rPr>
        <w:t xml:space="preserve">investment uncertainty and the </w:t>
      </w:r>
      <w:r w:rsidRPr="00EB5037">
        <w:rPr>
          <w:rFonts w:ascii="Calibri Light" w:hAnsi="Calibri Light" w:cs="Calibri Light"/>
        </w:rPr>
        <w:t xml:space="preserve">downside risks </w:t>
      </w:r>
      <w:r>
        <w:rPr>
          <w:rFonts w:ascii="Calibri Light" w:hAnsi="Calibri Light" w:cs="Calibri Light"/>
        </w:rPr>
        <w:t xml:space="preserve">of </w:t>
      </w:r>
      <w:r w:rsidRPr="00EB5037">
        <w:rPr>
          <w:rFonts w:ascii="Calibri Light" w:hAnsi="Calibri Light" w:cs="Calibri Light"/>
        </w:rPr>
        <w:t xml:space="preserve">a disorderly transformation, there is a </w:t>
      </w:r>
      <w:r>
        <w:rPr>
          <w:rFonts w:ascii="Calibri Light" w:hAnsi="Calibri Light" w:cs="Calibri Light"/>
        </w:rPr>
        <w:t xml:space="preserve">strong case for additional government policy measures to incentivise </w:t>
      </w:r>
      <w:r w:rsidRPr="00EB5037">
        <w:rPr>
          <w:rFonts w:ascii="Calibri Light" w:hAnsi="Calibri Light" w:cs="Calibri Light"/>
        </w:rPr>
        <w:t>new investment in both storage capacity and renewable generation across Australia.</w:t>
      </w:r>
    </w:p>
    <w:p w:rsidR="00F66475" w:rsidRDefault="00F66475" w:rsidP="00F66475">
      <w:pPr>
        <w:spacing w:after="200" w:line="288" w:lineRule="auto"/>
        <w:rPr>
          <w:rFonts w:ascii="Calibri Light" w:hAnsi="Calibri Light" w:cs="Calibri Light"/>
        </w:rPr>
      </w:pPr>
      <w:r w:rsidRPr="00FC395D">
        <w:rPr>
          <w:rFonts w:ascii="Calibri Light" w:hAnsi="Calibri Light" w:cs="Calibri Light"/>
        </w:rPr>
        <w:t>In 2021, Commonwealth, state and territory Energy Ministers tasked the Energy Security Board (ESB) to provide recommendations on design of a capacity market mechanism for the National Electricity Market, in which market providers of capacity are paid to have their capacity available during certain periods. Some stakeholders raised concerns that a capacity mechanism would not be sufficiently timely, nor targeted to address the rapid transformation of Australia’s electricity system that is required.</w:t>
      </w:r>
      <w:r>
        <w:rPr>
          <w:rFonts w:ascii="Calibri Light" w:hAnsi="Calibri Light" w:cs="Calibri Light"/>
        </w:rPr>
        <w:t xml:space="preserve"> </w:t>
      </w:r>
    </w:p>
    <w:p w:rsidR="00F66475" w:rsidRPr="00FC395D" w:rsidRDefault="00F66475" w:rsidP="00F66475">
      <w:pPr>
        <w:spacing w:after="120" w:line="288" w:lineRule="auto"/>
        <w:rPr>
          <w:rFonts w:ascii="Calibri Light" w:hAnsi="Calibri Light" w:cs="Calibri Light"/>
        </w:rPr>
      </w:pPr>
      <w:r w:rsidRPr="00FC395D">
        <w:rPr>
          <w:rFonts w:ascii="Calibri Light" w:hAnsi="Calibri Light" w:cs="Calibri Light"/>
        </w:rPr>
        <w:t>On 12</w:t>
      </w:r>
      <w:r w:rsidRPr="00FC395D">
        <w:t xml:space="preserve"> </w:t>
      </w:r>
      <w:r w:rsidRPr="00FC395D">
        <w:rPr>
          <w:rFonts w:ascii="Calibri Light" w:hAnsi="Calibri Light" w:cs="Calibri Light"/>
        </w:rPr>
        <w:t>August 2022, Commonwealth, state and territory Energy Ministers</w:t>
      </w:r>
      <w:r w:rsidRPr="00FC395D">
        <w:rPr>
          <w:rStyle w:val="FootnoteReference"/>
          <w:rFonts w:ascii="Calibri Light" w:hAnsi="Calibri Light" w:cs="Calibri Light"/>
        </w:rPr>
        <w:footnoteReference w:id="4"/>
      </w:r>
      <w:r w:rsidRPr="00FC395D">
        <w:rPr>
          <w:rFonts w:ascii="Calibri Light" w:hAnsi="Calibri Light" w:cs="Calibri Light"/>
        </w:rPr>
        <w:t xml:space="preserve"> tasked government Senior Officials to propose further options for a new framework that delivers: </w:t>
      </w:r>
    </w:p>
    <w:p w:rsidR="00F66475" w:rsidRPr="00FC395D" w:rsidRDefault="00F66475" w:rsidP="00F66475">
      <w:pPr>
        <w:pStyle w:val="ListParagraph"/>
        <w:numPr>
          <w:ilvl w:val="0"/>
          <w:numId w:val="13"/>
        </w:numPr>
        <w:spacing w:after="60" w:line="288" w:lineRule="auto"/>
        <w:ind w:left="714" w:hanging="357"/>
        <w:contextualSpacing w:val="0"/>
        <w:rPr>
          <w:rFonts w:ascii="Calibri Light" w:hAnsi="Calibri Light" w:cs="Calibri Light"/>
        </w:rPr>
      </w:pPr>
      <w:r w:rsidRPr="00FC395D">
        <w:rPr>
          <w:rFonts w:ascii="Calibri Light" w:hAnsi="Calibri Light" w:cs="Calibri Light"/>
        </w:rPr>
        <w:t>Adequate capacity.</w:t>
      </w:r>
    </w:p>
    <w:p w:rsidR="00F66475" w:rsidRPr="00FC395D" w:rsidRDefault="00F66475" w:rsidP="00F66475">
      <w:pPr>
        <w:pStyle w:val="ListParagraph"/>
        <w:numPr>
          <w:ilvl w:val="0"/>
          <w:numId w:val="13"/>
        </w:numPr>
        <w:spacing w:after="60" w:line="288" w:lineRule="auto"/>
        <w:ind w:left="714" w:hanging="357"/>
        <w:contextualSpacing w:val="0"/>
        <w:rPr>
          <w:rFonts w:ascii="Calibri Light" w:hAnsi="Calibri Light" w:cs="Calibri Light"/>
        </w:rPr>
      </w:pPr>
      <w:r w:rsidRPr="00FC395D">
        <w:rPr>
          <w:rFonts w:ascii="Calibri Light" w:hAnsi="Calibri Light" w:cs="Calibri Light"/>
        </w:rPr>
        <w:t>Ensures orderly transition.</w:t>
      </w:r>
    </w:p>
    <w:p w:rsidR="00F66475" w:rsidRPr="00FC395D" w:rsidRDefault="00F66475" w:rsidP="00F66475">
      <w:pPr>
        <w:pStyle w:val="ListParagraph"/>
        <w:numPr>
          <w:ilvl w:val="0"/>
          <w:numId w:val="13"/>
        </w:numPr>
        <w:spacing w:after="120" w:line="288" w:lineRule="auto"/>
        <w:ind w:left="714" w:hanging="357"/>
        <w:contextualSpacing w:val="0"/>
        <w:rPr>
          <w:rFonts w:ascii="Calibri Light" w:hAnsi="Calibri Light" w:cs="Calibri Light"/>
        </w:rPr>
      </w:pPr>
      <w:r w:rsidRPr="00FC395D">
        <w:rPr>
          <w:rFonts w:ascii="Calibri Light" w:hAnsi="Calibri Light" w:cs="Calibri Light"/>
        </w:rPr>
        <w:t>Incentivises new investment in firm renewable energy to ensure the system can meet peak demand at all times.</w:t>
      </w:r>
    </w:p>
    <w:p w:rsidR="00F66475" w:rsidRPr="00F340E6" w:rsidRDefault="00F66475" w:rsidP="00F66475">
      <w:pPr>
        <w:spacing w:after="120" w:line="288" w:lineRule="auto"/>
        <w:rPr>
          <w:rFonts w:ascii="Calibri Light" w:hAnsi="Calibri Light" w:cs="Calibri Light"/>
        </w:rPr>
      </w:pPr>
      <w:r>
        <w:rPr>
          <w:rFonts w:ascii="Calibri Light" w:hAnsi="Calibri Light" w:cs="Calibri Light"/>
        </w:rPr>
        <w:t>Detailed</w:t>
      </w:r>
      <w:r w:rsidRPr="00F340E6">
        <w:rPr>
          <w:rFonts w:ascii="Calibri Light" w:hAnsi="Calibri Light" w:cs="Calibri Light"/>
        </w:rPr>
        <w:t xml:space="preserve"> consultation with jurisdictions and </w:t>
      </w:r>
      <w:r>
        <w:rPr>
          <w:rFonts w:ascii="Calibri Light" w:hAnsi="Calibri Light" w:cs="Calibri Light"/>
        </w:rPr>
        <w:t xml:space="preserve">key energy market </w:t>
      </w:r>
      <w:r w:rsidRPr="00F340E6">
        <w:rPr>
          <w:rFonts w:ascii="Calibri Light" w:hAnsi="Calibri Light" w:cs="Calibri Light"/>
        </w:rPr>
        <w:t>stakeholders</w:t>
      </w:r>
      <w:r>
        <w:rPr>
          <w:rFonts w:ascii="Calibri Light" w:hAnsi="Calibri Light" w:cs="Calibri Light"/>
        </w:rPr>
        <w:t>, combined with</w:t>
      </w:r>
      <w:r w:rsidRPr="00F340E6">
        <w:rPr>
          <w:rFonts w:ascii="Calibri Light" w:hAnsi="Calibri Light" w:cs="Calibri Light"/>
        </w:rPr>
        <w:t xml:space="preserve"> analysis of stakeholder submissions to</w:t>
      </w:r>
      <w:r>
        <w:rPr>
          <w:rFonts w:ascii="Calibri Light" w:hAnsi="Calibri Light" w:cs="Calibri Light"/>
        </w:rPr>
        <w:t xml:space="preserve"> the </w:t>
      </w:r>
      <w:r w:rsidRPr="00F340E6">
        <w:rPr>
          <w:rFonts w:ascii="Calibri Light" w:hAnsi="Calibri Light" w:cs="Calibri Light"/>
        </w:rPr>
        <w:t xml:space="preserve">ESB Capacity Market consultation </w:t>
      </w:r>
      <w:r w:rsidRPr="00832AE8">
        <w:rPr>
          <w:rFonts w:ascii="Calibri Light" w:hAnsi="Calibri Light" w:cs="Calibri Light"/>
        </w:rPr>
        <w:t>process, raised</w:t>
      </w:r>
      <w:r>
        <w:rPr>
          <w:rFonts w:ascii="Calibri Light" w:hAnsi="Calibri Light" w:cs="Calibri Light"/>
        </w:rPr>
        <w:t xml:space="preserve"> that a new policy mechanism should:</w:t>
      </w:r>
    </w:p>
    <w:p w:rsidR="00F66475" w:rsidRPr="00F340E6" w:rsidRDefault="00F66475" w:rsidP="00F66475">
      <w:pPr>
        <w:pStyle w:val="ListParagraph"/>
        <w:numPr>
          <w:ilvl w:val="0"/>
          <w:numId w:val="14"/>
        </w:numPr>
        <w:spacing w:after="60" w:line="288" w:lineRule="auto"/>
        <w:ind w:left="714" w:hanging="357"/>
        <w:contextualSpacing w:val="0"/>
        <w:rPr>
          <w:rFonts w:ascii="Calibri Light" w:hAnsi="Calibri Light" w:cs="Calibri Light"/>
        </w:rPr>
      </w:pPr>
      <w:r>
        <w:rPr>
          <w:rFonts w:ascii="Calibri Light" w:hAnsi="Calibri Light" w:cs="Calibri Light"/>
        </w:rPr>
        <w:t>D</w:t>
      </w:r>
      <w:r w:rsidRPr="00F340E6">
        <w:rPr>
          <w:rFonts w:ascii="Calibri Light" w:hAnsi="Calibri Light" w:cs="Calibri Light"/>
        </w:rPr>
        <w:t>eliver the required investment to meet reliability (and emissions) targets</w:t>
      </w:r>
      <w:r>
        <w:rPr>
          <w:rFonts w:ascii="Calibri Light" w:hAnsi="Calibri Light" w:cs="Calibri Light"/>
        </w:rPr>
        <w:t>.</w:t>
      </w:r>
    </w:p>
    <w:p w:rsidR="00F66475" w:rsidRPr="00F340E6" w:rsidRDefault="00F66475" w:rsidP="00F66475">
      <w:pPr>
        <w:pStyle w:val="ListParagraph"/>
        <w:numPr>
          <w:ilvl w:val="0"/>
          <w:numId w:val="14"/>
        </w:numPr>
        <w:spacing w:after="60" w:line="288" w:lineRule="auto"/>
        <w:ind w:left="714" w:hanging="357"/>
        <w:contextualSpacing w:val="0"/>
        <w:rPr>
          <w:rFonts w:ascii="Calibri Light" w:hAnsi="Calibri Light" w:cs="Calibri Light"/>
        </w:rPr>
      </w:pPr>
      <w:r>
        <w:rPr>
          <w:rFonts w:ascii="Calibri Light" w:hAnsi="Calibri Light" w:cs="Calibri Light"/>
        </w:rPr>
        <w:t>A</w:t>
      </w:r>
      <w:r w:rsidRPr="00F340E6">
        <w:rPr>
          <w:rFonts w:ascii="Calibri Light" w:hAnsi="Calibri Light" w:cs="Calibri Light"/>
        </w:rPr>
        <w:t>ccelerate investment in new capacity</w:t>
      </w:r>
      <w:r>
        <w:rPr>
          <w:rFonts w:ascii="Calibri Light" w:hAnsi="Calibri Light" w:cs="Calibri Light"/>
        </w:rPr>
        <w:t>.</w:t>
      </w:r>
    </w:p>
    <w:p w:rsidR="00F66475" w:rsidRPr="00F340E6" w:rsidRDefault="00F66475" w:rsidP="00F66475">
      <w:pPr>
        <w:pStyle w:val="ListParagraph"/>
        <w:numPr>
          <w:ilvl w:val="0"/>
          <w:numId w:val="14"/>
        </w:numPr>
        <w:spacing w:after="60" w:line="288" w:lineRule="auto"/>
        <w:ind w:left="714" w:hanging="357"/>
        <w:contextualSpacing w:val="0"/>
        <w:rPr>
          <w:rFonts w:ascii="Calibri Light" w:hAnsi="Calibri Light" w:cs="Calibri Light"/>
        </w:rPr>
      </w:pPr>
      <w:r>
        <w:rPr>
          <w:rFonts w:ascii="Calibri Light" w:hAnsi="Calibri Light" w:cs="Calibri Light"/>
        </w:rPr>
        <w:t>T</w:t>
      </w:r>
      <w:r w:rsidRPr="00F340E6">
        <w:rPr>
          <w:rFonts w:ascii="Calibri Light" w:hAnsi="Calibri Light" w:cs="Calibri Light"/>
        </w:rPr>
        <w:t>arget new investment only (rather than incentivising ageing plant to remain in the market)</w:t>
      </w:r>
      <w:r>
        <w:rPr>
          <w:rFonts w:ascii="Calibri Light" w:hAnsi="Calibri Light" w:cs="Calibri Light"/>
        </w:rPr>
        <w:t>.</w:t>
      </w:r>
    </w:p>
    <w:p w:rsidR="00F66475" w:rsidRPr="00F340E6" w:rsidRDefault="00F66475" w:rsidP="00F66475">
      <w:pPr>
        <w:pStyle w:val="ListParagraph"/>
        <w:numPr>
          <w:ilvl w:val="0"/>
          <w:numId w:val="14"/>
        </w:numPr>
        <w:spacing w:after="60" w:line="288" w:lineRule="auto"/>
        <w:ind w:left="714" w:hanging="357"/>
        <w:contextualSpacing w:val="0"/>
        <w:rPr>
          <w:rFonts w:ascii="Calibri Light" w:hAnsi="Calibri Light" w:cs="Calibri Light"/>
        </w:rPr>
      </w:pPr>
      <w:r>
        <w:rPr>
          <w:rFonts w:ascii="Calibri Light" w:hAnsi="Calibri Light" w:cs="Calibri Light"/>
        </w:rPr>
        <w:t>P</w:t>
      </w:r>
      <w:r w:rsidRPr="00F340E6">
        <w:rPr>
          <w:rFonts w:ascii="Calibri Light" w:hAnsi="Calibri Light" w:cs="Calibri Light"/>
        </w:rPr>
        <w:t>rovide greater long-term certainty for new capacity investment</w:t>
      </w:r>
      <w:r>
        <w:rPr>
          <w:rFonts w:ascii="Calibri Light" w:hAnsi="Calibri Light" w:cs="Calibri Light"/>
        </w:rPr>
        <w:t>.</w:t>
      </w:r>
    </w:p>
    <w:p w:rsidR="00F66475" w:rsidRPr="00F340E6" w:rsidRDefault="00F66475" w:rsidP="00F66475">
      <w:pPr>
        <w:pStyle w:val="ListParagraph"/>
        <w:numPr>
          <w:ilvl w:val="0"/>
          <w:numId w:val="14"/>
        </w:numPr>
        <w:spacing w:after="60" w:line="288" w:lineRule="auto"/>
        <w:ind w:left="714" w:hanging="357"/>
        <w:contextualSpacing w:val="0"/>
        <w:rPr>
          <w:rFonts w:ascii="Calibri Light" w:hAnsi="Calibri Light" w:cs="Calibri Light"/>
        </w:rPr>
      </w:pPr>
      <w:r>
        <w:rPr>
          <w:rFonts w:ascii="Calibri Light" w:hAnsi="Calibri Light" w:cs="Calibri Light"/>
        </w:rPr>
        <w:t>B</w:t>
      </w:r>
      <w:r w:rsidRPr="00F340E6">
        <w:rPr>
          <w:rFonts w:ascii="Calibri Light" w:hAnsi="Calibri Light" w:cs="Calibri Light"/>
        </w:rPr>
        <w:t>e able to be implemented in the near term to meet urgent needs</w:t>
      </w:r>
      <w:r>
        <w:rPr>
          <w:rFonts w:ascii="Calibri Light" w:hAnsi="Calibri Light" w:cs="Calibri Light"/>
        </w:rPr>
        <w:t>.</w:t>
      </w:r>
    </w:p>
    <w:p w:rsidR="00F66475" w:rsidRPr="00F340E6" w:rsidRDefault="00F66475" w:rsidP="00F66475">
      <w:pPr>
        <w:pStyle w:val="ListParagraph"/>
        <w:numPr>
          <w:ilvl w:val="0"/>
          <w:numId w:val="14"/>
        </w:numPr>
        <w:spacing w:after="60" w:line="288" w:lineRule="auto"/>
        <w:ind w:left="714" w:hanging="357"/>
        <w:contextualSpacing w:val="0"/>
        <w:rPr>
          <w:rFonts w:ascii="Calibri Light" w:hAnsi="Calibri Light" w:cs="Calibri Light"/>
        </w:rPr>
      </w:pPr>
      <w:r>
        <w:rPr>
          <w:rFonts w:ascii="Calibri Light" w:hAnsi="Calibri Light" w:cs="Calibri Light"/>
        </w:rPr>
        <w:t>B</w:t>
      </w:r>
      <w:r w:rsidRPr="00F340E6">
        <w:rPr>
          <w:rFonts w:ascii="Calibri Light" w:hAnsi="Calibri Light" w:cs="Calibri Light"/>
        </w:rPr>
        <w:t>e flexible to adjust for the right mix and volume of capacity, and by region</w:t>
      </w:r>
      <w:r>
        <w:rPr>
          <w:rFonts w:ascii="Calibri Light" w:hAnsi="Calibri Light" w:cs="Calibri Light"/>
        </w:rPr>
        <w:t>.</w:t>
      </w:r>
    </w:p>
    <w:p w:rsidR="00F66475" w:rsidRPr="00F340E6" w:rsidRDefault="00F66475" w:rsidP="00F66475">
      <w:pPr>
        <w:pStyle w:val="ListParagraph"/>
        <w:numPr>
          <w:ilvl w:val="0"/>
          <w:numId w:val="14"/>
        </w:numPr>
        <w:spacing w:after="60" w:line="288" w:lineRule="auto"/>
        <w:ind w:left="714" w:hanging="357"/>
        <w:contextualSpacing w:val="0"/>
        <w:rPr>
          <w:rFonts w:ascii="Calibri Light" w:hAnsi="Calibri Light" w:cs="Calibri Light"/>
        </w:rPr>
      </w:pPr>
      <w:r>
        <w:rPr>
          <w:rFonts w:ascii="Calibri Light" w:hAnsi="Calibri Light" w:cs="Calibri Light"/>
        </w:rPr>
        <w:t>A</w:t>
      </w:r>
      <w:r w:rsidRPr="00F340E6">
        <w:rPr>
          <w:rFonts w:ascii="Calibri Light" w:hAnsi="Calibri Light" w:cs="Calibri Light"/>
        </w:rPr>
        <w:t>void increasing electricity prices</w:t>
      </w:r>
      <w:r>
        <w:rPr>
          <w:rFonts w:ascii="Calibri Light" w:hAnsi="Calibri Light" w:cs="Calibri Light"/>
        </w:rPr>
        <w:t>.</w:t>
      </w:r>
    </w:p>
    <w:p w:rsidR="00F66475" w:rsidRPr="00F340E6" w:rsidRDefault="00F66475" w:rsidP="00F66475">
      <w:pPr>
        <w:pStyle w:val="ListParagraph"/>
        <w:numPr>
          <w:ilvl w:val="0"/>
          <w:numId w:val="14"/>
        </w:numPr>
        <w:spacing w:after="60" w:line="288" w:lineRule="auto"/>
        <w:ind w:left="714" w:hanging="357"/>
        <w:contextualSpacing w:val="0"/>
        <w:rPr>
          <w:rFonts w:ascii="Calibri Light" w:hAnsi="Calibri Light" w:cs="Calibri Light"/>
        </w:rPr>
      </w:pPr>
      <w:r>
        <w:rPr>
          <w:rFonts w:ascii="Calibri Light" w:hAnsi="Calibri Light" w:cs="Calibri Light"/>
        </w:rPr>
        <w:t>A</w:t>
      </w:r>
      <w:r w:rsidRPr="00F340E6">
        <w:rPr>
          <w:rFonts w:ascii="Calibri Light" w:hAnsi="Calibri Light" w:cs="Calibri Light"/>
        </w:rPr>
        <w:t>chieve policy goals at minimum overall cost</w:t>
      </w:r>
      <w:r>
        <w:rPr>
          <w:rFonts w:ascii="Calibri Light" w:hAnsi="Calibri Light" w:cs="Calibri Light"/>
        </w:rPr>
        <w:t>.</w:t>
      </w:r>
    </w:p>
    <w:p w:rsidR="00F66475" w:rsidRPr="00F340E6" w:rsidRDefault="00F66475" w:rsidP="00F66475">
      <w:pPr>
        <w:pStyle w:val="ListParagraph"/>
        <w:numPr>
          <w:ilvl w:val="0"/>
          <w:numId w:val="14"/>
        </w:numPr>
        <w:spacing w:after="240" w:line="240" w:lineRule="auto"/>
        <w:ind w:left="714" w:hanging="357"/>
        <w:contextualSpacing w:val="0"/>
        <w:rPr>
          <w:rFonts w:ascii="Calibri Light" w:hAnsi="Calibri Light" w:cs="Calibri Light"/>
        </w:rPr>
      </w:pPr>
      <w:r>
        <w:rPr>
          <w:rFonts w:ascii="Calibri Light" w:hAnsi="Calibri Light" w:cs="Calibri Light"/>
        </w:rPr>
        <w:lastRenderedPageBreak/>
        <w:t>A</w:t>
      </w:r>
      <w:r w:rsidRPr="00F340E6">
        <w:rPr>
          <w:rFonts w:ascii="Calibri Light" w:hAnsi="Calibri Light" w:cs="Calibri Light"/>
        </w:rPr>
        <w:t xml:space="preserve">void or minimise disruption and risk to the market. </w:t>
      </w:r>
    </w:p>
    <w:p w:rsidR="00F66475" w:rsidRDefault="00F66475" w:rsidP="00F66475">
      <w:pPr>
        <w:spacing w:after="120" w:line="288" w:lineRule="auto"/>
        <w:rPr>
          <w:rFonts w:ascii="Calibri Light" w:hAnsi="Calibri Light" w:cs="Calibri Light"/>
        </w:rPr>
      </w:pPr>
      <w:r>
        <w:rPr>
          <w:rFonts w:ascii="Calibri Light" w:hAnsi="Calibri Light" w:cs="Calibri Light"/>
        </w:rPr>
        <w:t>Based on the above broader framework and consultation feedback,</w:t>
      </w:r>
      <w:r w:rsidRPr="009C7719">
        <w:rPr>
          <w:rFonts w:ascii="Calibri Light" w:hAnsi="Calibri Light" w:cs="Calibri Light"/>
        </w:rPr>
        <w:t xml:space="preserve"> </w:t>
      </w:r>
      <w:r>
        <w:rPr>
          <w:rFonts w:ascii="Calibri Light" w:hAnsi="Calibri Light" w:cs="Calibri Light"/>
        </w:rPr>
        <w:t>potential options for a new policy mechanism were developed (summarised in the next section) and assessed against the following key objectives to meet emissions targets and improve electricity reliability:</w:t>
      </w:r>
    </w:p>
    <w:p w:rsidR="00F66475" w:rsidRPr="00FD4441" w:rsidRDefault="00F66475" w:rsidP="00F66475">
      <w:pPr>
        <w:pStyle w:val="ListParagraph"/>
        <w:numPr>
          <w:ilvl w:val="0"/>
          <w:numId w:val="15"/>
        </w:numPr>
        <w:spacing w:after="60" w:line="288" w:lineRule="auto"/>
        <w:ind w:left="714" w:hanging="357"/>
        <w:contextualSpacing w:val="0"/>
        <w:rPr>
          <w:rFonts w:ascii="Calibri Light" w:hAnsi="Calibri Light" w:cs="Calibri Light"/>
        </w:rPr>
      </w:pPr>
      <w:r w:rsidRPr="00FD4441">
        <w:rPr>
          <w:rFonts w:ascii="Calibri Light" w:hAnsi="Calibri Light" w:cs="Calibri Light"/>
        </w:rPr>
        <w:t xml:space="preserve">Accelerates investment </w:t>
      </w:r>
      <w:r>
        <w:rPr>
          <w:rFonts w:ascii="Calibri Light" w:hAnsi="Calibri Light" w:cs="Calibri Light"/>
        </w:rPr>
        <w:t>in new capacity.</w:t>
      </w:r>
    </w:p>
    <w:p w:rsidR="00F66475" w:rsidRPr="00FD4441" w:rsidRDefault="00F66475" w:rsidP="00F66475">
      <w:pPr>
        <w:pStyle w:val="ListParagraph"/>
        <w:numPr>
          <w:ilvl w:val="0"/>
          <w:numId w:val="15"/>
        </w:numPr>
        <w:spacing w:after="60" w:line="288" w:lineRule="auto"/>
        <w:ind w:left="714" w:hanging="357"/>
        <w:contextualSpacing w:val="0"/>
        <w:rPr>
          <w:rFonts w:ascii="Calibri Light" w:hAnsi="Calibri Light" w:cs="Calibri Light"/>
        </w:rPr>
      </w:pPr>
      <w:r>
        <w:rPr>
          <w:rFonts w:ascii="Calibri Light" w:hAnsi="Calibri Light" w:cs="Calibri Light"/>
        </w:rPr>
        <w:t>Provide l</w:t>
      </w:r>
      <w:r w:rsidRPr="00FD4441">
        <w:rPr>
          <w:rFonts w:ascii="Calibri Light" w:hAnsi="Calibri Light" w:cs="Calibri Light"/>
        </w:rPr>
        <w:t>ong term investment certainty</w:t>
      </w:r>
      <w:r>
        <w:rPr>
          <w:rFonts w:ascii="Calibri Light" w:hAnsi="Calibri Light" w:cs="Calibri Light"/>
        </w:rPr>
        <w:t xml:space="preserve"> to market.</w:t>
      </w:r>
    </w:p>
    <w:p w:rsidR="00F66475" w:rsidRPr="00FD4441" w:rsidRDefault="00F66475" w:rsidP="00F66475">
      <w:pPr>
        <w:pStyle w:val="ListParagraph"/>
        <w:numPr>
          <w:ilvl w:val="0"/>
          <w:numId w:val="15"/>
        </w:numPr>
        <w:spacing w:after="60" w:line="288" w:lineRule="auto"/>
        <w:ind w:left="714" w:hanging="357"/>
        <w:contextualSpacing w:val="0"/>
        <w:rPr>
          <w:rFonts w:ascii="Calibri Light" w:hAnsi="Calibri Light" w:cs="Calibri Light"/>
        </w:rPr>
      </w:pPr>
      <w:r w:rsidRPr="00FD4441">
        <w:rPr>
          <w:rFonts w:ascii="Calibri Light" w:hAnsi="Calibri Light" w:cs="Calibri Light"/>
        </w:rPr>
        <w:t>Timeliness of implementation</w:t>
      </w:r>
      <w:r>
        <w:rPr>
          <w:rFonts w:ascii="Calibri Light" w:hAnsi="Calibri Light" w:cs="Calibri Light"/>
        </w:rPr>
        <w:t>.</w:t>
      </w:r>
    </w:p>
    <w:p w:rsidR="00F66475" w:rsidRPr="00FD4441" w:rsidRDefault="00F66475" w:rsidP="00F66475">
      <w:pPr>
        <w:pStyle w:val="ListParagraph"/>
        <w:numPr>
          <w:ilvl w:val="0"/>
          <w:numId w:val="15"/>
        </w:numPr>
        <w:spacing w:after="60" w:line="288" w:lineRule="auto"/>
        <w:ind w:left="714" w:hanging="357"/>
        <w:contextualSpacing w:val="0"/>
        <w:rPr>
          <w:rFonts w:ascii="Calibri Light" w:hAnsi="Calibri Light" w:cs="Calibri Light"/>
        </w:rPr>
      </w:pPr>
      <w:r w:rsidRPr="00FD4441">
        <w:rPr>
          <w:rFonts w:ascii="Calibri Light" w:hAnsi="Calibri Light" w:cs="Calibri Light"/>
        </w:rPr>
        <w:t xml:space="preserve">Flexibility to </w:t>
      </w:r>
      <w:r>
        <w:rPr>
          <w:rFonts w:ascii="Calibri Light" w:hAnsi="Calibri Light" w:cs="Calibri Light"/>
        </w:rPr>
        <w:t>adjust type of technology, timing and geographical location to improve reliability.</w:t>
      </w:r>
    </w:p>
    <w:p w:rsidR="00F66475" w:rsidRPr="009E2BDD" w:rsidRDefault="00F66475" w:rsidP="00F66475">
      <w:pPr>
        <w:pStyle w:val="ListParagraph"/>
        <w:numPr>
          <w:ilvl w:val="0"/>
          <w:numId w:val="15"/>
        </w:numPr>
        <w:spacing w:after="60" w:line="288" w:lineRule="auto"/>
        <w:ind w:left="714" w:hanging="357"/>
        <w:contextualSpacing w:val="0"/>
        <w:rPr>
          <w:rFonts w:ascii="Calibri Light" w:hAnsi="Calibri Light" w:cs="Calibri Light"/>
        </w:rPr>
      </w:pPr>
      <w:r>
        <w:rPr>
          <w:rFonts w:ascii="Calibri Light" w:hAnsi="Calibri Light" w:cs="Calibri Light"/>
        </w:rPr>
        <w:t>Minimises cost to consumers.</w:t>
      </w:r>
    </w:p>
    <w:p w:rsidR="00F66475" w:rsidRPr="009E2BDD" w:rsidRDefault="00F66475" w:rsidP="00F66475">
      <w:pPr>
        <w:pStyle w:val="ListParagraph"/>
        <w:numPr>
          <w:ilvl w:val="0"/>
          <w:numId w:val="15"/>
        </w:numPr>
        <w:rPr>
          <w:rFonts w:ascii="Calibri Light" w:hAnsi="Calibri Light" w:cs="Calibri Light"/>
        </w:rPr>
      </w:pPr>
      <w:r>
        <w:rPr>
          <w:rFonts w:ascii="Calibri Light" w:hAnsi="Calibri Light" w:cs="Calibri Light"/>
        </w:rPr>
        <w:t>Minimise impact on electricity market settings.</w:t>
      </w:r>
    </w:p>
    <w:p w:rsidR="00F66475" w:rsidRDefault="00F66475" w:rsidP="00F66475">
      <w:pPr>
        <w:spacing w:after="120" w:line="288" w:lineRule="auto"/>
        <w:rPr>
          <w:rFonts w:ascii="Calibri Light" w:hAnsi="Calibri Light" w:cs="Calibri Light"/>
        </w:rPr>
      </w:pPr>
      <w:r w:rsidRPr="00637950">
        <w:rPr>
          <w:rFonts w:ascii="Calibri Light" w:hAnsi="Calibri Light" w:cs="Calibri Light"/>
        </w:rPr>
        <w:t>On 8 December 2022, Commonwealth, state and territory Energy Ministers provided unanimous endorsement for the design principles of the Capacity Investment Scheme, which provides a national framework to drive new renewable dispatchable capacity and ensure reliability in Australia’s rapidly changing energy market.</w:t>
      </w:r>
      <w:r w:rsidRPr="00BB77F5">
        <w:rPr>
          <w:rFonts w:ascii="Calibri Light" w:hAnsi="Calibri Light" w:cs="Calibri Light"/>
        </w:rPr>
        <w:t xml:space="preserve"> </w:t>
      </w:r>
    </w:p>
    <w:p w:rsidR="00F66475" w:rsidRPr="00D72217" w:rsidRDefault="00F66475" w:rsidP="00F66475">
      <w:pPr>
        <w:pStyle w:val="Heading3"/>
        <w:rPr>
          <w:rFonts w:eastAsiaTheme="minorEastAsia" w:cstheme="majorBidi"/>
          <w:color w:val="197C7D"/>
          <w:sz w:val="48"/>
          <w:szCs w:val="48"/>
          <w:lang w:eastAsia="ja-JP"/>
        </w:rPr>
      </w:pPr>
      <w:bookmarkStart w:id="106" w:name="_Toc147847763"/>
      <w:bookmarkStart w:id="107" w:name="_Toc229773912"/>
      <w:bookmarkStart w:id="108" w:name="_Toc96326924"/>
      <w:bookmarkEnd w:id="104"/>
      <w:bookmarkEnd w:id="106"/>
      <w:r w:rsidRPr="52A7AAAB">
        <w:rPr>
          <w:rFonts w:eastAsiaTheme="minorEastAsia" w:cstheme="majorBidi"/>
          <w:color w:val="197C7D"/>
          <w:sz w:val="48"/>
          <w:szCs w:val="48"/>
          <w:lang w:eastAsia="ja-JP"/>
        </w:rPr>
        <w:t>What policy options are being considered?</w:t>
      </w:r>
      <w:bookmarkEnd w:id="107"/>
    </w:p>
    <w:p w:rsidR="00F66475" w:rsidRDefault="00F66475" w:rsidP="00F66475">
      <w:pPr>
        <w:spacing w:after="120" w:line="288" w:lineRule="auto"/>
        <w:rPr>
          <w:rFonts w:ascii="Calibri Light" w:hAnsi="Calibri Light" w:cs="Calibri Light"/>
        </w:rPr>
      </w:pPr>
      <w:r>
        <w:rPr>
          <w:rFonts w:ascii="Calibri Light" w:hAnsi="Calibri Light" w:cs="Calibri Light"/>
        </w:rPr>
        <w:t>A range of policy options and levers could be considered to help incentivise additional investment in clean dispatchable capacity and renewable generation and contribute to the Government’s 43 per cent emissions reduction target by 2030.</w:t>
      </w:r>
    </w:p>
    <w:p w:rsidR="00F66475" w:rsidRPr="00561980" w:rsidRDefault="00F66475" w:rsidP="00F66475">
      <w:pPr>
        <w:pStyle w:val="Heading3"/>
        <w:rPr>
          <w:rFonts w:ascii="Calibri Light" w:hAnsi="Calibri Light" w:cs="Calibri Light"/>
          <w:color w:val="197C7D"/>
          <w:sz w:val="36"/>
          <w:szCs w:val="36"/>
          <w:lang w:val="en-US"/>
        </w:rPr>
      </w:pPr>
      <w:bookmarkStart w:id="109" w:name="_Toc796917199"/>
      <w:r w:rsidRPr="52A7AAAB">
        <w:rPr>
          <w:rFonts w:ascii="Calibri Light" w:hAnsi="Calibri Light" w:cs="Calibri Light"/>
          <w:color w:val="197C7D"/>
          <w:sz w:val="36"/>
          <w:szCs w:val="36"/>
          <w:lang w:val="en-US"/>
        </w:rPr>
        <w:t>Option 1 – No Government Intervention – business as usual</w:t>
      </w:r>
      <w:bookmarkEnd w:id="109"/>
    </w:p>
    <w:p w:rsidR="00F66475" w:rsidRPr="007F0B6A" w:rsidRDefault="00F66475" w:rsidP="00F66475">
      <w:pPr>
        <w:spacing w:after="120" w:line="288" w:lineRule="auto"/>
        <w:rPr>
          <w:rFonts w:ascii="Calibri Light" w:hAnsi="Calibri Light" w:cs="Calibri Light"/>
        </w:rPr>
      </w:pPr>
      <w:r>
        <w:rPr>
          <w:rFonts w:ascii="Calibri Light" w:hAnsi="Calibri Light" w:cs="Calibri Light"/>
        </w:rPr>
        <w:t xml:space="preserve">A business-as-usual approach assumes current Commonwealth, state and territory policies and initiatives </w:t>
      </w:r>
      <w:r w:rsidRPr="00F97B6D">
        <w:rPr>
          <w:rFonts w:ascii="Calibri Light" w:hAnsi="Calibri Light" w:cs="Calibri Light"/>
        </w:rPr>
        <w:t>w</w:t>
      </w:r>
      <w:r>
        <w:rPr>
          <w:rFonts w:ascii="Calibri Light" w:hAnsi="Calibri Light" w:cs="Calibri Light"/>
        </w:rPr>
        <w:t>ill</w:t>
      </w:r>
      <w:r w:rsidRPr="00F97B6D">
        <w:rPr>
          <w:rFonts w:ascii="Calibri Light" w:hAnsi="Calibri Light" w:cs="Calibri Light"/>
        </w:rPr>
        <w:t xml:space="preserve"> </w:t>
      </w:r>
      <w:r>
        <w:rPr>
          <w:rFonts w:ascii="Calibri Light" w:hAnsi="Calibri Light" w:cs="Calibri Light"/>
        </w:rPr>
        <w:t>be sufficient to incentivise</w:t>
      </w:r>
      <w:r w:rsidRPr="00F97B6D">
        <w:rPr>
          <w:rFonts w:ascii="Calibri Light" w:hAnsi="Calibri Light" w:cs="Calibri Light"/>
        </w:rPr>
        <w:t xml:space="preserve"> </w:t>
      </w:r>
      <w:r>
        <w:rPr>
          <w:rFonts w:ascii="Calibri Light" w:hAnsi="Calibri Light" w:cs="Calibri Light"/>
        </w:rPr>
        <w:t xml:space="preserve">the market </w:t>
      </w:r>
      <w:r w:rsidRPr="00F97B6D">
        <w:rPr>
          <w:rFonts w:ascii="Calibri Light" w:hAnsi="Calibri Light" w:cs="Calibri Light"/>
        </w:rPr>
        <w:t xml:space="preserve">to deliver </w:t>
      </w:r>
      <w:r>
        <w:rPr>
          <w:rFonts w:ascii="Calibri Light" w:hAnsi="Calibri Light" w:cs="Calibri Light"/>
        </w:rPr>
        <w:t xml:space="preserve">sufficient </w:t>
      </w:r>
      <w:r w:rsidRPr="00F97B6D">
        <w:rPr>
          <w:rFonts w:ascii="Calibri Light" w:hAnsi="Calibri Light" w:cs="Calibri Light"/>
        </w:rPr>
        <w:t>storage capacity and generation</w:t>
      </w:r>
      <w:r>
        <w:rPr>
          <w:rFonts w:ascii="Calibri Light" w:hAnsi="Calibri Light" w:cs="Calibri Light"/>
        </w:rPr>
        <w:t xml:space="preserve"> in a timely manner to replace exiting generation and capacity. Under this approach there would be no disruption to</w:t>
      </w:r>
      <w:r w:rsidRPr="005434EE">
        <w:rPr>
          <w:rFonts w:ascii="Calibri Light" w:hAnsi="Calibri Light" w:cs="Calibri Light"/>
        </w:rPr>
        <w:t xml:space="preserve"> current market-based incentives for private investment in new storage and generation. </w:t>
      </w:r>
    </w:p>
    <w:p w:rsidR="00F66475" w:rsidRDefault="00F66475" w:rsidP="00F66475">
      <w:pPr>
        <w:spacing w:after="120" w:line="288" w:lineRule="auto"/>
        <w:rPr>
          <w:rFonts w:ascii="Calibri Light" w:hAnsi="Calibri Light" w:cs="Calibri Light"/>
        </w:rPr>
      </w:pPr>
      <w:r>
        <w:rPr>
          <w:rFonts w:ascii="Calibri Light" w:hAnsi="Calibri Light" w:cs="Calibri Light"/>
        </w:rPr>
        <w:t>A business-as-usual approach presents</w:t>
      </w:r>
      <w:r w:rsidRPr="005434EE">
        <w:rPr>
          <w:rFonts w:ascii="Calibri Light" w:hAnsi="Calibri Light" w:cs="Calibri Light"/>
        </w:rPr>
        <w:t xml:space="preserve"> a significant risk that the market</w:t>
      </w:r>
      <w:r>
        <w:rPr>
          <w:rFonts w:ascii="Calibri Light" w:hAnsi="Calibri Light" w:cs="Calibri Light"/>
        </w:rPr>
        <w:t xml:space="preserve"> will be</w:t>
      </w:r>
      <w:r w:rsidRPr="005434EE">
        <w:rPr>
          <w:rFonts w:ascii="Calibri Light" w:hAnsi="Calibri Light" w:cs="Calibri Light"/>
        </w:rPr>
        <w:t xml:space="preserve"> unable to deliver the pace and scale of investment before expected coal</w:t>
      </w:r>
      <w:r>
        <w:rPr>
          <w:rFonts w:ascii="Calibri Light" w:hAnsi="Calibri Light" w:cs="Calibri Light"/>
        </w:rPr>
        <w:t>-</w:t>
      </w:r>
      <w:r w:rsidRPr="005434EE">
        <w:rPr>
          <w:rFonts w:ascii="Calibri Light" w:hAnsi="Calibri Light" w:cs="Calibri Light"/>
        </w:rPr>
        <w:t>fired generator closures.</w:t>
      </w:r>
      <w:r>
        <w:rPr>
          <w:rFonts w:ascii="Calibri Light" w:hAnsi="Calibri Light" w:cs="Calibri Light"/>
        </w:rPr>
        <w:t xml:space="preserve"> The private sector would need to </w:t>
      </w:r>
      <w:r w:rsidRPr="007F0B6A">
        <w:rPr>
          <w:rFonts w:ascii="Calibri Light" w:hAnsi="Calibri Light" w:cs="Calibri Light"/>
        </w:rPr>
        <w:t xml:space="preserve">finance vast amounts of </w:t>
      </w:r>
      <w:r>
        <w:rPr>
          <w:rFonts w:ascii="Calibri Light" w:hAnsi="Calibri Light" w:cs="Calibri Light"/>
        </w:rPr>
        <w:t xml:space="preserve">new </w:t>
      </w:r>
      <w:r w:rsidRPr="007F0B6A">
        <w:rPr>
          <w:rFonts w:ascii="Calibri Light" w:hAnsi="Calibri Light" w:cs="Calibri Light"/>
        </w:rPr>
        <w:t xml:space="preserve">generation </w:t>
      </w:r>
      <w:r>
        <w:rPr>
          <w:rFonts w:ascii="Calibri Light" w:hAnsi="Calibri Light" w:cs="Calibri Light"/>
        </w:rPr>
        <w:t xml:space="preserve">and storage in </w:t>
      </w:r>
      <w:r w:rsidRPr="007F0B6A">
        <w:rPr>
          <w:rFonts w:ascii="Calibri Light" w:hAnsi="Calibri Light" w:cs="Calibri Light"/>
        </w:rPr>
        <w:t>a timely and coordinated manner, taking into consideration generators’ exit decisions.</w:t>
      </w:r>
      <w:r>
        <w:rPr>
          <w:rFonts w:ascii="Calibri Light" w:hAnsi="Calibri Light" w:cs="Calibri Light"/>
        </w:rPr>
        <w:t xml:space="preserve"> Investors would need to be confident that </w:t>
      </w:r>
      <w:r w:rsidRPr="007F0B6A">
        <w:rPr>
          <w:rFonts w:ascii="Calibri Light" w:hAnsi="Calibri Light" w:cs="Calibri Light"/>
        </w:rPr>
        <w:t xml:space="preserve">wholesale prices would stay </w:t>
      </w:r>
      <w:r>
        <w:rPr>
          <w:rFonts w:ascii="Calibri Light" w:hAnsi="Calibri Light" w:cs="Calibri Light"/>
        </w:rPr>
        <w:t>sufficiently</w:t>
      </w:r>
      <w:r w:rsidRPr="007F0B6A">
        <w:rPr>
          <w:rFonts w:ascii="Calibri Light" w:hAnsi="Calibri Light" w:cs="Calibri Light"/>
        </w:rPr>
        <w:t xml:space="preserve"> high </w:t>
      </w:r>
      <w:r>
        <w:rPr>
          <w:rFonts w:ascii="Calibri Light" w:hAnsi="Calibri Light" w:cs="Calibri Light"/>
        </w:rPr>
        <w:t xml:space="preserve">for long enough </w:t>
      </w:r>
      <w:r w:rsidRPr="007F0B6A">
        <w:rPr>
          <w:rFonts w:ascii="Calibri Light" w:hAnsi="Calibri Light" w:cs="Calibri Light"/>
        </w:rPr>
        <w:t xml:space="preserve">to </w:t>
      </w:r>
      <w:r>
        <w:rPr>
          <w:rFonts w:ascii="Calibri Light" w:hAnsi="Calibri Light" w:cs="Calibri Light"/>
        </w:rPr>
        <w:t xml:space="preserve">achieve forecast returns on investment, without the risk of government intervention to lower prices. </w:t>
      </w:r>
    </w:p>
    <w:p w:rsidR="00F66475" w:rsidRPr="00C142A5" w:rsidRDefault="00F66475" w:rsidP="00F66475">
      <w:pPr>
        <w:spacing w:after="120" w:line="288" w:lineRule="auto"/>
        <w:rPr>
          <w:rFonts w:ascii="Calibri Light" w:hAnsi="Calibri Light" w:cs="Calibri Light"/>
        </w:rPr>
      </w:pPr>
      <w:r w:rsidRPr="00C82CC5">
        <w:rPr>
          <w:rFonts w:ascii="Calibri Light" w:hAnsi="Calibri Light" w:cs="Calibri Light"/>
        </w:rPr>
        <w:t>As existing generators deteriorate, and Australia requires more electricity supply, if not enough new generation and capacity enter the market to meet demand, Australia</w:t>
      </w:r>
      <w:r>
        <w:rPr>
          <w:rFonts w:ascii="Calibri Light" w:hAnsi="Calibri Light" w:cs="Calibri Light"/>
        </w:rPr>
        <w:t>n</w:t>
      </w:r>
      <w:r w:rsidRPr="00C82CC5">
        <w:rPr>
          <w:rFonts w:ascii="Calibri Light" w:hAnsi="Calibri Light" w:cs="Calibri Light"/>
        </w:rPr>
        <w:t xml:space="preserve"> energy consumers</w:t>
      </w:r>
      <w:r>
        <w:rPr>
          <w:rFonts w:ascii="Calibri Light" w:hAnsi="Calibri Light" w:cs="Calibri Light"/>
        </w:rPr>
        <w:t xml:space="preserve"> would face </w:t>
      </w:r>
      <w:r w:rsidRPr="00C82CC5">
        <w:rPr>
          <w:rFonts w:ascii="Calibri Light" w:hAnsi="Calibri Light" w:cs="Calibri Light"/>
        </w:rPr>
        <w:t>increased retail electricity bills</w:t>
      </w:r>
      <w:r>
        <w:rPr>
          <w:rFonts w:ascii="Calibri Light" w:hAnsi="Calibri Light" w:cs="Calibri Light"/>
        </w:rPr>
        <w:t xml:space="preserve"> and increased risks of supply disruption through </w:t>
      </w:r>
      <w:r w:rsidRPr="00C82CC5">
        <w:rPr>
          <w:rFonts w:ascii="Calibri Light" w:hAnsi="Calibri Light" w:cs="Calibri Light"/>
        </w:rPr>
        <w:t>load shedding and blackouts</w:t>
      </w:r>
      <w:r>
        <w:rPr>
          <w:rFonts w:ascii="Calibri Light" w:hAnsi="Calibri Light" w:cs="Calibri Light"/>
        </w:rPr>
        <w:t>.</w:t>
      </w:r>
    </w:p>
    <w:p w:rsidR="00F66475" w:rsidRPr="00561980" w:rsidRDefault="00F66475" w:rsidP="00F66475">
      <w:pPr>
        <w:pStyle w:val="Heading3"/>
        <w:rPr>
          <w:rFonts w:ascii="Calibri Light" w:hAnsi="Calibri Light" w:cs="Calibri Light"/>
          <w:color w:val="197C7D"/>
          <w:sz w:val="36"/>
          <w:szCs w:val="36"/>
          <w:lang w:val="en-US"/>
        </w:rPr>
      </w:pPr>
      <w:bookmarkStart w:id="110" w:name="_Toc47000912"/>
      <w:r w:rsidRPr="52A7AAAB">
        <w:rPr>
          <w:rFonts w:ascii="Calibri Light" w:hAnsi="Calibri Light" w:cs="Calibri Light"/>
          <w:color w:val="197C7D"/>
          <w:sz w:val="36"/>
          <w:szCs w:val="36"/>
          <w:lang w:val="en-US"/>
        </w:rPr>
        <w:lastRenderedPageBreak/>
        <w:t>Option 2 – Expanding the Large-scale Renewable Energy Target (LRET)</w:t>
      </w:r>
      <w:bookmarkEnd w:id="110"/>
    </w:p>
    <w:p w:rsidR="00F66475" w:rsidRPr="002B6BCA" w:rsidRDefault="00F66475" w:rsidP="00F66475">
      <w:pPr>
        <w:spacing w:after="120" w:line="288" w:lineRule="auto"/>
        <w:rPr>
          <w:rFonts w:ascii="Calibri Light" w:hAnsi="Calibri Light" w:cs="Calibri Light"/>
        </w:rPr>
      </w:pPr>
      <w:r>
        <w:rPr>
          <w:rFonts w:ascii="Calibri Light" w:hAnsi="Calibri Light" w:cs="Calibri Light"/>
        </w:rPr>
        <w:t>Expanding the existing LRET</w:t>
      </w:r>
      <w:r w:rsidRPr="0086431D">
        <w:rPr>
          <w:rFonts w:ascii="Calibri Light" w:hAnsi="Calibri Light" w:cs="Calibri Light"/>
        </w:rPr>
        <w:t xml:space="preserve"> </w:t>
      </w:r>
      <w:r>
        <w:rPr>
          <w:rFonts w:ascii="Calibri Light" w:hAnsi="Calibri Light" w:cs="Calibri Light"/>
        </w:rPr>
        <w:t xml:space="preserve">would </w:t>
      </w:r>
      <w:r w:rsidRPr="00AB49D2">
        <w:rPr>
          <w:rFonts w:ascii="Calibri Light" w:hAnsi="Calibri Light" w:cs="Calibri Light"/>
        </w:rPr>
        <w:t>involv</w:t>
      </w:r>
      <w:r>
        <w:rPr>
          <w:rFonts w:ascii="Calibri Light" w:hAnsi="Calibri Light" w:cs="Calibri Light"/>
        </w:rPr>
        <w:t>e</w:t>
      </w:r>
      <w:r w:rsidRPr="00AB49D2">
        <w:rPr>
          <w:rFonts w:ascii="Calibri Light" w:hAnsi="Calibri Light" w:cs="Calibri Light"/>
        </w:rPr>
        <w:t xml:space="preserve"> certificates being issued based on discharge of capacity available to the grid. Retailers and directly connected large customers would need to surrender a volume of certificates annually, depending on how much </w:t>
      </w:r>
      <w:r>
        <w:rPr>
          <w:rFonts w:ascii="Calibri Light" w:hAnsi="Calibri Light" w:cs="Calibri Light"/>
        </w:rPr>
        <w:t>capacity</w:t>
      </w:r>
      <w:r w:rsidRPr="00AB49D2">
        <w:rPr>
          <w:rFonts w:ascii="Calibri Light" w:hAnsi="Calibri Light" w:cs="Calibri Light"/>
        </w:rPr>
        <w:t xml:space="preserve"> they </w:t>
      </w:r>
      <w:r>
        <w:rPr>
          <w:rFonts w:ascii="Calibri Light" w:hAnsi="Calibri Light" w:cs="Calibri Light"/>
        </w:rPr>
        <w:t xml:space="preserve">buy or </w:t>
      </w:r>
      <w:r w:rsidRPr="00AB49D2">
        <w:rPr>
          <w:rFonts w:ascii="Calibri Light" w:hAnsi="Calibri Light" w:cs="Calibri Light"/>
        </w:rPr>
        <w:t xml:space="preserve">sell. Failure to do so could attract a penalty, and voluntary surrender of certificates could be allowed. Similar to existing </w:t>
      </w:r>
      <w:r>
        <w:rPr>
          <w:rFonts w:ascii="Calibri Light" w:hAnsi="Calibri Light" w:cs="Calibri Light"/>
        </w:rPr>
        <w:t xml:space="preserve">renewables </w:t>
      </w:r>
      <w:r w:rsidRPr="00AB49D2">
        <w:rPr>
          <w:rFonts w:ascii="Calibri Light" w:hAnsi="Calibri Light" w:cs="Calibri Light"/>
        </w:rPr>
        <w:t>scheme, certificates could be traded freely.</w:t>
      </w:r>
      <w:r>
        <w:rPr>
          <w:rFonts w:ascii="Calibri Light" w:hAnsi="Calibri Light" w:cs="Calibri Light"/>
        </w:rPr>
        <w:t xml:space="preserve"> </w:t>
      </w:r>
    </w:p>
    <w:p w:rsidR="00F66475" w:rsidRPr="00C1559B" w:rsidRDefault="00F66475" w:rsidP="00F66475">
      <w:pPr>
        <w:spacing w:after="120" w:line="288" w:lineRule="auto"/>
        <w:rPr>
          <w:rFonts w:ascii="Calibri Light" w:hAnsi="Calibri Light" w:cs="Calibri Light"/>
        </w:rPr>
      </w:pPr>
      <w:r w:rsidRPr="00C1559B">
        <w:rPr>
          <w:rFonts w:ascii="Calibri Light" w:hAnsi="Calibri Light" w:cs="Calibri Light"/>
        </w:rPr>
        <w:t xml:space="preserve">The key benefit of </w:t>
      </w:r>
      <w:r>
        <w:rPr>
          <w:rFonts w:ascii="Calibri Light" w:hAnsi="Calibri Light" w:cs="Calibri Light"/>
        </w:rPr>
        <w:t xml:space="preserve">this option </w:t>
      </w:r>
      <w:r w:rsidRPr="00C1559B">
        <w:rPr>
          <w:rFonts w:ascii="Calibri Light" w:hAnsi="Calibri Light" w:cs="Calibri Light"/>
        </w:rPr>
        <w:t xml:space="preserve">is that it is tried and tested </w:t>
      </w:r>
      <w:r>
        <w:rPr>
          <w:rFonts w:ascii="Calibri Light" w:hAnsi="Calibri Light" w:cs="Calibri Light"/>
        </w:rPr>
        <w:t>and</w:t>
      </w:r>
      <w:r w:rsidRPr="00C1559B">
        <w:rPr>
          <w:rFonts w:ascii="Calibri Light" w:hAnsi="Calibri Light" w:cs="Calibri Light"/>
        </w:rPr>
        <w:t xml:space="preserve"> is familiar to market participants. Setting a centralised target for the market can deliver certainty and a stable trajectory to ensure reliability needs are met.  </w:t>
      </w:r>
    </w:p>
    <w:p w:rsidR="00F66475" w:rsidRPr="00C1559B" w:rsidRDefault="00F66475" w:rsidP="00F66475">
      <w:pPr>
        <w:spacing w:after="120" w:line="288" w:lineRule="auto"/>
        <w:rPr>
          <w:rFonts w:ascii="Calibri Light" w:hAnsi="Calibri Light" w:cs="Calibri Light"/>
        </w:rPr>
      </w:pPr>
      <w:r w:rsidRPr="00C1559B">
        <w:rPr>
          <w:rFonts w:ascii="Calibri Light" w:hAnsi="Calibri Light" w:cs="Calibri Light"/>
        </w:rPr>
        <w:t xml:space="preserve">However, target mechanisms are </w:t>
      </w:r>
      <w:r>
        <w:rPr>
          <w:rFonts w:ascii="Calibri Light" w:hAnsi="Calibri Light" w:cs="Calibri Light"/>
        </w:rPr>
        <w:t>typically ‘</w:t>
      </w:r>
      <w:r w:rsidRPr="00C1559B">
        <w:rPr>
          <w:rFonts w:ascii="Calibri Light" w:hAnsi="Calibri Light" w:cs="Calibri Light"/>
        </w:rPr>
        <w:t>blunt</w:t>
      </w:r>
      <w:r>
        <w:rPr>
          <w:rFonts w:ascii="Calibri Light" w:hAnsi="Calibri Light" w:cs="Calibri Light"/>
        </w:rPr>
        <w:t>’</w:t>
      </w:r>
      <w:r w:rsidRPr="00C1559B">
        <w:rPr>
          <w:rFonts w:ascii="Calibri Light" w:hAnsi="Calibri Light" w:cs="Calibri Light"/>
        </w:rPr>
        <w:t xml:space="preserve"> instruments that lack flexibility to take into account the energy mix or geographic considerations, and do not provide the coordination to ensure the right types and amounts of generation are built in the right places </w:t>
      </w:r>
      <w:r>
        <w:rPr>
          <w:rFonts w:ascii="Calibri Light" w:hAnsi="Calibri Light" w:cs="Calibri Light"/>
        </w:rPr>
        <w:t>at the right</w:t>
      </w:r>
      <w:r w:rsidRPr="00C1559B">
        <w:rPr>
          <w:rFonts w:ascii="Calibri Light" w:hAnsi="Calibri Light" w:cs="Calibri Light"/>
        </w:rPr>
        <w:t xml:space="preserve"> time. </w:t>
      </w:r>
    </w:p>
    <w:p w:rsidR="00F66475" w:rsidRDefault="00F66475" w:rsidP="00F66475">
      <w:pPr>
        <w:spacing w:after="120" w:line="288" w:lineRule="auto"/>
        <w:rPr>
          <w:rFonts w:ascii="Calibri Light" w:hAnsi="Calibri Light" w:cs="Calibri Light"/>
        </w:rPr>
      </w:pPr>
      <w:r>
        <w:rPr>
          <w:rFonts w:ascii="Calibri Light" w:hAnsi="Calibri Light" w:cs="Calibri Light"/>
        </w:rPr>
        <w:t>Expansion of the LRET scheme could push t</w:t>
      </w:r>
      <w:r w:rsidRPr="00C1559B">
        <w:rPr>
          <w:rFonts w:ascii="Calibri Light" w:hAnsi="Calibri Light" w:cs="Calibri Light"/>
        </w:rPr>
        <w:t>he costs of certificate</w:t>
      </w:r>
      <w:r>
        <w:rPr>
          <w:rFonts w:ascii="Calibri Light" w:hAnsi="Calibri Light" w:cs="Calibri Light"/>
        </w:rPr>
        <w:t xml:space="preserve">s, which </w:t>
      </w:r>
      <w:r w:rsidRPr="00C1559B">
        <w:rPr>
          <w:rFonts w:ascii="Calibri Light" w:hAnsi="Calibri Light" w:cs="Calibri Light"/>
        </w:rPr>
        <w:t>are typically</w:t>
      </w:r>
      <w:r>
        <w:rPr>
          <w:rFonts w:ascii="Calibri Light" w:hAnsi="Calibri Light" w:cs="Calibri Light"/>
        </w:rPr>
        <w:t xml:space="preserve"> passed onto</w:t>
      </w:r>
      <w:r w:rsidRPr="00C1559B">
        <w:rPr>
          <w:rFonts w:ascii="Calibri Light" w:hAnsi="Calibri Light" w:cs="Calibri Light"/>
        </w:rPr>
        <w:t xml:space="preserve"> </w:t>
      </w:r>
      <w:r>
        <w:rPr>
          <w:rFonts w:ascii="Calibri Light" w:hAnsi="Calibri Light" w:cs="Calibri Light"/>
        </w:rPr>
        <w:t xml:space="preserve">electricity </w:t>
      </w:r>
      <w:r w:rsidRPr="00C1559B">
        <w:rPr>
          <w:rFonts w:ascii="Calibri Light" w:hAnsi="Calibri Light" w:cs="Calibri Light"/>
        </w:rPr>
        <w:t xml:space="preserve">consumers through higher electricity bills. </w:t>
      </w:r>
      <w:r>
        <w:rPr>
          <w:rFonts w:ascii="Calibri Light" w:hAnsi="Calibri Light" w:cs="Calibri Light"/>
        </w:rPr>
        <w:t xml:space="preserve">To achieve </w:t>
      </w:r>
      <w:r w:rsidRPr="00652B11">
        <w:rPr>
          <w:rFonts w:ascii="Calibri Light" w:hAnsi="Calibri Light" w:cs="Calibri Light"/>
        </w:rPr>
        <w:t>reduction in consumer retail electricity prices</w:t>
      </w:r>
      <w:r>
        <w:rPr>
          <w:rFonts w:ascii="Calibri Light" w:hAnsi="Calibri Light" w:cs="Calibri Light"/>
        </w:rPr>
        <w:t xml:space="preserve"> under this scheme, a government rebate maybe required to offset the </w:t>
      </w:r>
      <w:r w:rsidRPr="00652B11">
        <w:rPr>
          <w:rFonts w:ascii="Calibri Light" w:hAnsi="Calibri Light" w:cs="Calibri Light"/>
        </w:rPr>
        <w:t>costs of mandatory LRET certificate purchases</w:t>
      </w:r>
      <w:r>
        <w:rPr>
          <w:rFonts w:ascii="Calibri Light" w:hAnsi="Calibri Light" w:cs="Calibri Light"/>
        </w:rPr>
        <w:t xml:space="preserve">, which would be complicated to design and administer. </w:t>
      </w:r>
    </w:p>
    <w:p w:rsidR="00F66475" w:rsidRPr="00C1559B" w:rsidRDefault="00F66475" w:rsidP="00F66475">
      <w:pPr>
        <w:spacing w:after="120" w:line="288" w:lineRule="auto"/>
        <w:rPr>
          <w:rFonts w:ascii="Calibri Light" w:hAnsi="Calibri Light" w:cs="Calibri Light"/>
        </w:rPr>
      </w:pPr>
      <w:r w:rsidRPr="00DE7F71">
        <w:rPr>
          <w:rFonts w:ascii="Calibri Light" w:hAnsi="Calibri Light" w:cs="Calibri Light"/>
        </w:rPr>
        <w:t xml:space="preserve">The LRET </w:t>
      </w:r>
      <w:r>
        <w:rPr>
          <w:rFonts w:ascii="Calibri Light" w:hAnsi="Calibri Light" w:cs="Calibri Light"/>
        </w:rPr>
        <w:t>has been</w:t>
      </w:r>
      <w:r w:rsidRPr="00DE7F71">
        <w:rPr>
          <w:rFonts w:ascii="Calibri Light" w:hAnsi="Calibri Light" w:cs="Calibri Light"/>
        </w:rPr>
        <w:t xml:space="preserve"> a successful </w:t>
      </w:r>
      <w:r>
        <w:rPr>
          <w:rFonts w:ascii="Calibri Light" w:hAnsi="Calibri Light" w:cs="Calibri Light"/>
        </w:rPr>
        <w:t xml:space="preserve">in </w:t>
      </w:r>
      <w:r w:rsidRPr="00DE7F71">
        <w:rPr>
          <w:rFonts w:ascii="Calibri Light" w:hAnsi="Calibri Light" w:cs="Calibri Light"/>
        </w:rPr>
        <w:t>incentivi</w:t>
      </w:r>
      <w:r>
        <w:rPr>
          <w:rFonts w:ascii="Calibri Light" w:hAnsi="Calibri Light" w:cs="Calibri Light"/>
        </w:rPr>
        <w:t>s</w:t>
      </w:r>
      <w:r w:rsidRPr="00DE7F71">
        <w:rPr>
          <w:rFonts w:ascii="Calibri Light" w:hAnsi="Calibri Light" w:cs="Calibri Light"/>
        </w:rPr>
        <w:t xml:space="preserve">ing new investment while at low levels of renewable penetration. However, </w:t>
      </w:r>
      <w:r>
        <w:rPr>
          <w:rFonts w:ascii="Calibri Light" w:hAnsi="Calibri Light" w:cs="Calibri Light"/>
        </w:rPr>
        <w:t xml:space="preserve">with increase in </w:t>
      </w:r>
      <w:r w:rsidRPr="00DE7F71">
        <w:rPr>
          <w:rFonts w:ascii="Calibri Light" w:hAnsi="Calibri Light" w:cs="Calibri Light"/>
        </w:rPr>
        <w:t xml:space="preserve">the share of renewables and </w:t>
      </w:r>
      <w:r>
        <w:rPr>
          <w:rFonts w:ascii="Calibri Light" w:hAnsi="Calibri Light" w:cs="Calibri Light"/>
        </w:rPr>
        <w:t xml:space="preserve">downward pressure on </w:t>
      </w:r>
      <w:r w:rsidRPr="00DE7F71">
        <w:rPr>
          <w:rFonts w:ascii="Calibri Light" w:hAnsi="Calibri Light" w:cs="Calibri Light"/>
        </w:rPr>
        <w:t>wholesale electricity prices, competition for LRET certificate revenues could become more important for renewable generators than competing in the wholesale market to sell electricity,</w:t>
      </w:r>
      <w:r>
        <w:rPr>
          <w:rFonts w:ascii="Calibri Light" w:hAnsi="Calibri Light" w:cs="Calibri Light"/>
        </w:rPr>
        <w:t xml:space="preserve"> </w:t>
      </w:r>
      <w:r w:rsidRPr="00DE7F71">
        <w:rPr>
          <w:rFonts w:ascii="Calibri Light" w:hAnsi="Calibri Light" w:cs="Calibri Light"/>
        </w:rPr>
        <w:t>undermining price signals and reducing efficiency in the electricity market.</w:t>
      </w:r>
    </w:p>
    <w:p w:rsidR="00F66475" w:rsidRPr="00561980" w:rsidRDefault="00F66475" w:rsidP="00F66475">
      <w:pPr>
        <w:pStyle w:val="Heading3"/>
        <w:rPr>
          <w:rFonts w:ascii="Calibri Light" w:hAnsi="Calibri Light" w:cs="Calibri Light"/>
          <w:color w:val="197C7D"/>
          <w:sz w:val="36"/>
          <w:szCs w:val="36"/>
          <w:lang w:val="en-US"/>
        </w:rPr>
      </w:pPr>
      <w:bookmarkStart w:id="111" w:name="_Toc936834526"/>
      <w:r w:rsidRPr="52A7AAAB">
        <w:rPr>
          <w:rFonts w:ascii="Calibri Light" w:hAnsi="Calibri Light" w:cs="Calibri Light"/>
          <w:color w:val="197C7D"/>
          <w:sz w:val="36"/>
          <w:szCs w:val="36"/>
          <w:lang w:val="en-US"/>
        </w:rPr>
        <w:t>Option 3 – Strategic Reserve</w:t>
      </w:r>
      <w:bookmarkEnd w:id="111"/>
    </w:p>
    <w:p w:rsidR="00F66475" w:rsidRPr="000A6F32" w:rsidRDefault="00F66475" w:rsidP="00F66475">
      <w:pPr>
        <w:spacing w:after="120" w:line="288" w:lineRule="auto"/>
        <w:rPr>
          <w:rFonts w:ascii="Calibri Light" w:hAnsi="Calibri Light" w:cs="Calibri Light"/>
        </w:rPr>
      </w:pPr>
      <w:r w:rsidRPr="000A6F32">
        <w:rPr>
          <w:rFonts w:ascii="Calibri Light" w:hAnsi="Calibri Light" w:cs="Calibri Light"/>
        </w:rPr>
        <w:t>This option would involve payments to move and preserve existing capacity out-of-market that may have otherwise fully exited (e.g. paying maintenance costs). Such a reserve can be called upon to guard against worst-case scenarios (loss of other plants or transmission, catastrophic weather events). The reserve capacity would only enter the market under limited circumstances – e.g. when market reserves are low and prices are at the market cap.</w:t>
      </w:r>
    </w:p>
    <w:p w:rsidR="00F66475" w:rsidRPr="005434EE" w:rsidRDefault="00F66475" w:rsidP="00F66475">
      <w:pPr>
        <w:spacing w:after="120" w:line="288" w:lineRule="auto"/>
        <w:rPr>
          <w:rFonts w:ascii="Calibri Light" w:hAnsi="Calibri Light" w:cs="Calibri Light"/>
        </w:rPr>
      </w:pPr>
      <w:r w:rsidRPr="005434EE">
        <w:rPr>
          <w:rFonts w:ascii="Calibri Light" w:hAnsi="Calibri Light" w:cs="Calibri Light"/>
        </w:rPr>
        <w:t>The Strategic Reserve is likely to be effective as an insurance measure to support increased system volatility, as more renewables are introduced, and climate risks escalate. Keeping the reserves out of market ensure</w:t>
      </w:r>
      <w:r>
        <w:rPr>
          <w:rFonts w:ascii="Calibri Light" w:hAnsi="Calibri Light" w:cs="Calibri Light"/>
        </w:rPr>
        <w:t>s</w:t>
      </w:r>
      <w:r w:rsidRPr="005434EE">
        <w:rPr>
          <w:rFonts w:ascii="Calibri Light" w:hAnsi="Calibri Light" w:cs="Calibri Light"/>
        </w:rPr>
        <w:t xml:space="preserve"> that other plants remain profitable – if reserves always operated in the market, power prices may become too low or distorted to incentivise new investment.</w:t>
      </w:r>
    </w:p>
    <w:p w:rsidR="00F66475" w:rsidRPr="008174DF" w:rsidRDefault="00F66475" w:rsidP="00F66475">
      <w:pPr>
        <w:spacing w:after="120" w:line="288" w:lineRule="auto"/>
        <w:rPr>
          <w:rFonts w:ascii="Calibri Light" w:hAnsi="Calibri Light" w:cs="Calibri Light"/>
        </w:rPr>
      </w:pPr>
      <w:r w:rsidRPr="005434EE">
        <w:rPr>
          <w:rFonts w:ascii="Calibri Light" w:hAnsi="Calibri Light" w:cs="Calibri Light"/>
        </w:rPr>
        <w:t xml:space="preserve">However, the Strategic Reserve may only </w:t>
      </w:r>
      <w:r>
        <w:rPr>
          <w:rFonts w:ascii="Calibri Light" w:hAnsi="Calibri Light" w:cs="Calibri Light"/>
        </w:rPr>
        <w:t xml:space="preserve">be </w:t>
      </w:r>
      <w:r w:rsidRPr="000A6F32">
        <w:rPr>
          <w:rFonts w:ascii="Calibri Light" w:hAnsi="Calibri Light" w:cs="Calibri Light"/>
        </w:rPr>
        <w:t>beneficial</w:t>
      </w:r>
      <w:r w:rsidRPr="005434EE">
        <w:rPr>
          <w:rFonts w:ascii="Calibri Light" w:hAnsi="Calibri Light" w:cs="Calibri Light"/>
        </w:rPr>
        <w:t xml:space="preserve"> as a complementary measure in specific locations as it is difficult to identify the right assets that are appropriate to keep in reserve. This is because existing plants close to end-of-life may not be sufficiently reliable, and newer plants should not waste their prime operating </w:t>
      </w:r>
      <w:r w:rsidRPr="005434EE">
        <w:rPr>
          <w:rFonts w:ascii="Calibri Light" w:hAnsi="Calibri Light" w:cs="Calibri Light"/>
        </w:rPr>
        <w:lastRenderedPageBreak/>
        <w:t>years sitting idle.</w:t>
      </w:r>
      <w:r>
        <w:rPr>
          <w:rFonts w:ascii="Calibri Light" w:hAnsi="Calibri Light" w:cs="Calibri Light"/>
        </w:rPr>
        <w:t xml:space="preserve"> </w:t>
      </w:r>
      <w:r w:rsidRPr="005434EE">
        <w:rPr>
          <w:rFonts w:ascii="Calibri Light" w:hAnsi="Calibri Light" w:cs="Calibri Light"/>
        </w:rPr>
        <w:t xml:space="preserve">It may </w:t>
      </w:r>
      <w:r>
        <w:rPr>
          <w:rFonts w:ascii="Calibri Light" w:hAnsi="Calibri Light" w:cs="Calibri Light"/>
        </w:rPr>
        <w:t>also</w:t>
      </w:r>
      <w:r w:rsidRPr="005434EE">
        <w:rPr>
          <w:rFonts w:ascii="Calibri Light" w:hAnsi="Calibri Light" w:cs="Calibri Light"/>
        </w:rPr>
        <w:t xml:space="preserve"> be expensive to maintain a plant that is mostly idle and can be difficult to justify idle </w:t>
      </w:r>
      <w:r>
        <w:rPr>
          <w:rFonts w:ascii="Calibri Light" w:hAnsi="Calibri Light" w:cs="Calibri Light"/>
        </w:rPr>
        <w:t xml:space="preserve">plant </w:t>
      </w:r>
      <w:r w:rsidRPr="005434EE">
        <w:rPr>
          <w:rFonts w:ascii="Calibri Light" w:hAnsi="Calibri Light" w:cs="Calibri Light"/>
        </w:rPr>
        <w:t>if market prices are high (but not high enough for the plant to participate).</w:t>
      </w:r>
    </w:p>
    <w:p w:rsidR="00F66475" w:rsidRPr="008174DF" w:rsidRDefault="00F66475" w:rsidP="00F66475">
      <w:pPr>
        <w:spacing w:after="120" w:line="288" w:lineRule="auto"/>
        <w:rPr>
          <w:rFonts w:ascii="Calibri Light" w:hAnsi="Calibri Light" w:cs="Calibri Light"/>
        </w:rPr>
      </w:pPr>
      <w:r>
        <w:rPr>
          <w:rFonts w:ascii="Calibri Light" w:hAnsi="Calibri Light" w:cs="Calibri Light"/>
        </w:rPr>
        <w:t xml:space="preserve">Additionally, the Strategic Reserve would not accelerate investment in lower emissions technologies and therefore fail to contribute to the government’s renewable generation and emissions reduction targets. As the capacity kept in reserve would not be operational most of the time, the Strategic Reserve would not assist day-to-day operations of a grid increasingly dominated by variable renewable energy. </w:t>
      </w:r>
    </w:p>
    <w:p w:rsidR="00F66475" w:rsidRPr="00561980" w:rsidRDefault="00F66475" w:rsidP="00F66475">
      <w:pPr>
        <w:pStyle w:val="Heading3"/>
        <w:rPr>
          <w:rFonts w:ascii="Calibri Light" w:hAnsi="Calibri Light" w:cs="Calibri Light"/>
          <w:color w:val="197C7D"/>
          <w:sz w:val="36"/>
          <w:szCs w:val="36"/>
          <w:lang w:val="en-US"/>
        </w:rPr>
      </w:pPr>
      <w:bookmarkStart w:id="112" w:name="_Toc1787387552"/>
      <w:r w:rsidRPr="52A7AAAB">
        <w:rPr>
          <w:rFonts w:ascii="Calibri Light" w:hAnsi="Calibri Light" w:cs="Calibri Light"/>
          <w:color w:val="197C7D"/>
          <w:sz w:val="36"/>
          <w:szCs w:val="36"/>
          <w:lang w:val="en-US"/>
        </w:rPr>
        <w:t>Option 4 – Capacity Investment Scheme (CIS)</w:t>
      </w:r>
      <w:bookmarkEnd w:id="112"/>
    </w:p>
    <w:p w:rsidR="00F66475" w:rsidRPr="00373596" w:rsidRDefault="00F66475" w:rsidP="00F66475">
      <w:pPr>
        <w:spacing w:after="120" w:line="288" w:lineRule="auto"/>
        <w:rPr>
          <w:rFonts w:ascii="Calibri Light" w:hAnsi="Calibri Light" w:cs="Calibri Light"/>
        </w:rPr>
      </w:pPr>
      <w:r>
        <w:rPr>
          <w:rFonts w:ascii="Calibri Light" w:hAnsi="Calibri Light" w:cs="Calibri Light"/>
        </w:rPr>
        <w:t>The</w:t>
      </w:r>
      <w:r w:rsidRPr="005F6BA0">
        <w:rPr>
          <w:rFonts w:ascii="Calibri Light" w:hAnsi="Calibri Light" w:cs="Calibri Light"/>
        </w:rPr>
        <w:t xml:space="preserve"> </w:t>
      </w:r>
      <w:r w:rsidRPr="00373596">
        <w:rPr>
          <w:rFonts w:ascii="Calibri Light" w:hAnsi="Calibri Light" w:cs="Calibri Light"/>
        </w:rPr>
        <w:t>Capacity Investment Scheme involves competitive tender bids for renewable energy generation and storage projects that can fill expected reliability gaps.</w:t>
      </w:r>
      <w:r>
        <w:rPr>
          <w:rFonts w:ascii="Calibri Light" w:hAnsi="Calibri Light" w:cs="Calibri Light"/>
        </w:rPr>
        <w:t xml:space="preserve"> Successful projects from tenders are provided with long term revenue support, with an </w:t>
      </w:r>
      <w:r w:rsidRPr="00373596">
        <w:rPr>
          <w:rFonts w:ascii="Calibri Light" w:hAnsi="Calibri Light" w:cs="Calibri Light"/>
        </w:rPr>
        <w:t>agreed revenue ‘floor’ and ‘ceiling’.</w:t>
      </w:r>
      <w:r>
        <w:rPr>
          <w:rFonts w:ascii="Calibri Light" w:hAnsi="Calibri Light" w:cs="Calibri Light"/>
        </w:rPr>
        <w:t xml:space="preserve"> This support will </w:t>
      </w:r>
      <w:r w:rsidRPr="00A96EC7">
        <w:rPr>
          <w:rFonts w:ascii="Calibri Light" w:hAnsi="Calibri Light" w:cs="Calibri Light"/>
        </w:rPr>
        <w:t>decrease financial risks for investors and encouraging more investment in capacity.</w:t>
      </w:r>
      <w:r w:rsidRPr="00A834BB">
        <w:rPr>
          <w:rFonts w:ascii="Calibri Light" w:hAnsi="Calibri Light" w:cs="Calibri Light"/>
        </w:rPr>
        <w:t> </w:t>
      </w:r>
    </w:p>
    <w:p w:rsidR="00F66475" w:rsidRPr="007A5E12" w:rsidRDefault="00F66475" w:rsidP="00F66475">
      <w:pPr>
        <w:spacing w:after="120" w:line="288" w:lineRule="auto"/>
        <w:rPr>
          <w:rFonts w:ascii="Calibri Light" w:hAnsi="Calibri Light" w:cs="Calibri Light"/>
        </w:rPr>
      </w:pPr>
      <w:r w:rsidRPr="007A5E12">
        <w:rPr>
          <w:rFonts w:ascii="Calibri Light" w:hAnsi="Calibri Light" w:cs="Calibri Light"/>
        </w:rPr>
        <w:t>The CIS will support clean dispatchable technologies. This includes new battery systems, hydrogen, pumped hydro, emerging technologies and renewable generation projects that contribute to improved system reliability. Following consultation with relevant stakeholders, a capacity and generation target will be set for each tender, taking into account anticipated thermal exits, regional reliability risks and the investments pipeline.</w:t>
      </w:r>
    </w:p>
    <w:p w:rsidR="00F66475" w:rsidRPr="007A5E12" w:rsidRDefault="00F66475" w:rsidP="00F66475">
      <w:pPr>
        <w:spacing w:after="120" w:line="288" w:lineRule="auto"/>
        <w:rPr>
          <w:rFonts w:ascii="Calibri Light" w:hAnsi="Calibri Light" w:cs="Calibri Light"/>
        </w:rPr>
      </w:pPr>
      <w:r w:rsidRPr="007A5E12">
        <w:rPr>
          <w:rFonts w:ascii="Calibri Light" w:hAnsi="Calibri Light" w:cs="Calibri Light"/>
        </w:rPr>
        <w:t>The design of the CIS draws on a large number of global and domestic precedents for the use of revenue underwriting to support renewables investment, including the N</w:t>
      </w:r>
      <w:r>
        <w:rPr>
          <w:rFonts w:ascii="Calibri Light" w:hAnsi="Calibri Light" w:cs="Calibri Light"/>
        </w:rPr>
        <w:t>ew south Wales Long-term Energy Service Agreements (</w:t>
      </w:r>
      <w:r w:rsidRPr="007A5E12">
        <w:rPr>
          <w:rFonts w:ascii="Calibri Light" w:hAnsi="Calibri Light" w:cs="Calibri Light"/>
        </w:rPr>
        <w:t>LTESA</w:t>
      </w:r>
      <w:r>
        <w:rPr>
          <w:rFonts w:ascii="Calibri Light" w:hAnsi="Calibri Light" w:cs="Calibri Light"/>
        </w:rPr>
        <w:t>)</w:t>
      </w:r>
      <w:r w:rsidRPr="007A5E12">
        <w:rPr>
          <w:rFonts w:ascii="Calibri Light" w:hAnsi="Calibri Light" w:cs="Calibri Light"/>
        </w:rPr>
        <w:t xml:space="preserve"> and the use of contracts for difference (CfDs) by the Victorian and A</w:t>
      </w:r>
      <w:r>
        <w:rPr>
          <w:rFonts w:ascii="Calibri Light" w:hAnsi="Calibri Light" w:cs="Calibri Light"/>
        </w:rPr>
        <w:t>ustralian Capital Territory (ACT)</w:t>
      </w:r>
      <w:r w:rsidRPr="007A5E12">
        <w:rPr>
          <w:rFonts w:ascii="Calibri Light" w:hAnsi="Calibri Light" w:cs="Calibri Light"/>
        </w:rPr>
        <w:t xml:space="preserve"> governments. The U</w:t>
      </w:r>
      <w:r>
        <w:rPr>
          <w:rFonts w:ascii="Calibri Light" w:hAnsi="Calibri Light" w:cs="Calibri Light"/>
        </w:rPr>
        <w:t>nited Kingdom’s</w:t>
      </w:r>
      <w:r w:rsidRPr="007A5E12">
        <w:rPr>
          <w:rFonts w:ascii="Calibri Light" w:hAnsi="Calibri Light" w:cs="Calibri Light"/>
        </w:rPr>
        <w:t xml:space="preserve"> government has supported 11GW of renewable capacity through CfDs across the first three tenders, with a recent program evaluation report indicating that the scheme represents value for money and has caused a reduction in consumer costs.</w:t>
      </w:r>
    </w:p>
    <w:p w:rsidR="00F66475" w:rsidRPr="007A5E12" w:rsidRDefault="00F66475" w:rsidP="00F66475">
      <w:pPr>
        <w:spacing w:after="120" w:line="288" w:lineRule="auto"/>
        <w:rPr>
          <w:rFonts w:ascii="Calibri Light" w:hAnsi="Calibri Light" w:cs="Calibri Light"/>
        </w:rPr>
      </w:pPr>
      <w:r w:rsidRPr="007A5E12">
        <w:rPr>
          <w:rFonts w:ascii="Calibri Light" w:hAnsi="Calibri Light" w:cs="Calibri Light"/>
        </w:rPr>
        <w:t xml:space="preserve">By guaranteeing a revenue floor, the CIS de-risks new investment in a highly uncertain market environment during the transition, allowing these new investments to be funded with a lower overall cost of capital. Through competitive price discovery, CIS tenders provide the minimum level of additional subsidy required to deliver projects. </w:t>
      </w:r>
      <w:r w:rsidRPr="006F2D81">
        <w:rPr>
          <w:rFonts w:ascii="Calibri Light" w:hAnsi="Calibri Light" w:cs="Calibri Light"/>
        </w:rPr>
        <w:t>This contrasts with mechanisms such as the LRET, where the ‘clearing price’ is set by the highest cost marginal producer and may result in producer surplus</w:t>
      </w:r>
      <w:r w:rsidRPr="007A5E12">
        <w:rPr>
          <w:rFonts w:ascii="Calibri Light" w:hAnsi="Calibri Light" w:cs="Calibri Light"/>
        </w:rPr>
        <w:t>.</w:t>
      </w:r>
    </w:p>
    <w:p w:rsidR="00F66475" w:rsidRPr="007A5E12" w:rsidRDefault="00F66475" w:rsidP="00F66475">
      <w:pPr>
        <w:spacing w:after="120" w:line="288" w:lineRule="auto"/>
        <w:rPr>
          <w:rFonts w:ascii="Calibri Light" w:hAnsi="Calibri Light" w:cs="Calibri Light"/>
        </w:rPr>
      </w:pPr>
      <w:r w:rsidRPr="007A5E12">
        <w:rPr>
          <w:rFonts w:ascii="Calibri Light" w:hAnsi="Calibri Light" w:cs="Calibri Light"/>
        </w:rPr>
        <w:t>CIS tenders can target capacity by the type and location that is best aligned with forecast system reliability needs. This contrasts with mechanisms such as the LRET, where LGC revenue may distort the outcomes of the energy only market and result in more solar and less wind generation than may be optimal.</w:t>
      </w:r>
      <w:r>
        <w:rPr>
          <w:rFonts w:ascii="Calibri Light" w:hAnsi="Calibri Light" w:cs="Calibri Light"/>
        </w:rPr>
        <w:t xml:space="preserve"> </w:t>
      </w:r>
      <w:r w:rsidRPr="007A5E12">
        <w:rPr>
          <w:rFonts w:ascii="Calibri Light" w:hAnsi="Calibri Light" w:cs="Calibri Light"/>
        </w:rPr>
        <w:t>Tender targets, assessment criteria, and location can be calibrated year-on-year to respond to the changing environment. This is critical given the inherent uncertainty of the energy transition where outcomes are sensitive to a wide range of assumptions around energy demand, technological change, and project delay.</w:t>
      </w:r>
    </w:p>
    <w:p w:rsidR="00F66475" w:rsidRPr="007A5E12" w:rsidRDefault="00F66475" w:rsidP="00F66475">
      <w:pPr>
        <w:spacing w:after="120" w:line="288" w:lineRule="auto"/>
        <w:rPr>
          <w:rFonts w:ascii="Calibri Light" w:hAnsi="Calibri Light" w:cs="Calibri Light"/>
        </w:rPr>
      </w:pPr>
      <w:r w:rsidRPr="007A5E12">
        <w:rPr>
          <w:rFonts w:ascii="Calibri Light" w:hAnsi="Calibri Light" w:cs="Calibri Light"/>
        </w:rPr>
        <w:t xml:space="preserve">Projects supported by the CIS would still be subject electricity market rules, and as the CIS is an out-of-market scheme, it does not interfere with the efficient operation of the short-term dispatch market of other market settings in the </w:t>
      </w:r>
      <w:r>
        <w:rPr>
          <w:rFonts w:ascii="Calibri Light" w:hAnsi="Calibri Light" w:cs="Calibri Light"/>
        </w:rPr>
        <w:t>NEM</w:t>
      </w:r>
      <w:r w:rsidRPr="007A5E12">
        <w:rPr>
          <w:rFonts w:ascii="Calibri Light" w:hAnsi="Calibri Light" w:cs="Calibri Light"/>
        </w:rPr>
        <w:t xml:space="preserve">. It is complementary to other government subsidies, including the LRET, state grants, or loans provided by the CEFC. Revenue streams from Renewable Energy Guarantee of Origin </w:t>
      </w:r>
      <w:r w:rsidRPr="007A5E12">
        <w:rPr>
          <w:rFonts w:ascii="Calibri Light" w:hAnsi="Calibri Light" w:cs="Calibri Light"/>
        </w:rPr>
        <w:lastRenderedPageBreak/>
        <w:t>certificates would also be complementary to CIS underwriting and would reduce costs borne by the Commonwealth.</w:t>
      </w:r>
    </w:p>
    <w:p w:rsidR="00F66475" w:rsidRPr="007A5E12" w:rsidRDefault="00F66475" w:rsidP="00F66475">
      <w:pPr>
        <w:spacing w:after="120" w:line="288" w:lineRule="auto"/>
        <w:rPr>
          <w:rFonts w:ascii="Calibri Light" w:hAnsi="Calibri Light" w:cs="Calibri Light"/>
        </w:rPr>
      </w:pPr>
      <w:r w:rsidRPr="007A5E12">
        <w:rPr>
          <w:rFonts w:ascii="Calibri Light" w:hAnsi="Calibri Light" w:cs="Calibri Light"/>
        </w:rPr>
        <w:t xml:space="preserve">Given the CIS provides revenue underwriting only, the scheme does not expose the Commonwealth to construction risks or cost-overruns, for example. </w:t>
      </w:r>
      <w:r w:rsidRPr="00637950">
        <w:rPr>
          <w:rFonts w:ascii="Calibri Light" w:hAnsi="Calibri Light" w:cs="Calibri Light"/>
        </w:rPr>
        <w:t>As a revenue underwriter the Commonwealth only takes on some revenue risk once projects are operational, and costs are estimated to be spread out across the years of underwriting.</w:t>
      </w:r>
    </w:p>
    <w:p w:rsidR="00F66475" w:rsidRPr="00AF2C3E" w:rsidRDefault="00F66475" w:rsidP="00F66475">
      <w:r w:rsidRPr="00C57EE1">
        <w:rPr>
          <w:rFonts w:ascii="Calibri Light" w:hAnsi="Calibri Light" w:cs="Calibri Light"/>
          <w:b/>
          <w:bCs/>
        </w:rPr>
        <w:t xml:space="preserve">Figure </w:t>
      </w:r>
      <w:r>
        <w:rPr>
          <w:rFonts w:ascii="Calibri Light" w:hAnsi="Calibri Light" w:cs="Calibri Light"/>
          <w:b/>
          <w:bCs/>
        </w:rPr>
        <w:t>4</w:t>
      </w:r>
      <w:r w:rsidRPr="00C57EE1">
        <w:rPr>
          <w:rFonts w:ascii="Calibri Light" w:hAnsi="Calibri Light" w:cs="Calibri Light"/>
          <w:b/>
          <w:bCs/>
        </w:rPr>
        <w:t xml:space="preserve">: Capacity Investment Scheme </w:t>
      </w:r>
      <w:r>
        <w:rPr>
          <w:rFonts w:ascii="Calibri Light" w:hAnsi="Calibri Light" w:cs="Calibri Light"/>
          <w:b/>
          <w:bCs/>
        </w:rPr>
        <w:t>Revenue Underwriting Instrument</w:t>
      </w:r>
      <w:r>
        <w:rPr>
          <w:noProof/>
          <w:lang w:eastAsia="en-AU"/>
        </w:rPr>
        <w:drawing>
          <wp:inline distT="0" distB="0" distL="0" distR="0" wp14:anchorId="401294A5" wp14:editId="23DD4ECB">
            <wp:extent cx="4820856" cy="2175510"/>
            <wp:effectExtent l="0" t="0" r="0"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9637" cy="2247163"/>
                    </a:xfrm>
                    <a:prstGeom prst="rect">
                      <a:avLst/>
                    </a:prstGeom>
                    <a:ln>
                      <a:noFill/>
                    </a:ln>
                  </pic:spPr>
                </pic:pic>
              </a:graphicData>
            </a:graphic>
          </wp:inline>
        </w:drawing>
      </w:r>
    </w:p>
    <w:p w:rsidR="00F66475" w:rsidRPr="00561980" w:rsidRDefault="00F66475" w:rsidP="00F66475">
      <w:pPr>
        <w:pStyle w:val="Heading3"/>
        <w:rPr>
          <w:rFonts w:ascii="Calibri Light" w:hAnsi="Calibri Light" w:cs="Calibri Light"/>
          <w:color w:val="197C7D"/>
          <w:sz w:val="36"/>
          <w:szCs w:val="36"/>
          <w:lang w:val="en-US"/>
        </w:rPr>
      </w:pPr>
      <w:bookmarkStart w:id="113" w:name="_Toc1342187685"/>
      <w:r w:rsidRPr="52A7AAAB">
        <w:rPr>
          <w:rFonts w:ascii="Calibri Light" w:hAnsi="Calibri Light" w:cs="Calibri Light"/>
          <w:color w:val="197C7D"/>
          <w:sz w:val="36"/>
          <w:szCs w:val="36"/>
          <w:lang w:val="en-US"/>
        </w:rPr>
        <w:t>Comparative assessment of options against key objectives</w:t>
      </w:r>
      <w:bookmarkEnd w:id="113"/>
    </w:p>
    <w:p w:rsidR="00F66475" w:rsidRPr="00CF1282" w:rsidRDefault="00F66475" w:rsidP="00F66475">
      <w:pPr>
        <w:rPr>
          <w:rFonts w:ascii="Calibri Light" w:hAnsi="Calibri Light" w:cs="Calibri Light"/>
        </w:rPr>
      </w:pPr>
      <w:r w:rsidRPr="00CF1282">
        <w:rPr>
          <w:rFonts w:ascii="Calibri Light" w:hAnsi="Calibri Light" w:cs="Calibri Light"/>
        </w:rPr>
        <w:t>All options were assessed agains</w:t>
      </w:r>
      <w:r>
        <w:rPr>
          <w:rFonts w:ascii="Calibri Light" w:hAnsi="Calibri Light" w:cs="Calibri Light"/>
        </w:rPr>
        <w:t>t the</w:t>
      </w:r>
      <w:r w:rsidRPr="00CF1282">
        <w:rPr>
          <w:rFonts w:ascii="Calibri Light" w:hAnsi="Calibri Light" w:cs="Calibri Light"/>
        </w:rPr>
        <w:t xml:space="preserve"> </w:t>
      </w:r>
      <w:r>
        <w:rPr>
          <w:rFonts w:ascii="Calibri Light" w:hAnsi="Calibri Light" w:cs="Calibri Light"/>
        </w:rPr>
        <w:t>key objectives required to meet emissions targets and improve electricity reliability.</w:t>
      </w:r>
    </w:p>
    <w:p w:rsidR="00F66475" w:rsidRDefault="00F66475" w:rsidP="00F66475">
      <w:pPr>
        <w:rPr>
          <w:rFonts w:ascii="Calibri Light" w:hAnsi="Calibri Light" w:cs="Calibri Light"/>
          <w:b/>
        </w:rPr>
      </w:pPr>
      <w:r w:rsidRPr="00F340E6">
        <w:rPr>
          <w:rFonts w:ascii="Calibri Light" w:hAnsi="Calibri Light" w:cs="Calibri Light"/>
          <w:b/>
        </w:rPr>
        <w:t>Table 1: Comparative assessment of options</w:t>
      </w:r>
    </w:p>
    <w:tbl>
      <w:tblPr>
        <w:tblStyle w:val="TableGrid1"/>
        <w:tblW w:w="9552" w:type="dxa"/>
        <w:tblInd w:w="-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297"/>
        <w:gridCol w:w="136"/>
        <w:gridCol w:w="1146"/>
        <w:gridCol w:w="1424"/>
        <w:gridCol w:w="287"/>
        <w:gridCol w:w="1137"/>
        <w:gridCol w:w="1282"/>
        <w:gridCol w:w="148"/>
        <w:gridCol w:w="1278"/>
      </w:tblGrid>
      <w:tr w:rsidR="00F66475" w:rsidRPr="001D2C68" w:rsidTr="00E2051A">
        <w:trPr>
          <w:trHeight w:val="1328"/>
        </w:trPr>
        <w:tc>
          <w:tcPr>
            <w:tcW w:w="1417" w:type="dxa"/>
            <w:tcBorders>
              <w:top w:val="nil"/>
              <w:bottom w:val="single" w:sz="4" w:space="0" w:color="auto"/>
            </w:tcBorders>
            <w:shd w:val="clear" w:color="auto" w:fill="F2F2F2" w:themeFill="background1" w:themeFillShade="F2"/>
          </w:tcPr>
          <w:p w:rsidR="00F66475" w:rsidRPr="001D2C68" w:rsidRDefault="00F66475" w:rsidP="00E2051A">
            <w:pPr>
              <w:spacing w:before="60" w:after="60" w:line="259" w:lineRule="auto"/>
              <w:rPr>
                <w:rFonts w:ascii="Calibri Light" w:hAnsi="Calibri Light" w:cs="Calibri Light"/>
                <w:b/>
                <w:bCs/>
                <w:sz w:val="21"/>
              </w:rPr>
            </w:pPr>
          </w:p>
          <w:p w:rsidR="00F66475" w:rsidRPr="001D2C68" w:rsidRDefault="00F66475" w:rsidP="00E2051A">
            <w:pPr>
              <w:spacing w:before="60" w:after="60" w:line="259" w:lineRule="auto"/>
              <w:rPr>
                <w:rFonts w:ascii="Calibri Light" w:hAnsi="Calibri Light" w:cs="Calibri Light"/>
                <w:b/>
                <w:bCs/>
                <w:sz w:val="21"/>
              </w:rPr>
            </w:pPr>
            <w:r w:rsidRPr="001D2C68">
              <w:rPr>
                <w:rFonts w:ascii="Calibri Light" w:hAnsi="Calibri Light" w:cs="Calibri Light"/>
                <w:b/>
                <w:bCs/>
                <w:sz w:val="21"/>
              </w:rPr>
              <w:t>Options</w:t>
            </w:r>
          </w:p>
        </w:tc>
        <w:tc>
          <w:tcPr>
            <w:tcW w:w="1297" w:type="dxa"/>
            <w:tcBorders>
              <w:top w:val="nil"/>
              <w:bottom w:val="single" w:sz="4" w:space="0" w:color="auto"/>
            </w:tcBorders>
            <w:shd w:val="clear" w:color="auto" w:fill="F2F2F2" w:themeFill="background1" w:themeFillShade="F2"/>
          </w:tcPr>
          <w:p w:rsidR="00F66475" w:rsidRPr="001D2C68" w:rsidRDefault="00F66475" w:rsidP="00E2051A">
            <w:pPr>
              <w:spacing w:before="60" w:after="60" w:line="259" w:lineRule="auto"/>
              <w:jc w:val="center"/>
              <w:rPr>
                <w:rFonts w:ascii="Calibri Light" w:hAnsi="Calibri Light" w:cs="Calibri Light"/>
                <w:b/>
                <w:bCs/>
                <w:sz w:val="21"/>
              </w:rPr>
            </w:pPr>
            <w:r w:rsidRPr="001D2C68">
              <w:rPr>
                <w:rFonts w:ascii="Calibri Light" w:hAnsi="Calibri Light" w:cs="Calibri Light"/>
                <w:b/>
                <w:bCs/>
                <w:sz w:val="21"/>
              </w:rPr>
              <w:t xml:space="preserve">Accelerates investment </w:t>
            </w:r>
          </w:p>
        </w:tc>
        <w:tc>
          <w:tcPr>
            <w:tcW w:w="1282" w:type="dxa"/>
            <w:gridSpan w:val="2"/>
            <w:tcBorders>
              <w:top w:val="nil"/>
              <w:bottom w:val="single" w:sz="4" w:space="0" w:color="auto"/>
            </w:tcBorders>
            <w:shd w:val="clear" w:color="auto" w:fill="F2F2F2" w:themeFill="background1" w:themeFillShade="F2"/>
          </w:tcPr>
          <w:p w:rsidR="00F66475" w:rsidRPr="001D2C68" w:rsidRDefault="00F66475" w:rsidP="00E2051A">
            <w:pPr>
              <w:spacing w:before="60" w:after="60" w:line="259" w:lineRule="auto"/>
              <w:jc w:val="center"/>
              <w:rPr>
                <w:rFonts w:ascii="Calibri Light" w:hAnsi="Calibri Light" w:cs="Calibri Light"/>
                <w:b/>
                <w:bCs/>
                <w:sz w:val="21"/>
              </w:rPr>
            </w:pPr>
            <w:r w:rsidRPr="001D2C68">
              <w:rPr>
                <w:rFonts w:ascii="Calibri Light" w:hAnsi="Calibri Light" w:cs="Calibri Light"/>
                <w:b/>
                <w:bCs/>
                <w:sz w:val="21"/>
              </w:rPr>
              <w:t>Long term investment certainty</w:t>
            </w:r>
          </w:p>
        </w:tc>
        <w:tc>
          <w:tcPr>
            <w:tcW w:w="1711" w:type="dxa"/>
            <w:gridSpan w:val="2"/>
            <w:tcBorders>
              <w:top w:val="nil"/>
              <w:bottom w:val="single" w:sz="4" w:space="0" w:color="auto"/>
            </w:tcBorders>
            <w:shd w:val="clear" w:color="auto" w:fill="F2F2F2" w:themeFill="background1" w:themeFillShade="F2"/>
          </w:tcPr>
          <w:p w:rsidR="00F66475" w:rsidRPr="001D2C68" w:rsidRDefault="00F66475" w:rsidP="00E2051A">
            <w:pPr>
              <w:spacing w:before="60" w:after="60" w:line="259" w:lineRule="auto"/>
              <w:jc w:val="center"/>
              <w:rPr>
                <w:rFonts w:ascii="Calibri Light" w:hAnsi="Calibri Light" w:cs="Calibri Light"/>
                <w:b/>
                <w:bCs/>
                <w:sz w:val="21"/>
              </w:rPr>
            </w:pPr>
            <w:r w:rsidRPr="001D2C68">
              <w:rPr>
                <w:rFonts w:ascii="Calibri Light" w:hAnsi="Calibri Light" w:cs="Calibri Light"/>
                <w:b/>
                <w:bCs/>
                <w:sz w:val="21"/>
              </w:rPr>
              <w:t xml:space="preserve">Timeliness of implementation </w:t>
            </w:r>
          </w:p>
        </w:tc>
        <w:tc>
          <w:tcPr>
            <w:tcW w:w="1137" w:type="dxa"/>
            <w:tcBorders>
              <w:top w:val="nil"/>
              <w:bottom w:val="single" w:sz="4" w:space="0" w:color="auto"/>
            </w:tcBorders>
            <w:shd w:val="clear" w:color="auto" w:fill="F2F2F2" w:themeFill="background1" w:themeFillShade="F2"/>
          </w:tcPr>
          <w:p w:rsidR="00F66475" w:rsidRPr="001D2C68" w:rsidRDefault="00F66475" w:rsidP="00E2051A">
            <w:pPr>
              <w:spacing w:before="60" w:after="60" w:line="259" w:lineRule="auto"/>
              <w:jc w:val="center"/>
              <w:rPr>
                <w:rFonts w:ascii="Calibri Light" w:hAnsi="Calibri Light" w:cs="Calibri Light"/>
                <w:b/>
                <w:bCs/>
                <w:sz w:val="21"/>
              </w:rPr>
            </w:pPr>
            <w:r w:rsidRPr="001D2C68">
              <w:rPr>
                <w:rFonts w:ascii="Calibri Light" w:hAnsi="Calibri Light" w:cs="Calibri Light"/>
                <w:b/>
                <w:bCs/>
                <w:sz w:val="21"/>
              </w:rPr>
              <w:t>Flexibility to target gaps and recalibrate</w:t>
            </w:r>
          </w:p>
        </w:tc>
        <w:tc>
          <w:tcPr>
            <w:tcW w:w="1430" w:type="dxa"/>
            <w:gridSpan w:val="2"/>
            <w:tcBorders>
              <w:top w:val="nil"/>
              <w:bottom w:val="single" w:sz="4" w:space="0" w:color="auto"/>
            </w:tcBorders>
            <w:shd w:val="clear" w:color="auto" w:fill="F2F2F2" w:themeFill="background1" w:themeFillShade="F2"/>
          </w:tcPr>
          <w:p w:rsidR="00F66475" w:rsidRPr="001D2C68" w:rsidRDefault="00F66475" w:rsidP="00E2051A">
            <w:pPr>
              <w:spacing w:before="60" w:after="60" w:line="259" w:lineRule="auto"/>
              <w:jc w:val="center"/>
              <w:rPr>
                <w:rFonts w:ascii="Calibri Light" w:hAnsi="Calibri Light" w:cs="Calibri Light"/>
                <w:b/>
                <w:bCs/>
                <w:sz w:val="21"/>
              </w:rPr>
            </w:pPr>
            <w:r>
              <w:rPr>
                <w:rFonts w:ascii="Calibri Light" w:hAnsi="Calibri Light" w:cs="Calibri Light"/>
                <w:b/>
                <w:bCs/>
                <w:sz w:val="21"/>
              </w:rPr>
              <w:t>Minimise c</w:t>
            </w:r>
            <w:r w:rsidRPr="001D2C68">
              <w:rPr>
                <w:rFonts w:ascii="Calibri Light" w:hAnsi="Calibri Light" w:cs="Calibri Light"/>
                <w:b/>
                <w:bCs/>
                <w:sz w:val="21"/>
              </w:rPr>
              <w:t>ost</w:t>
            </w:r>
            <w:r>
              <w:rPr>
                <w:rFonts w:ascii="Calibri Light" w:hAnsi="Calibri Light" w:cs="Calibri Light"/>
                <w:b/>
                <w:bCs/>
                <w:sz w:val="21"/>
              </w:rPr>
              <w:t>s</w:t>
            </w:r>
            <w:r w:rsidRPr="001D2C68" w:rsidDel="00E073DE">
              <w:rPr>
                <w:rFonts w:ascii="Calibri Light" w:hAnsi="Calibri Light" w:cs="Calibri Light"/>
                <w:b/>
                <w:bCs/>
                <w:sz w:val="21"/>
              </w:rPr>
              <w:t xml:space="preserve"> </w:t>
            </w:r>
            <w:r w:rsidRPr="001D2C68">
              <w:rPr>
                <w:rFonts w:ascii="Calibri Light" w:hAnsi="Calibri Light" w:cs="Calibri Light"/>
                <w:b/>
                <w:bCs/>
                <w:sz w:val="21"/>
              </w:rPr>
              <w:t>(consumers or taxpayers)</w:t>
            </w:r>
          </w:p>
        </w:tc>
        <w:tc>
          <w:tcPr>
            <w:tcW w:w="1278" w:type="dxa"/>
            <w:tcBorders>
              <w:top w:val="nil"/>
              <w:bottom w:val="single" w:sz="4" w:space="0" w:color="auto"/>
            </w:tcBorders>
            <w:shd w:val="clear" w:color="auto" w:fill="F2F2F2" w:themeFill="background1" w:themeFillShade="F2"/>
          </w:tcPr>
          <w:p w:rsidR="00F66475" w:rsidRDefault="00F66475" w:rsidP="00E2051A">
            <w:pPr>
              <w:spacing w:before="60" w:after="60" w:line="259" w:lineRule="auto"/>
              <w:jc w:val="center"/>
              <w:rPr>
                <w:rFonts w:ascii="Calibri Light" w:hAnsi="Calibri Light" w:cs="Calibri Light"/>
                <w:b/>
                <w:bCs/>
                <w:sz w:val="21"/>
              </w:rPr>
            </w:pPr>
            <w:r w:rsidRPr="001D2C68">
              <w:rPr>
                <w:rFonts w:ascii="Calibri Light" w:hAnsi="Calibri Light" w:cs="Calibri Light"/>
                <w:b/>
                <w:bCs/>
                <w:sz w:val="21"/>
              </w:rPr>
              <w:t xml:space="preserve">Market </w:t>
            </w:r>
          </w:p>
          <w:p w:rsidR="00F66475" w:rsidRPr="001D2C68" w:rsidRDefault="00F66475" w:rsidP="00E2051A">
            <w:pPr>
              <w:spacing w:before="60" w:after="60" w:line="259" w:lineRule="auto"/>
              <w:jc w:val="center"/>
              <w:rPr>
                <w:rFonts w:ascii="Calibri Light" w:hAnsi="Calibri Light" w:cs="Calibri Light"/>
                <w:b/>
                <w:bCs/>
                <w:sz w:val="21"/>
              </w:rPr>
            </w:pPr>
            <w:r w:rsidRPr="001D2C68">
              <w:rPr>
                <w:rFonts w:ascii="Calibri Light" w:hAnsi="Calibri Light" w:cs="Calibri Light"/>
                <w:b/>
                <w:bCs/>
                <w:sz w:val="21"/>
              </w:rPr>
              <w:t>risks</w:t>
            </w:r>
          </w:p>
          <w:p w:rsidR="00F66475" w:rsidRPr="001D2C68" w:rsidRDefault="00F66475" w:rsidP="00E2051A">
            <w:pPr>
              <w:spacing w:before="60" w:after="60" w:line="259" w:lineRule="auto"/>
              <w:jc w:val="center"/>
              <w:rPr>
                <w:rFonts w:ascii="Calibri Light" w:hAnsi="Calibri Light" w:cs="Calibri Light"/>
                <w:b/>
                <w:bCs/>
                <w:sz w:val="21"/>
              </w:rPr>
            </w:pPr>
          </w:p>
        </w:tc>
      </w:tr>
      <w:tr w:rsidR="00F66475" w:rsidRPr="001D2C68" w:rsidTr="00E2051A">
        <w:trPr>
          <w:trHeight w:val="513"/>
        </w:trPr>
        <w:tc>
          <w:tcPr>
            <w:tcW w:w="1417"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rPr>
                <w:rFonts w:ascii="Calibri Light" w:hAnsi="Calibri Light" w:cs="Calibri Light"/>
                <w:sz w:val="21"/>
              </w:rPr>
            </w:pPr>
            <w:r w:rsidRPr="001D2C68">
              <w:rPr>
                <w:rFonts w:ascii="Calibri Light" w:hAnsi="Calibri Light" w:cs="Calibri Light"/>
                <w:sz w:val="21"/>
              </w:rPr>
              <w:t>1: No Intervention</w:t>
            </w:r>
          </w:p>
        </w:tc>
        <w:tc>
          <w:tcPr>
            <w:tcW w:w="1433" w:type="dxa"/>
            <w:gridSpan w:val="2"/>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color w:val="FF0000"/>
                <w:sz w:val="21"/>
              </w:rPr>
            </w:pPr>
            <w:r w:rsidRPr="001D2C68">
              <w:rPr>
                <w:rFonts w:ascii="Segoe UI Symbol" w:hAnsi="Segoe UI Symbol" w:cs="Segoe UI Symbol"/>
                <w:bCs/>
                <w:color w:val="FF0000"/>
                <w:sz w:val="21"/>
              </w:rPr>
              <w:t>✖</w:t>
            </w:r>
          </w:p>
        </w:tc>
        <w:tc>
          <w:tcPr>
            <w:tcW w:w="1146"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color w:val="FF0000"/>
                <w:sz w:val="21"/>
              </w:rPr>
            </w:pPr>
            <w:r w:rsidRPr="001D2C68">
              <w:rPr>
                <w:rFonts w:ascii="Segoe UI Symbol" w:hAnsi="Segoe UI Symbol" w:cs="Segoe UI Symbol"/>
                <w:bCs/>
                <w:color w:val="FF0000"/>
                <w:sz w:val="21"/>
              </w:rPr>
              <w:t>✖</w:t>
            </w:r>
          </w:p>
        </w:tc>
        <w:tc>
          <w:tcPr>
            <w:tcW w:w="1424"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Calibri Light" w:hAnsi="Calibri Light" w:cs="Calibri Light"/>
                <w:bCs/>
                <w:sz w:val="21"/>
              </w:rPr>
              <w:t>N/A</w:t>
            </w:r>
          </w:p>
        </w:tc>
        <w:tc>
          <w:tcPr>
            <w:tcW w:w="1424" w:type="dxa"/>
            <w:gridSpan w:val="2"/>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Calibri Light" w:hAnsi="Calibri Light" w:cs="Calibri Light"/>
                <w:bCs/>
                <w:sz w:val="21"/>
              </w:rPr>
              <w:t>N/A</w:t>
            </w:r>
          </w:p>
        </w:tc>
        <w:tc>
          <w:tcPr>
            <w:tcW w:w="1282"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sz w:val="21"/>
              </w:rPr>
            </w:pPr>
            <w:r w:rsidRPr="001D2C68">
              <w:rPr>
                <w:rFonts w:ascii="Calibri Light" w:hAnsi="Calibri Light" w:cs="Calibri Light"/>
                <w:sz w:val="21"/>
              </w:rPr>
              <w:t>$$$$</w:t>
            </w:r>
          </w:p>
        </w:tc>
        <w:tc>
          <w:tcPr>
            <w:tcW w:w="1426" w:type="dxa"/>
            <w:gridSpan w:val="2"/>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Calibri Light" w:hAnsi="Calibri Light" w:cs="Calibri Light"/>
                <w:bCs/>
                <w:sz w:val="21"/>
              </w:rPr>
              <w:t>High</w:t>
            </w:r>
          </w:p>
        </w:tc>
      </w:tr>
      <w:tr w:rsidR="00F66475" w:rsidRPr="001D2C68" w:rsidTr="00E2051A">
        <w:trPr>
          <w:trHeight w:val="513"/>
        </w:trPr>
        <w:tc>
          <w:tcPr>
            <w:tcW w:w="1417"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rPr>
                <w:rFonts w:ascii="Calibri Light" w:hAnsi="Calibri Light" w:cs="Calibri Light"/>
                <w:sz w:val="21"/>
              </w:rPr>
            </w:pPr>
            <w:r w:rsidRPr="001D2C68">
              <w:rPr>
                <w:rFonts w:ascii="Calibri Light" w:hAnsi="Calibri Light" w:cs="Calibri Light"/>
                <w:sz w:val="21"/>
              </w:rPr>
              <w:t xml:space="preserve">2. </w:t>
            </w:r>
            <w:r>
              <w:rPr>
                <w:rFonts w:ascii="Calibri Light" w:hAnsi="Calibri Light" w:cs="Calibri Light"/>
                <w:sz w:val="21"/>
              </w:rPr>
              <w:t>LRET</w:t>
            </w:r>
          </w:p>
        </w:tc>
        <w:tc>
          <w:tcPr>
            <w:tcW w:w="1433" w:type="dxa"/>
            <w:gridSpan w:val="2"/>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color w:val="00B050"/>
                <w:sz w:val="21"/>
              </w:rPr>
            </w:pPr>
            <w:r w:rsidRPr="001D2C68">
              <w:rPr>
                <w:rFonts w:ascii="Segoe UI Symbol" w:hAnsi="Segoe UI Symbol" w:cs="Segoe UI Symbol"/>
                <w:bCs/>
                <w:color w:val="FF0000"/>
                <w:sz w:val="21"/>
              </w:rPr>
              <w:t>✖</w:t>
            </w:r>
          </w:p>
        </w:tc>
        <w:tc>
          <w:tcPr>
            <w:tcW w:w="1146"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color w:val="00B050"/>
                <w:sz w:val="21"/>
              </w:rPr>
            </w:pPr>
            <w:r w:rsidRPr="001D2C68">
              <w:rPr>
                <w:rFonts w:ascii="Segoe UI Symbol" w:hAnsi="Segoe UI Symbol" w:cs="Segoe UI Symbol"/>
                <w:bCs/>
                <w:color w:val="00B050"/>
                <w:sz w:val="21"/>
              </w:rPr>
              <w:t>✔</w:t>
            </w:r>
          </w:p>
        </w:tc>
        <w:tc>
          <w:tcPr>
            <w:tcW w:w="1424"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color w:val="00B050"/>
                <w:sz w:val="21"/>
              </w:rPr>
            </w:pPr>
            <w:r w:rsidRPr="00F340E6">
              <w:rPr>
                <w:rFonts w:ascii="Segoe UI Symbol" w:hAnsi="Segoe UI Symbol" w:cs="Arial"/>
                <w:b/>
                <w:sz w:val="32"/>
                <w:szCs w:val="20"/>
              </w:rPr>
              <w:t>~</w:t>
            </w:r>
          </w:p>
        </w:tc>
        <w:tc>
          <w:tcPr>
            <w:tcW w:w="1424" w:type="dxa"/>
            <w:gridSpan w:val="2"/>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Segoe UI Symbol" w:hAnsi="Segoe UI Symbol" w:cs="Segoe UI Symbol"/>
                <w:bCs/>
                <w:color w:val="FF0000"/>
                <w:sz w:val="21"/>
              </w:rPr>
              <w:t>✖</w:t>
            </w:r>
          </w:p>
        </w:tc>
        <w:tc>
          <w:tcPr>
            <w:tcW w:w="1282"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sz w:val="21"/>
              </w:rPr>
            </w:pPr>
            <w:r w:rsidRPr="001D2C68">
              <w:rPr>
                <w:rFonts w:ascii="Calibri Light" w:hAnsi="Calibri Light" w:cs="Calibri Light"/>
                <w:sz w:val="21"/>
              </w:rPr>
              <w:t>$$$$</w:t>
            </w:r>
          </w:p>
        </w:tc>
        <w:tc>
          <w:tcPr>
            <w:tcW w:w="1426" w:type="dxa"/>
            <w:gridSpan w:val="2"/>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Calibri Light" w:hAnsi="Calibri Light" w:cs="Calibri Light"/>
                <w:bCs/>
                <w:sz w:val="21"/>
              </w:rPr>
              <w:t>Low</w:t>
            </w:r>
          </w:p>
        </w:tc>
      </w:tr>
      <w:tr w:rsidR="00F66475" w:rsidRPr="001D2C68" w:rsidTr="00E2051A">
        <w:trPr>
          <w:trHeight w:val="493"/>
        </w:trPr>
        <w:tc>
          <w:tcPr>
            <w:tcW w:w="1417"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rPr>
                <w:rFonts w:ascii="Calibri Light" w:hAnsi="Calibri Light" w:cs="Calibri Light"/>
                <w:sz w:val="21"/>
              </w:rPr>
            </w:pPr>
            <w:r>
              <w:rPr>
                <w:rFonts w:ascii="Calibri Light" w:hAnsi="Calibri Light" w:cs="Calibri Light"/>
                <w:sz w:val="21"/>
              </w:rPr>
              <w:t>3</w:t>
            </w:r>
            <w:r w:rsidRPr="001D2C68">
              <w:rPr>
                <w:rFonts w:ascii="Calibri Light" w:hAnsi="Calibri Light" w:cs="Calibri Light"/>
                <w:sz w:val="21"/>
              </w:rPr>
              <w:t>: Strategic Reserve</w:t>
            </w:r>
          </w:p>
        </w:tc>
        <w:tc>
          <w:tcPr>
            <w:tcW w:w="1433" w:type="dxa"/>
            <w:gridSpan w:val="2"/>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Calibri Light" w:hAnsi="Calibri Light" w:cs="Calibri Light"/>
                <w:bCs/>
                <w:sz w:val="21"/>
              </w:rPr>
              <w:t>N/A</w:t>
            </w:r>
          </w:p>
        </w:tc>
        <w:tc>
          <w:tcPr>
            <w:tcW w:w="1146"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Calibri Light" w:hAnsi="Calibri Light" w:cs="Calibri Light"/>
                <w:bCs/>
                <w:sz w:val="21"/>
              </w:rPr>
              <w:t>N/A</w:t>
            </w:r>
          </w:p>
        </w:tc>
        <w:tc>
          <w:tcPr>
            <w:tcW w:w="1424"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Segoe UI Symbol" w:hAnsi="Segoe UI Symbol" w:cs="Segoe UI Symbol"/>
                <w:bCs/>
                <w:color w:val="00B050"/>
                <w:sz w:val="21"/>
              </w:rPr>
              <w:t>✔</w:t>
            </w:r>
          </w:p>
        </w:tc>
        <w:tc>
          <w:tcPr>
            <w:tcW w:w="1424" w:type="dxa"/>
            <w:gridSpan w:val="2"/>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Segoe UI Symbol" w:hAnsi="Segoe UI Symbol" w:cs="Segoe UI Symbol"/>
                <w:bCs/>
                <w:color w:val="FF0000"/>
                <w:sz w:val="21"/>
              </w:rPr>
              <w:t>✖</w:t>
            </w:r>
          </w:p>
        </w:tc>
        <w:tc>
          <w:tcPr>
            <w:tcW w:w="1282" w:type="dxa"/>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sz w:val="21"/>
              </w:rPr>
            </w:pPr>
            <w:r w:rsidRPr="001D2C68">
              <w:rPr>
                <w:rFonts w:ascii="Calibri Light" w:hAnsi="Calibri Light" w:cs="Calibri Light"/>
                <w:sz w:val="21"/>
              </w:rPr>
              <w:t>$$</w:t>
            </w:r>
          </w:p>
        </w:tc>
        <w:tc>
          <w:tcPr>
            <w:tcW w:w="1426" w:type="dxa"/>
            <w:gridSpan w:val="2"/>
            <w:tcBorders>
              <w:top w:val="single" w:sz="4" w:space="0" w:color="auto"/>
              <w:bottom w:val="single" w:sz="4" w:space="0" w:color="auto"/>
            </w:tcBorders>
            <w:shd w:val="clear" w:color="auto" w:fill="auto"/>
          </w:tcPr>
          <w:p w:rsidR="00F66475" w:rsidRPr="001D2C68" w:rsidRDefault="00F66475" w:rsidP="00E2051A">
            <w:pPr>
              <w:spacing w:before="60" w:after="60" w:line="259" w:lineRule="auto"/>
              <w:jc w:val="center"/>
              <w:rPr>
                <w:rFonts w:ascii="Calibri Light" w:hAnsi="Calibri Light" w:cs="Calibri Light"/>
                <w:bCs/>
                <w:sz w:val="21"/>
              </w:rPr>
            </w:pPr>
            <w:r w:rsidRPr="001D2C68">
              <w:rPr>
                <w:rFonts w:ascii="Calibri Light" w:hAnsi="Calibri Light" w:cs="Calibri Light"/>
                <w:bCs/>
                <w:sz w:val="21"/>
              </w:rPr>
              <w:t>Low</w:t>
            </w:r>
          </w:p>
        </w:tc>
      </w:tr>
      <w:tr w:rsidR="00F66475" w:rsidRPr="001D2C68" w:rsidTr="00E2051A">
        <w:trPr>
          <w:trHeight w:val="493"/>
        </w:trPr>
        <w:tc>
          <w:tcPr>
            <w:tcW w:w="1417" w:type="dxa"/>
            <w:tcBorders>
              <w:top w:val="single" w:sz="4" w:space="0" w:color="auto"/>
            </w:tcBorders>
            <w:shd w:val="clear" w:color="auto" w:fill="auto"/>
          </w:tcPr>
          <w:p w:rsidR="00F66475" w:rsidRPr="001D2C68" w:rsidRDefault="00F66475" w:rsidP="00E2051A">
            <w:pPr>
              <w:spacing w:after="60" w:line="259" w:lineRule="auto"/>
              <w:rPr>
                <w:rFonts w:ascii="Calibri Light" w:hAnsi="Calibri Light" w:cs="Calibri Light"/>
                <w:sz w:val="21"/>
              </w:rPr>
            </w:pPr>
            <w:r>
              <w:rPr>
                <w:rFonts w:ascii="Calibri Light" w:hAnsi="Calibri Light" w:cs="Calibri Light"/>
                <w:sz w:val="21"/>
              </w:rPr>
              <w:t>4</w:t>
            </w:r>
            <w:r w:rsidRPr="001D2C68">
              <w:rPr>
                <w:rFonts w:ascii="Calibri Light" w:hAnsi="Calibri Light" w:cs="Calibri Light"/>
                <w:sz w:val="21"/>
              </w:rPr>
              <w:t xml:space="preserve">: </w:t>
            </w:r>
            <w:r>
              <w:rPr>
                <w:rFonts w:ascii="Calibri Light" w:hAnsi="Calibri Light" w:cs="Calibri Light"/>
                <w:sz w:val="21"/>
              </w:rPr>
              <w:t>CIS</w:t>
            </w:r>
          </w:p>
        </w:tc>
        <w:tc>
          <w:tcPr>
            <w:tcW w:w="1433" w:type="dxa"/>
            <w:gridSpan w:val="2"/>
            <w:tcBorders>
              <w:top w:val="single" w:sz="4" w:space="0" w:color="auto"/>
            </w:tcBorders>
            <w:shd w:val="clear" w:color="auto" w:fill="auto"/>
          </w:tcPr>
          <w:p w:rsidR="00F66475" w:rsidRPr="001D2C68" w:rsidRDefault="00F66475" w:rsidP="00E2051A">
            <w:pPr>
              <w:spacing w:line="259" w:lineRule="auto"/>
              <w:jc w:val="center"/>
              <w:rPr>
                <w:rFonts w:ascii="Calibri Light" w:hAnsi="Calibri Light" w:cs="Calibri Light"/>
                <w:bCs/>
                <w:color w:val="00B050"/>
                <w:sz w:val="21"/>
              </w:rPr>
            </w:pPr>
            <w:r w:rsidRPr="001D2C68">
              <w:rPr>
                <w:rFonts w:ascii="Segoe UI Symbol" w:hAnsi="Segoe UI Symbol" w:cs="Segoe UI Symbol"/>
                <w:bCs/>
                <w:color w:val="00B050"/>
                <w:sz w:val="21"/>
              </w:rPr>
              <w:t>✔</w:t>
            </w:r>
          </w:p>
        </w:tc>
        <w:tc>
          <w:tcPr>
            <w:tcW w:w="1146" w:type="dxa"/>
            <w:tcBorders>
              <w:top w:val="single" w:sz="4" w:space="0" w:color="auto"/>
            </w:tcBorders>
            <w:shd w:val="clear" w:color="auto" w:fill="auto"/>
          </w:tcPr>
          <w:p w:rsidR="00F66475" w:rsidRPr="001D2C68" w:rsidRDefault="00F66475" w:rsidP="00E2051A">
            <w:pPr>
              <w:spacing w:line="259" w:lineRule="auto"/>
              <w:jc w:val="center"/>
              <w:rPr>
                <w:rFonts w:ascii="Calibri Light" w:hAnsi="Calibri Light" w:cs="Calibri Light"/>
                <w:bCs/>
                <w:color w:val="00B050"/>
                <w:sz w:val="21"/>
              </w:rPr>
            </w:pPr>
            <w:r w:rsidRPr="001D2C68">
              <w:rPr>
                <w:rFonts w:ascii="Segoe UI Symbol" w:hAnsi="Segoe UI Symbol" w:cs="Segoe UI Symbol"/>
                <w:bCs/>
                <w:color w:val="00B050"/>
                <w:sz w:val="21"/>
              </w:rPr>
              <w:t>✔</w:t>
            </w:r>
          </w:p>
        </w:tc>
        <w:tc>
          <w:tcPr>
            <w:tcW w:w="1424" w:type="dxa"/>
            <w:tcBorders>
              <w:top w:val="single" w:sz="4" w:space="0" w:color="auto"/>
            </w:tcBorders>
            <w:shd w:val="clear" w:color="auto" w:fill="auto"/>
          </w:tcPr>
          <w:p w:rsidR="00F66475" w:rsidRPr="001D2C68" w:rsidRDefault="00F66475" w:rsidP="00E2051A">
            <w:pPr>
              <w:spacing w:line="259" w:lineRule="auto"/>
              <w:jc w:val="center"/>
              <w:rPr>
                <w:rFonts w:ascii="Calibri Light" w:hAnsi="Calibri Light" w:cs="Calibri Light"/>
                <w:bCs/>
                <w:color w:val="00B050"/>
                <w:sz w:val="21"/>
              </w:rPr>
            </w:pPr>
            <w:r w:rsidRPr="001D2C68">
              <w:rPr>
                <w:rFonts w:ascii="Segoe UI Symbol" w:hAnsi="Segoe UI Symbol" w:cs="Segoe UI Symbol"/>
                <w:bCs/>
                <w:color w:val="00B050"/>
                <w:sz w:val="21"/>
              </w:rPr>
              <w:t>✔</w:t>
            </w:r>
          </w:p>
        </w:tc>
        <w:tc>
          <w:tcPr>
            <w:tcW w:w="1424" w:type="dxa"/>
            <w:gridSpan w:val="2"/>
            <w:tcBorders>
              <w:top w:val="single" w:sz="4" w:space="0" w:color="auto"/>
            </w:tcBorders>
            <w:shd w:val="clear" w:color="auto" w:fill="auto"/>
          </w:tcPr>
          <w:p w:rsidR="00F66475" w:rsidRPr="001D2C68" w:rsidRDefault="00F66475" w:rsidP="00E2051A">
            <w:pPr>
              <w:spacing w:line="259" w:lineRule="auto"/>
              <w:jc w:val="center"/>
              <w:rPr>
                <w:rFonts w:ascii="Calibri Light" w:hAnsi="Calibri Light" w:cs="Calibri Light"/>
                <w:bCs/>
                <w:color w:val="00B050"/>
                <w:sz w:val="21"/>
              </w:rPr>
            </w:pPr>
            <w:r w:rsidRPr="001D2C68">
              <w:rPr>
                <w:rFonts w:ascii="Segoe UI Symbol" w:hAnsi="Segoe UI Symbol" w:cs="Segoe UI Symbol"/>
                <w:bCs/>
                <w:color w:val="00B050"/>
                <w:sz w:val="21"/>
              </w:rPr>
              <w:t>✔</w:t>
            </w:r>
          </w:p>
        </w:tc>
        <w:tc>
          <w:tcPr>
            <w:tcW w:w="1282" w:type="dxa"/>
            <w:tcBorders>
              <w:top w:val="single" w:sz="4" w:space="0" w:color="auto"/>
            </w:tcBorders>
            <w:shd w:val="clear" w:color="auto" w:fill="auto"/>
          </w:tcPr>
          <w:p w:rsidR="00F66475" w:rsidRPr="001D2C68" w:rsidRDefault="00F66475" w:rsidP="00E2051A">
            <w:pPr>
              <w:spacing w:line="259" w:lineRule="auto"/>
              <w:jc w:val="center"/>
              <w:rPr>
                <w:rFonts w:ascii="Calibri Light" w:hAnsi="Calibri Light" w:cs="Calibri Light"/>
                <w:sz w:val="21"/>
              </w:rPr>
            </w:pPr>
            <w:r w:rsidRPr="001D2C68">
              <w:rPr>
                <w:rFonts w:ascii="Calibri Light" w:hAnsi="Calibri Light" w:cs="Calibri Light"/>
                <w:sz w:val="21"/>
              </w:rPr>
              <w:t>$$</w:t>
            </w:r>
          </w:p>
        </w:tc>
        <w:tc>
          <w:tcPr>
            <w:tcW w:w="1426" w:type="dxa"/>
            <w:gridSpan w:val="2"/>
            <w:tcBorders>
              <w:top w:val="single" w:sz="4" w:space="0" w:color="auto"/>
            </w:tcBorders>
            <w:shd w:val="clear" w:color="auto" w:fill="auto"/>
          </w:tcPr>
          <w:p w:rsidR="00F66475" w:rsidRPr="001D2C68" w:rsidRDefault="00F66475" w:rsidP="00E2051A">
            <w:pPr>
              <w:spacing w:line="259" w:lineRule="auto"/>
              <w:jc w:val="center"/>
              <w:rPr>
                <w:rFonts w:ascii="Calibri Light" w:hAnsi="Calibri Light" w:cs="Calibri Light"/>
                <w:bCs/>
                <w:sz w:val="21"/>
              </w:rPr>
            </w:pPr>
            <w:r w:rsidRPr="001D2C68">
              <w:rPr>
                <w:rFonts w:ascii="Calibri Light" w:hAnsi="Calibri Light" w:cs="Calibri Light"/>
                <w:bCs/>
                <w:sz w:val="21"/>
              </w:rPr>
              <w:t>Low</w:t>
            </w:r>
          </w:p>
        </w:tc>
      </w:tr>
    </w:tbl>
    <w:p w:rsidR="00F66475" w:rsidRDefault="00F66475" w:rsidP="00F66475">
      <w:pPr>
        <w:spacing w:before="240" w:after="240" w:line="288" w:lineRule="auto"/>
        <w:rPr>
          <w:rFonts w:ascii="Calibri Light" w:hAnsi="Calibri Light" w:cs="Calibri Light"/>
          <w:lang w:val="en-US"/>
        </w:rPr>
      </w:pPr>
      <w:r>
        <w:rPr>
          <w:rFonts w:ascii="Calibri Light" w:hAnsi="Calibri Light" w:cs="Calibri Light"/>
        </w:rPr>
        <w:t>Strategic Reserve option is not further considered in this Impact Analysis as it fails to meet most of the Government’s objectives.  In-depth benefit analysis for the CIS and LRET is discussed in the next section and is compared to the ‘base case’ of No Government Intervention.</w:t>
      </w:r>
    </w:p>
    <w:p w:rsidR="00F66475" w:rsidRPr="00D72217" w:rsidRDefault="00F66475" w:rsidP="00F66475">
      <w:pPr>
        <w:pStyle w:val="Heading3"/>
        <w:rPr>
          <w:rFonts w:eastAsiaTheme="minorEastAsia" w:cstheme="majorBidi"/>
          <w:color w:val="197C7D"/>
          <w:sz w:val="48"/>
          <w:szCs w:val="48"/>
          <w:lang w:eastAsia="ja-JP"/>
        </w:rPr>
      </w:pPr>
      <w:bookmarkStart w:id="114" w:name="_Toc1911936953"/>
      <w:r w:rsidRPr="52A7AAAB">
        <w:rPr>
          <w:rFonts w:eastAsiaTheme="minorEastAsia" w:cstheme="majorBidi"/>
          <w:color w:val="197C7D"/>
          <w:sz w:val="48"/>
          <w:szCs w:val="48"/>
          <w:lang w:eastAsia="ja-JP"/>
        </w:rPr>
        <w:lastRenderedPageBreak/>
        <w:t>What is the likely net benefit of each option?</w:t>
      </w:r>
      <w:bookmarkEnd w:id="114"/>
    </w:p>
    <w:p w:rsidR="00F66475" w:rsidRPr="00F91D79" w:rsidRDefault="00F66475" w:rsidP="00F66475">
      <w:pPr>
        <w:spacing w:after="120" w:line="288" w:lineRule="auto"/>
        <w:rPr>
          <w:rFonts w:ascii="Calibri Light" w:hAnsi="Calibri Light" w:cs="Calibri Light"/>
        </w:rPr>
      </w:pPr>
      <w:r w:rsidRPr="00FF2A29">
        <w:rPr>
          <w:rFonts w:ascii="Calibri Light" w:eastAsia="Calibri" w:hAnsi="Calibri Light" w:cs="Calibri Light"/>
          <w:szCs w:val="22"/>
        </w:rPr>
        <w:t xml:space="preserve">Due to the broad nature and complex interactions of the proposed </w:t>
      </w:r>
      <w:r>
        <w:rPr>
          <w:rFonts w:ascii="Calibri Light" w:eastAsia="Calibri" w:hAnsi="Calibri Light" w:cs="Calibri Light"/>
          <w:szCs w:val="22"/>
        </w:rPr>
        <w:t>policy</w:t>
      </w:r>
      <w:r w:rsidRPr="00FF2A29">
        <w:rPr>
          <w:rFonts w:ascii="Calibri Light" w:eastAsia="Calibri" w:hAnsi="Calibri Light" w:cs="Calibri Light"/>
          <w:szCs w:val="22"/>
        </w:rPr>
        <w:t xml:space="preserve"> options, a full quantitative cost benefit analysis </w:t>
      </w:r>
      <w:r>
        <w:rPr>
          <w:rFonts w:ascii="Calibri Light" w:eastAsia="Calibri" w:hAnsi="Calibri Light" w:cs="Calibri Light"/>
          <w:szCs w:val="22"/>
        </w:rPr>
        <w:t xml:space="preserve">of all options </w:t>
      </w:r>
      <w:r w:rsidRPr="00FF2A29">
        <w:rPr>
          <w:rFonts w:ascii="Calibri Light" w:eastAsia="Calibri" w:hAnsi="Calibri Light" w:cs="Calibri Light"/>
          <w:szCs w:val="22"/>
        </w:rPr>
        <w:t xml:space="preserve">has not been completed as part of this </w:t>
      </w:r>
      <w:r>
        <w:rPr>
          <w:rFonts w:ascii="Calibri Light" w:eastAsia="Calibri" w:hAnsi="Calibri Light" w:cs="Calibri Light"/>
          <w:szCs w:val="22"/>
        </w:rPr>
        <w:t>I</w:t>
      </w:r>
      <w:r w:rsidRPr="00FF2A29">
        <w:rPr>
          <w:rFonts w:ascii="Calibri Light" w:eastAsia="Calibri" w:hAnsi="Calibri Light" w:cs="Calibri Light"/>
          <w:szCs w:val="22"/>
        </w:rPr>
        <w:t xml:space="preserve">mpact </w:t>
      </w:r>
      <w:r>
        <w:rPr>
          <w:rFonts w:ascii="Calibri Light" w:eastAsia="Calibri" w:hAnsi="Calibri Light" w:cs="Calibri Light"/>
          <w:szCs w:val="22"/>
        </w:rPr>
        <w:t>Analysis</w:t>
      </w:r>
      <w:r w:rsidRPr="00FF2A29">
        <w:rPr>
          <w:rFonts w:ascii="Calibri Light" w:eastAsia="Calibri" w:hAnsi="Calibri Light" w:cs="Calibri Light"/>
          <w:szCs w:val="22"/>
        </w:rPr>
        <w:t xml:space="preserve">. </w:t>
      </w:r>
      <w:r>
        <w:rPr>
          <w:rFonts w:ascii="Calibri Light" w:eastAsia="Calibri" w:hAnsi="Calibri Light" w:cs="Calibri Light"/>
          <w:szCs w:val="22"/>
        </w:rPr>
        <w:t>Analysis</w:t>
      </w:r>
      <w:r w:rsidRPr="00FF2A29">
        <w:rPr>
          <w:rFonts w:ascii="Calibri Light" w:eastAsia="Calibri" w:hAnsi="Calibri Light" w:cs="Calibri Light"/>
          <w:szCs w:val="22"/>
        </w:rPr>
        <w:t xml:space="preserve"> </w:t>
      </w:r>
      <w:r>
        <w:rPr>
          <w:rFonts w:ascii="Calibri Light" w:eastAsia="Calibri" w:hAnsi="Calibri Light" w:cs="Calibri Light"/>
          <w:szCs w:val="22"/>
        </w:rPr>
        <w:t xml:space="preserve">is based on indicative modelling that compares </w:t>
      </w:r>
      <w:r w:rsidRPr="009068A5">
        <w:rPr>
          <w:rFonts w:ascii="Calibri Light" w:eastAsia="Calibri" w:hAnsi="Calibri Light" w:cs="Calibri Light"/>
          <w:szCs w:val="22"/>
        </w:rPr>
        <w:t xml:space="preserve">a ‘base case’ scenario </w:t>
      </w:r>
      <w:r>
        <w:rPr>
          <w:rFonts w:ascii="Calibri Light" w:eastAsia="Calibri" w:hAnsi="Calibri Light" w:cs="Calibri Light"/>
          <w:szCs w:val="22"/>
        </w:rPr>
        <w:t>of no government intervention with the CIS</w:t>
      </w:r>
      <w:r w:rsidRPr="009068A5">
        <w:rPr>
          <w:rFonts w:ascii="Calibri Light" w:eastAsia="Calibri" w:hAnsi="Calibri Light" w:cs="Calibri Light"/>
          <w:szCs w:val="22"/>
        </w:rPr>
        <w:t xml:space="preserve"> </w:t>
      </w:r>
      <w:r>
        <w:rPr>
          <w:rFonts w:ascii="Calibri Light" w:eastAsia="Calibri" w:hAnsi="Calibri Light" w:cs="Calibri Light"/>
          <w:szCs w:val="22"/>
        </w:rPr>
        <w:t>and LRET options</w:t>
      </w:r>
      <w:r w:rsidRPr="009068A5">
        <w:rPr>
          <w:rFonts w:ascii="Calibri Light" w:eastAsia="Calibri" w:hAnsi="Calibri Light" w:cs="Calibri Light"/>
          <w:szCs w:val="22"/>
        </w:rPr>
        <w:t xml:space="preserve"> </w:t>
      </w:r>
      <w:r>
        <w:rPr>
          <w:rFonts w:ascii="Calibri Light" w:eastAsia="Calibri" w:hAnsi="Calibri Light" w:cs="Calibri Light"/>
          <w:szCs w:val="22"/>
        </w:rPr>
        <w:t>on their ability to achieve the Government’s target of 82 per cent renewable energy by 2030 and the 43 per cent emissions reduction by 2030.</w:t>
      </w:r>
    </w:p>
    <w:p w:rsidR="00F66475" w:rsidRPr="00561980" w:rsidRDefault="00F66475" w:rsidP="00F66475">
      <w:pPr>
        <w:pStyle w:val="Heading3"/>
        <w:rPr>
          <w:rFonts w:ascii="Calibri Light" w:hAnsi="Calibri Light" w:cs="Calibri Light"/>
          <w:color w:val="197C7D"/>
          <w:sz w:val="36"/>
          <w:szCs w:val="36"/>
          <w:lang w:val="en-US"/>
        </w:rPr>
      </w:pPr>
      <w:bookmarkStart w:id="115" w:name="_Toc230780383"/>
      <w:r w:rsidRPr="52A7AAAB">
        <w:rPr>
          <w:rFonts w:ascii="Calibri Light" w:hAnsi="Calibri Light" w:cs="Calibri Light"/>
          <w:color w:val="197C7D"/>
          <w:sz w:val="36"/>
          <w:szCs w:val="36"/>
          <w:lang w:val="en-US"/>
        </w:rPr>
        <w:t>No Government Intervention</w:t>
      </w:r>
      <w:bookmarkEnd w:id="115"/>
    </w:p>
    <w:p w:rsidR="00F66475" w:rsidRPr="00E75264" w:rsidRDefault="00F66475" w:rsidP="00F66475">
      <w:pPr>
        <w:pStyle w:val="Heading3"/>
        <w:rPr>
          <w:rFonts w:ascii="Calibri Light" w:hAnsi="Calibri Light" w:cs="Calibri Light"/>
          <w:color w:val="197C7D"/>
          <w:u w:val="single"/>
          <w:lang w:val="en-US"/>
        </w:rPr>
      </w:pPr>
      <w:bookmarkStart w:id="116" w:name="_Toc1875549875"/>
      <w:r w:rsidRPr="52A7AAAB">
        <w:rPr>
          <w:rFonts w:ascii="Calibri Light" w:hAnsi="Calibri Light" w:cs="Calibri Light"/>
          <w:color w:val="197C7D"/>
          <w:u w:val="single"/>
          <w:lang w:val="en-US"/>
        </w:rPr>
        <w:t>Renewable generation</w:t>
      </w:r>
      <w:bookmarkEnd w:id="116"/>
    </w:p>
    <w:p w:rsidR="00F66475" w:rsidRPr="001C78C5" w:rsidRDefault="00F66475" w:rsidP="00F66475">
      <w:pPr>
        <w:spacing w:after="120" w:line="288" w:lineRule="auto"/>
        <w:rPr>
          <w:rFonts w:ascii="Calibri Light" w:eastAsia="Calibri" w:hAnsi="Calibri Light" w:cs="Calibri Light"/>
          <w:szCs w:val="22"/>
        </w:rPr>
      </w:pPr>
      <w:r w:rsidRPr="001C78C5">
        <w:rPr>
          <w:rFonts w:ascii="Calibri Light" w:eastAsia="Calibri" w:hAnsi="Calibri Light" w:cs="Calibri Light"/>
          <w:szCs w:val="22"/>
        </w:rPr>
        <w:t xml:space="preserve">A base case scenario has been modelled to estimate potential outcomes for the electricity sector under current </w:t>
      </w:r>
      <w:r w:rsidRPr="00976F53">
        <w:rPr>
          <w:rFonts w:ascii="Calibri Light" w:eastAsia="Calibri" w:hAnsi="Calibri Light" w:cs="Calibri Light"/>
          <w:szCs w:val="22"/>
        </w:rPr>
        <w:t>policy setting and assuming no additional Commonwealth, state or territory measures between now and 2030. In this scenario, existing state policies are assumed to pull through additional renewable and storage capacity, but renewables, storage and transmission are all affected by project delays proportional to what is being experienced across the electricity sector today, as well as declining coal reliability in the NEM. Coal-fired power stations are assumed to close as per their currently announced schedule, and new entrant generation incurs a higher cost of capital due to increased market uncertainty.</w:t>
      </w:r>
    </w:p>
    <w:p w:rsidR="00F66475" w:rsidRPr="001B0B30" w:rsidRDefault="00F66475" w:rsidP="00F66475">
      <w:pPr>
        <w:spacing w:after="200" w:line="288" w:lineRule="auto"/>
        <w:rPr>
          <w:rFonts w:ascii="Calibri Light" w:hAnsi="Calibri Light" w:cs="Calibri Light"/>
          <w:sz w:val="18"/>
          <w:szCs w:val="16"/>
        </w:rPr>
      </w:pPr>
      <w:r>
        <w:rPr>
          <w:rFonts w:ascii="Calibri Light" w:eastAsia="Calibri" w:hAnsi="Calibri Light" w:cs="Calibri Light"/>
          <w:szCs w:val="22"/>
        </w:rPr>
        <w:t>I</w:t>
      </w:r>
      <w:r w:rsidRPr="007B03E2">
        <w:rPr>
          <w:rFonts w:ascii="Calibri Light" w:eastAsia="Calibri" w:hAnsi="Calibri Light" w:cs="Calibri Light"/>
          <w:szCs w:val="22"/>
        </w:rPr>
        <w:t xml:space="preserve">ndicative modelling </w:t>
      </w:r>
      <w:r>
        <w:rPr>
          <w:rFonts w:ascii="Calibri Light" w:eastAsia="Calibri" w:hAnsi="Calibri Light" w:cs="Calibri Light"/>
          <w:szCs w:val="22"/>
          <w:highlight w:val="black"/>
        </w:rPr>
        <w:t>REDACTED TEXT HERE</w:t>
      </w:r>
      <w:r w:rsidRPr="00B463EE">
        <w:rPr>
          <w:rFonts w:ascii="Calibri Light" w:eastAsia="Calibri" w:hAnsi="Calibri Light" w:cs="Calibri Light"/>
          <w:szCs w:val="22"/>
          <w:highlight w:val="black"/>
        </w:rPr>
        <w:t>)</w:t>
      </w:r>
      <w:r w:rsidRPr="00CD574B">
        <w:rPr>
          <w:rFonts w:ascii="Calibri Light" w:eastAsia="Calibri" w:hAnsi="Calibri Light" w:cs="Calibri Light"/>
          <w:szCs w:val="22"/>
        </w:rPr>
        <w:t xml:space="preserve"> </w:t>
      </w:r>
      <w:r>
        <w:rPr>
          <w:rFonts w:ascii="Calibri Light" w:eastAsia="Calibri" w:hAnsi="Calibri Light" w:cs="Calibri Light"/>
          <w:szCs w:val="22"/>
        </w:rPr>
        <w:t>provides t</w:t>
      </w:r>
      <w:r w:rsidRPr="001677C5">
        <w:rPr>
          <w:rFonts w:ascii="Calibri Light" w:eastAsia="Calibri" w:hAnsi="Calibri Light" w:cs="Calibri Light"/>
          <w:szCs w:val="22"/>
        </w:rPr>
        <w:t>wo</w:t>
      </w:r>
      <w:r w:rsidRPr="007B03E2">
        <w:rPr>
          <w:rFonts w:ascii="Calibri Light" w:eastAsia="Calibri" w:hAnsi="Calibri Light" w:cs="Calibri Light"/>
          <w:szCs w:val="22"/>
        </w:rPr>
        <w:t xml:space="preserve"> trajector</w:t>
      </w:r>
      <w:r>
        <w:rPr>
          <w:rFonts w:ascii="Calibri Light" w:eastAsia="Calibri" w:hAnsi="Calibri Light" w:cs="Calibri Light"/>
          <w:szCs w:val="22"/>
        </w:rPr>
        <w:t>ie</w:t>
      </w:r>
      <w:r w:rsidRPr="001677C5">
        <w:rPr>
          <w:rFonts w:ascii="Calibri Light" w:eastAsia="Calibri" w:hAnsi="Calibri Light" w:cs="Calibri Light"/>
          <w:szCs w:val="22"/>
        </w:rPr>
        <w:t>s to estimate potential outcomes for the electricity sector under existing policy settings.</w:t>
      </w:r>
      <w:r w:rsidRPr="007B03E2">
        <w:rPr>
          <w:rFonts w:ascii="Calibri Light" w:eastAsia="Calibri" w:hAnsi="Calibri Light" w:cs="Calibri Light"/>
          <w:szCs w:val="22"/>
        </w:rPr>
        <w:t xml:space="preserve"> </w:t>
      </w:r>
      <w:r w:rsidRPr="00E916BF">
        <w:rPr>
          <w:rFonts w:ascii="Calibri Light" w:eastAsia="Calibri" w:hAnsi="Calibri Light" w:cs="Calibri Light"/>
          <w:szCs w:val="22"/>
          <w:highlight w:val="black"/>
        </w:rPr>
        <w:t>REDACTED TEXT HERE</w:t>
      </w:r>
    </w:p>
    <w:p w:rsidR="00F66475" w:rsidRPr="00E75264" w:rsidRDefault="00F66475" w:rsidP="00F66475">
      <w:pPr>
        <w:pStyle w:val="Heading3"/>
        <w:rPr>
          <w:rFonts w:ascii="Calibri Light" w:hAnsi="Calibri Light" w:cs="Calibri Light"/>
          <w:color w:val="197C7D"/>
          <w:u w:val="single"/>
          <w:lang w:val="en-US"/>
        </w:rPr>
      </w:pPr>
      <w:bookmarkStart w:id="117" w:name="_Toc967662563"/>
      <w:r w:rsidRPr="52A7AAAB">
        <w:rPr>
          <w:rFonts w:ascii="Calibri Light" w:hAnsi="Calibri Light" w:cs="Calibri Light"/>
          <w:color w:val="197C7D"/>
          <w:u w:val="single"/>
          <w:lang w:val="en-US"/>
        </w:rPr>
        <w:t>Prices</w:t>
      </w:r>
      <w:bookmarkEnd w:id="117"/>
    </w:p>
    <w:p w:rsidR="00F66475" w:rsidRDefault="00F66475" w:rsidP="00F66475">
      <w:pPr>
        <w:spacing w:after="200" w:line="288" w:lineRule="auto"/>
        <w:rPr>
          <w:rFonts w:ascii="Calibri Light" w:eastAsia="Calibri" w:hAnsi="Calibri Light" w:cs="Calibri Light"/>
          <w:szCs w:val="22"/>
          <w:highlight w:val="black"/>
        </w:rPr>
      </w:pPr>
      <w:r w:rsidRPr="00E75264">
        <w:rPr>
          <w:rFonts w:ascii="Calibri Light" w:eastAsia="Calibri" w:hAnsi="Calibri Light" w:cs="Calibri Light"/>
          <w:szCs w:val="22"/>
        </w:rPr>
        <w:t>In the base case scenario, NEM wholesale prices are expected to fall slightly from today’s levels</w:t>
      </w:r>
      <w:r>
        <w:rPr>
          <w:rFonts w:ascii="Calibri Light" w:eastAsia="Calibri" w:hAnsi="Calibri Light" w:cs="Calibri Light"/>
          <w:szCs w:val="22"/>
        </w:rPr>
        <w:t xml:space="preserve"> </w:t>
      </w:r>
      <w:r>
        <w:rPr>
          <w:rFonts w:ascii="Calibri Light" w:eastAsia="Calibri" w:hAnsi="Calibri Light" w:cs="Calibri Light"/>
          <w:szCs w:val="22"/>
          <w:highlight w:val="black"/>
        </w:rPr>
        <w:t>REDACTED  TEXT HERE</w:t>
      </w:r>
    </w:p>
    <w:p w:rsidR="00F66475" w:rsidRDefault="00F66475" w:rsidP="00F66475">
      <w:pPr>
        <w:spacing w:after="200" w:line="288" w:lineRule="auto"/>
        <w:rPr>
          <w:rFonts w:ascii="Calibri Light" w:eastAsia="Calibri" w:hAnsi="Calibri Light" w:cs="Calibri Light"/>
          <w:szCs w:val="22"/>
          <w:highlight w:val="black"/>
        </w:rPr>
      </w:pPr>
      <w:r>
        <w:rPr>
          <w:rFonts w:ascii="Calibri Light" w:eastAsia="Calibri" w:hAnsi="Calibri Light" w:cs="Calibri Light"/>
          <w:szCs w:val="22"/>
          <w:highlight w:val="black"/>
        </w:rPr>
        <w:t xml:space="preserve">REDACTED  TEXT HERE </w:t>
      </w:r>
    </w:p>
    <w:p w:rsidR="00F66475" w:rsidRPr="00CD574B" w:rsidRDefault="00F66475" w:rsidP="00F66475">
      <w:pPr>
        <w:spacing w:after="200" w:line="288" w:lineRule="auto"/>
        <w:rPr>
          <w:rFonts w:ascii="Calibri Light" w:hAnsi="Calibri Light" w:cs="Calibri Light"/>
        </w:rPr>
      </w:pPr>
      <w:r w:rsidRPr="00CA6256">
        <w:rPr>
          <w:rFonts w:ascii="Calibri Light" w:eastAsia="Calibri" w:hAnsi="Calibri Light" w:cs="Calibri Light"/>
          <w:szCs w:val="22"/>
        </w:rPr>
        <w:t xml:space="preserve">The benefit to consumer prices from the decrease in the wholesale price under the base case scenario could be largely offset by the potential increases in network costs. </w:t>
      </w:r>
      <w:r>
        <w:rPr>
          <w:rFonts w:ascii="Calibri Light" w:eastAsia="Calibri" w:hAnsi="Calibri Light" w:cs="Calibri Light"/>
          <w:szCs w:val="22"/>
        </w:rPr>
        <w:t xml:space="preserve">This can be illustrated by the make-up of </w:t>
      </w:r>
      <w:r w:rsidRPr="00584457">
        <w:rPr>
          <w:rFonts w:ascii="Calibri Light" w:eastAsia="Calibri" w:hAnsi="Calibri Light" w:cs="Calibri Light"/>
          <w:szCs w:val="22"/>
        </w:rPr>
        <w:t xml:space="preserve">the </w:t>
      </w:r>
      <w:r>
        <w:rPr>
          <w:rFonts w:ascii="Calibri Light" w:eastAsia="Calibri" w:hAnsi="Calibri Light" w:cs="Calibri Light"/>
          <w:szCs w:val="22"/>
        </w:rPr>
        <w:t xml:space="preserve">electricity </w:t>
      </w:r>
      <w:r w:rsidRPr="00584457">
        <w:rPr>
          <w:rFonts w:ascii="Calibri Light" w:eastAsia="Calibri" w:hAnsi="Calibri Light" w:cs="Calibri Light"/>
          <w:szCs w:val="22"/>
        </w:rPr>
        <w:t>price for a typical household</w:t>
      </w:r>
      <w:r>
        <w:rPr>
          <w:rFonts w:ascii="Calibri Light" w:eastAsia="Calibri" w:hAnsi="Calibri Light" w:cs="Calibri Light"/>
          <w:szCs w:val="22"/>
        </w:rPr>
        <w:t xml:space="preserve"> (as used by the Australian Energy Market Regulator). For instance, i</w:t>
      </w:r>
      <w:r w:rsidRPr="00584457">
        <w:rPr>
          <w:rFonts w:ascii="Calibri Light" w:eastAsia="Calibri" w:hAnsi="Calibri Light" w:cs="Calibri Light"/>
          <w:szCs w:val="22"/>
        </w:rPr>
        <w:t>n 2023-24 this includes wholesale costs (</w:t>
      </w:r>
      <w:r>
        <w:rPr>
          <w:rFonts w:ascii="Calibri Light" w:eastAsia="Calibri" w:hAnsi="Calibri Light" w:cs="Calibri Light"/>
          <w:szCs w:val="22"/>
        </w:rPr>
        <w:t xml:space="preserve">around </w:t>
      </w:r>
      <w:r w:rsidRPr="00584457">
        <w:rPr>
          <w:rFonts w:ascii="Calibri Light" w:eastAsia="Calibri" w:hAnsi="Calibri Light" w:cs="Calibri Light"/>
          <w:szCs w:val="22"/>
        </w:rPr>
        <w:t>30-40%), network costs (</w:t>
      </w:r>
      <w:r>
        <w:rPr>
          <w:rFonts w:ascii="Calibri Light" w:eastAsia="Calibri" w:hAnsi="Calibri Light" w:cs="Calibri Light"/>
          <w:szCs w:val="22"/>
        </w:rPr>
        <w:t xml:space="preserve">around </w:t>
      </w:r>
      <w:r w:rsidRPr="00584457">
        <w:rPr>
          <w:rFonts w:ascii="Calibri Light" w:eastAsia="Calibri" w:hAnsi="Calibri Light" w:cs="Calibri Light"/>
          <w:szCs w:val="22"/>
        </w:rPr>
        <w:t>40-55%), environmental scheme costs (</w:t>
      </w:r>
      <w:r>
        <w:rPr>
          <w:rFonts w:ascii="Calibri Light" w:eastAsia="Calibri" w:hAnsi="Calibri Light" w:cs="Calibri Light"/>
          <w:szCs w:val="22"/>
        </w:rPr>
        <w:t xml:space="preserve">around </w:t>
      </w:r>
      <w:r w:rsidRPr="00584457">
        <w:rPr>
          <w:rFonts w:ascii="Calibri Light" w:eastAsia="Calibri" w:hAnsi="Calibri Light" w:cs="Calibri Light"/>
          <w:szCs w:val="22"/>
        </w:rPr>
        <w:t>5</w:t>
      </w:r>
      <w:r>
        <w:rPr>
          <w:rFonts w:ascii="Calibri Light" w:eastAsia="Calibri" w:hAnsi="Calibri Light" w:cs="Calibri Light"/>
          <w:szCs w:val="22"/>
        </w:rPr>
        <w:t>-</w:t>
      </w:r>
      <w:r w:rsidRPr="00584457">
        <w:rPr>
          <w:rFonts w:ascii="Calibri Light" w:eastAsia="Calibri" w:hAnsi="Calibri Light" w:cs="Calibri Light"/>
          <w:szCs w:val="22"/>
        </w:rPr>
        <w:t>10%) (federal and state), and other retail costs (</w:t>
      </w:r>
      <w:r>
        <w:rPr>
          <w:rFonts w:ascii="Calibri Light" w:eastAsia="Calibri" w:hAnsi="Calibri Light" w:cs="Calibri Light"/>
          <w:szCs w:val="22"/>
        </w:rPr>
        <w:t xml:space="preserve">around </w:t>
      </w:r>
      <w:r w:rsidRPr="00584457">
        <w:rPr>
          <w:rFonts w:ascii="Calibri Light" w:eastAsia="Calibri" w:hAnsi="Calibri Light" w:cs="Calibri Light"/>
          <w:szCs w:val="22"/>
        </w:rPr>
        <w:t xml:space="preserve">10-15%). </w:t>
      </w:r>
    </w:p>
    <w:p w:rsidR="00F66475" w:rsidRPr="000D1499" w:rsidRDefault="00F66475" w:rsidP="00F66475">
      <w:pPr>
        <w:spacing w:after="200" w:line="288" w:lineRule="auto"/>
        <w:rPr>
          <w:rFonts w:ascii="Calibri Light" w:eastAsia="Calibri" w:hAnsi="Calibri Light" w:cs="Calibri Light"/>
          <w:szCs w:val="22"/>
        </w:rPr>
      </w:pPr>
      <w:r w:rsidRPr="00693E13">
        <w:rPr>
          <w:rFonts w:ascii="Calibri Light" w:eastAsia="Calibri" w:hAnsi="Calibri Light" w:cs="Calibri Light"/>
          <w:szCs w:val="22"/>
        </w:rPr>
        <w:t>Any impact felt by consumers will vary state to state with some experiencing small net benefits while others potentially marginally worse off.</w:t>
      </w:r>
      <w:r>
        <w:rPr>
          <w:rFonts w:ascii="Calibri Light" w:eastAsia="Calibri" w:hAnsi="Calibri Light" w:cs="Calibri Light"/>
          <w:b/>
          <w:szCs w:val="22"/>
        </w:rPr>
        <w:t xml:space="preserve"> </w:t>
      </w:r>
    </w:p>
    <w:p w:rsidR="00F66475" w:rsidRPr="00E916BF" w:rsidRDefault="00F66475" w:rsidP="00F66475">
      <w:pPr>
        <w:spacing w:after="200" w:line="288" w:lineRule="auto"/>
        <w:rPr>
          <w:rFonts w:ascii="Calibri Light" w:eastAsia="Calibri" w:hAnsi="Calibri Light" w:cs="Calibri Light"/>
          <w:szCs w:val="22"/>
          <w:highlight w:val="black"/>
        </w:rPr>
      </w:pPr>
      <w:r w:rsidRPr="00E916BF">
        <w:rPr>
          <w:rFonts w:ascii="Calibri Light" w:eastAsia="Calibri" w:hAnsi="Calibri Light" w:cs="Calibri Light"/>
          <w:szCs w:val="22"/>
          <w:highlight w:val="black"/>
        </w:rPr>
        <w:t>REDACTED TEXT HERE</w:t>
      </w:r>
    </w:p>
    <w:p w:rsidR="00F66475" w:rsidRDefault="00F66475" w:rsidP="00F66475">
      <w:pPr>
        <w:spacing w:after="200" w:line="288" w:lineRule="auto"/>
        <w:rPr>
          <w:rFonts w:ascii="Calibri Light" w:eastAsia="Calibri" w:hAnsi="Calibri Light" w:cs="Calibri Light"/>
          <w:b/>
          <w:szCs w:val="22"/>
        </w:rPr>
      </w:pPr>
    </w:p>
    <w:p w:rsidR="00F66475" w:rsidRDefault="00F66475" w:rsidP="00F66475">
      <w:pPr>
        <w:spacing w:after="200" w:line="288" w:lineRule="auto"/>
        <w:rPr>
          <w:rFonts w:ascii="Calibri Light" w:eastAsia="Calibri" w:hAnsi="Calibri Light" w:cs="Calibri Light"/>
          <w:b/>
          <w:szCs w:val="22"/>
        </w:rPr>
      </w:pPr>
    </w:p>
    <w:p w:rsidR="00F66475" w:rsidRDefault="00F66475" w:rsidP="00F66475">
      <w:pPr>
        <w:spacing w:after="200" w:line="288" w:lineRule="auto"/>
        <w:rPr>
          <w:rFonts w:ascii="Calibri Light" w:eastAsia="Calibri" w:hAnsi="Calibri Light" w:cs="Calibri Light"/>
          <w:b/>
          <w:szCs w:val="22"/>
        </w:rPr>
      </w:pPr>
    </w:p>
    <w:p w:rsidR="00F66475" w:rsidRDefault="00F66475" w:rsidP="00F66475">
      <w:pPr>
        <w:spacing w:after="200" w:line="288" w:lineRule="auto"/>
        <w:rPr>
          <w:rFonts w:ascii="Calibri Light" w:eastAsia="Calibri" w:hAnsi="Calibri Light" w:cs="Calibri Light"/>
          <w:b/>
          <w:szCs w:val="22"/>
        </w:rPr>
      </w:pPr>
    </w:p>
    <w:p w:rsidR="00F66475" w:rsidRDefault="00F66475" w:rsidP="00F66475">
      <w:pPr>
        <w:spacing w:after="200" w:line="288" w:lineRule="auto"/>
        <w:rPr>
          <w:rFonts w:ascii="Calibri Light" w:eastAsia="Calibri" w:hAnsi="Calibri Light" w:cs="Calibri Light"/>
          <w:b/>
          <w:szCs w:val="22"/>
        </w:rPr>
      </w:pPr>
    </w:p>
    <w:p w:rsidR="00F66475" w:rsidRDefault="00F66475" w:rsidP="00F66475">
      <w:pPr>
        <w:spacing w:after="200" w:line="288" w:lineRule="auto"/>
        <w:rPr>
          <w:rFonts w:ascii="Calibri Light" w:eastAsia="Calibri" w:hAnsi="Calibri Light" w:cs="Calibri Light"/>
          <w:szCs w:val="22"/>
          <w:highlight w:val="black"/>
        </w:rPr>
      </w:pPr>
      <w:r w:rsidRPr="00E916BF">
        <w:rPr>
          <w:rFonts w:ascii="Calibri Light" w:eastAsia="Calibri" w:hAnsi="Calibri Light" w:cs="Calibri Light"/>
          <w:szCs w:val="22"/>
          <w:highlight w:val="black"/>
        </w:rPr>
        <w:t>REDACTED TEXT HERE</w:t>
      </w:r>
    </w:p>
    <w:p w:rsidR="00F66475" w:rsidRPr="00E916BF" w:rsidRDefault="00F66475" w:rsidP="00F66475">
      <w:pPr>
        <w:spacing w:after="200" w:line="288" w:lineRule="auto"/>
        <w:rPr>
          <w:rFonts w:ascii="Calibri Light" w:eastAsia="Calibri" w:hAnsi="Calibri Light" w:cs="Calibri Light"/>
          <w:szCs w:val="22"/>
          <w:highlight w:val="black"/>
        </w:rPr>
      </w:pPr>
      <w:r w:rsidRPr="00E916BF">
        <w:rPr>
          <w:rFonts w:ascii="Calibri Light" w:eastAsia="Calibri" w:hAnsi="Calibri Light" w:cs="Calibri Light"/>
          <w:szCs w:val="22"/>
          <w:highlight w:val="black"/>
        </w:rPr>
        <w:t>REDACTED TEXT HERE</w:t>
      </w:r>
    </w:p>
    <w:p w:rsidR="00F66475" w:rsidRDefault="00F66475" w:rsidP="00F66475">
      <w:pPr>
        <w:spacing w:after="200" w:line="288" w:lineRule="auto"/>
        <w:rPr>
          <w:rFonts w:ascii="Calibri Light" w:eastAsia="Calibri" w:hAnsi="Calibri Light" w:cs="Calibri Light"/>
          <w:szCs w:val="22"/>
          <w:highlight w:val="black"/>
        </w:rPr>
      </w:pPr>
    </w:p>
    <w:p w:rsidR="00F66475" w:rsidRPr="00E916BF" w:rsidRDefault="00F66475" w:rsidP="00F66475">
      <w:pPr>
        <w:spacing w:after="200" w:line="288" w:lineRule="auto"/>
        <w:rPr>
          <w:rFonts w:ascii="Calibri Light" w:eastAsia="Calibri" w:hAnsi="Calibri Light" w:cs="Calibri Light"/>
          <w:szCs w:val="22"/>
          <w:highlight w:val="black"/>
        </w:rPr>
      </w:pPr>
      <w:r w:rsidRPr="00E916BF">
        <w:rPr>
          <w:rFonts w:ascii="Calibri Light" w:eastAsia="Calibri" w:hAnsi="Calibri Light" w:cs="Calibri Light"/>
          <w:szCs w:val="22"/>
          <w:highlight w:val="black"/>
        </w:rPr>
        <w:t>REDACTED TEXT HERE</w:t>
      </w:r>
    </w:p>
    <w:p w:rsidR="00F66475" w:rsidRDefault="00F66475" w:rsidP="00F66475">
      <w:pPr>
        <w:spacing w:after="200" w:line="288" w:lineRule="auto"/>
        <w:rPr>
          <w:rFonts w:ascii="Calibri Light" w:eastAsia="Calibri" w:hAnsi="Calibri Light" w:cs="Calibri Light"/>
          <w:szCs w:val="22"/>
          <w:highlight w:val="black"/>
        </w:rPr>
      </w:pPr>
    </w:p>
    <w:p w:rsidR="00F66475" w:rsidRPr="00E916BF" w:rsidRDefault="00F66475" w:rsidP="00F66475">
      <w:pPr>
        <w:spacing w:after="200" w:line="288" w:lineRule="auto"/>
        <w:rPr>
          <w:rFonts w:ascii="Calibri Light" w:eastAsia="Calibri" w:hAnsi="Calibri Light" w:cs="Calibri Light"/>
          <w:szCs w:val="22"/>
          <w:highlight w:val="black"/>
        </w:rPr>
      </w:pPr>
      <w:r w:rsidRPr="00E916BF">
        <w:rPr>
          <w:rFonts w:ascii="Calibri Light" w:eastAsia="Calibri" w:hAnsi="Calibri Light" w:cs="Calibri Light"/>
          <w:szCs w:val="22"/>
          <w:highlight w:val="black"/>
        </w:rPr>
        <w:t>REDACTED TEXT HERE</w:t>
      </w:r>
    </w:p>
    <w:p w:rsidR="00F66475" w:rsidRPr="00E916BF" w:rsidRDefault="00F66475" w:rsidP="00F66475">
      <w:pPr>
        <w:spacing w:after="200" w:line="288" w:lineRule="auto"/>
        <w:rPr>
          <w:rFonts w:ascii="Calibri Light" w:eastAsia="Calibri" w:hAnsi="Calibri Light" w:cs="Calibri Light"/>
          <w:szCs w:val="22"/>
          <w:highlight w:val="black"/>
        </w:rPr>
      </w:pPr>
    </w:p>
    <w:p w:rsidR="00F66475" w:rsidRPr="00561980" w:rsidRDefault="00F66475" w:rsidP="00F66475">
      <w:pPr>
        <w:rPr>
          <w:rFonts w:ascii="Calibri Light" w:hAnsi="Calibri Light" w:cs="Calibri Light"/>
          <w:color w:val="197C7D"/>
          <w:sz w:val="36"/>
          <w:szCs w:val="36"/>
          <w:lang w:val="en-US"/>
        </w:rPr>
      </w:pPr>
      <w:r w:rsidRPr="00561980">
        <w:rPr>
          <w:rFonts w:ascii="Calibri Light" w:hAnsi="Calibri Light" w:cs="Calibri Light"/>
          <w:color w:val="197C7D"/>
          <w:sz w:val="36"/>
          <w:szCs w:val="36"/>
          <w:lang w:val="en-US"/>
        </w:rPr>
        <w:t>Stakeholder impacts</w:t>
      </w:r>
    </w:p>
    <w:p w:rsidR="00F66475" w:rsidRPr="008647FC" w:rsidRDefault="00F66475" w:rsidP="00F66475">
      <w:pPr>
        <w:spacing w:after="200" w:line="288" w:lineRule="auto"/>
        <w:rPr>
          <w:rFonts w:ascii="Calibri Light" w:eastAsia="Calibri" w:hAnsi="Calibri Light" w:cs="Calibri Light"/>
          <w:bCs/>
          <w:szCs w:val="22"/>
        </w:rPr>
      </w:pPr>
      <w:r w:rsidRPr="008647FC">
        <w:rPr>
          <w:rFonts w:ascii="Calibri Light" w:eastAsia="Calibri" w:hAnsi="Calibri Light" w:cs="Calibri Light"/>
          <w:bCs/>
          <w:szCs w:val="22"/>
        </w:rPr>
        <w:t>Table 2 illustrates the impacts on the var</w:t>
      </w:r>
      <w:r>
        <w:rPr>
          <w:rFonts w:ascii="Calibri Light" w:eastAsia="Calibri" w:hAnsi="Calibri Light" w:cs="Calibri Light"/>
          <w:bCs/>
          <w:szCs w:val="22"/>
        </w:rPr>
        <w:t>i</w:t>
      </w:r>
      <w:r w:rsidRPr="008647FC">
        <w:rPr>
          <w:rFonts w:ascii="Calibri Light" w:eastAsia="Calibri" w:hAnsi="Calibri Light" w:cs="Calibri Light"/>
          <w:bCs/>
          <w:szCs w:val="22"/>
        </w:rPr>
        <w:t>o</w:t>
      </w:r>
      <w:r>
        <w:rPr>
          <w:rFonts w:ascii="Calibri Light" w:eastAsia="Calibri" w:hAnsi="Calibri Light" w:cs="Calibri Light"/>
          <w:bCs/>
          <w:szCs w:val="22"/>
        </w:rPr>
        <w:t>u</w:t>
      </w:r>
      <w:r w:rsidRPr="008647FC">
        <w:rPr>
          <w:rFonts w:ascii="Calibri Light" w:eastAsia="Calibri" w:hAnsi="Calibri Light" w:cs="Calibri Light"/>
          <w:bCs/>
          <w:szCs w:val="22"/>
        </w:rPr>
        <w:t xml:space="preserve">s stakeholder groups </w:t>
      </w:r>
      <w:r>
        <w:rPr>
          <w:rFonts w:ascii="Calibri Light" w:eastAsia="Calibri" w:hAnsi="Calibri Light" w:cs="Calibri Light"/>
          <w:bCs/>
          <w:szCs w:val="22"/>
        </w:rPr>
        <w:t>under the base-case or N</w:t>
      </w:r>
      <w:r w:rsidRPr="008647FC">
        <w:rPr>
          <w:rFonts w:ascii="Calibri Light" w:eastAsia="Calibri" w:hAnsi="Calibri Light" w:cs="Calibri Light"/>
          <w:bCs/>
          <w:szCs w:val="22"/>
        </w:rPr>
        <w:t xml:space="preserve">o Government </w:t>
      </w:r>
      <w:r>
        <w:rPr>
          <w:rFonts w:ascii="Calibri Light" w:eastAsia="Calibri" w:hAnsi="Calibri Light" w:cs="Calibri Light"/>
          <w:bCs/>
          <w:szCs w:val="22"/>
        </w:rPr>
        <w:t>I</w:t>
      </w:r>
      <w:r w:rsidRPr="008647FC">
        <w:rPr>
          <w:rFonts w:ascii="Calibri Light" w:eastAsia="Calibri" w:hAnsi="Calibri Light" w:cs="Calibri Light"/>
          <w:bCs/>
          <w:szCs w:val="22"/>
        </w:rPr>
        <w:t>ntervention</w:t>
      </w:r>
      <w:r>
        <w:rPr>
          <w:rFonts w:ascii="Calibri Light" w:eastAsia="Calibri" w:hAnsi="Calibri Light" w:cs="Calibri Light"/>
          <w:bCs/>
          <w:szCs w:val="22"/>
        </w:rPr>
        <w:t xml:space="preserve"> option</w:t>
      </w:r>
      <w:r w:rsidRPr="008647FC">
        <w:rPr>
          <w:rFonts w:ascii="Calibri Light" w:eastAsia="Calibri" w:hAnsi="Calibri Light" w:cs="Calibri Light"/>
          <w:bCs/>
          <w:szCs w:val="22"/>
        </w:rPr>
        <w:t>.</w:t>
      </w:r>
    </w:p>
    <w:p w:rsidR="00F66475" w:rsidRPr="001C78C5" w:rsidRDefault="00F66475" w:rsidP="00F66475">
      <w:pPr>
        <w:spacing w:after="200" w:line="288" w:lineRule="auto"/>
        <w:rPr>
          <w:rFonts w:ascii="Calibri Light" w:eastAsia="Calibri" w:hAnsi="Calibri Light" w:cs="Calibri Light"/>
          <w:b/>
          <w:szCs w:val="22"/>
        </w:rPr>
      </w:pPr>
      <w:r w:rsidRPr="001C78C5">
        <w:rPr>
          <w:rFonts w:ascii="Calibri Light" w:eastAsia="Calibri" w:hAnsi="Calibri Light" w:cs="Calibri Light"/>
          <w:b/>
          <w:szCs w:val="22"/>
        </w:rPr>
        <w:t xml:space="preserve">Table 2: Stakeholder impacts </w:t>
      </w:r>
      <w:r>
        <w:rPr>
          <w:rFonts w:ascii="Calibri Light" w:eastAsia="Calibri" w:hAnsi="Calibri Light" w:cs="Calibri Light"/>
          <w:b/>
          <w:szCs w:val="22"/>
        </w:rPr>
        <w:t>of no government intervention</w:t>
      </w:r>
    </w:p>
    <w:tbl>
      <w:tblPr>
        <w:tblStyle w:val="TableGridLight"/>
        <w:tblW w:w="0" w:type="auto"/>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552"/>
        <w:gridCol w:w="7086"/>
      </w:tblGrid>
      <w:tr w:rsidR="00F66475" w:rsidTr="00E2051A">
        <w:tc>
          <w:tcPr>
            <w:tcW w:w="2552" w:type="dxa"/>
            <w:tcBorders>
              <w:top w:val="nil"/>
              <w:bottom w:val="single" w:sz="4" w:space="0" w:color="auto"/>
            </w:tcBorders>
            <w:shd w:val="clear" w:color="auto" w:fill="F2F2F2" w:themeFill="background1" w:themeFillShade="F2"/>
          </w:tcPr>
          <w:p w:rsidR="00F66475" w:rsidRPr="001C78C5" w:rsidRDefault="00F66475" w:rsidP="00E2051A">
            <w:pPr>
              <w:spacing w:after="200" w:line="288" w:lineRule="auto"/>
              <w:rPr>
                <w:rFonts w:ascii="Calibri Light" w:eastAsia="Calibri" w:hAnsi="Calibri Light" w:cs="Calibri Light"/>
                <w:b/>
                <w:szCs w:val="22"/>
              </w:rPr>
            </w:pPr>
            <w:r w:rsidRPr="001C78C5">
              <w:rPr>
                <w:rFonts w:ascii="Calibri Light" w:eastAsia="Calibri" w:hAnsi="Calibri Light" w:cs="Calibri Light"/>
                <w:b/>
                <w:szCs w:val="22"/>
              </w:rPr>
              <w:t>Stakeholder group</w:t>
            </w:r>
          </w:p>
        </w:tc>
        <w:tc>
          <w:tcPr>
            <w:tcW w:w="7086" w:type="dxa"/>
            <w:tcBorders>
              <w:top w:val="nil"/>
              <w:bottom w:val="single" w:sz="4" w:space="0" w:color="auto"/>
            </w:tcBorders>
            <w:shd w:val="clear" w:color="auto" w:fill="F2F2F2" w:themeFill="background1" w:themeFillShade="F2"/>
          </w:tcPr>
          <w:p w:rsidR="00F66475" w:rsidRPr="001C78C5" w:rsidRDefault="00F66475" w:rsidP="00E2051A">
            <w:pPr>
              <w:spacing w:after="200" w:line="288" w:lineRule="auto"/>
              <w:rPr>
                <w:rFonts w:ascii="Calibri Light" w:eastAsia="Calibri" w:hAnsi="Calibri Light" w:cs="Calibri Light"/>
                <w:b/>
                <w:szCs w:val="22"/>
              </w:rPr>
            </w:pPr>
            <w:r w:rsidRPr="001C78C5">
              <w:rPr>
                <w:rFonts w:ascii="Calibri Light" w:eastAsia="Calibri" w:hAnsi="Calibri Light" w:cs="Calibri Light"/>
                <w:b/>
                <w:szCs w:val="22"/>
              </w:rPr>
              <w:t>Impact</w:t>
            </w:r>
          </w:p>
        </w:tc>
      </w:tr>
      <w:tr w:rsidR="00F66475" w:rsidTr="00E2051A">
        <w:tc>
          <w:tcPr>
            <w:tcW w:w="2552" w:type="dxa"/>
            <w:tcBorders>
              <w:top w:val="single" w:sz="4" w:space="0" w:color="auto"/>
            </w:tcBorders>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Consumers, including households</w:t>
            </w:r>
          </w:p>
        </w:tc>
        <w:tc>
          <w:tcPr>
            <w:tcW w:w="7086" w:type="dxa"/>
            <w:tcBorders>
              <w:top w:val="single" w:sz="4" w:space="0" w:color="auto"/>
            </w:tcBorders>
          </w:tcPr>
          <w:p w:rsidR="00F66475" w:rsidRDefault="00F66475" w:rsidP="00E2051A">
            <w:pPr>
              <w:spacing w:after="60" w:line="288" w:lineRule="auto"/>
              <w:rPr>
                <w:rFonts w:ascii="Calibri Light" w:eastAsia="Calibri" w:hAnsi="Calibri Light" w:cs="Calibri Light"/>
                <w:szCs w:val="22"/>
              </w:rPr>
            </w:pPr>
            <w:r w:rsidDel="008B550D">
              <w:rPr>
                <w:rFonts w:ascii="Calibri Light" w:eastAsia="Calibri" w:hAnsi="Calibri Light" w:cs="Calibri Light"/>
                <w:szCs w:val="22"/>
              </w:rPr>
              <w:t xml:space="preserve">Consumers are expected to </w:t>
            </w:r>
            <w:r>
              <w:rPr>
                <w:rFonts w:ascii="Calibri Light" w:eastAsia="Calibri" w:hAnsi="Calibri Light" w:cs="Calibri Light"/>
                <w:szCs w:val="22"/>
              </w:rPr>
              <w:t>face an overall neutral effect on retail</w:t>
            </w:r>
            <w:r w:rsidDel="00C3629D">
              <w:rPr>
                <w:rFonts w:ascii="Calibri Light" w:eastAsia="Calibri" w:hAnsi="Calibri Light" w:cs="Calibri Light"/>
                <w:szCs w:val="22"/>
              </w:rPr>
              <w:t xml:space="preserve"> </w:t>
            </w:r>
            <w:r>
              <w:rPr>
                <w:rFonts w:ascii="Calibri Light" w:eastAsia="Calibri" w:hAnsi="Calibri Light" w:cs="Calibri Light"/>
                <w:szCs w:val="22"/>
              </w:rPr>
              <w:t>electricity costs.</w:t>
            </w:r>
          </w:p>
        </w:tc>
      </w:tr>
      <w:tr w:rsidR="00F66475" w:rsidTr="00E2051A">
        <w:tc>
          <w:tcPr>
            <w:tcW w:w="2552" w:type="dxa"/>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Energy Intensive users</w:t>
            </w:r>
          </w:p>
        </w:tc>
        <w:tc>
          <w:tcPr>
            <w:tcW w:w="7086" w:type="dxa"/>
          </w:tcPr>
          <w:p w:rsidR="00F66475" w:rsidDel="008B550D"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Energy intensive users are expected to face an overall neutral effect on electricity costs after negotiating with retailers.</w:t>
            </w:r>
          </w:p>
        </w:tc>
      </w:tr>
      <w:tr w:rsidR="00F66475" w:rsidTr="00E2051A">
        <w:tc>
          <w:tcPr>
            <w:tcW w:w="2552" w:type="dxa"/>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Energy retailers</w:t>
            </w:r>
          </w:p>
        </w:tc>
        <w:tc>
          <w:tcPr>
            <w:tcW w:w="7086" w:type="dxa"/>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Energy retailers are expected to pass slightly lower wholesale costs onto consumers that are expected to be offset by higher network costs.</w:t>
            </w:r>
          </w:p>
        </w:tc>
      </w:tr>
      <w:tr w:rsidR="00F66475" w:rsidTr="00E2051A">
        <w:tc>
          <w:tcPr>
            <w:tcW w:w="2552" w:type="dxa"/>
            <w:tcBorders>
              <w:bottom w:val="single" w:sz="4" w:space="0" w:color="auto"/>
            </w:tcBorders>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Renewable energy generators</w:t>
            </w:r>
          </w:p>
        </w:tc>
        <w:tc>
          <w:tcPr>
            <w:tcW w:w="7086" w:type="dxa"/>
            <w:tcBorders>
              <w:bottom w:val="single" w:sz="4" w:space="0" w:color="auto"/>
            </w:tcBorders>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 xml:space="preserve">Less new entrants into wholesale market expected to improve profitability for incumbents. Less investments undertaken. </w:t>
            </w:r>
          </w:p>
        </w:tc>
      </w:tr>
      <w:tr w:rsidR="00F66475" w:rsidTr="00E2051A">
        <w:tc>
          <w:tcPr>
            <w:tcW w:w="2552" w:type="dxa"/>
            <w:tcBorders>
              <w:bottom w:val="single" w:sz="4" w:space="0" w:color="auto"/>
            </w:tcBorders>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Fossil fuel generators</w:t>
            </w:r>
          </w:p>
        </w:tc>
        <w:tc>
          <w:tcPr>
            <w:tcW w:w="7086" w:type="dxa"/>
            <w:tcBorders>
              <w:bottom w:val="single" w:sz="4" w:space="0" w:color="auto"/>
            </w:tcBorders>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 xml:space="preserve">Less new entrants into wholesale market expected to improve profitability for incumbents. </w:t>
            </w:r>
          </w:p>
        </w:tc>
      </w:tr>
    </w:tbl>
    <w:p w:rsidR="00F66475" w:rsidRPr="00561980" w:rsidRDefault="00F66475" w:rsidP="00F66475">
      <w:pPr>
        <w:pStyle w:val="Heading3"/>
        <w:rPr>
          <w:rFonts w:ascii="Calibri Light" w:hAnsi="Calibri Light" w:cs="Calibri Light"/>
          <w:color w:val="197C7D"/>
          <w:sz w:val="36"/>
          <w:szCs w:val="36"/>
          <w:lang w:val="en-US"/>
        </w:rPr>
      </w:pPr>
      <w:bookmarkStart w:id="118" w:name="_Toc1846198632"/>
      <w:r w:rsidRPr="52A7AAAB">
        <w:rPr>
          <w:rFonts w:ascii="Calibri Light" w:hAnsi="Calibri Light" w:cs="Calibri Light"/>
          <w:color w:val="197C7D"/>
          <w:sz w:val="36"/>
          <w:szCs w:val="36"/>
          <w:lang w:val="en-US"/>
        </w:rPr>
        <w:t>Benefits of Capacity Investment Scheme and LRET</w:t>
      </w:r>
      <w:bookmarkEnd w:id="118"/>
    </w:p>
    <w:p w:rsidR="00F66475" w:rsidRPr="00CD574B" w:rsidRDefault="00F66475" w:rsidP="00F66475">
      <w:pPr>
        <w:spacing w:after="40" w:line="288" w:lineRule="auto"/>
        <w:rPr>
          <w:rFonts w:ascii="Calibri Light" w:eastAsia="Calibri" w:hAnsi="Calibri Light" w:cs="Calibri Light"/>
          <w:szCs w:val="22"/>
        </w:rPr>
      </w:pPr>
      <w:r w:rsidRPr="00781A02">
        <w:rPr>
          <w:rFonts w:ascii="Calibri Light" w:eastAsia="Calibri" w:hAnsi="Calibri Light" w:cs="Calibri Light"/>
          <w:szCs w:val="22"/>
        </w:rPr>
        <w:t xml:space="preserve">Accelerating investment through the CIS or LRET to achieve 82 per cent is expected to drive wholesale electricity prices </w:t>
      </w:r>
      <w:r>
        <w:rPr>
          <w:rFonts w:ascii="Calibri Light" w:eastAsia="Calibri" w:hAnsi="Calibri Light" w:cs="Calibri Light"/>
          <w:szCs w:val="22"/>
          <w:highlight w:val="black"/>
        </w:rPr>
        <w:t>REDACTED TEXT HERE</w:t>
      </w:r>
      <w:r w:rsidRPr="00B463EE">
        <w:rPr>
          <w:rFonts w:ascii="Calibri Light" w:eastAsia="Calibri" w:hAnsi="Calibri Light" w:cs="Calibri Light"/>
          <w:szCs w:val="22"/>
          <w:highlight w:val="black"/>
        </w:rPr>
        <w:t>.</w:t>
      </w:r>
      <w:r>
        <w:rPr>
          <w:rFonts w:ascii="Calibri Light" w:eastAsia="Calibri" w:hAnsi="Calibri Light" w:cs="Calibri Light"/>
          <w:szCs w:val="22"/>
        </w:rPr>
        <w:t xml:space="preserve"> The following assumptions have been made in arriving at this conclusion:</w:t>
      </w:r>
    </w:p>
    <w:p w:rsidR="00F66475" w:rsidRPr="00CD574B" w:rsidRDefault="00F66475" w:rsidP="00F66475">
      <w:pPr>
        <w:pStyle w:val="ListParagraph"/>
        <w:numPr>
          <w:ilvl w:val="0"/>
          <w:numId w:val="35"/>
        </w:numPr>
        <w:spacing w:after="0" w:line="288" w:lineRule="auto"/>
        <w:ind w:left="714" w:hanging="357"/>
        <w:contextualSpacing w:val="0"/>
        <w:rPr>
          <w:rFonts w:ascii="Calibri Light" w:eastAsia="Calibri" w:hAnsi="Calibri Light" w:cs="Calibri Light"/>
          <w:szCs w:val="22"/>
        </w:rPr>
      </w:pPr>
      <w:r w:rsidRPr="00CD574B">
        <w:rPr>
          <w:rFonts w:ascii="Calibri Light" w:eastAsia="Calibri" w:hAnsi="Calibri Light" w:cs="Calibri Light"/>
          <w:szCs w:val="22"/>
        </w:rPr>
        <w:lastRenderedPageBreak/>
        <w:t>Renewable projects receive financial support through a market mechanism</w:t>
      </w:r>
      <w:r>
        <w:rPr>
          <w:rFonts w:ascii="Calibri Light" w:eastAsia="Calibri" w:hAnsi="Calibri Light" w:cs="Calibri Light"/>
          <w:szCs w:val="22"/>
        </w:rPr>
        <w:t>.</w:t>
      </w:r>
      <w:r w:rsidRPr="00CD574B">
        <w:rPr>
          <w:rFonts w:ascii="Calibri Light" w:eastAsia="Calibri" w:hAnsi="Calibri Light" w:cs="Calibri Light"/>
          <w:szCs w:val="22"/>
        </w:rPr>
        <w:t xml:space="preserve"> </w:t>
      </w:r>
    </w:p>
    <w:p w:rsidR="00F66475" w:rsidRPr="00CD574B" w:rsidRDefault="00F66475" w:rsidP="00F66475">
      <w:pPr>
        <w:pStyle w:val="ListParagraph"/>
        <w:numPr>
          <w:ilvl w:val="0"/>
          <w:numId w:val="35"/>
        </w:numPr>
        <w:spacing w:after="0" w:line="288" w:lineRule="auto"/>
        <w:ind w:left="714" w:hanging="357"/>
        <w:contextualSpacing w:val="0"/>
        <w:rPr>
          <w:rFonts w:ascii="Calibri Light" w:eastAsia="Calibri" w:hAnsi="Calibri Light" w:cs="Calibri Light"/>
          <w:szCs w:val="22"/>
        </w:rPr>
      </w:pPr>
      <w:r w:rsidRPr="00CD574B">
        <w:rPr>
          <w:rFonts w:ascii="Calibri Light" w:eastAsia="Calibri" w:hAnsi="Calibri Light" w:cs="Calibri Light"/>
          <w:szCs w:val="22"/>
        </w:rPr>
        <w:t>New renewable and storage capacity begins ramping up as early as 2025</w:t>
      </w:r>
      <w:r>
        <w:rPr>
          <w:rFonts w:ascii="Calibri Light" w:eastAsia="Calibri" w:hAnsi="Calibri Light" w:cs="Calibri Light"/>
          <w:szCs w:val="22"/>
        </w:rPr>
        <w:t>.</w:t>
      </w:r>
    </w:p>
    <w:p w:rsidR="00F66475" w:rsidRPr="00CD574B" w:rsidRDefault="00F66475" w:rsidP="00F66475">
      <w:pPr>
        <w:pStyle w:val="ListParagraph"/>
        <w:numPr>
          <w:ilvl w:val="0"/>
          <w:numId w:val="35"/>
        </w:numPr>
        <w:spacing w:after="0" w:line="288" w:lineRule="auto"/>
        <w:ind w:left="714" w:hanging="357"/>
        <w:contextualSpacing w:val="0"/>
        <w:rPr>
          <w:rFonts w:ascii="Calibri Light" w:eastAsia="Calibri" w:hAnsi="Calibri Light" w:cs="Calibri Light"/>
          <w:szCs w:val="22"/>
        </w:rPr>
      </w:pPr>
      <w:r w:rsidRPr="00CD574B">
        <w:rPr>
          <w:rFonts w:ascii="Calibri Light" w:eastAsia="Calibri" w:hAnsi="Calibri Light" w:cs="Calibri Light"/>
          <w:szCs w:val="22"/>
        </w:rPr>
        <w:t>Lower wholesale prices result in accelerated coal closures</w:t>
      </w:r>
      <w:r>
        <w:rPr>
          <w:rFonts w:ascii="Calibri Light" w:eastAsia="Calibri" w:hAnsi="Calibri Light" w:cs="Calibri Light"/>
          <w:szCs w:val="22"/>
        </w:rPr>
        <w:t>.</w:t>
      </w:r>
    </w:p>
    <w:p w:rsidR="00F66475" w:rsidRPr="00CD574B" w:rsidRDefault="00F66475" w:rsidP="00F66475">
      <w:pPr>
        <w:pStyle w:val="ListParagraph"/>
        <w:numPr>
          <w:ilvl w:val="0"/>
          <w:numId w:val="35"/>
        </w:numPr>
        <w:spacing w:after="200" w:line="288" w:lineRule="auto"/>
        <w:rPr>
          <w:rFonts w:ascii="Calibri Light" w:eastAsia="Calibri" w:hAnsi="Calibri Light" w:cs="Calibri Light"/>
          <w:szCs w:val="22"/>
        </w:rPr>
      </w:pPr>
      <w:r w:rsidRPr="00CD574B">
        <w:rPr>
          <w:rFonts w:ascii="Calibri Light" w:eastAsia="Calibri" w:hAnsi="Calibri Light" w:cs="Calibri Light"/>
          <w:szCs w:val="22"/>
        </w:rPr>
        <w:t>Government action is assumed to increase investor confidence in the sector, resulting in a lower weighted average cost of capital for new renewables projects supported through the policy</w:t>
      </w:r>
      <w:r>
        <w:rPr>
          <w:rFonts w:ascii="Calibri Light" w:eastAsia="Calibri" w:hAnsi="Calibri Light" w:cs="Calibri Light"/>
          <w:szCs w:val="22"/>
        </w:rPr>
        <w:t>.</w:t>
      </w:r>
    </w:p>
    <w:p w:rsidR="00F66475" w:rsidRPr="009C5924" w:rsidRDefault="00F66475" w:rsidP="00F66475">
      <w:pPr>
        <w:spacing w:after="200" w:line="288" w:lineRule="auto"/>
        <w:rPr>
          <w:rFonts w:ascii="Calibri Light" w:eastAsia="Calibri" w:hAnsi="Calibri Light" w:cs="Calibri Light"/>
          <w:szCs w:val="22"/>
        </w:rPr>
      </w:pPr>
      <w:r>
        <w:rPr>
          <w:rFonts w:ascii="Calibri Light" w:eastAsia="Calibri" w:hAnsi="Calibri Light" w:cs="Calibri Light"/>
          <w:szCs w:val="22"/>
          <w:highlight w:val="black"/>
        </w:rPr>
        <w:t>REDACTED TEXT HERE</w:t>
      </w:r>
      <w:r w:rsidRPr="00B463EE">
        <w:rPr>
          <w:rFonts w:ascii="Calibri Light" w:eastAsia="Calibri" w:hAnsi="Calibri Light" w:cs="Calibri Light"/>
          <w:szCs w:val="22"/>
          <w:highlight w:val="black"/>
        </w:rPr>
        <w:t>.</w:t>
      </w:r>
      <w:r w:rsidRPr="009C5924">
        <w:rPr>
          <w:rFonts w:ascii="Calibri Light" w:eastAsia="Calibri" w:hAnsi="Calibri Light" w:cs="Calibri Light"/>
          <w:szCs w:val="22"/>
        </w:rPr>
        <w:t xml:space="preserve"> Additional VRE build is supported by either an efficient CIS or LRET, that de-risks the future revenue profile and reduces the capital costs of new renewable energy investment.</w:t>
      </w:r>
    </w:p>
    <w:p w:rsidR="00F66475" w:rsidRPr="00E916BF" w:rsidRDefault="00F66475" w:rsidP="00F66475">
      <w:pPr>
        <w:spacing w:after="200" w:line="288" w:lineRule="auto"/>
        <w:rPr>
          <w:rFonts w:ascii="Calibri Light" w:eastAsia="Calibri" w:hAnsi="Calibri Light" w:cs="Calibri Light"/>
          <w:szCs w:val="22"/>
        </w:rPr>
      </w:pPr>
      <w:r w:rsidRPr="00E916BF">
        <w:rPr>
          <w:rFonts w:ascii="Calibri Light" w:eastAsia="Calibri" w:hAnsi="Calibri Light" w:cs="Calibri Light"/>
          <w:szCs w:val="22"/>
        </w:rPr>
        <w:t>As illustrated below in Figure 9, in the central scenario, new VRE build will include an increase of 26GW from wind and 13GW from utility scale solar and decrease in coal generation of 14GW from the current 2022 23 NEM generation mix. In the sensitivity scenario, more VRE is built due to increased demand and higher renewable curtailment. This leads to approximately a 30 per cent curtailment of wind and solar in 2030-31 across the NEM and greater build of VRE totalling 42GW from wind and 18GW from solar in the system, and approximately a 12GW decrease in black coal and gas in the NEM compared to a baseline scenario.</w:t>
      </w:r>
    </w:p>
    <w:p w:rsidR="00F66475" w:rsidRDefault="00F66475" w:rsidP="00F66475">
      <w:pPr>
        <w:spacing w:after="200" w:line="288" w:lineRule="auto"/>
        <w:rPr>
          <w:rFonts w:ascii="Calibri Light" w:eastAsia="Calibri" w:hAnsi="Calibri Light" w:cs="Calibri Light"/>
          <w:szCs w:val="22"/>
        </w:rPr>
      </w:pPr>
      <w:r w:rsidRPr="00856598">
        <w:rPr>
          <w:rFonts w:ascii="Calibri Light" w:eastAsia="Calibri" w:hAnsi="Calibri Light" w:cs="Calibri Light"/>
          <w:b/>
          <w:szCs w:val="22"/>
        </w:rPr>
        <w:t>Figure 9: 2022-23 vs 2030-31 NEM capacity mix – 82 per cent policy scenarios</w:t>
      </w:r>
      <w:r w:rsidRPr="00D8354A" w:rsidDel="00D8354A">
        <w:rPr>
          <w:rFonts w:ascii="Calibri Light" w:eastAsia="Calibri" w:hAnsi="Calibri Light" w:cs="Calibri Light"/>
          <w:b/>
          <w:szCs w:val="22"/>
          <w:shd w:val="clear" w:color="auto" w:fill="FFFFCC"/>
        </w:rPr>
        <w:t xml:space="preserve"> </w:t>
      </w:r>
    </w:p>
    <w:p w:rsidR="00F66475" w:rsidRPr="00CD574B" w:rsidRDefault="00F66475" w:rsidP="00F66475">
      <w:pPr>
        <w:spacing w:after="200" w:line="288" w:lineRule="auto"/>
        <w:rPr>
          <w:rFonts w:ascii="Calibri Light" w:eastAsia="Calibri" w:hAnsi="Calibri Light" w:cs="Calibri Light"/>
          <w:szCs w:val="22"/>
        </w:rPr>
      </w:pPr>
      <w:r w:rsidRPr="00B463EE">
        <w:rPr>
          <w:rFonts w:ascii="Calibri Light" w:hAnsi="Calibri Light" w:cs="Calibri Light"/>
          <w:noProof/>
          <w:sz w:val="18"/>
          <w:szCs w:val="18"/>
          <w:highlight w:val="yellow"/>
          <w:lang w:eastAsia="en-AU"/>
        </w:rPr>
        <w:drawing>
          <wp:inline distT="0" distB="0" distL="0" distR="0" wp14:anchorId="7C2474D8" wp14:editId="1DA37E07">
            <wp:extent cx="6120130" cy="2764155"/>
            <wp:effectExtent l="0" t="0" r="0" b="0"/>
            <wp:docPr id="1852265776" name="Picture 1852265776" descr="A graph of gas storage and sto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65776" name="Picture 1" descr="A graph of gas storage and storage&#10;&#10;Description automatically generated"/>
                    <pic:cNvPicPr/>
                  </pic:nvPicPr>
                  <pic:blipFill>
                    <a:blip r:embed="rId11"/>
                    <a:stretch>
                      <a:fillRect/>
                    </a:stretch>
                  </pic:blipFill>
                  <pic:spPr>
                    <a:xfrm>
                      <a:off x="0" y="0"/>
                      <a:ext cx="6120130" cy="2764155"/>
                    </a:xfrm>
                    <a:prstGeom prst="rect">
                      <a:avLst/>
                    </a:prstGeom>
                  </pic:spPr>
                </pic:pic>
              </a:graphicData>
            </a:graphic>
          </wp:inline>
        </w:drawing>
      </w:r>
      <w:r w:rsidRPr="00BD0CE0">
        <w:rPr>
          <w:rFonts w:ascii="Calibri Light" w:hAnsi="Calibri Light" w:cs="Calibri Light"/>
          <w:sz w:val="18"/>
          <w:szCs w:val="18"/>
        </w:rPr>
        <w:t>Source: EY ROAM, ACIL Allen, OpenNEM</w:t>
      </w:r>
    </w:p>
    <w:p w:rsidR="00F66475" w:rsidRPr="00B463EE" w:rsidRDefault="00F66475" w:rsidP="00F66475">
      <w:pPr>
        <w:pStyle w:val="Heading3"/>
        <w:rPr>
          <w:rFonts w:ascii="Calibri Light" w:hAnsi="Calibri Light" w:cs="Calibri Light"/>
          <w:color w:val="auto"/>
          <w:highlight w:val="black"/>
          <w:u w:val="single"/>
          <w:lang w:val="en-US"/>
        </w:rPr>
      </w:pPr>
      <w:bookmarkStart w:id="119" w:name="_Toc1527436050"/>
      <w:r w:rsidRPr="00E916BF">
        <w:rPr>
          <w:rFonts w:ascii="Calibri Light" w:hAnsi="Calibri Light" w:cs="Calibri Light"/>
          <w:color w:val="197C7D"/>
          <w:u w:val="single"/>
          <w:lang w:val="en-US"/>
        </w:rPr>
        <w:t>Emissions</w:t>
      </w:r>
      <w:bookmarkEnd w:id="119"/>
    </w:p>
    <w:p w:rsidR="00F66475" w:rsidRPr="00E916BF" w:rsidRDefault="00F66475" w:rsidP="00F66475">
      <w:pPr>
        <w:spacing w:after="200" w:line="288" w:lineRule="auto"/>
        <w:rPr>
          <w:rFonts w:ascii="Calibri Light" w:eastAsia="Calibri" w:hAnsi="Calibri Light" w:cs="Calibri Light"/>
          <w:szCs w:val="22"/>
        </w:rPr>
      </w:pPr>
      <w:r w:rsidRPr="00E916BF">
        <w:rPr>
          <w:rFonts w:ascii="Calibri Light" w:eastAsia="Calibri" w:hAnsi="Calibri Light" w:cs="Calibri Light"/>
          <w:szCs w:val="22"/>
        </w:rPr>
        <w:t>With the introduction of the CIS or LRET, NEM emissions in 2029-30 are projected to be nearly half those in the base case scenario (41 Mt CO2-e compared to 76 Mt CO2-e – see Figure 10).</w:t>
      </w:r>
    </w:p>
    <w:p w:rsidR="00F66475" w:rsidRPr="005169AE" w:rsidRDefault="00F66475" w:rsidP="00F66475">
      <w:pPr>
        <w:spacing w:after="200" w:line="288" w:lineRule="auto"/>
        <w:rPr>
          <w:rFonts w:ascii="Calibri Light" w:eastAsia="Calibri" w:hAnsi="Calibri Light" w:cs="Calibri Light"/>
          <w:b/>
          <w:szCs w:val="22"/>
        </w:rPr>
      </w:pPr>
      <w:r w:rsidRPr="00E916BF">
        <w:rPr>
          <w:rFonts w:ascii="Calibri Light" w:eastAsia="Calibri" w:hAnsi="Calibri Light" w:cs="Calibri Light"/>
          <w:b/>
          <w:szCs w:val="22"/>
        </w:rPr>
        <w:t>Figure 10: NEM emissions 82 per cent policy scenario vs base case, 2024-2030</w:t>
      </w:r>
    </w:p>
    <w:p w:rsidR="00F66475" w:rsidRPr="00B463EE" w:rsidRDefault="00F66475" w:rsidP="00F66475">
      <w:pPr>
        <w:spacing w:after="200" w:line="288" w:lineRule="auto"/>
        <w:rPr>
          <w:rFonts w:ascii="Calibri Light" w:eastAsia="Calibri" w:hAnsi="Calibri Light" w:cs="Calibri Light"/>
          <w:szCs w:val="22"/>
          <w:highlight w:val="yellow"/>
        </w:rPr>
      </w:pPr>
      <w:r>
        <w:rPr>
          <w:noProof/>
          <w:lang w:eastAsia="en-AU"/>
        </w:rPr>
        <w:lastRenderedPageBreak/>
        <w:drawing>
          <wp:inline distT="0" distB="0" distL="0" distR="0" wp14:anchorId="24269A40" wp14:editId="77F85C91">
            <wp:extent cx="5761355" cy="2933396"/>
            <wp:effectExtent l="0" t="0" r="0" b="635"/>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rcRect b="9492"/>
                    <a:stretch/>
                  </pic:blipFill>
                  <pic:spPr bwMode="auto">
                    <a:xfrm>
                      <a:off x="0" y="0"/>
                      <a:ext cx="5761355" cy="2933396"/>
                    </a:xfrm>
                    <a:prstGeom prst="rect">
                      <a:avLst/>
                    </a:prstGeom>
                    <a:ln>
                      <a:noFill/>
                    </a:ln>
                    <a:extLst>
                      <a:ext uri="{53640926-AAD7-44D8-BBD7-CCE9431645EC}">
                        <a14:shadowObscured xmlns:a14="http://schemas.microsoft.com/office/drawing/2010/main"/>
                      </a:ext>
                    </a:extLst>
                  </pic:spPr>
                </pic:pic>
              </a:graphicData>
            </a:graphic>
          </wp:inline>
        </w:drawing>
      </w:r>
    </w:p>
    <w:p w:rsidR="00F66475" w:rsidRPr="008D514A" w:rsidRDefault="00F66475" w:rsidP="00F66475">
      <w:pPr>
        <w:spacing w:after="200" w:line="288" w:lineRule="auto"/>
        <w:rPr>
          <w:rFonts w:ascii="Calibri Light" w:eastAsia="Calibri" w:hAnsi="Calibri Light" w:cs="Calibri Light"/>
          <w:szCs w:val="22"/>
        </w:rPr>
      </w:pPr>
      <w:r w:rsidRPr="005E10DA">
        <w:rPr>
          <w:rFonts w:ascii="Calibri Light" w:hAnsi="Calibri Light" w:cs="Calibri Light"/>
          <w:sz w:val="18"/>
          <w:szCs w:val="18"/>
        </w:rPr>
        <w:t>Source: 82% policy case modelling</w:t>
      </w:r>
    </w:p>
    <w:p w:rsidR="00F66475" w:rsidRDefault="00F66475" w:rsidP="00F66475">
      <w:pPr>
        <w:spacing w:after="200" w:line="288" w:lineRule="auto"/>
        <w:rPr>
          <w:rFonts w:ascii="Calibri Light" w:eastAsia="Calibri" w:hAnsi="Calibri Light" w:cs="Calibri Light"/>
          <w:szCs w:val="22"/>
        </w:rPr>
      </w:pPr>
    </w:p>
    <w:p w:rsidR="00F66475" w:rsidRPr="005169AE" w:rsidRDefault="00F66475" w:rsidP="00F66475">
      <w:pPr>
        <w:pStyle w:val="Heading3"/>
        <w:rPr>
          <w:rFonts w:ascii="Calibri Light" w:hAnsi="Calibri Light" w:cs="Calibri Light"/>
          <w:color w:val="197C7D"/>
          <w:u w:val="single"/>
          <w:lang w:val="en-US"/>
        </w:rPr>
      </w:pPr>
      <w:bookmarkStart w:id="120" w:name="_Toc1324117630"/>
      <w:r w:rsidRPr="00596D2E">
        <w:rPr>
          <w:rFonts w:ascii="Calibri Light" w:hAnsi="Calibri Light" w:cs="Calibri Light"/>
          <w:color w:val="197C7D"/>
          <w:u w:val="single"/>
          <w:lang w:val="en-US"/>
        </w:rPr>
        <w:t>Prices</w:t>
      </w:r>
      <w:bookmarkEnd w:id="120"/>
    </w:p>
    <w:p w:rsidR="00F66475" w:rsidRPr="00D15DB2" w:rsidRDefault="00F66475" w:rsidP="00F66475">
      <w:pPr>
        <w:spacing w:after="200" w:line="288" w:lineRule="auto"/>
        <w:rPr>
          <w:rFonts w:ascii="Calibri Light" w:hAnsi="Calibri Light" w:cs="Calibri Light"/>
          <w:sz w:val="18"/>
          <w:szCs w:val="18"/>
          <w:highlight w:val="black"/>
        </w:rPr>
      </w:pPr>
      <w:r w:rsidRPr="00D15DB2">
        <w:rPr>
          <w:rFonts w:ascii="Calibri Light" w:hAnsi="Calibri Light" w:cs="Calibri Light"/>
          <w:sz w:val="18"/>
          <w:szCs w:val="18"/>
          <w:highlight w:val="black"/>
        </w:rPr>
        <w:t>REDACTED TEXT HERE</w:t>
      </w:r>
    </w:p>
    <w:p w:rsidR="004A5845" w:rsidRDefault="004A5845" w:rsidP="00F66475">
      <w:pPr>
        <w:spacing w:after="200" w:line="288" w:lineRule="auto"/>
        <w:rPr>
          <w:rFonts w:cstheme="minorHAnsi"/>
          <w:szCs w:val="22"/>
          <w:highlight w:val="yellow"/>
        </w:rPr>
      </w:pPr>
    </w:p>
    <w:p w:rsidR="004A5845" w:rsidRPr="00D15DB2" w:rsidRDefault="004A5845" w:rsidP="004A5845">
      <w:pPr>
        <w:spacing w:after="200" w:line="288" w:lineRule="auto"/>
        <w:rPr>
          <w:rFonts w:ascii="Calibri Light" w:hAnsi="Calibri Light" w:cs="Calibri Light"/>
          <w:sz w:val="18"/>
          <w:szCs w:val="18"/>
          <w:highlight w:val="black"/>
        </w:rPr>
      </w:pPr>
      <w:r w:rsidRPr="00D15DB2">
        <w:rPr>
          <w:rFonts w:ascii="Calibri Light" w:hAnsi="Calibri Light" w:cs="Calibri Light"/>
          <w:sz w:val="18"/>
          <w:szCs w:val="18"/>
          <w:highlight w:val="black"/>
        </w:rPr>
        <w:t>REDACTED TEXT HERE</w:t>
      </w:r>
    </w:p>
    <w:p w:rsidR="00F66475" w:rsidRPr="000158E5" w:rsidRDefault="00F66475" w:rsidP="00F66475">
      <w:pPr>
        <w:spacing w:after="200" w:line="288" w:lineRule="auto"/>
        <w:rPr>
          <w:rFonts w:ascii="Calibri Light" w:eastAsia="Calibri" w:hAnsi="Calibri Light" w:cs="Calibri Light"/>
          <w:szCs w:val="22"/>
        </w:rPr>
      </w:pPr>
      <w:r w:rsidRPr="000158E5">
        <w:rPr>
          <w:rFonts w:ascii="Calibri Light" w:eastAsia="Calibri" w:hAnsi="Calibri Light" w:cs="Calibri Light"/>
          <w:szCs w:val="22"/>
        </w:rPr>
        <w:t>As wholesale prices currently constitute 30-40 per cent of a consumer's bill, a reduction in wholesale prices could result in significant net benefits for household bills, even if other components such as network costs increase.</w:t>
      </w:r>
    </w:p>
    <w:p w:rsidR="00F66475" w:rsidRPr="00781A02" w:rsidRDefault="00F66475" w:rsidP="00F66475">
      <w:pPr>
        <w:spacing w:after="200" w:line="288" w:lineRule="auto"/>
        <w:rPr>
          <w:rFonts w:ascii="Calibri Light" w:eastAsia="Calibri" w:hAnsi="Calibri Light" w:cs="Calibri Light"/>
          <w:szCs w:val="22"/>
        </w:rPr>
      </w:pPr>
      <w:r w:rsidRPr="000158E5">
        <w:rPr>
          <w:rFonts w:ascii="Calibri Light" w:eastAsia="Calibri" w:hAnsi="Calibri Light" w:cs="Calibri Light"/>
          <w:szCs w:val="22"/>
        </w:rPr>
        <w:t>Across the components of consumer prices, the following shifts may be expected</w:t>
      </w:r>
      <w:r w:rsidRPr="00781A02">
        <w:rPr>
          <w:rFonts w:ascii="Calibri Light" w:eastAsia="Calibri" w:hAnsi="Calibri Light" w:cs="Calibri Light"/>
          <w:szCs w:val="22"/>
        </w:rPr>
        <w:t>:</w:t>
      </w:r>
    </w:p>
    <w:p w:rsidR="00F66475" w:rsidRPr="00781A02" w:rsidRDefault="00F66475" w:rsidP="00F66475">
      <w:pPr>
        <w:pStyle w:val="ListParagraph"/>
        <w:numPr>
          <w:ilvl w:val="0"/>
          <w:numId w:val="20"/>
        </w:numPr>
        <w:spacing w:after="200" w:line="288" w:lineRule="auto"/>
        <w:rPr>
          <w:rFonts w:ascii="Calibri Light" w:eastAsia="Calibri" w:hAnsi="Calibri Light" w:cs="Calibri Light"/>
          <w:szCs w:val="22"/>
        </w:rPr>
      </w:pPr>
      <w:r w:rsidRPr="00781A02">
        <w:rPr>
          <w:rFonts w:ascii="Calibri Light" w:eastAsia="Calibri" w:hAnsi="Calibri Light" w:cs="Calibri Light"/>
          <w:szCs w:val="22"/>
        </w:rPr>
        <w:t>Decrease in wholesale costs of the DMO from today’s costs as there are more renewables in the system and average wholesale prices will be lower.</w:t>
      </w:r>
    </w:p>
    <w:p w:rsidR="00F66475" w:rsidRPr="00781A02" w:rsidRDefault="00F66475" w:rsidP="00F66475">
      <w:pPr>
        <w:pStyle w:val="ListParagraph"/>
        <w:numPr>
          <w:ilvl w:val="0"/>
          <w:numId w:val="20"/>
        </w:numPr>
        <w:spacing w:after="200" w:line="288" w:lineRule="auto"/>
        <w:rPr>
          <w:rFonts w:ascii="Calibri Light" w:eastAsia="Calibri" w:hAnsi="Calibri Light" w:cs="Calibri Light"/>
          <w:szCs w:val="22"/>
        </w:rPr>
      </w:pPr>
      <w:r w:rsidRPr="00781A02">
        <w:rPr>
          <w:rFonts w:ascii="Calibri Light" w:eastAsia="Calibri" w:hAnsi="Calibri Light" w:cs="Calibri Light"/>
          <w:szCs w:val="22"/>
        </w:rPr>
        <w:t>Increase in network costs to account for significant increase in new transmission projects between now and 2030.</w:t>
      </w:r>
    </w:p>
    <w:p w:rsidR="00F66475" w:rsidRPr="00D15DB2" w:rsidRDefault="00F66475" w:rsidP="00F66475">
      <w:pPr>
        <w:spacing w:after="200" w:line="288" w:lineRule="auto"/>
        <w:rPr>
          <w:rFonts w:ascii="Calibri Light" w:hAnsi="Calibri Light" w:cs="Calibri Light"/>
          <w:sz w:val="18"/>
          <w:szCs w:val="18"/>
          <w:highlight w:val="black"/>
        </w:rPr>
      </w:pPr>
      <w:r w:rsidRPr="00D15DB2">
        <w:rPr>
          <w:rFonts w:ascii="Calibri Light" w:hAnsi="Calibri Light" w:cs="Calibri Light"/>
          <w:sz w:val="18"/>
          <w:szCs w:val="18"/>
          <w:highlight w:val="black"/>
        </w:rPr>
        <w:t>REDACTED TEXT HERE</w:t>
      </w:r>
    </w:p>
    <w:p w:rsidR="00F66475" w:rsidRDefault="00F66475" w:rsidP="00F66475">
      <w:pPr>
        <w:spacing w:after="200" w:line="288" w:lineRule="auto"/>
        <w:rPr>
          <w:rFonts w:ascii="Calibri Light" w:eastAsia="Calibri" w:hAnsi="Calibri Light" w:cs="Calibri Light"/>
          <w:b/>
          <w:szCs w:val="22"/>
        </w:rPr>
      </w:pPr>
    </w:p>
    <w:p w:rsidR="00F66475" w:rsidRDefault="00F66475" w:rsidP="00F66475">
      <w:pPr>
        <w:spacing w:after="200" w:line="288" w:lineRule="auto"/>
        <w:rPr>
          <w:rFonts w:ascii="Calibri Light" w:eastAsia="Calibri" w:hAnsi="Calibri Light" w:cs="Calibri Light"/>
          <w:b/>
          <w:szCs w:val="22"/>
        </w:rPr>
      </w:pPr>
    </w:p>
    <w:p w:rsidR="00F66475" w:rsidRDefault="00F66475" w:rsidP="00F66475">
      <w:pPr>
        <w:spacing w:after="200" w:line="288" w:lineRule="auto"/>
        <w:rPr>
          <w:rFonts w:ascii="Calibri Light" w:eastAsia="Calibri" w:hAnsi="Calibri Light" w:cs="Calibri Light"/>
          <w:b/>
          <w:szCs w:val="22"/>
        </w:rPr>
      </w:pPr>
    </w:p>
    <w:p w:rsidR="00F66475" w:rsidRDefault="00F66475" w:rsidP="00F66475">
      <w:pPr>
        <w:spacing w:after="200" w:line="288" w:lineRule="auto"/>
        <w:rPr>
          <w:rFonts w:ascii="Calibri Light" w:eastAsia="Calibri" w:hAnsi="Calibri Light" w:cs="Calibri Light"/>
          <w:b/>
          <w:szCs w:val="22"/>
        </w:rPr>
      </w:pPr>
    </w:p>
    <w:p w:rsidR="00F66475" w:rsidRDefault="00F66475" w:rsidP="00F66475">
      <w:pPr>
        <w:spacing w:after="200" w:line="288" w:lineRule="auto"/>
        <w:rPr>
          <w:rFonts w:ascii="Calibri Light" w:eastAsia="Calibri" w:hAnsi="Calibri Light" w:cs="Calibri Light"/>
          <w:b/>
          <w:szCs w:val="22"/>
        </w:rPr>
      </w:pPr>
    </w:p>
    <w:p w:rsidR="00F66475" w:rsidRPr="00D15DB2" w:rsidRDefault="00F66475" w:rsidP="00F66475">
      <w:pPr>
        <w:spacing w:after="200" w:line="288" w:lineRule="auto"/>
        <w:rPr>
          <w:rFonts w:ascii="Calibri Light" w:eastAsia="Calibri" w:hAnsi="Calibri Light" w:cs="Calibri Light"/>
          <w:szCs w:val="22"/>
          <w:highlight w:val="black"/>
        </w:rPr>
      </w:pPr>
    </w:p>
    <w:p w:rsidR="00F66475" w:rsidRPr="00D15DB2" w:rsidRDefault="00F66475" w:rsidP="00F66475">
      <w:pPr>
        <w:rPr>
          <w:rFonts w:ascii="Calibri Light" w:eastAsia="Calibri" w:hAnsi="Calibri Light" w:cs="Calibri Light"/>
          <w:szCs w:val="22"/>
          <w:highlight w:val="black"/>
        </w:rPr>
      </w:pPr>
      <w:r w:rsidRPr="00D15DB2">
        <w:rPr>
          <w:rFonts w:ascii="Calibri Light" w:eastAsia="Calibri" w:hAnsi="Calibri Light" w:cs="Calibri Light"/>
          <w:szCs w:val="22"/>
          <w:highlight w:val="black"/>
        </w:rPr>
        <w:t>REDACTED TEXT HERE</w:t>
      </w:r>
    </w:p>
    <w:p w:rsidR="00F66475" w:rsidRPr="00150CC2" w:rsidRDefault="00F66475" w:rsidP="00F66475">
      <w:pPr>
        <w:pStyle w:val="Heading3"/>
        <w:rPr>
          <w:rFonts w:ascii="Calibri Light" w:hAnsi="Calibri Light" w:cs="Calibri Light"/>
          <w:color w:val="197C7D"/>
          <w:u w:val="single"/>
          <w:lang w:val="en-US"/>
        </w:rPr>
      </w:pPr>
      <w:bookmarkStart w:id="121" w:name="_Toc1313378508"/>
      <w:r w:rsidRPr="52A7AAAB">
        <w:rPr>
          <w:rFonts w:ascii="Calibri Light" w:hAnsi="Calibri Light" w:cs="Calibri Light"/>
          <w:color w:val="197C7D"/>
          <w:u w:val="single"/>
          <w:lang w:val="en-US"/>
        </w:rPr>
        <w:t>Revenue gap</w:t>
      </w:r>
      <w:bookmarkEnd w:id="121"/>
    </w:p>
    <w:p w:rsidR="00F66475" w:rsidRDefault="00F66475" w:rsidP="00F66475">
      <w:pPr>
        <w:spacing w:after="200" w:line="288" w:lineRule="auto"/>
        <w:rPr>
          <w:rFonts w:ascii="Calibri Light" w:eastAsia="Calibri" w:hAnsi="Calibri Light" w:cs="Calibri Light"/>
          <w:szCs w:val="22"/>
        </w:rPr>
      </w:pPr>
      <w:r w:rsidRPr="00950358">
        <w:rPr>
          <w:rFonts w:ascii="Calibri Light" w:eastAsia="Calibri" w:hAnsi="Calibri Light" w:cs="Calibri Light"/>
          <w:szCs w:val="22"/>
        </w:rPr>
        <w:t xml:space="preserve">Under the 82 per cent scenarios, </w:t>
      </w:r>
      <w:r>
        <w:rPr>
          <w:rFonts w:ascii="Calibri Light" w:eastAsia="Calibri" w:hAnsi="Calibri Light" w:cs="Calibri Light"/>
          <w:szCs w:val="22"/>
        </w:rPr>
        <w:t xml:space="preserve">which assumes </w:t>
      </w:r>
      <w:r w:rsidRPr="00CD574B">
        <w:rPr>
          <w:rFonts w:ascii="Calibri Light" w:eastAsia="Calibri" w:hAnsi="Calibri Light" w:cs="Calibri Light"/>
          <w:szCs w:val="22"/>
        </w:rPr>
        <w:t>VRE build is supported by either an efficient CIS or LRET</w:t>
      </w:r>
      <w:r>
        <w:rPr>
          <w:rFonts w:ascii="Calibri Light" w:eastAsia="Calibri" w:hAnsi="Calibri Light" w:cs="Calibri Light"/>
          <w:szCs w:val="22"/>
        </w:rPr>
        <w:t xml:space="preserve">, </w:t>
      </w:r>
      <w:r w:rsidRPr="00950358">
        <w:rPr>
          <w:rFonts w:ascii="Calibri Light" w:eastAsia="Calibri" w:hAnsi="Calibri Light" w:cs="Calibri Light"/>
          <w:szCs w:val="22"/>
        </w:rPr>
        <w:t xml:space="preserve">due to expected supressed wholesale prices, the additional wind and solar electricity generation projects required to achieve the targets are projected to face a shortfall of revenues necessary to make them economically viable. </w:t>
      </w:r>
      <w:r w:rsidRPr="00D15DB2">
        <w:rPr>
          <w:rFonts w:ascii="Calibri Light" w:eastAsia="Calibri" w:hAnsi="Calibri Light" w:cs="Calibri Light"/>
          <w:szCs w:val="22"/>
          <w:highlight w:val="black"/>
        </w:rPr>
        <w:t>REDACTED TEXT HERE</w:t>
      </w:r>
      <w:r w:rsidRPr="00950358">
        <w:rPr>
          <w:rFonts w:ascii="Calibri Light" w:eastAsia="Calibri" w:hAnsi="Calibri Light" w:cs="Calibri Light"/>
          <w:szCs w:val="22"/>
        </w:rPr>
        <w:t xml:space="preserve"> This means investment in these projects is unlikely to occur without an intervention that delivers certainty that this revenue shortfall will be met, to support investment through an uncertain transitional period.</w:t>
      </w:r>
      <w:r w:rsidRPr="001D6C31">
        <w:rPr>
          <w:rFonts w:ascii="Calibri Light" w:eastAsia="Calibri" w:hAnsi="Calibri Light" w:cs="Calibri Light"/>
          <w:szCs w:val="22"/>
        </w:rPr>
        <w:t xml:space="preserve"> </w:t>
      </w:r>
    </w:p>
    <w:p w:rsidR="00F66475" w:rsidRPr="00561980" w:rsidRDefault="00F66475" w:rsidP="00F66475">
      <w:pPr>
        <w:pStyle w:val="Heading3"/>
        <w:rPr>
          <w:rFonts w:ascii="Calibri Light" w:hAnsi="Calibri Light" w:cs="Calibri Light"/>
          <w:color w:val="197C7D"/>
          <w:sz w:val="36"/>
          <w:szCs w:val="36"/>
          <w:lang w:val="en-US"/>
        </w:rPr>
      </w:pPr>
      <w:bookmarkStart w:id="122" w:name="_Toc81509664"/>
      <w:r w:rsidRPr="52A7AAAB">
        <w:rPr>
          <w:rFonts w:ascii="Calibri Light" w:hAnsi="Calibri Light" w:cs="Calibri Light"/>
          <w:color w:val="197C7D"/>
          <w:sz w:val="36"/>
          <w:szCs w:val="36"/>
          <w:lang w:val="en-US"/>
        </w:rPr>
        <w:t>Comparative analysis</w:t>
      </w:r>
      <w:bookmarkEnd w:id="122"/>
    </w:p>
    <w:p w:rsidR="00F66475" w:rsidRPr="005169AE" w:rsidRDefault="00F66475" w:rsidP="00F66475">
      <w:pPr>
        <w:pStyle w:val="Heading3"/>
        <w:rPr>
          <w:rFonts w:ascii="Calibri Light" w:hAnsi="Calibri Light" w:cs="Calibri Light"/>
          <w:color w:val="197C7D"/>
          <w:u w:val="single"/>
          <w:lang w:val="en-US"/>
        </w:rPr>
      </w:pPr>
      <w:bookmarkStart w:id="123" w:name="_Toc1910861667"/>
      <w:r w:rsidRPr="52A7AAAB">
        <w:rPr>
          <w:rFonts w:ascii="Calibri Light" w:hAnsi="Calibri Light" w:cs="Calibri Light"/>
          <w:color w:val="197C7D"/>
          <w:u w:val="single"/>
          <w:lang w:val="en-US"/>
        </w:rPr>
        <w:t>Economic and system efficiency</w:t>
      </w:r>
      <w:bookmarkEnd w:id="123"/>
    </w:p>
    <w:p w:rsidR="00F66475" w:rsidRPr="00A073D2" w:rsidRDefault="00F66475" w:rsidP="00F66475">
      <w:pPr>
        <w:rPr>
          <w:rFonts w:ascii="Calibri Light" w:eastAsia="Calibri" w:hAnsi="Calibri Light" w:cs="Calibri Light"/>
          <w:szCs w:val="22"/>
        </w:rPr>
      </w:pPr>
      <w:r w:rsidRPr="00A073D2">
        <w:rPr>
          <w:rFonts w:ascii="Calibri Light" w:eastAsia="Calibri" w:hAnsi="Calibri Light" w:cs="Calibri Light"/>
          <w:szCs w:val="22"/>
        </w:rPr>
        <w:t>A</w:t>
      </w:r>
      <w:r w:rsidRPr="004B1A72">
        <w:rPr>
          <w:rFonts w:ascii="Calibri Light" w:eastAsia="Calibri" w:hAnsi="Calibri Light" w:cs="Calibri Light"/>
          <w:szCs w:val="22"/>
        </w:rPr>
        <w:t xml:space="preserve"> CIS </w:t>
      </w:r>
      <w:r w:rsidRPr="00A073D2">
        <w:rPr>
          <w:rFonts w:ascii="Calibri Light" w:eastAsia="Calibri" w:hAnsi="Calibri Light" w:cs="Calibri Light"/>
          <w:szCs w:val="22"/>
        </w:rPr>
        <w:t>style mechanism can be</w:t>
      </w:r>
      <w:r w:rsidRPr="004B1A72">
        <w:rPr>
          <w:rFonts w:ascii="Calibri Light" w:eastAsia="Calibri" w:hAnsi="Calibri Light" w:cs="Calibri Light"/>
          <w:szCs w:val="22"/>
        </w:rPr>
        <w:t xml:space="preserve"> more efficient than the </w:t>
      </w:r>
      <w:r>
        <w:rPr>
          <w:rFonts w:ascii="Calibri Light" w:eastAsia="Calibri" w:hAnsi="Calibri Light" w:cs="Calibri Light"/>
          <w:szCs w:val="22"/>
        </w:rPr>
        <w:t>L</w:t>
      </w:r>
      <w:r w:rsidRPr="004B1A72">
        <w:rPr>
          <w:rFonts w:ascii="Calibri Light" w:eastAsia="Calibri" w:hAnsi="Calibri Light" w:cs="Calibri Light"/>
          <w:szCs w:val="22"/>
        </w:rPr>
        <w:t xml:space="preserve">RET in de-risking investment because it directly addresses revenue uncertainty at the individual project level through competitive auctions for new renewables investment, whereas the </w:t>
      </w:r>
      <w:r>
        <w:rPr>
          <w:rFonts w:ascii="Calibri Light" w:eastAsia="Calibri" w:hAnsi="Calibri Light" w:cs="Calibri Light"/>
          <w:szCs w:val="22"/>
        </w:rPr>
        <w:t>L</w:t>
      </w:r>
      <w:r w:rsidRPr="004B1A72">
        <w:rPr>
          <w:rFonts w:ascii="Calibri Light" w:eastAsia="Calibri" w:hAnsi="Calibri Light" w:cs="Calibri Light"/>
          <w:szCs w:val="22"/>
        </w:rPr>
        <w:t xml:space="preserve">RET provides a second source of revenue accessible by all renewable generators (both existing and new) that is itself uncertain due to the uncertainty of future </w:t>
      </w:r>
      <w:r>
        <w:rPr>
          <w:rFonts w:ascii="Calibri Light" w:eastAsia="Calibri" w:hAnsi="Calibri Light" w:cs="Calibri Light"/>
          <w:szCs w:val="22"/>
        </w:rPr>
        <w:t>L</w:t>
      </w:r>
      <w:r w:rsidRPr="004B1A72">
        <w:rPr>
          <w:rFonts w:ascii="Calibri Light" w:eastAsia="Calibri" w:hAnsi="Calibri Light" w:cs="Calibri Light"/>
          <w:szCs w:val="22"/>
        </w:rPr>
        <w:t xml:space="preserve">RET certificate prices. </w:t>
      </w:r>
    </w:p>
    <w:p w:rsidR="00F66475" w:rsidRPr="00A073D2" w:rsidRDefault="00F66475" w:rsidP="00F66475">
      <w:pPr>
        <w:rPr>
          <w:rFonts w:ascii="Calibri Light" w:eastAsia="Calibri" w:hAnsi="Calibri Light" w:cs="Calibri Light"/>
          <w:szCs w:val="22"/>
        </w:rPr>
      </w:pPr>
      <w:r w:rsidRPr="00A073D2">
        <w:rPr>
          <w:rFonts w:ascii="Calibri Light" w:eastAsia="Calibri" w:hAnsi="Calibri Light" w:cs="Calibri Light"/>
          <w:szCs w:val="22"/>
        </w:rPr>
        <w:t>The nature of the large-scale generation certificates (LGCs) market also creates a risk of lower economic efficiency than a revenue underwriting mechanism. Secondary trading of LRET certificates appears to drive their prices above the minimum necessary to support the economic viability of renewable energy projects, either due to voluntary demand or market power, increasing the efficiency gap.</w:t>
      </w:r>
    </w:p>
    <w:p w:rsidR="00F66475" w:rsidRPr="00A073D2" w:rsidRDefault="00F66475" w:rsidP="00F66475">
      <w:pPr>
        <w:rPr>
          <w:rFonts w:ascii="Calibri Light" w:eastAsia="Calibri" w:hAnsi="Calibri Light" w:cs="Calibri Light"/>
          <w:szCs w:val="22"/>
        </w:rPr>
      </w:pPr>
      <w:r w:rsidRPr="00A073D2">
        <w:rPr>
          <w:rFonts w:ascii="Calibri Light" w:eastAsia="Calibri" w:hAnsi="Calibri Light" w:cs="Calibri Light"/>
          <w:szCs w:val="22"/>
        </w:rPr>
        <w:t>The LRET was a successful instrument for incentivizing new investment while at low levels of renewable penetration. However, as the share of renewables approaches 82 per cent and wholesale electricity prices fall, competition for LRET certificate revenues could become more important for renewable generators than competing in the wholesale market to sell electricity, undermining price signals and reducing allocative efficiency in the electricity market.</w:t>
      </w:r>
    </w:p>
    <w:p w:rsidR="00F66475" w:rsidRPr="00CD574B" w:rsidRDefault="00F66475" w:rsidP="00F66475">
      <w:bookmarkStart w:id="124" w:name="_Toc148108244"/>
      <w:r w:rsidRPr="00A073D2">
        <w:rPr>
          <w:rFonts w:ascii="Calibri Light" w:eastAsia="Calibri" w:hAnsi="Calibri Light" w:cs="Calibri Light"/>
          <w:szCs w:val="22"/>
        </w:rPr>
        <w:t xml:space="preserve">While a straight-forward contract for difference (CfDs) mechanism also insulates developers from price signals, design of CIS auctions provides the ability to adjust over time to optimise system build, including optimisation of co-located storage and generation, locational considerations, and other factors to enhance overall system efficiency. Achieving the same outcome under the LRET scheme would require additional </w:t>
      </w:r>
      <w:r w:rsidRPr="005F2FD5">
        <w:rPr>
          <w:rFonts w:ascii="Calibri Light" w:eastAsia="Calibri" w:hAnsi="Calibri Light" w:cs="Calibri Light"/>
          <w:szCs w:val="22"/>
        </w:rPr>
        <w:t>regulation or market rules, undermining two of the key arguments for expanding the LRET, which are its simplicity and market familiarity.</w:t>
      </w:r>
      <w:bookmarkEnd w:id="124"/>
    </w:p>
    <w:p w:rsidR="00F66475" w:rsidRPr="005169AE" w:rsidRDefault="00F66475" w:rsidP="00F66475">
      <w:pPr>
        <w:pStyle w:val="Heading3"/>
        <w:rPr>
          <w:rFonts w:ascii="Calibri Light" w:hAnsi="Calibri Light" w:cs="Calibri Light"/>
          <w:color w:val="197C7D"/>
          <w:u w:val="single"/>
          <w:lang w:val="en-US"/>
        </w:rPr>
      </w:pPr>
      <w:bookmarkStart w:id="125" w:name="_Toc2114314431"/>
      <w:r w:rsidRPr="52A7AAAB">
        <w:rPr>
          <w:rFonts w:ascii="Calibri Light" w:hAnsi="Calibri Light" w:cs="Calibri Light"/>
          <w:color w:val="197C7D"/>
          <w:u w:val="single"/>
          <w:lang w:val="en-US"/>
        </w:rPr>
        <w:lastRenderedPageBreak/>
        <w:t>Fiscal costs and risks</w:t>
      </w:r>
      <w:bookmarkEnd w:id="125"/>
    </w:p>
    <w:p w:rsidR="00F66475" w:rsidRPr="00B463EE" w:rsidRDefault="00F66475" w:rsidP="00F66475">
      <w:pPr>
        <w:spacing w:after="200" w:line="288" w:lineRule="auto"/>
        <w:rPr>
          <w:rFonts w:ascii="Calibri Light" w:eastAsia="Calibri" w:hAnsi="Calibri Light" w:cs="Calibri Light"/>
          <w:szCs w:val="22"/>
          <w:highlight w:val="black"/>
        </w:rPr>
      </w:pPr>
      <w:r w:rsidRPr="00372136">
        <w:rPr>
          <w:rFonts w:ascii="Calibri Light" w:eastAsia="Calibri" w:hAnsi="Calibri Light" w:cs="Calibri Light"/>
          <w:szCs w:val="22"/>
        </w:rPr>
        <w:t xml:space="preserve">Achieving the same reduction in consumer retail electricity prices under the LRET as the CIS would require the costs to electricity retailers of mandatory </w:t>
      </w:r>
      <w:r>
        <w:rPr>
          <w:rFonts w:ascii="Calibri Light" w:eastAsia="Calibri" w:hAnsi="Calibri Light" w:cs="Calibri Light"/>
          <w:szCs w:val="22"/>
        </w:rPr>
        <w:t>L</w:t>
      </w:r>
      <w:r w:rsidRPr="00372136">
        <w:rPr>
          <w:rFonts w:ascii="Calibri Light" w:eastAsia="Calibri" w:hAnsi="Calibri Light" w:cs="Calibri Light"/>
          <w:szCs w:val="22"/>
        </w:rPr>
        <w:t xml:space="preserve">RET certificate purchases to be rebated by the Government. </w:t>
      </w:r>
      <w:r w:rsidRPr="00D15DB2">
        <w:rPr>
          <w:rFonts w:ascii="Calibri Light" w:eastAsia="Calibri" w:hAnsi="Calibri Light" w:cs="Calibri Light"/>
          <w:szCs w:val="22"/>
          <w:highlight w:val="black"/>
        </w:rPr>
        <w:t>REDACTED TEXT HERE</w:t>
      </w:r>
    </w:p>
    <w:p w:rsidR="00F66475" w:rsidRPr="00372136" w:rsidRDefault="00F66475" w:rsidP="00F66475">
      <w:pPr>
        <w:spacing w:after="200" w:line="288" w:lineRule="auto"/>
        <w:rPr>
          <w:rFonts w:ascii="Calibri Light" w:eastAsia="Calibri" w:hAnsi="Calibri Light" w:cs="Calibri Light"/>
          <w:szCs w:val="22"/>
        </w:rPr>
      </w:pPr>
      <w:r w:rsidRPr="00D15DB2">
        <w:rPr>
          <w:rFonts w:ascii="Calibri Light" w:eastAsia="Calibri" w:hAnsi="Calibri Light" w:cs="Calibri Light"/>
          <w:szCs w:val="22"/>
          <w:highlight w:val="black"/>
        </w:rPr>
        <w:t>REDACTED TEXT HERE</w:t>
      </w:r>
      <w:r w:rsidRPr="00950358">
        <w:rPr>
          <w:rFonts w:ascii="Calibri Light" w:eastAsia="Calibri" w:hAnsi="Calibri Light" w:cs="Calibri Light"/>
          <w:szCs w:val="22"/>
        </w:rPr>
        <w:t xml:space="preserve"> </w:t>
      </w:r>
      <w:r w:rsidRPr="000E7F71">
        <w:rPr>
          <w:rFonts w:ascii="Calibri Light" w:eastAsia="Calibri" w:hAnsi="Calibri Light" w:cs="Calibri Light"/>
          <w:szCs w:val="22"/>
        </w:rPr>
        <w:t>This could occur if renewables did not reach 82 per cent by 2030 due to non-market constraints and there were not sufficient LRET certificates being produced to meet the mandatory purchase requirements of the LRET. Similarly, the cost of the CIS scheme could be significantly higher if it succeeds in driving wholesale prices significantly lower than projected or electrification increases total demand and hence the required additional renewable generation is significantly higher to meet 82 per cent. However, a key difference between the two schemes is that the scale of CIS auctions can be adjusted over time to reflect the evolving energy system, reducing fiscal and broader risks.</w:t>
      </w:r>
    </w:p>
    <w:p w:rsidR="00F66475" w:rsidRPr="005169AE" w:rsidRDefault="00F66475" w:rsidP="00F66475">
      <w:pPr>
        <w:pStyle w:val="Heading3"/>
        <w:rPr>
          <w:rFonts w:ascii="Calibri Light" w:hAnsi="Calibri Light" w:cs="Calibri Light"/>
          <w:color w:val="197C7D"/>
          <w:u w:val="single"/>
          <w:lang w:val="en-US"/>
        </w:rPr>
      </w:pPr>
      <w:bookmarkStart w:id="126" w:name="_Toc1842873099"/>
      <w:r w:rsidRPr="52A7AAAB">
        <w:rPr>
          <w:rFonts w:ascii="Calibri Light" w:hAnsi="Calibri Light" w:cs="Calibri Light"/>
          <w:color w:val="197C7D"/>
          <w:u w:val="single"/>
          <w:lang w:val="en-US"/>
        </w:rPr>
        <w:t>Implementation challenges and time to impact</w:t>
      </w:r>
      <w:bookmarkEnd w:id="126"/>
      <w:r w:rsidRPr="52A7AAAB">
        <w:rPr>
          <w:rFonts w:ascii="Calibri Light" w:hAnsi="Calibri Light" w:cs="Calibri Light"/>
          <w:color w:val="197C7D"/>
          <w:u w:val="single"/>
          <w:lang w:val="en-US"/>
        </w:rPr>
        <w:t xml:space="preserve"> </w:t>
      </w:r>
    </w:p>
    <w:p w:rsidR="00F66475" w:rsidRPr="006F1CC7" w:rsidRDefault="00F66475" w:rsidP="00F66475">
      <w:pPr>
        <w:spacing w:after="200" w:line="288" w:lineRule="auto"/>
        <w:rPr>
          <w:rFonts w:ascii="Calibri Light" w:eastAsia="Calibri" w:hAnsi="Calibri Light" w:cs="Calibri Light"/>
          <w:szCs w:val="22"/>
        </w:rPr>
      </w:pPr>
      <w:r w:rsidRPr="006F1CC7">
        <w:rPr>
          <w:rFonts w:ascii="Calibri Light" w:eastAsia="Calibri" w:hAnsi="Calibri Light" w:cs="Calibri Light"/>
          <w:szCs w:val="22"/>
        </w:rPr>
        <w:t xml:space="preserve">For new renewable energy projects to be generating by 2030, </w:t>
      </w:r>
      <w:r>
        <w:rPr>
          <w:rFonts w:ascii="Calibri Light" w:eastAsia="Calibri" w:hAnsi="Calibri Light" w:cs="Calibri Light"/>
          <w:szCs w:val="22"/>
        </w:rPr>
        <w:t>final investment decisions</w:t>
      </w:r>
      <w:r w:rsidRPr="006F1CC7">
        <w:rPr>
          <w:rFonts w:ascii="Calibri Light" w:eastAsia="Calibri" w:hAnsi="Calibri Light" w:cs="Calibri Light"/>
          <w:szCs w:val="22"/>
        </w:rPr>
        <w:t xml:space="preserve"> will need to be </w:t>
      </w:r>
      <w:r w:rsidRPr="00E6290A">
        <w:rPr>
          <w:rFonts w:ascii="Calibri Light" w:eastAsia="Calibri" w:hAnsi="Calibri Light" w:cs="Calibri Light"/>
          <w:szCs w:val="22"/>
        </w:rPr>
        <w:t>taken</w:t>
      </w:r>
      <w:r w:rsidRPr="006F1CC7">
        <w:rPr>
          <w:rFonts w:ascii="Calibri Light" w:eastAsia="Calibri" w:hAnsi="Calibri Light" w:cs="Calibri Light"/>
          <w:szCs w:val="22"/>
        </w:rPr>
        <w:t xml:space="preserve"> by around 2027</w:t>
      </w:r>
      <w:r w:rsidRPr="00E6290A">
        <w:rPr>
          <w:rFonts w:ascii="Calibri Light" w:eastAsia="Calibri" w:hAnsi="Calibri Light" w:cs="Calibri Light"/>
          <w:szCs w:val="22"/>
        </w:rPr>
        <w:t xml:space="preserve"> for the last tranche of new capacity</w:t>
      </w:r>
      <w:r w:rsidRPr="006F1CC7">
        <w:rPr>
          <w:rFonts w:ascii="Calibri Light" w:eastAsia="Calibri" w:hAnsi="Calibri Light" w:cs="Calibri Light"/>
          <w:szCs w:val="22"/>
        </w:rPr>
        <w:t>, given average construction times for wind and solar farms. This means there are roughly four years to incentivise the renewable generation investment needed to reach 82 per cent by 2030, leaving little room for further delay.</w:t>
      </w:r>
    </w:p>
    <w:p w:rsidR="00F66475" w:rsidRPr="006F1CC7" w:rsidRDefault="00F66475" w:rsidP="00F66475">
      <w:pPr>
        <w:spacing w:after="200" w:line="288" w:lineRule="auto"/>
        <w:rPr>
          <w:rFonts w:ascii="Calibri Light" w:eastAsia="Calibri" w:hAnsi="Calibri Light" w:cs="Calibri Light"/>
          <w:szCs w:val="22"/>
        </w:rPr>
      </w:pPr>
      <w:r w:rsidRPr="006F1CC7">
        <w:rPr>
          <w:rFonts w:ascii="Calibri Light" w:eastAsia="Calibri" w:hAnsi="Calibri Light" w:cs="Calibri Light"/>
          <w:szCs w:val="22"/>
        </w:rPr>
        <w:t xml:space="preserve">An extension of the LRET requires new legislation. Until legislation </w:t>
      </w:r>
      <w:r w:rsidRPr="00E6290A">
        <w:rPr>
          <w:rFonts w:ascii="Calibri Light" w:eastAsia="Calibri" w:hAnsi="Calibri Light" w:cs="Calibri Light"/>
          <w:szCs w:val="22"/>
        </w:rPr>
        <w:t>passes</w:t>
      </w:r>
      <w:r w:rsidRPr="006F1CC7">
        <w:rPr>
          <w:rFonts w:ascii="Calibri Light" w:eastAsia="Calibri" w:hAnsi="Calibri Light" w:cs="Calibri Light"/>
          <w:szCs w:val="22"/>
        </w:rPr>
        <w:t xml:space="preserve">, there is unlikely to be the certainty required to incentivise new renewables investment. </w:t>
      </w:r>
      <w:r w:rsidRPr="00E6290A">
        <w:rPr>
          <w:rFonts w:ascii="Calibri Light" w:eastAsia="Calibri" w:hAnsi="Calibri Light" w:cs="Calibri Light"/>
          <w:szCs w:val="22"/>
        </w:rPr>
        <w:t>Legislation for the CIS</w:t>
      </w:r>
      <w:r w:rsidRPr="006F1CC7">
        <w:rPr>
          <w:rFonts w:ascii="Calibri Light" w:eastAsia="Calibri" w:hAnsi="Calibri Light" w:cs="Calibri Light"/>
          <w:szCs w:val="22"/>
        </w:rPr>
        <w:t xml:space="preserve"> </w:t>
      </w:r>
      <w:r w:rsidRPr="00E6290A">
        <w:rPr>
          <w:rFonts w:ascii="Calibri Light" w:eastAsia="Calibri" w:hAnsi="Calibri Light" w:cs="Calibri Light"/>
          <w:szCs w:val="22"/>
        </w:rPr>
        <w:t>for</w:t>
      </w:r>
      <w:r w:rsidRPr="006F1CC7">
        <w:rPr>
          <w:rFonts w:ascii="Calibri Light" w:eastAsia="Calibri" w:hAnsi="Calibri Light" w:cs="Calibri Light"/>
          <w:szCs w:val="22"/>
        </w:rPr>
        <w:t xml:space="preserve"> VRE </w:t>
      </w:r>
      <w:r w:rsidRPr="00E6290A">
        <w:rPr>
          <w:rFonts w:ascii="Calibri Light" w:eastAsia="Calibri" w:hAnsi="Calibri Light" w:cs="Calibri Light"/>
          <w:szCs w:val="22"/>
        </w:rPr>
        <w:t>would</w:t>
      </w:r>
      <w:r w:rsidRPr="006F1CC7">
        <w:rPr>
          <w:rFonts w:ascii="Calibri Light" w:eastAsia="Calibri" w:hAnsi="Calibri Light" w:cs="Calibri Light"/>
          <w:szCs w:val="22"/>
        </w:rPr>
        <w:t xml:space="preserve"> provide a standing appropriation and enshrine strong governance and financial control over the life of the scheme</w:t>
      </w:r>
      <w:r w:rsidRPr="00E6290A">
        <w:rPr>
          <w:rFonts w:ascii="Calibri Light" w:eastAsia="Calibri" w:hAnsi="Calibri Light" w:cs="Calibri Light"/>
          <w:szCs w:val="22"/>
        </w:rPr>
        <w:t>, but</w:t>
      </w:r>
      <w:r w:rsidRPr="006F1CC7">
        <w:rPr>
          <w:rFonts w:ascii="Calibri Light" w:eastAsia="Calibri" w:hAnsi="Calibri Light" w:cs="Calibri Light"/>
          <w:szCs w:val="22"/>
        </w:rPr>
        <w:t xml:space="preserve"> current arrangements and delivery infrastructure could be used to commence CIS VRE auctions, enabling the first auction to be conducted in April 2024.</w:t>
      </w:r>
    </w:p>
    <w:p w:rsidR="00F66475" w:rsidRDefault="00F66475" w:rsidP="00F66475">
      <w:pPr>
        <w:spacing w:after="200" w:line="288" w:lineRule="auto"/>
        <w:rPr>
          <w:rFonts w:ascii="Calibri Light" w:eastAsia="Calibri" w:hAnsi="Calibri Light" w:cs="Calibri Light"/>
          <w:szCs w:val="22"/>
        </w:rPr>
      </w:pPr>
      <w:r w:rsidRPr="006F1CC7">
        <w:rPr>
          <w:rFonts w:ascii="Calibri Light" w:eastAsia="Calibri" w:hAnsi="Calibri Light" w:cs="Calibri Light"/>
          <w:szCs w:val="22"/>
        </w:rPr>
        <w:t xml:space="preserve">Delivery of either scheme would require investment in new institutional architecture. For the LRET, the rebate to electricity generators required to offset the cost of mandatory certificate purchases would be complicated to design and administer, including because certificate prices are typically bundled with PPAs and therefore not currently readily observable. For the CIS, a significant investment in delivery capacity is required to ensure the scheme will deliver frequent auctions with criteria that optimises the mix of new renewable energy generation. </w:t>
      </w:r>
    </w:p>
    <w:p w:rsidR="00F66475" w:rsidRPr="00897C2F" w:rsidRDefault="00F66475" w:rsidP="00F66475">
      <w:pPr>
        <w:pStyle w:val="Heading3"/>
        <w:rPr>
          <w:rFonts w:ascii="Calibri Light" w:hAnsi="Calibri Light" w:cs="Calibri Light"/>
          <w:color w:val="197C7D"/>
          <w:u w:val="single"/>
          <w:lang w:val="en-US"/>
        </w:rPr>
      </w:pPr>
      <w:bookmarkStart w:id="127" w:name="_Toc1725430124"/>
      <w:r w:rsidRPr="52A7AAAB">
        <w:rPr>
          <w:rFonts w:ascii="Calibri Light" w:hAnsi="Calibri Light" w:cs="Calibri Light"/>
          <w:color w:val="197C7D"/>
          <w:u w:val="single"/>
          <w:lang w:val="en-US"/>
        </w:rPr>
        <w:t>Preferred option</w:t>
      </w:r>
      <w:bookmarkEnd w:id="127"/>
    </w:p>
    <w:p w:rsidR="00F66475" w:rsidRDefault="00F66475" w:rsidP="00F66475">
      <w:pPr>
        <w:spacing w:after="200" w:line="288" w:lineRule="auto"/>
        <w:rPr>
          <w:rFonts w:ascii="Calibri Light" w:eastAsia="Calibri" w:hAnsi="Calibri Light" w:cs="Calibri Light"/>
          <w:szCs w:val="22"/>
        </w:rPr>
      </w:pPr>
      <w:r>
        <w:rPr>
          <w:rFonts w:ascii="Calibri Light" w:eastAsia="Calibri" w:hAnsi="Calibri Light" w:cs="Calibri Light"/>
          <w:szCs w:val="22"/>
        </w:rPr>
        <w:t>A</w:t>
      </w:r>
      <w:r w:rsidRPr="00E5097C">
        <w:rPr>
          <w:rFonts w:ascii="Calibri Light" w:eastAsia="Calibri" w:hAnsi="Calibri Light" w:cs="Calibri Light"/>
          <w:szCs w:val="22"/>
        </w:rPr>
        <w:t xml:space="preserve"> well-executed CIS would be more economically efficient and flexible, less distortionary in the medium-term, </w:t>
      </w:r>
      <w:r>
        <w:rPr>
          <w:rFonts w:ascii="Calibri Light" w:eastAsia="Calibri" w:hAnsi="Calibri Light" w:cs="Calibri Light"/>
          <w:szCs w:val="22"/>
        </w:rPr>
        <w:t xml:space="preserve">involve </w:t>
      </w:r>
      <w:r w:rsidRPr="00E5097C">
        <w:rPr>
          <w:rFonts w:ascii="Calibri Light" w:eastAsia="Calibri" w:hAnsi="Calibri Light" w:cs="Calibri Light"/>
          <w:szCs w:val="22"/>
        </w:rPr>
        <w:t>lower fiscal costs and have a more immediate impact on renewable energy investment than a fully rebated LRET.</w:t>
      </w:r>
    </w:p>
    <w:p w:rsidR="00F66475" w:rsidRPr="00561980" w:rsidRDefault="00F66475" w:rsidP="00F66475">
      <w:pPr>
        <w:pStyle w:val="Heading3"/>
        <w:rPr>
          <w:rFonts w:ascii="Calibri Light" w:hAnsi="Calibri Light" w:cs="Calibri Light"/>
          <w:color w:val="197C7D"/>
          <w:sz w:val="36"/>
          <w:szCs w:val="36"/>
          <w:lang w:val="en-US"/>
        </w:rPr>
      </w:pPr>
      <w:bookmarkStart w:id="128" w:name="_Toc1916263036"/>
      <w:r w:rsidRPr="52A7AAAB">
        <w:rPr>
          <w:rFonts w:ascii="Calibri Light" w:hAnsi="Calibri Light" w:cs="Calibri Light"/>
          <w:color w:val="197C7D"/>
          <w:sz w:val="36"/>
          <w:szCs w:val="36"/>
          <w:lang w:val="en-US"/>
        </w:rPr>
        <w:t>Stakeholder impacts</w:t>
      </w:r>
      <w:bookmarkEnd w:id="128"/>
    </w:p>
    <w:p w:rsidR="00F66475" w:rsidRPr="008647FC" w:rsidRDefault="00F66475" w:rsidP="00F66475">
      <w:pPr>
        <w:spacing w:after="200" w:line="288" w:lineRule="auto"/>
        <w:rPr>
          <w:rFonts w:ascii="Calibri Light" w:eastAsia="Calibri" w:hAnsi="Calibri Light" w:cs="Calibri Light"/>
          <w:bCs/>
          <w:szCs w:val="22"/>
        </w:rPr>
      </w:pPr>
      <w:r w:rsidRPr="008647FC">
        <w:rPr>
          <w:rFonts w:ascii="Calibri Light" w:eastAsia="Calibri" w:hAnsi="Calibri Light" w:cs="Calibri Light"/>
          <w:bCs/>
          <w:szCs w:val="22"/>
        </w:rPr>
        <w:t xml:space="preserve">Table </w:t>
      </w:r>
      <w:r>
        <w:rPr>
          <w:rFonts w:ascii="Calibri Light" w:eastAsia="Calibri" w:hAnsi="Calibri Light" w:cs="Calibri Light"/>
          <w:bCs/>
          <w:szCs w:val="22"/>
        </w:rPr>
        <w:t>3</w:t>
      </w:r>
      <w:r w:rsidRPr="008647FC">
        <w:rPr>
          <w:rFonts w:ascii="Calibri Light" w:eastAsia="Calibri" w:hAnsi="Calibri Light" w:cs="Calibri Light"/>
          <w:bCs/>
          <w:szCs w:val="22"/>
        </w:rPr>
        <w:t xml:space="preserve"> illustrates the impacts on the var</w:t>
      </w:r>
      <w:r>
        <w:rPr>
          <w:rFonts w:ascii="Calibri Light" w:eastAsia="Calibri" w:hAnsi="Calibri Light" w:cs="Calibri Light"/>
          <w:bCs/>
          <w:szCs w:val="22"/>
        </w:rPr>
        <w:t>i</w:t>
      </w:r>
      <w:r w:rsidRPr="008647FC">
        <w:rPr>
          <w:rFonts w:ascii="Calibri Light" w:eastAsia="Calibri" w:hAnsi="Calibri Light" w:cs="Calibri Light"/>
          <w:bCs/>
          <w:szCs w:val="22"/>
        </w:rPr>
        <w:t>o</w:t>
      </w:r>
      <w:r>
        <w:rPr>
          <w:rFonts w:ascii="Calibri Light" w:eastAsia="Calibri" w:hAnsi="Calibri Light" w:cs="Calibri Light"/>
          <w:bCs/>
          <w:szCs w:val="22"/>
        </w:rPr>
        <w:t>u</w:t>
      </w:r>
      <w:r w:rsidRPr="008647FC">
        <w:rPr>
          <w:rFonts w:ascii="Calibri Light" w:eastAsia="Calibri" w:hAnsi="Calibri Light" w:cs="Calibri Light"/>
          <w:bCs/>
          <w:szCs w:val="22"/>
        </w:rPr>
        <w:t>s stakeholder groups</w:t>
      </w:r>
      <w:r>
        <w:rPr>
          <w:rFonts w:ascii="Calibri Light" w:eastAsia="Calibri" w:hAnsi="Calibri Light" w:cs="Calibri Light"/>
          <w:bCs/>
          <w:szCs w:val="22"/>
        </w:rPr>
        <w:t xml:space="preserve"> of the CIS</w:t>
      </w:r>
      <w:r w:rsidRPr="008647FC">
        <w:rPr>
          <w:rFonts w:ascii="Calibri Light" w:eastAsia="Calibri" w:hAnsi="Calibri Light" w:cs="Calibri Light"/>
          <w:bCs/>
          <w:szCs w:val="22"/>
        </w:rPr>
        <w:t xml:space="preserve"> </w:t>
      </w:r>
      <w:r>
        <w:rPr>
          <w:rFonts w:ascii="Calibri Light" w:eastAsia="Calibri" w:hAnsi="Calibri Light" w:cs="Calibri Light"/>
          <w:bCs/>
          <w:szCs w:val="22"/>
        </w:rPr>
        <w:t>relative to the base-case of N</w:t>
      </w:r>
      <w:r w:rsidRPr="008647FC">
        <w:rPr>
          <w:rFonts w:ascii="Calibri Light" w:eastAsia="Calibri" w:hAnsi="Calibri Light" w:cs="Calibri Light"/>
          <w:bCs/>
          <w:szCs w:val="22"/>
        </w:rPr>
        <w:t xml:space="preserve">o Government </w:t>
      </w:r>
      <w:r>
        <w:rPr>
          <w:rFonts w:ascii="Calibri Light" w:eastAsia="Calibri" w:hAnsi="Calibri Light" w:cs="Calibri Light"/>
          <w:bCs/>
          <w:szCs w:val="22"/>
        </w:rPr>
        <w:t>I</w:t>
      </w:r>
      <w:r w:rsidRPr="008647FC">
        <w:rPr>
          <w:rFonts w:ascii="Calibri Light" w:eastAsia="Calibri" w:hAnsi="Calibri Light" w:cs="Calibri Light"/>
          <w:bCs/>
          <w:szCs w:val="22"/>
        </w:rPr>
        <w:t>ntervention.</w:t>
      </w:r>
    </w:p>
    <w:p w:rsidR="00F66475" w:rsidRDefault="00F66475" w:rsidP="00F66475">
      <w:pPr>
        <w:spacing w:after="200" w:line="288" w:lineRule="auto"/>
        <w:rPr>
          <w:rFonts w:ascii="Calibri Light" w:eastAsia="Calibri" w:hAnsi="Calibri Light" w:cs="Calibri Light"/>
          <w:szCs w:val="22"/>
        </w:rPr>
      </w:pPr>
      <w:r w:rsidRPr="001C78C5">
        <w:rPr>
          <w:rFonts w:ascii="Calibri Light" w:eastAsia="Calibri" w:hAnsi="Calibri Light" w:cs="Calibri Light"/>
          <w:b/>
          <w:szCs w:val="22"/>
        </w:rPr>
        <w:lastRenderedPageBreak/>
        <w:t>Table 3: Stakeholder impacts of the CIS</w:t>
      </w:r>
    </w:p>
    <w:tbl>
      <w:tblPr>
        <w:tblStyle w:val="TableGridLight"/>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977"/>
        <w:gridCol w:w="6651"/>
      </w:tblGrid>
      <w:tr w:rsidR="00F66475" w:rsidRPr="00F82FC7" w:rsidTr="00E2051A">
        <w:tc>
          <w:tcPr>
            <w:tcW w:w="2977" w:type="dxa"/>
            <w:shd w:val="clear" w:color="auto" w:fill="F2F2F2" w:themeFill="background1" w:themeFillShade="F2"/>
            <w:vAlign w:val="center"/>
          </w:tcPr>
          <w:p w:rsidR="00F66475" w:rsidRPr="00F82FC7" w:rsidRDefault="00F66475" w:rsidP="00E2051A">
            <w:pPr>
              <w:spacing w:after="200" w:line="288" w:lineRule="auto"/>
              <w:rPr>
                <w:rFonts w:ascii="Calibri Light" w:eastAsia="Calibri" w:hAnsi="Calibri Light" w:cs="Calibri Light"/>
                <w:b/>
                <w:bCs/>
                <w:szCs w:val="22"/>
              </w:rPr>
            </w:pPr>
            <w:r w:rsidRPr="00F82FC7">
              <w:rPr>
                <w:rFonts w:ascii="Calibri Light" w:eastAsia="Calibri" w:hAnsi="Calibri Light" w:cs="Calibri Light"/>
                <w:b/>
                <w:bCs/>
                <w:szCs w:val="22"/>
              </w:rPr>
              <w:t>Stakeholder group</w:t>
            </w:r>
          </w:p>
        </w:tc>
        <w:tc>
          <w:tcPr>
            <w:tcW w:w="6651" w:type="dxa"/>
            <w:shd w:val="clear" w:color="auto" w:fill="F2F2F2" w:themeFill="background1" w:themeFillShade="F2"/>
            <w:vAlign w:val="center"/>
          </w:tcPr>
          <w:p w:rsidR="00F66475" w:rsidRPr="00F82FC7" w:rsidRDefault="00F66475" w:rsidP="00E2051A">
            <w:pPr>
              <w:spacing w:after="200" w:line="288" w:lineRule="auto"/>
              <w:rPr>
                <w:rFonts w:ascii="Calibri Light" w:eastAsia="Calibri" w:hAnsi="Calibri Light" w:cs="Calibri Light"/>
                <w:b/>
                <w:bCs/>
                <w:szCs w:val="22"/>
              </w:rPr>
            </w:pPr>
            <w:r w:rsidRPr="00F82FC7">
              <w:rPr>
                <w:rFonts w:ascii="Calibri Light" w:eastAsia="Calibri" w:hAnsi="Calibri Light" w:cs="Calibri Light"/>
                <w:b/>
                <w:bCs/>
                <w:szCs w:val="22"/>
              </w:rPr>
              <w:t>Impact</w:t>
            </w:r>
          </w:p>
        </w:tc>
      </w:tr>
      <w:tr w:rsidR="00F66475" w:rsidTr="00E2051A">
        <w:tc>
          <w:tcPr>
            <w:tcW w:w="2977" w:type="dxa"/>
          </w:tcPr>
          <w:p w:rsidR="00F66475" w:rsidRDefault="00F66475" w:rsidP="00E2051A">
            <w:pPr>
              <w:spacing w:after="200" w:line="288" w:lineRule="auto"/>
              <w:rPr>
                <w:rFonts w:ascii="Calibri Light" w:eastAsia="Calibri" w:hAnsi="Calibri Light" w:cs="Calibri Light"/>
                <w:szCs w:val="22"/>
              </w:rPr>
            </w:pPr>
            <w:bookmarkStart w:id="129" w:name="_Hlk147914073"/>
            <w:r>
              <w:rPr>
                <w:rFonts w:ascii="Calibri Light" w:eastAsia="Calibri" w:hAnsi="Calibri Light" w:cs="Calibri Light"/>
                <w:szCs w:val="22"/>
              </w:rPr>
              <w:t>Consumers, including households</w:t>
            </w:r>
          </w:p>
        </w:tc>
        <w:tc>
          <w:tcPr>
            <w:tcW w:w="6651" w:type="dxa"/>
            <w:shd w:val="clear" w:color="auto" w:fill="auto"/>
          </w:tcPr>
          <w:p w:rsidR="00F66475" w:rsidRPr="00442626" w:rsidRDefault="00F66475" w:rsidP="00E2051A">
            <w:pPr>
              <w:spacing w:after="60" w:line="288" w:lineRule="auto"/>
              <w:rPr>
                <w:rFonts w:ascii="Calibri Light" w:eastAsia="Calibri" w:hAnsi="Calibri Light" w:cs="Calibri Light"/>
                <w:szCs w:val="22"/>
              </w:rPr>
            </w:pPr>
            <w:r w:rsidRPr="00442626">
              <w:rPr>
                <w:rFonts w:ascii="Calibri Light" w:eastAsia="Calibri" w:hAnsi="Calibri Light" w:cs="Calibri Light"/>
                <w:szCs w:val="22"/>
              </w:rPr>
              <w:t>Households are expected to face</w:t>
            </w:r>
            <w:r w:rsidRPr="00442626">
              <w:t xml:space="preserve"> </w:t>
            </w:r>
            <w:r w:rsidRPr="00442626">
              <w:rPr>
                <w:rFonts w:ascii="Calibri Light" w:eastAsia="Calibri" w:hAnsi="Calibri Light" w:cs="Calibri Light"/>
                <w:szCs w:val="22"/>
              </w:rPr>
              <w:t xml:space="preserve">retail electricity costs that are </w:t>
            </w:r>
            <w:r w:rsidRPr="00D15DB2">
              <w:rPr>
                <w:rFonts w:ascii="Calibri Light" w:eastAsia="Calibri" w:hAnsi="Calibri Light" w:cs="Calibri Light"/>
                <w:szCs w:val="22"/>
                <w:highlight w:val="black"/>
              </w:rPr>
              <w:t>REDACTED TEXT HERE</w:t>
            </w:r>
            <w:r w:rsidRPr="00950358">
              <w:rPr>
                <w:rFonts w:ascii="Calibri Light" w:eastAsia="Calibri" w:hAnsi="Calibri Light" w:cs="Calibri Light"/>
                <w:szCs w:val="22"/>
              </w:rPr>
              <w:t xml:space="preserve"> </w:t>
            </w:r>
            <w:r w:rsidRPr="00CD574B">
              <w:rPr>
                <w:rFonts w:ascii="Calibri Light" w:eastAsia="Calibri" w:hAnsi="Calibri Light" w:cs="Calibri Light"/>
                <w:szCs w:val="22"/>
              </w:rPr>
              <w:t>lower on average to 2030,</w:t>
            </w:r>
            <w:r w:rsidRPr="00442626">
              <w:rPr>
                <w:rFonts w:ascii="Calibri Light" w:eastAsia="Calibri" w:hAnsi="Calibri Light" w:cs="Calibri Light"/>
                <w:szCs w:val="22"/>
              </w:rPr>
              <w:t xml:space="preserve"> and a reduction in reliability risks due to a greater certainty of investment in storage and generation. </w:t>
            </w:r>
          </w:p>
        </w:tc>
      </w:tr>
      <w:tr w:rsidR="00F66475" w:rsidTr="00E2051A">
        <w:tc>
          <w:tcPr>
            <w:tcW w:w="2977" w:type="dxa"/>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Energy Intensive users</w:t>
            </w:r>
          </w:p>
        </w:tc>
        <w:tc>
          <w:tcPr>
            <w:tcW w:w="6651" w:type="dxa"/>
            <w:shd w:val="clear" w:color="auto" w:fill="auto"/>
          </w:tcPr>
          <w:p w:rsidR="00F66475" w:rsidRPr="00442626" w:rsidRDefault="00F66475" w:rsidP="00E2051A">
            <w:pPr>
              <w:spacing w:after="60" w:line="288" w:lineRule="auto"/>
              <w:rPr>
                <w:rFonts w:ascii="Calibri Light" w:eastAsia="Calibri" w:hAnsi="Calibri Light" w:cs="Calibri Light"/>
                <w:szCs w:val="22"/>
              </w:rPr>
            </w:pPr>
            <w:r w:rsidRPr="00442626">
              <w:rPr>
                <w:rFonts w:ascii="Calibri Light" w:eastAsia="Calibri" w:hAnsi="Calibri Light" w:cs="Calibri Light"/>
                <w:szCs w:val="22"/>
              </w:rPr>
              <w:t>Energy intensive users are expected to have lower electricity costs as they can negotiate with retailers and retailers are expected to pass lower wholesale costs on to consumers.</w:t>
            </w:r>
          </w:p>
        </w:tc>
      </w:tr>
      <w:tr w:rsidR="00F66475" w:rsidTr="00E2051A">
        <w:tc>
          <w:tcPr>
            <w:tcW w:w="2977" w:type="dxa"/>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Energy retailers</w:t>
            </w:r>
          </w:p>
        </w:tc>
        <w:tc>
          <w:tcPr>
            <w:tcW w:w="6651" w:type="dxa"/>
            <w:shd w:val="clear" w:color="auto" w:fill="auto"/>
          </w:tcPr>
          <w:p w:rsidR="00F66475" w:rsidRPr="00442626" w:rsidRDefault="00F66475" w:rsidP="00E2051A">
            <w:pPr>
              <w:spacing w:after="60" w:line="288" w:lineRule="auto"/>
              <w:rPr>
                <w:rFonts w:ascii="Calibri Light" w:eastAsia="Calibri" w:hAnsi="Calibri Light" w:cs="Calibri Light"/>
                <w:szCs w:val="22"/>
              </w:rPr>
            </w:pPr>
            <w:r w:rsidRPr="00442626">
              <w:rPr>
                <w:rFonts w:ascii="Calibri Light" w:eastAsia="Calibri" w:hAnsi="Calibri Light" w:cs="Calibri Light"/>
                <w:szCs w:val="22"/>
              </w:rPr>
              <w:t xml:space="preserve">Energy retailers are expected to face wholesale prices that </w:t>
            </w:r>
            <w:r w:rsidRPr="00D15DB2">
              <w:rPr>
                <w:rFonts w:ascii="Calibri Light" w:eastAsia="Calibri" w:hAnsi="Calibri Light" w:cs="Calibri Light"/>
                <w:szCs w:val="22"/>
                <w:highlight w:val="black"/>
              </w:rPr>
              <w:t>REDACTED TEXT HERE</w:t>
            </w:r>
            <w:r w:rsidRPr="00950358">
              <w:rPr>
                <w:rFonts w:ascii="Calibri Light" w:eastAsia="Calibri" w:hAnsi="Calibri Light" w:cs="Calibri Light"/>
                <w:szCs w:val="22"/>
              </w:rPr>
              <w:t xml:space="preserve"> </w:t>
            </w:r>
            <w:r w:rsidRPr="00CD574B">
              <w:rPr>
                <w:rFonts w:ascii="Calibri Light" w:eastAsia="Calibri" w:hAnsi="Calibri Light" w:cs="Calibri Light"/>
                <w:szCs w:val="22"/>
              </w:rPr>
              <w:t xml:space="preserve">lower on average to 2030, that </w:t>
            </w:r>
            <w:r>
              <w:rPr>
                <w:rFonts w:ascii="Calibri Light" w:eastAsia="Calibri" w:hAnsi="Calibri Light" w:cs="Calibri Light"/>
                <w:szCs w:val="22"/>
              </w:rPr>
              <w:t>will</w:t>
            </w:r>
            <w:r w:rsidRPr="00442626">
              <w:rPr>
                <w:rFonts w:ascii="Calibri Light" w:eastAsia="Calibri" w:hAnsi="Calibri Light" w:cs="Calibri Light"/>
                <w:szCs w:val="22"/>
              </w:rPr>
              <w:t xml:space="preserve"> pass on to consumers. </w:t>
            </w:r>
          </w:p>
        </w:tc>
      </w:tr>
      <w:tr w:rsidR="00F66475" w:rsidTr="00E2051A">
        <w:tc>
          <w:tcPr>
            <w:tcW w:w="2977" w:type="dxa"/>
            <w:tcBorders>
              <w:bottom w:val="single" w:sz="4" w:space="0" w:color="auto"/>
            </w:tcBorders>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Renewable energy generators</w:t>
            </w:r>
          </w:p>
        </w:tc>
        <w:tc>
          <w:tcPr>
            <w:tcW w:w="6651" w:type="dxa"/>
            <w:tcBorders>
              <w:bottom w:val="single" w:sz="4" w:space="0" w:color="auto"/>
            </w:tcBorders>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 xml:space="preserve">More new entrants into wholesale markets are expected to decrease profitability for incumbents. Greater investments undertaken and expansion opportunities for existing and new firms. Greater certainty when making investment decisions. </w:t>
            </w:r>
          </w:p>
        </w:tc>
      </w:tr>
      <w:tr w:rsidR="00F66475" w:rsidTr="00E2051A">
        <w:tc>
          <w:tcPr>
            <w:tcW w:w="2977" w:type="dxa"/>
            <w:tcBorders>
              <w:top w:val="single" w:sz="4" w:space="0" w:color="auto"/>
              <w:bottom w:val="single" w:sz="4" w:space="0" w:color="auto"/>
            </w:tcBorders>
          </w:tcPr>
          <w:p w:rsidR="00F66475" w:rsidRDefault="00F66475" w:rsidP="00E2051A">
            <w:pPr>
              <w:spacing w:after="200" w:line="288" w:lineRule="auto"/>
              <w:rPr>
                <w:rFonts w:ascii="Calibri Light" w:eastAsia="Calibri" w:hAnsi="Calibri Light" w:cs="Calibri Light"/>
                <w:szCs w:val="22"/>
              </w:rPr>
            </w:pPr>
            <w:r>
              <w:rPr>
                <w:rFonts w:ascii="Calibri Light" w:eastAsia="Calibri" w:hAnsi="Calibri Light" w:cs="Calibri Light"/>
                <w:szCs w:val="22"/>
              </w:rPr>
              <w:t>Fossil fuel generators</w:t>
            </w:r>
          </w:p>
        </w:tc>
        <w:tc>
          <w:tcPr>
            <w:tcW w:w="6651" w:type="dxa"/>
            <w:tcBorders>
              <w:top w:val="single" w:sz="4" w:space="0" w:color="auto"/>
              <w:bottom w:val="single" w:sz="4" w:space="0" w:color="auto"/>
            </w:tcBorders>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 xml:space="preserve">Closures may be brought forward as additional new generation puts downward pressure on prices. Reduced profitability for incumbents and remaining fossil fuel generators due to increased competition in wholesale markets. </w:t>
            </w:r>
            <w:r w:rsidRPr="00D15DB2">
              <w:rPr>
                <w:rFonts w:ascii="Calibri Light" w:eastAsia="Calibri" w:hAnsi="Calibri Light" w:cs="Calibri Light"/>
                <w:szCs w:val="22"/>
                <w:highlight w:val="black"/>
              </w:rPr>
              <w:t>REDACTED TEXT HERE</w:t>
            </w:r>
          </w:p>
        </w:tc>
      </w:tr>
    </w:tbl>
    <w:p w:rsidR="00F66475" w:rsidRPr="00F227F8" w:rsidRDefault="00F66475" w:rsidP="00F66475">
      <w:pPr>
        <w:pStyle w:val="Heading3"/>
        <w:rPr>
          <w:rFonts w:ascii="Calibri Light" w:hAnsi="Calibri Light" w:cs="Calibri Light"/>
          <w:color w:val="197C7D"/>
          <w:sz w:val="36"/>
          <w:szCs w:val="36"/>
          <w:lang w:val="en-US"/>
        </w:rPr>
      </w:pPr>
      <w:bookmarkStart w:id="130" w:name="_Toc250927066"/>
      <w:bookmarkEnd w:id="129"/>
      <w:r w:rsidRPr="52A7AAAB">
        <w:rPr>
          <w:rFonts w:ascii="Calibri Light" w:hAnsi="Calibri Light" w:cs="Calibri Light"/>
          <w:color w:val="197C7D"/>
          <w:sz w:val="36"/>
          <w:szCs w:val="36"/>
          <w:lang w:val="en-US"/>
        </w:rPr>
        <w:t>Regulatory burden estimate (RBE)</w:t>
      </w:r>
      <w:bookmarkEnd w:id="130"/>
    </w:p>
    <w:p w:rsidR="00F66475" w:rsidRDefault="00F66475" w:rsidP="00F66475">
      <w:pPr>
        <w:spacing w:after="120" w:line="288" w:lineRule="auto"/>
        <w:rPr>
          <w:rFonts w:ascii="Calibri Light" w:hAnsi="Calibri Light" w:cs="Calibri Light"/>
        </w:rPr>
      </w:pPr>
      <w:r>
        <w:rPr>
          <w:rFonts w:ascii="Calibri Light" w:hAnsi="Calibri Light" w:cs="Calibri Light"/>
        </w:rPr>
        <w:t>While the CIS is a voluntary scheme that will provide revenue support and likely underwriting payments to successful participants at some time during the life of the scheme, participation will require proponents to effectively take part in the tender process at a cost to themselves. Table 4 below provides an estimate of the regulatory burden that would be placed on businesses to take part in a CIS tender.  The regulatory burden estimate value calculates the number of hours it would take an assumed number of stakeholders (in this case businesses) participating in the CIS to engage with each step of the tender. It is assumed that two tenders will be conducted each year for three years.</w:t>
      </w:r>
    </w:p>
    <w:p w:rsidR="00F66475" w:rsidRPr="00F340E6" w:rsidRDefault="00F66475" w:rsidP="00F66475">
      <w:pPr>
        <w:rPr>
          <w:rFonts w:ascii="Calibri Light" w:hAnsi="Calibri Light" w:cs="Calibri Light"/>
          <w:b/>
        </w:rPr>
      </w:pPr>
      <w:r w:rsidRPr="00F340E6">
        <w:rPr>
          <w:rFonts w:ascii="Calibri Light" w:hAnsi="Calibri Light" w:cs="Calibri Light"/>
          <w:b/>
        </w:rPr>
        <w:t xml:space="preserve">Table </w:t>
      </w:r>
      <w:r>
        <w:rPr>
          <w:rFonts w:ascii="Calibri Light" w:hAnsi="Calibri Light" w:cs="Calibri Light"/>
          <w:b/>
        </w:rPr>
        <w:t>4</w:t>
      </w:r>
      <w:r w:rsidRPr="00F340E6">
        <w:rPr>
          <w:rFonts w:ascii="Calibri Light" w:hAnsi="Calibri Light" w:cs="Calibri Light"/>
          <w:b/>
        </w:rPr>
        <w:t xml:space="preserve">: </w:t>
      </w:r>
      <w:r>
        <w:rPr>
          <w:rFonts w:ascii="Calibri Light" w:hAnsi="Calibri Light" w:cs="Calibri Light"/>
          <w:b/>
        </w:rPr>
        <w:t>Regulatory Burden of the CIS per tender round</w:t>
      </w:r>
    </w:p>
    <w:tbl>
      <w:tblPr>
        <w:tblStyle w:val="Custom1"/>
        <w:tblW w:w="0" w:type="auto"/>
        <w:tblLook w:val="0660" w:firstRow="1" w:lastRow="1" w:firstColumn="0" w:lastColumn="0" w:noHBand="1" w:noVBand="1"/>
      </w:tblPr>
      <w:tblGrid>
        <w:gridCol w:w="2617"/>
        <w:gridCol w:w="1284"/>
        <w:gridCol w:w="1451"/>
        <w:gridCol w:w="2494"/>
        <w:gridCol w:w="1703"/>
      </w:tblGrid>
      <w:tr w:rsidR="00F66475" w:rsidRPr="007D64A1" w:rsidTr="00E2051A">
        <w:trPr>
          <w:cnfStyle w:val="100000000000" w:firstRow="1" w:lastRow="0" w:firstColumn="0" w:lastColumn="0" w:oddVBand="0" w:evenVBand="0" w:oddHBand="0" w:evenHBand="0" w:firstRowFirstColumn="0" w:firstRowLastColumn="0" w:lastRowFirstColumn="0" w:lastRowLastColumn="0"/>
          <w:trHeight w:val="383"/>
          <w:tblHeader/>
        </w:trPr>
        <w:tc>
          <w:tcPr>
            <w:tcW w:w="9549" w:type="dxa"/>
            <w:gridSpan w:val="5"/>
            <w:tcBorders>
              <w:top w:val="nil"/>
              <w:bottom w:val="single" w:sz="4" w:space="0" w:color="4472C4" w:themeColor="accent1"/>
            </w:tcBorders>
            <w:shd w:val="clear" w:color="auto" w:fill="F2F2F2" w:themeFill="background1" w:themeFillShade="F2"/>
          </w:tcPr>
          <w:p w:rsidR="00F66475" w:rsidRPr="007D64A1" w:rsidRDefault="00F66475" w:rsidP="00E2051A">
            <w:pPr>
              <w:pStyle w:val="TBLHeading"/>
              <w:rPr>
                <w:rFonts w:ascii="Calibri Light" w:hAnsi="Calibri Light" w:cs="Calibri Light"/>
                <w:color w:val="auto"/>
                <w:szCs w:val="22"/>
              </w:rPr>
            </w:pPr>
            <w:r w:rsidRPr="007D64A1">
              <w:rPr>
                <w:rFonts w:ascii="Calibri Light" w:hAnsi="Calibri Light" w:cs="Calibri Light"/>
                <w:color w:val="auto"/>
                <w:szCs w:val="22"/>
              </w:rPr>
              <w:t>Average regulatory cost per tender round</w:t>
            </w:r>
          </w:p>
        </w:tc>
      </w:tr>
      <w:tr w:rsidR="00F66475" w:rsidRPr="00196AC1" w:rsidTr="00E2051A">
        <w:trPr>
          <w:trHeight w:val="383"/>
        </w:trPr>
        <w:tc>
          <w:tcPr>
            <w:tcW w:w="2617" w:type="dxa"/>
            <w:tcBorders>
              <w:top w:val="single" w:sz="4" w:space="0" w:color="4472C4" w:themeColor="accent1"/>
              <w:bottom w:val="single" w:sz="4" w:space="0" w:color="4472C4" w:themeColor="accent1"/>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Change in costs</w:t>
            </w:r>
          </w:p>
        </w:tc>
        <w:tc>
          <w:tcPr>
            <w:tcW w:w="1284" w:type="dxa"/>
            <w:tcBorders>
              <w:top w:val="single" w:sz="4" w:space="0" w:color="4472C4" w:themeColor="accent1"/>
              <w:bottom w:val="single" w:sz="4" w:space="0" w:color="4472C4" w:themeColor="accent1"/>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Individuals</w:t>
            </w:r>
          </w:p>
        </w:tc>
        <w:tc>
          <w:tcPr>
            <w:tcW w:w="1451" w:type="dxa"/>
            <w:tcBorders>
              <w:top w:val="single" w:sz="4" w:space="0" w:color="4472C4" w:themeColor="accent1"/>
              <w:bottom w:val="single" w:sz="4" w:space="0" w:color="4472C4" w:themeColor="accent1"/>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 xml:space="preserve">Business </w:t>
            </w:r>
          </w:p>
        </w:tc>
        <w:tc>
          <w:tcPr>
            <w:tcW w:w="2494" w:type="dxa"/>
            <w:tcBorders>
              <w:top w:val="single" w:sz="4" w:space="0" w:color="4472C4" w:themeColor="accent1"/>
              <w:bottom w:val="single" w:sz="4" w:space="0" w:color="4472C4" w:themeColor="accent1"/>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Community organisations</w:t>
            </w:r>
          </w:p>
        </w:tc>
        <w:tc>
          <w:tcPr>
            <w:tcW w:w="1699" w:type="dxa"/>
            <w:tcBorders>
              <w:top w:val="single" w:sz="4" w:space="0" w:color="4472C4" w:themeColor="accent1"/>
              <w:bottom w:val="single" w:sz="4" w:space="0" w:color="4472C4" w:themeColor="accent1"/>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Total change in cost</w:t>
            </w:r>
          </w:p>
        </w:tc>
      </w:tr>
      <w:tr w:rsidR="00F66475" w:rsidRPr="00196AC1" w:rsidTr="00E2051A">
        <w:trPr>
          <w:trHeight w:val="383"/>
        </w:trPr>
        <w:tc>
          <w:tcPr>
            <w:tcW w:w="2617" w:type="dxa"/>
            <w:tcBorders>
              <w:bottom w:val="single" w:sz="4" w:space="0" w:color="auto"/>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Total</w:t>
            </w:r>
            <w:r>
              <w:rPr>
                <w:rFonts w:ascii="Calibri Light" w:eastAsia="Calibri" w:hAnsi="Calibri Light" w:cs="Calibri Light"/>
                <w:szCs w:val="22"/>
              </w:rPr>
              <w:t xml:space="preserve"> (per CIS tender)</w:t>
            </w:r>
          </w:p>
        </w:tc>
        <w:tc>
          <w:tcPr>
            <w:tcW w:w="1284" w:type="dxa"/>
            <w:tcBorders>
              <w:bottom w:val="single" w:sz="4" w:space="0" w:color="auto"/>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$0</w:t>
            </w:r>
          </w:p>
        </w:tc>
        <w:tc>
          <w:tcPr>
            <w:tcW w:w="1451" w:type="dxa"/>
            <w:tcBorders>
              <w:bottom w:val="single" w:sz="4" w:space="0" w:color="auto"/>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w:t>
            </w:r>
            <w:r>
              <w:rPr>
                <w:rFonts w:ascii="Calibri Light" w:eastAsia="Calibri" w:hAnsi="Calibri Light" w:cs="Calibri Light"/>
                <w:szCs w:val="22"/>
              </w:rPr>
              <w:t>5</w:t>
            </w:r>
            <w:r w:rsidRPr="00196AC1">
              <w:rPr>
                <w:rFonts w:ascii="Calibri Light" w:eastAsia="Calibri" w:hAnsi="Calibri Light" w:cs="Calibri Light"/>
                <w:szCs w:val="22"/>
              </w:rPr>
              <w:t>.</w:t>
            </w:r>
            <w:r>
              <w:rPr>
                <w:rFonts w:ascii="Calibri Light" w:eastAsia="Calibri" w:hAnsi="Calibri Light" w:cs="Calibri Light"/>
                <w:szCs w:val="22"/>
              </w:rPr>
              <w:t>8</w:t>
            </w:r>
            <w:r w:rsidRPr="00196AC1">
              <w:rPr>
                <w:rFonts w:ascii="Calibri Light" w:eastAsia="Calibri" w:hAnsi="Calibri Light" w:cs="Calibri Light"/>
                <w:szCs w:val="22"/>
              </w:rPr>
              <w:t>M</w:t>
            </w:r>
          </w:p>
        </w:tc>
        <w:tc>
          <w:tcPr>
            <w:tcW w:w="2494" w:type="dxa"/>
            <w:tcBorders>
              <w:bottom w:val="single" w:sz="4" w:space="0" w:color="auto"/>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$0</w:t>
            </w:r>
          </w:p>
        </w:tc>
        <w:tc>
          <w:tcPr>
            <w:tcW w:w="1699" w:type="dxa"/>
            <w:tcBorders>
              <w:bottom w:val="single" w:sz="4" w:space="0" w:color="auto"/>
            </w:tcBorders>
          </w:tcPr>
          <w:p w:rsidR="00F66475" w:rsidRPr="00196AC1" w:rsidRDefault="00F66475" w:rsidP="00E2051A">
            <w:pPr>
              <w:spacing w:after="60" w:line="288" w:lineRule="auto"/>
              <w:rPr>
                <w:rFonts w:ascii="Calibri Light" w:eastAsia="Calibri" w:hAnsi="Calibri Light" w:cs="Calibri Light"/>
                <w:szCs w:val="22"/>
              </w:rPr>
            </w:pPr>
            <w:r w:rsidRPr="00196AC1">
              <w:rPr>
                <w:rFonts w:ascii="Calibri Light" w:eastAsia="Calibri" w:hAnsi="Calibri Light" w:cs="Calibri Light"/>
                <w:szCs w:val="22"/>
              </w:rPr>
              <w:t>$</w:t>
            </w:r>
            <w:r>
              <w:rPr>
                <w:rFonts w:ascii="Calibri Light" w:eastAsia="Calibri" w:hAnsi="Calibri Light" w:cs="Calibri Light"/>
                <w:szCs w:val="22"/>
              </w:rPr>
              <w:t>5</w:t>
            </w:r>
            <w:r w:rsidRPr="00196AC1">
              <w:rPr>
                <w:rFonts w:ascii="Calibri Light" w:eastAsia="Calibri" w:hAnsi="Calibri Light" w:cs="Calibri Light"/>
                <w:szCs w:val="22"/>
              </w:rPr>
              <w:t>.</w:t>
            </w:r>
            <w:r>
              <w:rPr>
                <w:rFonts w:ascii="Calibri Light" w:eastAsia="Calibri" w:hAnsi="Calibri Light" w:cs="Calibri Light"/>
                <w:szCs w:val="22"/>
              </w:rPr>
              <w:t>8</w:t>
            </w:r>
            <w:r w:rsidRPr="00196AC1">
              <w:rPr>
                <w:rFonts w:ascii="Calibri Light" w:eastAsia="Calibri" w:hAnsi="Calibri Light" w:cs="Calibri Light"/>
                <w:szCs w:val="22"/>
              </w:rPr>
              <w:t>M</w:t>
            </w:r>
            <w:r w:rsidRPr="00196AC1" w:rsidDel="006752F3">
              <w:rPr>
                <w:rFonts w:ascii="Calibri Light" w:eastAsia="Calibri" w:hAnsi="Calibri Light" w:cs="Calibri Light"/>
                <w:szCs w:val="22"/>
              </w:rPr>
              <w:t xml:space="preserve"> </w:t>
            </w:r>
          </w:p>
        </w:tc>
      </w:tr>
    </w:tbl>
    <w:p w:rsidR="00F66475" w:rsidRDefault="00F66475" w:rsidP="00F66475">
      <w:pPr>
        <w:rPr>
          <w:rFonts w:ascii="Calibri Light" w:hAnsi="Calibri Light" w:cs="Calibri Light"/>
        </w:rPr>
      </w:pPr>
    </w:p>
    <w:p w:rsidR="00F66475" w:rsidRDefault="00F66475" w:rsidP="00F66475">
      <w:pPr>
        <w:rPr>
          <w:rFonts w:ascii="Calibri Light" w:hAnsi="Calibri Light" w:cs="Calibri Light"/>
        </w:rPr>
      </w:pPr>
      <w:r>
        <w:rPr>
          <w:rFonts w:ascii="Calibri Light" w:hAnsi="Calibri Light" w:cs="Calibri Light"/>
        </w:rPr>
        <w:t xml:space="preserve">Further detail on the regulatory burden is at </w:t>
      </w:r>
      <w:r w:rsidRPr="00825052">
        <w:rPr>
          <w:rFonts w:ascii="Calibri Light" w:hAnsi="Calibri Light" w:cs="Calibri Light"/>
          <w:u w:val="single"/>
        </w:rPr>
        <w:t>Appendix 1</w:t>
      </w:r>
      <w:r>
        <w:rPr>
          <w:rFonts w:ascii="Calibri Light" w:hAnsi="Calibri Light" w:cs="Calibri Light"/>
        </w:rPr>
        <w:t>.</w:t>
      </w:r>
    </w:p>
    <w:p w:rsidR="00F66475" w:rsidRDefault="00F66475" w:rsidP="00F66475">
      <w:pPr>
        <w:spacing w:after="120" w:line="288" w:lineRule="auto"/>
        <w:rPr>
          <w:rFonts w:ascii="Calibri Light" w:hAnsi="Calibri Light" w:cs="Calibri Light"/>
        </w:rPr>
      </w:pPr>
      <w:r>
        <w:rPr>
          <w:rFonts w:ascii="Calibri Light" w:hAnsi="Calibri Light" w:cs="Calibri Light"/>
        </w:rPr>
        <w:t xml:space="preserve">The RBE of the CIS must be compared to the RBE of No Government Intervention which would be $0. As such, the CIS is estimated to cost businesses (collectively) </w:t>
      </w:r>
      <w:r w:rsidRPr="00264770">
        <w:rPr>
          <w:rFonts w:ascii="Calibri Light" w:hAnsi="Calibri Light" w:cs="Calibri Light"/>
        </w:rPr>
        <w:t>$</w:t>
      </w:r>
      <w:r>
        <w:rPr>
          <w:rFonts w:ascii="Calibri Light" w:hAnsi="Calibri Light" w:cs="Calibri Light"/>
        </w:rPr>
        <w:t>5.8</w:t>
      </w:r>
      <w:r w:rsidRPr="008A085E">
        <w:rPr>
          <w:rFonts w:ascii="Calibri Light" w:eastAsia="Calibri" w:hAnsi="Calibri Light" w:cs="Calibri Light"/>
          <w:szCs w:val="22"/>
        </w:rPr>
        <w:t xml:space="preserve"> million</w:t>
      </w:r>
      <w:r w:rsidRPr="00B15F87">
        <w:rPr>
          <w:rFonts w:ascii="Calibri Light" w:hAnsi="Calibri Light" w:cs="Calibri Light"/>
        </w:rPr>
        <w:t xml:space="preserve"> </w:t>
      </w:r>
      <w:r>
        <w:rPr>
          <w:rFonts w:ascii="Calibri Light" w:hAnsi="Calibri Light" w:cs="Calibri Light"/>
        </w:rPr>
        <w:t xml:space="preserve">more per tender round compared to if </w:t>
      </w:r>
      <w:r w:rsidRPr="008A085E">
        <w:rPr>
          <w:rFonts w:ascii="Calibri Light" w:eastAsia="Calibri" w:hAnsi="Calibri Light" w:cs="Calibri Light"/>
          <w:szCs w:val="22"/>
        </w:rPr>
        <w:lastRenderedPageBreak/>
        <w:t>No</w:t>
      </w:r>
      <w:r>
        <w:rPr>
          <w:rFonts w:ascii="Calibri Light" w:hAnsi="Calibri Light" w:cs="Calibri Light"/>
        </w:rPr>
        <w:t xml:space="preserve"> Government Intervention was to be undertaken. However, under the CIS any cost burden will be offset for successful tenders by the benefits revenue underwriting by the Commonwealth.</w:t>
      </w:r>
    </w:p>
    <w:p w:rsidR="00F66475" w:rsidRPr="008A085E" w:rsidRDefault="00F66475" w:rsidP="00F66475">
      <w:pPr>
        <w:pStyle w:val="Heading3"/>
        <w:rPr>
          <w:rFonts w:ascii="Calibri Light" w:hAnsi="Calibri Light" w:cs="Calibri Light"/>
          <w:color w:val="197C7D"/>
          <w:sz w:val="36"/>
          <w:szCs w:val="36"/>
          <w:lang w:val="en-US"/>
        </w:rPr>
      </w:pPr>
      <w:bookmarkStart w:id="131" w:name="_Toc1401153677"/>
      <w:r w:rsidRPr="52A7AAAB">
        <w:rPr>
          <w:rFonts w:ascii="Calibri Light" w:hAnsi="Calibri Light" w:cs="Calibri Light"/>
          <w:color w:val="197C7D"/>
          <w:sz w:val="36"/>
          <w:szCs w:val="36"/>
          <w:lang w:val="en-US"/>
        </w:rPr>
        <w:t>Comparable international schemes</w:t>
      </w:r>
      <w:bookmarkEnd w:id="131"/>
    </w:p>
    <w:p w:rsidR="00F66475" w:rsidRDefault="00F66475" w:rsidP="00F66475">
      <w:pPr>
        <w:spacing w:after="120" w:line="288" w:lineRule="auto"/>
        <w:rPr>
          <w:rFonts w:ascii="Calibri Light" w:hAnsi="Calibri Light" w:cs="Calibri Light"/>
        </w:rPr>
      </w:pPr>
      <w:r>
        <w:rPr>
          <w:rFonts w:ascii="Calibri Light" w:hAnsi="Calibri Light" w:cs="Calibri Light"/>
        </w:rPr>
        <w:t xml:space="preserve">Applicable international and domestic schemes have outlined at Appendix 2. To summarise, </w:t>
      </w:r>
      <w:r w:rsidRPr="00383F6B">
        <w:rPr>
          <w:rFonts w:ascii="Calibri Light" w:hAnsi="Calibri Light" w:cs="Calibri Light"/>
        </w:rPr>
        <w:t>the use of underwriting to support renewable energy and renewable energy integration, allocated via competitive tenders</w:t>
      </w:r>
      <w:r>
        <w:rPr>
          <w:rFonts w:ascii="Calibri Light" w:hAnsi="Calibri Light" w:cs="Calibri Light"/>
        </w:rPr>
        <w:t>,</w:t>
      </w:r>
      <w:r w:rsidRPr="00383F6B">
        <w:rPr>
          <w:rFonts w:ascii="Calibri Light" w:hAnsi="Calibri Light" w:cs="Calibri Light"/>
        </w:rPr>
        <w:t xml:space="preserve"> </w:t>
      </w:r>
      <w:r>
        <w:rPr>
          <w:rFonts w:ascii="Calibri Light" w:hAnsi="Calibri Light" w:cs="Calibri Light"/>
        </w:rPr>
        <w:t xml:space="preserve">has been increasing both internationally and domestically. </w:t>
      </w:r>
    </w:p>
    <w:p w:rsidR="00F66475" w:rsidRDefault="00F66475" w:rsidP="00F66475">
      <w:pPr>
        <w:spacing w:after="120" w:line="288" w:lineRule="auto"/>
        <w:rPr>
          <w:rFonts w:ascii="Calibri Light" w:hAnsi="Calibri Light" w:cs="Calibri Light"/>
        </w:rPr>
      </w:pPr>
      <w:r>
        <w:rPr>
          <w:rFonts w:ascii="Calibri Light" w:hAnsi="Calibri Light" w:cs="Calibri Light"/>
        </w:rPr>
        <w:t xml:space="preserve">The </w:t>
      </w:r>
      <w:r w:rsidRPr="009E7AD2">
        <w:rPr>
          <w:rFonts w:ascii="Calibri Light" w:hAnsi="Calibri Light" w:cs="Calibri Light"/>
        </w:rPr>
        <w:t xml:space="preserve">closest domestic model to the Capacity Investment Scheme is the </w:t>
      </w:r>
      <w:r w:rsidRPr="003F7792">
        <w:rPr>
          <w:rFonts w:ascii="Calibri Light" w:hAnsi="Calibri Light" w:cs="Calibri Light"/>
        </w:rPr>
        <w:t>Long-Term</w:t>
      </w:r>
      <w:r w:rsidRPr="009E7AD2">
        <w:rPr>
          <w:rFonts w:ascii="Calibri Light" w:hAnsi="Calibri Light" w:cs="Calibri Light"/>
        </w:rPr>
        <w:t xml:space="preserve"> Energy Service Agreements (LTESA) scheme in</w:t>
      </w:r>
      <w:r>
        <w:rPr>
          <w:rFonts w:ascii="Calibri Light" w:hAnsi="Calibri Light" w:cs="Calibri Light"/>
        </w:rPr>
        <w:t xml:space="preserve"> LTESA in</w:t>
      </w:r>
      <w:r w:rsidRPr="009E7AD2">
        <w:rPr>
          <w:rFonts w:ascii="Calibri Light" w:hAnsi="Calibri Light" w:cs="Calibri Light"/>
        </w:rPr>
        <w:t xml:space="preserve"> NSW, which uses a ‘cap and floor’ approach to underwrite both renewable generation and long duration storage. </w:t>
      </w:r>
    </w:p>
    <w:p w:rsidR="00F66475" w:rsidRDefault="00F66475" w:rsidP="00F66475">
      <w:pPr>
        <w:spacing w:after="120" w:line="288" w:lineRule="auto"/>
        <w:rPr>
          <w:rFonts w:ascii="Calibri Light" w:hAnsi="Calibri Light" w:cs="Calibri Light"/>
        </w:rPr>
      </w:pPr>
      <w:r w:rsidRPr="00EF1442">
        <w:rPr>
          <w:rFonts w:ascii="Calibri Light" w:hAnsi="Calibri Light" w:cs="Calibri Light"/>
        </w:rPr>
        <w:t>Many European countries, as well as Victoria and the ACT, use ‘contracts for difference’ (C</w:t>
      </w:r>
      <w:r>
        <w:rPr>
          <w:rFonts w:ascii="Calibri Light" w:hAnsi="Calibri Light" w:cs="Calibri Light"/>
        </w:rPr>
        <w:t>f</w:t>
      </w:r>
      <w:r w:rsidRPr="00EF1442">
        <w:rPr>
          <w:rFonts w:ascii="Calibri Light" w:hAnsi="Calibri Light" w:cs="Calibri Light"/>
        </w:rPr>
        <w:t>Ds) which guarantee a single stable price for renewable energy generators. C</w:t>
      </w:r>
      <w:r>
        <w:rPr>
          <w:rFonts w:ascii="Calibri Light" w:hAnsi="Calibri Light" w:cs="Calibri Light"/>
        </w:rPr>
        <w:t>f</w:t>
      </w:r>
      <w:r w:rsidRPr="00EF1442">
        <w:rPr>
          <w:rFonts w:ascii="Calibri Light" w:hAnsi="Calibri Light" w:cs="Calibri Light"/>
        </w:rPr>
        <w:t>Ds provide the most benefit to renewable generators in terms of de-risking investment. However, their widespread use can reduce contract market liquidity.</w:t>
      </w:r>
    </w:p>
    <w:p w:rsidR="00F66475" w:rsidRDefault="00F66475" w:rsidP="00F66475">
      <w:pPr>
        <w:spacing w:after="120" w:line="288" w:lineRule="auto"/>
        <w:rPr>
          <w:rFonts w:ascii="Calibri Light" w:hAnsi="Calibri Light" w:cs="Calibri Light"/>
        </w:rPr>
      </w:pPr>
      <w:r w:rsidRPr="00797385">
        <w:rPr>
          <w:rFonts w:ascii="Calibri Light" w:hAnsi="Calibri Light" w:cs="Calibri Light"/>
          <w:szCs w:val="22"/>
        </w:rPr>
        <w:t>The success of the C</w:t>
      </w:r>
      <w:r>
        <w:rPr>
          <w:rFonts w:ascii="Calibri Light" w:hAnsi="Calibri Light" w:cs="Calibri Light"/>
          <w:szCs w:val="22"/>
        </w:rPr>
        <w:t>f</w:t>
      </w:r>
      <w:r w:rsidRPr="00797385">
        <w:rPr>
          <w:rFonts w:ascii="Calibri Light" w:hAnsi="Calibri Light" w:cs="Calibri Light"/>
          <w:szCs w:val="22"/>
        </w:rPr>
        <w:t>D model in supporting huge increase</w:t>
      </w:r>
      <w:r>
        <w:rPr>
          <w:rFonts w:ascii="Calibri Light" w:hAnsi="Calibri Light" w:cs="Calibri Light"/>
          <w:szCs w:val="22"/>
        </w:rPr>
        <w:t>s</w:t>
      </w:r>
      <w:r w:rsidRPr="00797385">
        <w:rPr>
          <w:rFonts w:ascii="Calibri Light" w:hAnsi="Calibri Light" w:cs="Calibri Light"/>
          <w:szCs w:val="22"/>
        </w:rPr>
        <w:t xml:space="preserve"> in renewables in the last decade has been seized upon by the UK government and C</w:t>
      </w:r>
      <w:r>
        <w:rPr>
          <w:rFonts w:ascii="Calibri Light" w:hAnsi="Calibri Light" w:cs="Calibri Light"/>
          <w:szCs w:val="22"/>
        </w:rPr>
        <w:t>f</w:t>
      </w:r>
      <w:r w:rsidRPr="00797385">
        <w:rPr>
          <w:rFonts w:ascii="Calibri Light" w:hAnsi="Calibri Light" w:cs="Calibri Light"/>
          <w:szCs w:val="22"/>
        </w:rPr>
        <w:t>Ds are now at the heart of emerging business models for other industries and technologies</w:t>
      </w:r>
      <w:r>
        <w:rPr>
          <w:rFonts w:ascii="Calibri Light" w:hAnsi="Calibri Light" w:cs="Calibri Light"/>
          <w:szCs w:val="22"/>
        </w:rPr>
        <w:t>.</w:t>
      </w:r>
    </w:p>
    <w:p w:rsidR="00F66475" w:rsidRPr="00D72217" w:rsidRDefault="00F66475" w:rsidP="00F66475">
      <w:pPr>
        <w:pStyle w:val="Heading3"/>
        <w:rPr>
          <w:rFonts w:eastAsiaTheme="minorEastAsia" w:cstheme="majorBidi"/>
          <w:color w:val="197C7D"/>
          <w:sz w:val="48"/>
          <w:szCs w:val="48"/>
          <w:lang w:eastAsia="ja-JP"/>
        </w:rPr>
      </w:pPr>
      <w:bookmarkStart w:id="132" w:name="_Toc147735779"/>
      <w:bookmarkStart w:id="133" w:name="_Toc147742232"/>
      <w:bookmarkStart w:id="134" w:name="_Toc147735780"/>
      <w:bookmarkStart w:id="135" w:name="_Toc147742233"/>
      <w:bookmarkStart w:id="136" w:name="_Toc147735781"/>
      <w:bookmarkStart w:id="137" w:name="_Toc147742234"/>
      <w:bookmarkStart w:id="138" w:name="_Toc147735782"/>
      <w:bookmarkStart w:id="139" w:name="_Toc147742235"/>
      <w:bookmarkStart w:id="140" w:name="_Toc147735783"/>
      <w:bookmarkStart w:id="141" w:name="_Toc147742236"/>
      <w:bookmarkStart w:id="142" w:name="_Toc147735784"/>
      <w:bookmarkStart w:id="143" w:name="_Toc147742237"/>
      <w:bookmarkStart w:id="144" w:name="_Toc147735785"/>
      <w:bookmarkStart w:id="145" w:name="_Toc147742238"/>
      <w:bookmarkStart w:id="146" w:name="_Toc147735786"/>
      <w:bookmarkStart w:id="147" w:name="_Toc147742239"/>
      <w:bookmarkStart w:id="148" w:name="_Toc147735787"/>
      <w:bookmarkStart w:id="149" w:name="_Toc147742240"/>
      <w:bookmarkStart w:id="150" w:name="_Toc147735788"/>
      <w:bookmarkStart w:id="151" w:name="_Toc147742241"/>
      <w:bookmarkStart w:id="152" w:name="_Toc147735789"/>
      <w:bookmarkStart w:id="153" w:name="_Toc147742242"/>
      <w:bookmarkStart w:id="154" w:name="_Toc147735790"/>
      <w:bookmarkStart w:id="155" w:name="_Toc147742243"/>
      <w:bookmarkStart w:id="156" w:name="_Toc147735791"/>
      <w:bookmarkStart w:id="157" w:name="_Toc147742244"/>
      <w:bookmarkStart w:id="158" w:name="_Toc147735792"/>
      <w:bookmarkStart w:id="159" w:name="_Toc147742245"/>
      <w:bookmarkStart w:id="160" w:name="_Toc147735793"/>
      <w:bookmarkStart w:id="161" w:name="_Toc147742246"/>
      <w:bookmarkStart w:id="162" w:name="_Toc147735794"/>
      <w:bookmarkStart w:id="163" w:name="_Toc147742247"/>
      <w:bookmarkStart w:id="164" w:name="_Toc147735795"/>
      <w:bookmarkStart w:id="165" w:name="_Toc147742248"/>
      <w:bookmarkStart w:id="166" w:name="_Toc147735796"/>
      <w:bookmarkStart w:id="167" w:name="_Toc147742249"/>
      <w:bookmarkStart w:id="168" w:name="_Toc147479679"/>
      <w:bookmarkStart w:id="169" w:name="_Toc147735797"/>
      <w:bookmarkStart w:id="170" w:name="_Toc147742250"/>
      <w:bookmarkStart w:id="171" w:name="_Toc147479680"/>
      <w:bookmarkStart w:id="172" w:name="_Toc147735798"/>
      <w:bookmarkStart w:id="173" w:name="_Toc147742251"/>
      <w:bookmarkStart w:id="174" w:name="_Toc147479681"/>
      <w:bookmarkStart w:id="175" w:name="_Toc147735799"/>
      <w:bookmarkStart w:id="176" w:name="_Toc147742252"/>
      <w:bookmarkStart w:id="177" w:name="_Toc147479682"/>
      <w:bookmarkStart w:id="178" w:name="_Toc147735800"/>
      <w:bookmarkStart w:id="179" w:name="_Toc147742253"/>
      <w:bookmarkStart w:id="180" w:name="_Toc147479683"/>
      <w:bookmarkStart w:id="181" w:name="_Toc147735801"/>
      <w:bookmarkStart w:id="182" w:name="_Toc147742254"/>
      <w:bookmarkStart w:id="183" w:name="_Toc147479684"/>
      <w:bookmarkStart w:id="184" w:name="_Toc147735802"/>
      <w:bookmarkStart w:id="185" w:name="_Toc147742255"/>
      <w:bookmarkStart w:id="186" w:name="_Toc147479685"/>
      <w:bookmarkStart w:id="187" w:name="_Toc147735803"/>
      <w:bookmarkStart w:id="188" w:name="_Toc147742256"/>
      <w:bookmarkStart w:id="189" w:name="_Toc147479686"/>
      <w:bookmarkStart w:id="190" w:name="_Toc147735804"/>
      <w:bookmarkStart w:id="191" w:name="_Toc147742257"/>
      <w:bookmarkStart w:id="192" w:name="_Toc147479687"/>
      <w:bookmarkStart w:id="193" w:name="_Toc147735805"/>
      <w:bookmarkStart w:id="194" w:name="_Toc147742258"/>
      <w:bookmarkStart w:id="195" w:name="_Toc147479688"/>
      <w:bookmarkStart w:id="196" w:name="_Toc147735806"/>
      <w:bookmarkStart w:id="197" w:name="_Toc147742259"/>
      <w:bookmarkStart w:id="198" w:name="_Toc147479689"/>
      <w:bookmarkStart w:id="199" w:name="_Toc147735807"/>
      <w:bookmarkStart w:id="200" w:name="_Toc147742260"/>
      <w:bookmarkStart w:id="201" w:name="_Toc147479690"/>
      <w:bookmarkStart w:id="202" w:name="_Toc147735808"/>
      <w:bookmarkStart w:id="203" w:name="_Toc147742261"/>
      <w:bookmarkStart w:id="204" w:name="_Toc147479691"/>
      <w:bookmarkStart w:id="205" w:name="_Toc147735809"/>
      <w:bookmarkStart w:id="206" w:name="_Toc147742262"/>
      <w:bookmarkStart w:id="207" w:name="_Toc147479692"/>
      <w:bookmarkStart w:id="208" w:name="_Toc147735810"/>
      <w:bookmarkStart w:id="209" w:name="_Toc147742263"/>
      <w:bookmarkStart w:id="210" w:name="_Toc147479693"/>
      <w:bookmarkStart w:id="211" w:name="_Toc147735811"/>
      <w:bookmarkStart w:id="212" w:name="_Toc147742264"/>
      <w:bookmarkStart w:id="213" w:name="_Toc147479694"/>
      <w:bookmarkStart w:id="214" w:name="_Toc147735812"/>
      <w:bookmarkStart w:id="215" w:name="_Toc147742265"/>
      <w:bookmarkStart w:id="216" w:name="_Toc147479695"/>
      <w:bookmarkStart w:id="217" w:name="_Toc147735813"/>
      <w:bookmarkStart w:id="218" w:name="_Toc147742266"/>
      <w:bookmarkStart w:id="219" w:name="_Toc147479696"/>
      <w:bookmarkStart w:id="220" w:name="_Toc147735814"/>
      <w:bookmarkStart w:id="221" w:name="_Toc147742267"/>
      <w:bookmarkStart w:id="222" w:name="_Toc147479697"/>
      <w:bookmarkStart w:id="223" w:name="_Toc147735815"/>
      <w:bookmarkStart w:id="224" w:name="_Toc147742268"/>
      <w:bookmarkStart w:id="225" w:name="_Toc147479698"/>
      <w:bookmarkStart w:id="226" w:name="_Toc147735816"/>
      <w:bookmarkStart w:id="227" w:name="_Toc147742269"/>
      <w:bookmarkStart w:id="228" w:name="_Toc147479699"/>
      <w:bookmarkStart w:id="229" w:name="_Toc147735817"/>
      <w:bookmarkStart w:id="230" w:name="_Toc147742270"/>
      <w:bookmarkStart w:id="231" w:name="_Toc147479700"/>
      <w:bookmarkStart w:id="232" w:name="_Toc147735818"/>
      <w:bookmarkStart w:id="233" w:name="_Toc147742271"/>
      <w:bookmarkStart w:id="234" w:name="_Toc147479701"/>
      <w:bookmarkStart w:id="235" w:name="_Toc147735819"/>
      <w:bookmarkStart w:id="236" w:name="_Toc147742272"/>
      <w:bookmarkStart w:id="237" w:name="_Toc147479702"/>
      <w:bookmarkStart w:id="238" w:name="_Toc147735820"/>
      <w:bookmarkStart w:id="239" w:name="_Toc147742273"/>
      <w:bookmarkStart w:id="240" w:name="_Toc147479703"/>
      <w:bookmarkStart w:id="241" w:name="_Toc147735821"/>
      <w:bookmarkStart w:id="242" w:name="_Toc147742274"/>
      <w:bookmarkStart w:id="243" w:name="_Toc147479704"/>
      <w:bookmarkStart w:id="244" w:name="_Toc147735822"/>
      <w:bookmarkStart w:id="245" w:name="_Toc147742275"/>
      <w:bookmarkStart w:id="246" w:name="_Toc147479705"/>
      <w:bookmarkStart w:id="247" w:name="_Toc147735823"/>
      <w:bookmarkStart w:id="248" w:name="_Toc147742276"/>
      <w:bookmarkStart w:id="249" w:name="_Toc147479706"/>
      <w:bookmarkStart w:id="250" w:name="_Toc147735824"/>
      <w:bookmarkStart w:id="251" w:name="_Toc147742277"/>
      <w:bookmarkStart w:id="252" w:name="_Toc147479707"/>
      <w:bookmarkStart w:id="253" w:name="_Toc147735825"/>
      <w:bookmarkStart w:id="254" w:name="_Toc147742278"/>
      <w:bookmarkStart w:id="255" w:name="_Toc147479708"/>
      <w:bookmarkStart w:id="256" w:name="_Toc147735826"/>
      <w:bookmarkStart w:id="257" w:name="_Toc147742279"/>
      <w:bookmarkStart w:id="258" w:name="_Toc147479709"/>
      <w:bookmarkStart w:id="259" w:name="_Toc147735827"/>
      <w:bookmarkStart w:id="260" w:name="_Toc147742280"/>
      <w:bookmarkStart w:id="261" w:name="_Toc147479710"/>
      <w:bookmarkStart w:id="262" w:name="_Toc147735828"/>
      <w:bookmarkStart w:id="263" w:name="_Toc147742281"/>
      <w:bookmarkStart w:id="264" w:name="_Toc147479711"/>
      <w:bookmarkStart w:id="265" w:name="_Toc147735829"/>
      <w:bookmarkStart w:id="266" w:name="_Toc147742282"/>
      <w:bookmarkStart w:id="267" w:name="_Toc147479712"/>
      <w:bookmarkStart w:id="268" w:name="_Toc147735830"/>
      <w:bookmarkStart w:id="269" w:name="_Toc147742283"/>
      <w:bookmarkStart w:id="270" w:name="_Toc147479713"/>
      <w:bookmarkStart w:id="271" w:name="_Toc147735831"/>
      <w:bookmarkStart w:id="272" w:name="_Toc147742284"/>
      <w:bookmarkStart w:id="273" w:name="_Toc147479714"/>
      <w:bookmarkStart w:id="274" w:name="_Toc147735832"/>
      <w:bookmarkStart w:id="275" w:name="_Toc147742285"/>
      <w:bookmarkStart w:id="276" w:name="_Toc147479715"/>
      <w:bookmarkStart w:id="277" w:name="_Toc147735833"/>
      <w:bookmarkStart w:id="278" w:name="_Toc147742286"/>
      <w:bookmarkStart w:id="279" w:name="_Toc147479716"/>
      <w:bookmarkStart w:id="280" w:name="_Toc147735834"/>
      <w:bookmarkStart w:id="281" w:name="_Toc147742287"/>
      <w:bookmarkStart w:id="282" w:name="_Toc147479717"/>
      <w:bookmarkStart w:id="283" w:name="_Toc147735835"/>
      <w:bookmarkStart w:id="284" w:name="_Toc147742288"/>
      <w:bookmarkStart w:id="285" w:name="_Toc147479718"/>
      <w:bookmarkStart w:id="286" w:name="_Toc147735836"/>
      <w:bookmarkStart w:id="287" w:name="_Toc147742289"/>
      <w:bookmarkStart w:id="288" w:name="_Toc147479719"/>
      <w:bookmarkStart w:id="289" w:name="_Toc147735837"/>
      <w:bookmarkStart w:id="290" w:name="_Toc147742290"/>
      <w:bookmarkStart w:id="291" w:name="_Toc147479720"/>
      <w:bookmarkStart w:id="292" w:name="_Toc147735838"/>
      <w:bookmarkStart w:id="293" w:name="_Toc147742291"/>
      <w:bookmarkStart w:id="294" w:name="_Toc147479721"/>
      <w:bookmarkStart w:id="295" w:name="_Toc147735839"/>
      <w:bookmarkStart w:id="296" w:name="_Toc147742292"/>
      <w:bookmarkStart w:id="297" w:name="_Toc147479722"/>
      <w:bookmarkStart w:id="298" w:name="_Toc147735840"/>
      <w:bookmarkStart w:id="299" w:name="_Toc147742293"/>
      <w:bookmarkStart w:id="300" w:name="_Toc147479723"/>
      <w:bookmarkStart w:id="301" w:name="_Toc147735841"/>
      <w:bookmarkStart w:id="302" w:name="_Toc147742294"/>
      <w:bookmarkStart w:id="303" w:name="_Toc147479724"/>
      <w:bookmarkStart w:id="304" w:name="_Toc147735842"/>
      <w:bookmarkStart w:id="305" w:name="_Toc147742295"/>
      <w:bookmarkStart w:id="306" w:name="_Toc147479725"/>
      <w:bookmarkStart w:id="307" w:name="_Toc147735843"/>
      <w:bookmarkStart w:id="308" w:name="_Toc147742296"/>
      <w:bookmarkStart w:id="309" w:name="_Toc147479726"/>
      <w:bookmarkStart w:id="310" w:name="_Toc147735844"/>
      <w:bookmarkStart w:id="311" w:name="_Toc147742297"/>
      <w:bookmarkStart w:id="312" w:name="_Toc147479727"/>
      <w:bookmarkStart w:id="313" w:name="_Toc147735845"/>
      <w:bookmarkStart w:id="314" w:name="_Toc147742298"/>
      <w:bookmarkStart w:id="315" w:name="_Toc147479742"/>
      <w:bookmarkStart w:id="316" w:name="_Toc147735860"/>
      <w:bookmarkStart w:id="317" w:name="_Toc147742313"/>
      <w:bookmarkStart w:id="318" w:name="_Toc147479743"/>
      <w:bookmarkStart w:id="319" w:name="_Toc147735861"/>
      <w:bookmarkStart w:id="320" w:name="_Toc147742314"/>
      <w:bookmarkStart w:id="321" w:name="_Toc147479744"/>
      <w:bookmarkStart w:id="322" w:name="_Toc147735862"/>
      <w:bookmarkStart w:id="323" w:name="_Toc147742315"/>
      <w:bookmarkStart w:id="324" w:name="_Toc147479745"/>
      <w:bookmarkStart w:id="325" w:name="_Toc147735863"/>
      <w:bookmarkStart w:id="326" w:name="_Toc147742316"/>
      <w:bookmarkStart w:id="327" w:name="_Toc147479746"/>
      <w:bookmarkStart w:id="328" w:name="_Toc147735864"/>
      <w:bookmarkStart w:id="329" w:name="_Toc147742317"/>
      <w:bookmarkStart w:id="330" w:name="_Toc147479747"/>
      <w:bookmarkStart w:id="331" w:name="_Toc147735865"/>
      <w:bookmarkStart w:id="332" w:name="_Toc147742318"/>
      <w:bookmarkStart w:id="333" w:name="_Toc147479748"/>
      <w:bookmarkStart w:id="334" w:name="_Toc147735866"/>
      <w:bookmarkStart w:id="335" w:name="_Toc147742319"/>
      <w:bookmarkStart w:id="336" w:name="_Toc147479749"/>
      <w:bookmarkStart w:id="337" w:name="_Toc147735867"/>
      <w:bookmarkStart w:id="338" w:name="_Toc147742320"/>
      <w:bookmarkStart w:id="339" w:name="_Toc147479770"/>
      <w:bookmarkStart w:id="340" w:name="_Toc147735888"/>
      <w:bookmarkStart w:id="341" w:name="_Toc147742341"/>
      <w:bookmarkStart w:id="342" w:name="_Toc146800960"/>
      <w:bookmarkStart w:id="343" w:name="_Toc146808123"/>
      <w:bookmarkStart w:id="344" w:name="_Toc146866779"/>
      <w:bookmarkStart w:id="345" w:name="_Toc147152135"/>
      <w:bookmarkStart w:id="346" w:name="_Toc147396175"/>
      <w:bookmarkStart w:id="347" w:name="_Toc147479795"/>
      <w:bookmarkStart w:id="348" w:name="_Toc147735913"/>
      <w:bookmarkStart w:id="349" w:name="_Toc147742366"/>
      <w:bookmarkStart w:id="350" w:name="_Toc146800961"/>
      <w:bookmarkStart w:id="351" w:name="_Toc146808124"/>
      <w:bookmarkStart w:id="352" w:name="_Toc146866780"/>
      <w:bookmarkStart w:id="353" w:name="_Toc147152136"/>
      <w:bookmarkStart w:id="354" w:name="_Toc147396176"/>
      <w:bookmarkStart w:id="355" w:name="_Toc147479796"/>
      <w:bookmarkStart w:id="356" w:name="_Toc147735914"/>
      <w:bookmarkStart w:id="357" w:name="_Toc147742367"/>
      <w:bookmarkStart w:id="358" w:name="_Toc146800962"/>
      <w:bookmarkStart w:id="359" w:name="_Toc146808125"/>
      <w:bookmarkStart w:id="360" w:name="_Toc146866781"/>
      <w:bookmarkStart w:id="361" w:name="_Toc147152137"/>
      <w:bookmarkStart w:id="362" w:name="_Toc147396177"/>
      <w:bookmarkStart w:id="363" w:name="_Toc147479797"/>
      <w:bookmarkStart w:id="364" w:name="_Toc147735915"/>
      <w:bookmarkStart w:id="365" w:name="_Toc147742368"/>
      <w:bookmarkStart w:id="366" w:name="_Toc146800963"/>
      <w:bookmarkStart w:id="367" w:name="_Toc146808126"/>
      <w:bookmarkStart w:id="368" w:name="_Toc146866782"/>
      <w:bookmarkStart w:id="369" w:name="_Toc147152138"/>
      <w:bookmarkStart w:id="370" w:name="_Toc147396178"/>
      <w:bookmarkStart w:id="371" w:name="_Toc147479798"/>
      <w:bookmarkStart w:id="372" w:name="_Toc147735916"/>
      <w:bookmarkStart w:id="373" w:name="_Toc147742369"/>
      <w:bookmarkStart w:id="374" w:name="_Toc146800964"/>
      <w:bookmarkStart w:id="375" w:name="_Toc146808127"/>
      <w:bookmarkStart w:id="376" w:name="_Toc146866783"/>
      <w:bookmarkStart w:id="377" w:name="_Toc147152139"/>
      <w:bookmarkStart w:id="378" w:name="_Toc147396179"/>
      <w:bookmarkStart w:id="379" w:name="_Toc147479799"/>
      <w:bookmarkStart w:id="380" w:name="_Toc147735917"/>
      <w:bookmarkStart w:id="381" w:name="_Toc147742370"/>
      <w:bookmarkStart w:id="382" w:name="_Toc146800965"/>
      <w:bookmarkStart w:id="383" w:name="_Toc146808128"/>
      <w:bookmarkStart w:id="384" w:name="_Toc146866784"/>
      <w:bookmarkStart w:id="385" w:name="_Toc147152140"/>
      <w:bookmarkStart w:id="386" w:name="_Toc147396180"/>
      <w:bookmarkStart w:id="387" w:name="_Toc147479800"/>
      <w:bookmarkStart w:id="388" w:name="_Toc147735918"/>
      <w:bookmarkStart w:id="389" w:name="_Toc147742371"/>
      <w:bookmarkStart w:id="390" w:name="_Toc146800966"/>
      <w:bookmarkStart w:id="391" w:name="_Toc146808129"/>
      <w:bookmarkStart w:id="392" w:name="_Toc146866785"/>
      <w:bookmarkStart w:id="393" w:name="_Toc147152141"/>
      <w:bookmarkStart w:id="394" w:name="_Toc147396181"/>
      <w:bookmarkStart w:id="395" w:name="_Toc147479801"/>
      <w:bookmarkStart w:id="396" w:name="_Toc147735919"/>
      <w:bookmarkStart w:id="397" w:name="_Toc147742372"/>
      <w:bookmarkStart w:id="398" w:name="_Toc146800967"/>
      <w:bookmarkStart w:id="399" w:name="_Toc146808130"/>
      <w:bookmarkStart w:id="400" w:name="_Toc146866786"/>
      <w:bookmarkStart w:id="401" w:name="_Toc147152142"/>
      <w:bookmarkStart w:id="402" w:name="_Toc147396182"/>
      <w:bookmarkStart w:id="403" w:name="_Toc147479802"/>
      <w:bookmarkStart w:id="404" w:name="_Toc147735920"/>
      <w:bookmarkStart w:id="405" w:name="_Toc147742373"/>
      <w:bookmarkStart w:id="406" w:name="_Toc146800968"/>
      <w:bookmarkStart w:id="407" w:name="_Toc146808131"/>
      <w:bookmarkStart w:id="408" w:name="_Toc146866787"/>
      <w:bookmarkStart w:id="409" w:name="_Toc147152143"/>
      <w:bookmarkStart w:id="410" w:name="_Toc147396183"/>
      <w:bookmarkStart w:id="411" w:name="_Toc147479803"/>
      <w:bookmarkStart w:id="412" w:name="_Toc147735921"/>
      <w:bookmarkStart w:id="413" w:name="_Toc147742374"/>
      <w:bookmarkStart w:id="414" w:name="_Toc146800969"/>
      <w:bookmarkStart w:id="415" w:name="_Toc146808132"/>
      <w:bookmarkStart w:id="416" w:name="_Toc146866788"/>
      <w:bookmarkStart w:id="417" w:name="_Toc147152144"/>
      <w:bookmarkStart w:id="418" w:name="_Toc147396184"/>
      <w:bookmarkStart w:id="419" w:name="_Toc147479804"/>
      <w:bookmarkStart w:id="420" w:name="_Toc147735922"/>
      <w:bookmarkStart w:id="421" w:name="_Toc147742375"/>
      <w:bookmarkStart w:id="422" w:name="_Toc146800970"/>
      <w:bookmarkStart w:id="423" w:name="_Toc146808133"/>
      <w:bookmarkStart w:id="424" w:name="_Toc146866789"/>
      <w:bookmarkStart w:id="425" w:name="_Toc147152145"/>
      <w:bookmarkStart w:id="426" w:name="_Toc147396185"/>
      <w:bookmarkStart w:id="427" w:name="_Toc147479805"/>
      <w:bookmarkStart w:id="428" w:name="_Toc147735923"/>
      <w:bookmarkStart w:id="429" w:name="_Toc147742376"/>
      <w:bookmarkStart w:id="430" w:name="_Toc146800971"/>
      <w:bookmarkStart w:id="431" w:name="_Toc146808134"/>
      <w:bookmarkStart w:id="432" w:name="_Toc146866790"/>
      <w:bookmarkStart w:id="433" w:name="_Toc147152146"/>
      <w:bookmarkStart w:id="434" w:name="_Toc147396186"/>
      <w:bookmarkStart w:id="435" w:name="_Toc147479806"/>
      <w:bookmarkStart w:id="436" w:name="_Toc147735924"/>
      <w:bookmarkStart w:id="437" w:name="_Toc147742377"/>
      <w:bookmarkStart w:id="438" w:name="_Toc146800972"/>
      <w:bookmarkStart w:id="439" w:name="_Toc146808135"/>
      <w:bookmarkStart w:id="440" w:name="_Toc146866791"/>
      <w:bookmarkStart w:id="441" w:name="_Toc147152147"/>
      <w:bookmarkStart w:id="442" w:name="_Toc147396187"/>
      <w:bookmarkStart w:id="443" w:name="_Toc147479807"/>
      <w:bookmarkStart w:id="444" w:name="_Toc147735925"/>
      <w:bookmarkStart w:id="445" w:name="_Toc147742378"/>
      <w:bookmarkStart w:id="446" w:name="_Toc146800973"/>
      <w:bookmarkStart w:id="447" w:name="_Toc146808136"/>
      <w:bookmarkStart w:id="448" w:name="_Toc146866792"/>
      <w:bookmarkStart w:id="449" w:name="_Toc147152148"/>
      <w:bookmarkStart w:id="450" w:name="_Toc147396188"/>
      <w:bookmarkStart w:id="451" w:name="_Toc147479808"/>
      <w:bookmarkStart w:id="452" w:name="_Toc147735926"/>
      <w:bookmarkStart w:id="453" w:name="_Toc147742379"/>
      <w:bookmarkStart w:id="454" w:name="_Toc146800974"/>
      <w:bookmarkStart w:id="455" w:name="_Toc146808137"/>
      <w:bookmarkStart w:id="456" w:name="_Toc146866793"/>
      <w:bookmarkStart w:id="457" w:name="_Toc147152149"/>
      <w:bookmarkStart w:id="458" w:name="_Toc147396189"/>
      <w:bookmarkStart w:id="459" w:name="_Toc147479809"/>
      <w:bookmarkStart w:id="460" w:name="_Toc147735927"/>
      <w:bookmarkStart w:id="461" w:name="_Toc147742380"/>
      <w:bookmarkStart w:id="462" w:name="_Toc1388400294"/>
      <w:bookmarkEnd w:id="108"/>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52A7AAAB">
        <w:rPr>
          <w:rFonts w:eastAsiaTheme="minorEastAsia" w:cstheme="majorBidi"/>
          <w:color w:val="197C7D"/>
          <w:sz w:val="48"/>
          <w:szCs w:val="48"/>
          <w:lang w:eastAsia="ja-JP"/>
        </w:rPr>
        <w:t>Stakeholder consultation</w:t>
      </w:r>
      <w:bookmarkEnd w:id="462"/>
      <w:r w:rsidRPr="52A7AAAB">
        <w:rPr>
          <w:rFonts w:eastAsiaTheme="minorEastAsia" w:cstheme="majorBidi"/>
          <w:color w:val="197C7D"/>
          <w:sz w:val="48"/>
          <w:szCs w:val="48"/>
          <w:lang w:eastAsia="ja-JP"/>
        </w:rPr>
        <w:t xml:space="preserve"> </w:t>
      </w:r>
    </w:p>
    <w:p w:rsidR="00F66475" w:rsidRPr="00E95CB0" w:rsidRDefault="00F66475" w:rsidP="00F66475">
      <w:pPr>
        <w:spacing w:after="120" w:line="288" w:lineRule="auto"/>
        <w:rPr>
          <w:rFonts w:ascii="Calibri Light" w:hAnsi="Calibri Light" w:cs="Calibri Light"/>
          <w:szCs w:val="22"/>
        </w:rPr>
      </w:pPr>
      <w:r w:rsidRPr="001C78C5">
        <w:rPr>
          <w:rFonts w:ascii="Calibri Light" w:hAnsi="Calibri Light" w:cs="Calibri Light"/>
          <w:szCs w:val="22"/>
        </w:rPr>
        <w:t>Extensive consultation with a wide range of energy market stakeholders has been undertaken on the Capacity Investment Scheme to help inform its design and ensure implementation is well aligned to market needs.</w:t>
      </w:r>
    </w:p>
    <w:p w:rsidR="00F66475" w:rsidRPr="00D47C08" w:rsidRDefault="00F66475" w:rsidP="00F66475">
      <w:pPr>
        <w:pStyle w:val="Heading3"/>
        <w:rPr>
          <w:rFonts w:ascii="Calibri Light" w:hAnsi="Calibri Light" w:cs="Calibri Light"/>
          <w:color w:val="197C7D"/>
          <w:sz w:val="36"/>
          <w:szCs w:val="36"/>
          <w:lang w:val="en-US"/>
        </w:rPr>
      </w:pPr>
      <w:bookmarkStart w:id="463" w:name="_Toc2031748162"/>
      <w:r w:rsidRPr="52A7AAAB">
        <w:rPr>
          <w:rFonts w:ascii="Calibri Light" w:hAnsi="Calibri Light" w:cs="Calibri Light"/>
          <w:color w:val="197C7D"/>
          <w:sz w:val="36"/>
          <w:szCs w:val="36"/>
          <w:lang w:val="en-US"/>
        </w:rPr>
        <w:t>Public Consultation Paper</w:t>
      </w:r>
      <w:bookmarkEnd w:id="463"/>
    </w:p>
    <w:p w:rsidR="00F66475" w:rsidRDefault="00F66475" w:rsidP="00F66475">
      <w:pPr>
        <w:rPr>
          <w:rFonts w:ascii="Calibri Light" w:hAnsi="Calibri Light" w:cs="Calibri Light"/>
          <w:szCs w:val="22"/>
        </w:rPr>
      </w:pPr>
      <w:r w:rsidRPr="003310F5">
        <w:rPr>
          <w:rFonts w:ascii="Calibri Light" w:hAnsi="Calibri Light" w:cs="Calibri Light"/>
        </w:rPr>
        <w:t>Stakeholders were invited to provide feedback on the</w:t>
      </w:r>
      <w:r w:rsidRPr="00072F5A">
        <w:rPr>
          <w:rFonts w:ascii="Calibri Light" w:hAnsi="Calibri Light" w:cs="Calibri Light"/>
          <w:szCs w:val="22"/>
        </w:rPr>
        <w:t xml:space="preserve"> CIS Public Consultation Paper that closed on 31 August 2023</w:t>
      </w:r>
      <w:r>
        <w:rPr>
          <w:rStyle w:val="FootnoteReference"/>
          <w:rFonts w:ascii="Calibri Light" w:hAnsi="Calibri Light" w:cs="Calibri Light"/>
          <w:szCs w:val="22"/>
        </w:rPr>
        <w:footnoteReference w:id="5"/>
      </w:r>
      <w:r w:rsidRPr="00072F5A">
        <w:rPr>
          <w:rFonts w:ascii="Calibri Light" w:hAnsi="Calibri Light" w:cs="Calibri Light"/>
          <w:szCs w:val="22"/>
        </w:rPr>
        <w:t xml:space="preserve">. The </w:t>
      </w:r>
      <w:r>
        <w:rPr>
          <w:rFonts w:ascii="Calibri Light" w:hAnsi="Calibri Light" w:cs="Calibri Light"/>
          <w:szCs w:val="22"/>
        </w:rPr>
        <w:t xml:space="preserve">Consultation </w:t>
      </w:r>
      <w:r w:rsidRPr="00072F5A">
        <w:rPr>
          <w:rFonts w:ascii="Calibri Light" w:hAnsi="Calibri Light" w:cs="Calibri Light"/>
          <w:szCs w:val="22"/>
        </w:rPr>
        <w:t>Paper discussed the CIS objectives, design elements, delivery stages and the tender process for upcoming South Australia and Victoria tender.</w:t>
      </w:r>
      <w:r>
        <w:rPr>
          <w:rFonts w:ascii="Calibri Light" w:hAnsi="Calibri Light" w:cs="Calibri Light"/>
          <w:szCs w:val="22"/>
        </w:rPr>
        <w:t xml:space="preserve"> </w:t>
      </w:r>
    </w:p>
    <w:p w:rsidR="00F66475" w:rsidRDefault="00F66475" w:rsidP="00F66475">
      <w:pPr>
        <w:rPr>
          <w:rFonts w:ascii="Calibri Light" w:hAnsi="Calibri Light" w:cs="Calibri Light"/>
        </w:rPr>
      </w:pPr>
      <w:r w:rsidRPr="009E7AD2">
        <w:rPr>
          <w:rFonts w:ascii="Calibri Light" w:hAnsi="Calibri Light" w:cs="Calibri Light"/>
        </w:rPr>
        <w:t xml:space="preserve">Approximately 70 submissions </w:t>
      </w:r>
      <w:r>
        <w:rPr>
          <w:rFonts w:ascii="Calibri Light" w:hAnsi="Calibri Light" w:cs="Calibri Light"/>
        </w:rPr>
        <w:t>were received</w:t>
      </w:r>
      <w:r w:rsidRPr="009E7AD2">
        <w:rPr>
          <w:rFonts w:ascii="Calibri Light" w:hAnsi="Calibri Light" w:cs="Calibri Light"/>
        </w:rPr>
        <w:t>.</w:t>
      </w:r>
      <w:r w:rsidRPr="00EB7F23" w:rsidDel="00B55C0E">
        <w:rPr>
          <w:rFonts w:ascii="Calibri Light" w:hAnsi="Calibri Light" w:cs="Calibri Light"/>
        </w:rPr>
        <w:t xml:space="preserve"> </w:t>
      </w:r>
      <w:r w:rsidRPr="009E7AD2">
        <w:rPr>
          <w:rFonts w:ascii="Calibri Light" w:hAnsi="Calibri Light" w:cs="Calibri Light"/>
        </w:rPr>
        <w:t>R</w:t>
      </w:r>
      <w:r w:rsidRPr="00EB7F23">
        <w:rPr>
          <w:rFonts w:ascii="Calibri Light" w:hAnsi="Calibri Light" w:cs="Calibri Light"/>
        </w:rPr>
        <w:t>espon</w:t>
      </w:r>
      <w:r>
        <w:rPr>
          <w:rFonts w:ascii="Calibri Light" w:hAnsi="Calibri Light" w:cs="Calibri Light"/>
        </w:rPr>
        <w:t>dents</w:t>
      </w:r>
      <w:r w:rsidRPr="00EB7F23">
        <w:rPr>
          <w:rFonts w:ascii="Calibri Light" w:hAnsi="Calibri Light" w:cs="Calibri Light"/>
        </w:rPr>
        <w:t xml:space="preserve"> </w:t>
      </w:r>
      <w:r>
        <w:rPr>
          <w:rFonts w:ascii="Calibri Light" w:hAnsi="Calibri Light" w:cs="Calibri Light"/>
        </w:rPr>
        <w:t xml:space="preserve">included </w:t>
      </w:r>
      <w:r w:rsidRPr="00EB7F23">
        <w:rPr>
          <w:rFonts w:ascii="Calibri Light" w:hAnsi="Calibri Light" w:cs="Calibri Light"/>
        </w:rPr>
        <w:t>industry association</w:t>
      </w:r>
      <w:r w:rsidRPr="009E7AD2">
        <w:rPr>
          <w:rFonts w:ascii="Calibri Light" w:hAnsi="Calibri Light" w:cs="Calibri Light"/>
        </w:rPr>
        <w:t>s</w:t>
      </w:r>
      <w:r w:rsidRPr="00EB7F23">
        <w:rPr>
          <w:rFonts w:ascii="Calibri Light" w:hAnsi="Calibri Light" w:cs="Calibri Light"/>
        </w:rPr>
        <w:t>, project developers, technology providers, energy intensive industries, retailers, generators, and a small number of private citizens.</w:t>
      </w:r>
      <w:r>
        <w:rPr>
          <w:rFonts w:ascii="Calibri Light" w:hAnsi="Calibri Light" w:cs="Calibri Light"/>
        </w:rPr>
        <w:t xml:space="preserve"> </w:t>
      </w:r>
    </w:p>
    <w:p w:rsidR="00F66475" w:rsidRPr="001B2CC4" w:rsidRDefault="00F66475" w:rsidP="00F66475">
      <w:pPr>
        <w:rPr>
          <w:rFonts w:ascii="Calibri Light" w:hAnsi="Calibri Light" w:cs="Calibri Light"/>
          <w:szCs w:val="22"/>
        </w:rPr>
      </w:pPr>
      <w:r w:rsidRPr="00E3796A">
        <w:rPr>
          <w:rFonts w:ascii="Calibri Light" w:hAnsi="Calibri Light" w:cs="Calibri Light"/>
          <w:szCs w:val="22"/>
        </w:rPr>
        <w:t xml:space="preserve">As part of the consultation, a public webinar was </w:t>
      </w:r>
      <w:r>
        <w:rPr>
          <w:rFonts w:ascii="Calibri Light" w:hAnsi="Calibri Light" w:cs="Calibri Light"/>
          <w:szCs w:val="22"/>
        </w:rPr>
        <w:t xml:space="preserve">also </w:t>
      </w:r>
      <w:r w:rsidRPr="00E3796A">
        <w:rPr>
          <w:rFonts w:ascii="Calibri Light" w:hAnsi="Calibri Light" w:cs="Calibri Light"/>
          <w:szCs w:val="22"/>
        </w:rPr>
        <w:t xml:space="preserve">held on 15 August </w:t>
      </w:r>
      <w:r>
        <w:rPr>
          <w:rFonts w:ascii="Calibri Light" w:hAnsi="Calibri Light" w:cs="Calibri Light"/>
          <w:szCs w:val="22"/>
        </w:rPr>
        <w:t xml:space="preserve">2023 </w:t>
      </w:r>
      <w:r w:rsidRPr="00E3796A">
        <w:rPr>
          <w:rFonts w:ascii="Calibri Light" w:hAnsi="Calibri Light" w:cs="Calibri Light"/>
          <w:szCs w:val="22"/>
        </w:rPr>
        <w:t xml:space="preserve">and was attended by </w:t>
      </w:r>
      <w:r>
        <w:rPr>
          <w:rFonts w:ascii="Calibri Light" w:hAnsi="Calibri Light" w:cs="Calibri Light"/>
          <w:szCs w:val="22"/>
        </w:rPr>
        <w:t>more than 350 stakeholders who engaged in a question-and-answer session.</w:t>
      </w:r>
    </w:p>
    <w:p w:rsidR="00F66475" w:rsidRDefault="00F66475" w:rsidP="00F66475">
      <w:pPr>
        <w:rPr>
          <w:rFonts w:ascii="Calibri Light" w:hAnsi="Calibri Light" w:cs="Calibri Light"/>
        </w:rPr>
      </w:pPr>
      <w:r>
        <w:rPr>
          <w:rFonts w:ascii="Calibri Light" w:hAnsi="Calibri Light" w:cs="Calibri Light"/>
        </w:rPr>
        <w:t>Key insights from the public consultation were:</w:t>
      </w:r>
    </w:p>
    <w:p w:rsidR="00F66475" w:rsidRDefault="00F66475" w:rsidP="00F66475">
      <w:pPr>
        <w:pStyle w:val="ListParagraph"/>
        <w:numPr>
          <w:ilvl w:val="0"/>
          <w:numId w:val="17"/>
        </w:numPr>
        <w:spacing w:after="120"/>
        <w:ind w:left="714" w:hanging="357"/>
        <w:contextualSpacing w:val="0"/>
        <w:rPr>
          <w:rFonts w:ascii="Calibri Light" w:hAnsi="Calibri Light" w:cs="Calibri Light"/>
        </w:rPr>
      </w:pPr>
      <w:r>
        <w:rPr>
          <w:rFonts w:ascii="Calibri Light" w:hAnsi="Calibri Light" w:cs="Calibri Light"/>
        </w:rPr>
        <w:lastRenderedPageBreak/>
        <w:t xml:space="preserve">Transparency – </w:t>
      </w:r>
      <w:r w:rsidRPr="00C8475F">
        <w:rPr>
          <w:rFonts w:ascii="Calibri Light" w:hAnsi="Calibri Light" w:cs="Calibri Light"/>
        </w:rPr>
        <w:t>strong support for</w:t>
      </w:r>
      <w:r>
        <w:rPr>
          <w:rFonts w:ascii="Calibri Light" w:hAnsi="Calibri Light" w:cs="Calibri Light"/>
        </w:rPr>
        <w:t xml:space="preserve"> the need for</w:t>
      </w:r>
      <w:r w:rsidRPr="00C8475F">
        <w:rPr>
          <w:rFonts w:ascii="Calibri Light" w:hAnsi="Calibri Light" w:cs="Calibri Light"/>
        </w:rPr>
        <w:t xml:space="preserve"> transparency and clarity across all aspects of the CIS design and tender</w:t>
      </w:r>
      <w:r>
        <w:rPr>
          <w:rFonts w:ascii="Calibri Light" w:hAnsi="Calibri Light" w:cs="Calibri Light"/>
        </w:rPr>
        <w:t xml:space="preserve"> implementation</w:t>
      </w:r>
      <w:r w:rsidRPr="00C8475F">
        <w:rPr>
          <w:rFonts w:ascii="Calibri Light" w:hAnsi="Calibri Light" w:cs="Calibri Light"/>
        </w:rPr>
        <w:t xml:space="preserve">. </w:t>
      </w:r>
    </w:p>
    <w:p w:rsidR="00F66475" w:rsidRDefault="00F66475" w:rsidP="00F66475">
      <w:pPr>
        <w:pStyle w:val="ListParagraph"/>
        <w:numPr>
          <w:ilvl w:val="0"/>
          <w:numId w:val="17"/>
        </w:numPr>
        <w:spacing w:after="120"/>
        <w:ind w:left="714" w:hanging="357"/>
        <w:contextualSpacing w:val="0"/>
        <w:rPr>
          <w:rFonts w:ascii="Calibri Light" w:hAnsi="Calibri Light" w:cs="Calibri Light"/>
        </w:rPr>
      </w:pPr>
      <w:r>
        <w:rPr>
          <w:rFonts w:ascii="Calibri Light" w:hAnsi="Calibri Light" w:cs="Calibri Light"/>
        </w:rPr>
        <w:t>Social license –interest in seeking additional information on social licence obligations and its evaluation as part of the tender process.</w:t>
      </w:r>
    </w:p>
    <w:p w:rsidR="00F66475" w:rsidRDefault="00F66475" w:rsidP="00F66475">
      <w:pPr>
        <w:pStyle w:val="ListParagraph"/>
        <w:numPr>
          <w:ilvl w:val="0"/>
          <w:numId w:val="17"/>
        </w:numPr>
        <w:spacing w:after="120"/>
        <w:ind w:left="714" w:hanging="357"/>
        <w:contextualSpacing w:val="0"/>
        <w:rPr>
          <w:rFonts w:ascii="Calibri Light" w:hAnsi="Calibri Light" w:cs="Calibri Light"/>
        </w:rPr>
      </w:pPr>
      <w:r>
        <w:rPr>
          <w:rFonts w:ascii="Calibri Light" w:hAnsi="Calibri Light" w:cs="Calibri Light"/>
        </w:rPr>
        <w:t xml:space="preserve">Technology eligibility – strong interest in understanding how </w:t>
      </w:r>
      <w:r w:rsidRPr="00C8475F">
        <w:rPr>
          <w:rFonts w:ascii="Calibri Light" w:hAnsi="Calibri Light" w:cs="Calibri Light"/>
        </w:rPr>
        <w:t xml:space="preserve">the CIS can support the development and commercialisation of new </w:t>
      </w:r>
      <w:r>
        <w:rPr>
          <w:rFonts w:ascii="Calibri Light" w:hAnsi="Calibri Light" w:cs="Calibri Light"/>
        </w:rPr>
        <w:t xml:space="preserve">and emerging </w:t>
      </w:r>
      <w:r w:rsidRPr="00C8475F">
        <w:rPr>
          <w:rFonts w:ascii="Calibri Light" w:hAnsi="Calibri Light" w:cs="Calibri Light"/>
        </w:rPr>
        <w:t>technologies</w:t>
      </w:r>
      <w:r>
        <w:rPr>
          <w:rFonts w:ascii="Calibri Light" w:hAnsi="Calibri Light" w:cs="Calibri Light"/>
        </w:rPr>
        <w:t xml:space="preserve"> over time.</w:t>
      </w:r>
    </w:p>
    <w:p w:rsidR="00F66475" w:rsidRDefault="00F66475" w:rsidP="00F66475">
      <w:pPr>
        <w:pStyle w:val="ListParagraph"/>
        <w:numPr>
          <w:ilvl w:val="0"/>
          <w:numId w:val="17"/>
        </w:numPr>
        <w:spacing w:after="120"/>
        <w:ind w:left="714" w:hanging="357"/>
        <w:contextualSpacing w:val="0"/>
        <w:rPr>
          <w:rFonts w:ascii="Calibri Light" w:hAnsi="Calibri Light" w:cs="Calibri Light"/>
        </w:rPr>
      </w:pPr>
      <w:r>
        <w:rPr>
          <w:rFonts w:ascii="Calibri Light" w:hAnsi="Calibri Light" w:cs="Calibri Light"/>
        </w:rPr>
        <w:t>Emissions reduction - broadly</w:t>
      </w:r>
      <w:r w:rsidRPr="008A1990">
        <w:rPr>
          <w:rFonts w:ascii="Calibri Light" w:hAnsi="Calibri Light" w:cs="Calibri Light"/>
        </w:rPr>
        <w:t xml:space="preserve"> supported requirements for projects to have zero (or only trace) Scope 1 emissions in order to be eligible. </w:t>
      </w:r>
    </w:p>
    <w:p w:rsidR="00F66475" w:rsidRDefault="00F66475" w:rsidP="00F66475">
      <w:pPr>
        <w:pStyle w:val="ListParagraph"/>
        <w:numPr>
          <w:ilvl w:val="0"/>
          <w:numId w:val="17"/>
        </w:numPr>
        <w:spacing w:after="120"/>
        <w:ind w:left="714" w:hanging="357"/>
        <w:contextualSpacing w:val="0"/>
        <w:rPr>
          <w:rFonts w:ascii="Calibri Light" w:hAnsi="Calibri Light" w:cs="Calibri Light"/>
        </w:rPr>
      </w:pPr>
      <w:r>
        <w:rPr>
          <w:rFonts w:ascii="Calibri Light" w:hAnsi="Calibri Light" w:cs="Calibri Light"/>
        </w:rPr>
        <w:t xml:space="preserve">Storage duration requirement – views varied on the preferred minimum storage duration requirement for projects with views and commentary largely aligned to the particular technology being used or deployed by each respondent. </w:t>
      </w:r>
    </w:p>
    <w:p w:rsidR="00F66475" w:rsidRDefault="00F66475" w:rsidP="00F66475">
      <w:pPr>
        <w:pStyle w:val="ListParagraph"/>
        <w:numPr>
          <w:ilvl w:val="0"/>
          <w:numId w:val="17"/>
        </w:numPr>
        <w:rPr>
          <w:rFonts w:ascii="Calibri Light" w:hAnsi="Calibri Light" w:cs="Calibri Light"/>
        </w:rPr>
      </w:pPr>
      <w:r>
        <w:rPr>
          <w:rFonts w:ascii="Calibri Light" w:hAnsi="Calibri Light" w:cs="Calibri Light"/>
        </w:rPr>
        <w:t>Derating factors – broad support for use of derating factors to assess a project’s contribution to energy system reliability.</w:t>
      </w:r>
      <w:r w:rsidRPr="008A1990">
        <w:rPr>
          <w:rFonts w:ascii="Calibri Light" w:hAnsi="Calibri Light" w:cs="Calibri Light"/>
        </w:rPr>
        <w:t xml:space="preserve"> </w:t>
      </w:r>
    </w:p>
    <w:p w:rsidR="00F66475" w:rsidRDefault="00F66475" w:rsidP="00F66475">
      <w:pPr>
        <w:rPr>
          <w:rFonts w:ascii="Calibri Light" w:hAnsi="Calibri Light" w:cs="Calibri Light"/>
        </w:rPr>
      </w:pPr>
      <w:r>
        <w:rPr>
          <w:rFonts w:ascii="Calibri Light" w:hAnsi="Calibri Light" w:cs="Calibri Light"/>
        </w:rPr>
        <w:t xml:space="preserve">Stakeholder views will help </w:t>
      </w:r>
      <w:r w:rsidRPr="00194AC0">
        <w:rPr>
          <w:rFonts w:ascii="Calibri Light" w:hAnsi="Calibri Light" w:cs="Calibri Light"/>
        </w:rPr>
        <w:t>inform</w:t>
      </w:r>
      <w:r>
        <w:rPr>
          <w:rFonts w:ascii="Calibri Light" w:hAnsi="Calibri Light" w:cs="Calibri Light"/>
        </w:rPr>
        <w:t xml:space="preserve"> the design and implementation of the CIS. Comments and feedback will guide the development of the Tender Guidelines, in particular the finalisation of the eligibility and merit criteria which will be used to assess tender bids and recommend successful projects for underwriting.</w:t>
      </w:r>
    </w:p>
    <w:p w:rsidR="00F66475" w:rsidRDefault="00F66475" w:rsidP="00F66475">
      <w:pPr>
        <w:rPr>
          <w:rFonts w:ascii="Calibri Light" w:hAnsi="Calibri Light" w:cs="Calibri Light"/>
        </w:rPr>
      </w:pPr>
      <w:r>
        <w:rPr>
          <w:rFonts w:ascii="Calibri Light" w:hAnsi="Calibri Light" w:cs="Calibri Light"/>
        </w:rPr>
        <w:t>Stakeholder input will also guide the development of the CIS Agreement, that will be executed by successful proponents, to ensure it is fit for purpose and aligned with market expectations.</w:t>
      </w:r>
    </w:p>
    <w:p w:rsidR="00F66475" w:rsidRPr="008A1990" w:rsidRDefault="00F66475" w:rsidP="00F66475">
      <w:pPr>
        <w:rPr>
          <w:rFonts w:ascii="Calibri Light" w:hAnsi="Calibri Light" w:cs="Calibri Light"/>
        </w:rPr>
      </w:pPr>
      <w:r w:rsidRPr="008A1990">
        <w:rPr>
          <w:rFonts w:ascii="Calibri Light" w:hAnsi="Calibri Light" w:cs="Calibri Light"/>
        </w:rPr>
        <w:t xml:space="preserve">Lessons learnt from </w:t>
      </w:r>
      <w:r>
        <w:rPr>
          <w:rFonts w:ascii="Calibri Light" w:hAnsi="Calibri Light" w:cs="Calibri Light"/>
        </w:rPr>
        <w:t xml:space="preserve">each </w:t>
      </w:r>
      <w:r w:rsidRPr="008A1990">
        <w:rPr>
          <w:rFonts w:ascii="Calibri Light" w:hAnsi="Calibri Light" w:cs="Calibri Light"/>
        </w:rPr>
        <w:t xml:space="preserve">tender process will help refine future CIS </w:t>
      </w:r>
      <w:r>
        <w:rPr>
          <w:rFonts w:ascii="Calibri Light" w:hAnsi="Calibri Light" w:cs="Calibri Light"/>
        </w:rPr>
        <w:t>tenders</w:t>
      </w:r>
      <w:r w:rsidRPr="008A1990">
        <w:rPr>
          <w:rFonts w:ascii="Calibri Light" w:hAnsi="Calibri Light" w:cs="Calibri Light"/>
        </w:rPr>
        <w:t xml:space="preserve">. </w:t>
      </w:r>
      <w:r>
        <w:rPr>
          <w:rFonts w:ascii="Calibri Light" w:hAnsi="Calibri Light" w:cs="Calibri Light"/>
        </w:rPr>
        <w:t>DCCEEW will continue to undertake public consultation to refine and improve the CIS over its life as well as provide essential and timely information to the market to maximise participation.</w:t>
      </w:r>
    </w:p>
    <w:p w:rsidR="00F66475" w:rsidRPr="00D47C08" w:rsidRDefault="00F66475" w:rsidP="00F66475">
      <w:pPr>
        <w:pStyle w:val="Heading3"/>
        <w:rPr>
          <w:rFonts w:ascii="Calibri Light" w:hAnsi="Calibri Light" w:cs="Calibri Light"/>
          <w:color w:val="197C7D"/>
          <w:sz w:val="36"/>
          <w:szCs w:val="36"/>
          <w:lang w:val="en-US"/>
        </w:rPr>
      </w:pPr>
      <w:bookmarkStart w:id="464" w:name="_Toc1434680071"/>
      <w:r w:rsidRPr="52A7AAAB">
        <w:rPr>
          <w:rFonts w:ascii="Calibri Light" w:hAnsi="Calibri Light" w:cs="Calibri Light"/>
          <w:color w:val="197C7D"/>
          <w:sz w:val="36"/>
          <w:szCs w:val="36"/>
          <w:lang w:val="en-US"/>
        </w:rPr>
        <w:t>Consultation with industry groups and experts</w:t>
      </w:r>
      <w:bookmarkEnd w:id="464"/>
    </w:p>
    <w:p w:rsidR="00F66475" w:rsidRDefault="00F66475" w:rsidP="00F66475">
      <w:pPr>
        <w:rPr>
          <w:rFonts w:ascii="Calibri Light" w:hAnsi="Calibri Light" w:cs="Calibri Light"/>
        </w:rPr>
      </w:pPr>
      <w:r w:rsidRPr="009E7AD2">
        <w:rPr>
          <w:rFonts w:ascii="Calibri Light" w:hAnsi="Calibri Light" w:cs="Calibri Light"/>
        </w:rPr>
        <w:t xml:space="preserve">Following the release of the Consultation Paper, </w:t>
      </w:r>
      <w:r>
        <w:rPr>
          <w:rFonts w:ascii="Calibri Light" w:hAnsi="Calibri Light" w:cs="Calibri Light"/>
        </w:rPr>
        <w:t>DCCEEW</w:t>
      </w:r>
      <w:r w:rsidRPr="009E7AD2">
        <w:rPr>
          <w:rFonts w:ascii="Calibri Light" w:hAnsi="Calibri Light" w:cs="Calibri Light"/>
        </w:rPr>
        <w:t xml:space="preserve"> </w:t>
      </w:r>
      <w:r>
        <w:rPr>
          <w:rFonts w:ascii="Calibri Light" w:hAnsi="Calibri Light" w:cs="Calibri Light"/>
        </w:rPr>
        <w:t xml:space="preserve">also </w:t>
      </w:r>
      <w:r w:rsidRPr="009E7AD2">
        <w:rPr>
          <w:rFonts w:ascii="Calibri Light" w:hAnsi="Calibri Light" w:cs="Calibri Light"/>
        </w:rPr>
        <w:t xml:space="preserve">met with peak bodies and experts to </w:t>
      </w:r>
      <w:r>
        <w:rPr>
          <w:rFonts w:ascii="Calibri Light" w:hAnsi="Calibri Light" w:cs="Calibri Light"/>
        </w:rPr>
        <w:t xml:space="preserve">further </w:t>
      </w:r>
      <w:r w:rsidRPr="009E7AD2">
        <w:rPr>
          <w:rFonts w:ascii="Calibri Light" w:hAnsi="Calibri Light" w:cs="Calibri Light"/>
        </w:rPr>
        <w:t>discuss the CIS.</w:t>
      </w:r>
      <w:r w:rsidRPr="000C370E">
        <w:rPr>
          <w:rFonts w:ascii="Calibri Light" w:hAnsi="Calibri Light" w:cs="Calibri Light"/>
        </w:rPr>
        <w:t xml:space="preserve"> </w:t>
      </w:r>
      <w:r>
        <w:rPr>
          <w:rFonts w:ascii="Calibri Light" w:hAnsi="Calibri Light" w:cs="Calibri Light"/>
        </w:rPr>
        <w:t>P</w:t>
      </w:r>
      <w:r w:rsidRPr="000C370E">
        <w:rPr>
          <w:rFonts w:ascii="Calibri Light" w:hAnsi="Calibri Light" w:cs="Calibri Light"/>
        </w:rPr>
        <w:t xml:space="preserve">eak bodies </w:t>
      </w:r>
      <w:r>
        <w:rPr>
          <w:rFonts w:ascii="Calibri Light" w:hAnsi="Calibri Light" w:cs="Calibri Light"/>
        </w:rPr>
        <w:t xml:space="preserve">consulted </w:t>
      </w:r>
      <w:r w:rsidRPr="000C370E">
        <w:rPr>
          <w:rFonts w:ascii="Calibri Light" w:hAnsi="Calibri Light" w:cs="Calibri Light"/>
        </w:rPr>
        <w:t>included</w:t>
      </w:r>
      <w:r>
        <w:rPr>
          <w:rFonts w:ascii="Calibri Light" w:hAnsi="Calibri Light" w:cs="Calibri Light"/>
        </w:rPr>
        <w:t>, but were not limited to,</w:t>
      </w:r>
      <w:r w:rsidRPr="000C370E">
        <w:rPr>
          <w:rFonts w:ascii="Calibri Light" w:hAnsi="Calibri Light" w:cs="Calibri Light"/>
        </w:rPr>
        <w:t xml:space="preserve"> the Australian Energy Council, the Clean Energy Investor Group, the Smart Energy Council, the Investor Group on Climate Change, and the Clean Energy Council.</w:t>
      </w:r>
    </w:p>
    <w:p w:rsidR="00F66475" w:rsidRPr="00613DC8" w:rsidRDefault="00F66475" w:rsidP="00F66475">
      <w:pPr>
        <w:rPr>
          <w:rFonts w:ascii="Calibri Light" w:hAnsi="Calibri Light" w:cs="Calibri Light"/>
        </w:rPr>
      </w:pPr>
      <w:r>
        <w:rPr>
          <w:rFonts w:ascii="Calibri Light" w:hAnsi="Calibri Light" w:cs="Calibri Light"/>
        </w:rPr>
        <w:t>Peak bodies were supportive of the CIS in general and highlighted the need for transparency with the CIS tender process. DCCEEW will continue to release various tender documents for public consultation prior to tender opening dates to ensure market feedback is incorporated in the future design of CIS.</w:t>
      </w:r>
    </w:p>
    <w:p w:rsidR="00F66475" w:rsidRPr="00D72217" w:rsidRDefault="00F66475" w:rsidP="00F66475">
      <w:pPr>
        <w:pStyle w:val="Heading3"/>
        <w:rPr>
          <w:rFonts w:eastAsiaTheme="minorEastAsia" w:cstheme="majorBidi"/>
          <w:color w:val="197C7D"/>
          <w:sz w:val="48"/>
          <w:szCs w:val="48"/>
          <w:lang w:eastAsia="ja-JP"/>
        </w:rPr>
      </w:pPr>
      <w:bookmarkStart w:id="465" w:name="_Toc191532258"/>
      <w:r w:rsidRPr="52A7AAAB">
        <w:rPr>
          <w:rFonts w:eastAsiaTheme="minorEastAsia" w:cstheme="majorBidi"/>
          <w:color w:val="197C7D"/>
          <w:sz w:val="48"/>
          <w:szCs w:val="48"/>
          <w:lang w:eastAsia="ja-JP"/>
        </w:rPr>
        <w:lastRenderedPageBreak/>
        <w:t>How will you implement and evaluate your chosen option?</w:t>
      </w:r>
      <w:bookmarkEnd w:id="465"/>
    </w:p>
    <w:p w:rsidR="00F66475" w:rsidRPr="00D47C08" w:rsidRDefault="00F66475" w:rsidP="00F66475">
      <w:pPr>
        <w:pStyle w:val="Heading3"/>
        <w:rPr>
          <w:rFonts w:ascii="Calibri Light" w:hAnsi="Calibri Light" w:cs="Calibri Light"/>
          <w:color w:val="197C7D"/>
          <w:sz w:val="36"/>
          <w:szCs w:val="36"/>
          <w:lang w:val="en-US"/>
        </w:rPr>
      </w:pPr>
      <w:bookmarkStart w:id="466" w:name="_Toc1494054228"/>
      <w:r w:rsidRPr="52A7AAAB">
        <w:rPr>
          <w:rFonts w:ascii="Calibri Light" w:hAnsi="Calibri Light" w:cs="Calibri Light"/>
          <w:color w:val="197C7D"/>
          <w:sz w:val="36"/>
          <w:szCs w:val="36"/>
          <w:lang w:val="en-US"/>
        </w:rPr>
        <w:t>Implementation and Measuring Success</w:t>
      </w:r>
      <w:bookmarkEnd w:id="466"/>
    </w:p>
    <w:p w:rsidR="00F66475" w:rsidRDefault="00F66475" w:rsidP="00F66475">
      <w:pPr>
        <w:rPr>
          <w:rFonts w:ascii="Calibri Light" w:hAnsi="Calibri Light" w:cs="Calibri Light"/>
        </w:rPr>
      </w:pPr>
      <w:r w:rsidRPr="00104A11">
        <w:rPr>
          <w:rFonts w:ascii="Calibri Light" w:hAnsi="Calibri Light" w:cs="Calibri Light"/>
        </w:rPr>
        <w:t xml:space="preserve">Commencing in 2023-24, the </w:t>
      </w:r>
      <w:r>
        <w:rPr>
          <w:rFonts w:ascii="Calibri Light" w:hAnsi="Calibri Light" w:cs="Calibri Light"/>
        </w:rPr>
        <w:t>national roll out of</w:t>
      </w:r>
      <w:r w:rsidRPr="00104A11">
        <w:rPr>
          <w:rFonts w:ascii="Calibri Light" w:hAnsi="Calibri Light" w:cs="Calibri Light"/>
        </w:rPr>
        <w:t xml:space="preserve"> Capacity Investment Scheme</w:t>
      </w:r>
      <w:r>
        <w:rPr>
          <w:rFonts w:ascii="Calibri Light" w:hAnsi="Calibri Light" w:cs="Calibri Light"/>
        </w:rPr>
        <w:t xml:space="preserve"> (CIS)</w:t>
      </w:r>
      <w:r w:rsidRPr="00104A11">
        <w:rPr>
          <w:rFonts w:ascii="Calibri Light" w:hAnsi="Calibri Light" w:cs="Calibri Light"/>
        </w:rPr>
        <w:t xml:space="preserve"> </w:t>
      </w:r>
      <w:r w:rsidRPr="007A5E12">
        <w:rPr>
          <w:rFonts w:ascii="Calibri Light" w:hAnsi="Calibri Light" w:cs="Calibri Light"/>
        </w:rPr>
        <w:t>is expected to be implemented from 2024 to 2027</w:t>
      </w:r>
      <w:r>
        <w:rPr>
          <w:rFonts w:ascii="Calibri Light" w:hAnsi="Calibri Light" w:cs="Calibri Light"/>
        </w:rPr>
        <w:t xml:space="preserve"> and </w:t>
      </w:r>
      <w:r w:rsidRPr="00104A11">
        <w:rPr>
          <w:rFonts w:ascii="Calibri Light" w:hAnsi="Calibri Light" w:cs="Calibri Light"/>
        </w:rPr>
        <w:t xml:space="preserve">will involve </w:t>
      </w:r>
      <w:r>
        <w:rPr>
          <w:rFonts w:ascii="Calibri Light" w:hAnsi="Calibri Light" w:cs="Calibri Light"/>
        </w:rPr>
        <w:t>bi-annual tenders</w:t>
      </w:r>
      <w:r w:rsidRPr="00104A11">
        <w:rPr>
          <w:rFonts w:ascii="Calibri Light" w:hAnsi="Calibri Light" w:cs="Calibri Light"/>
        </w:rPr>
        <w:t xml:space="preserve"> for clean dispatchable capacity and renewable generation capacity. These tenders will be in </w:t>
      </w:r>
      <w:r>
        <w:rPr>
          <w:rFonts w:ascii="Calibri Light" w:hAnsi="Calibri Light" w:cs="Calibri Light"/>
        </w:rPr>
        <w:t xml:space="preserve">energy markets across Australia. </w:t>
      </w:r>
    </w:p>
    <w:p w:rsidR="00F66475" w:rsidRDefault="00F66475" w:rsidP="00F66475">
      <w:pPr>
        <w:rPr>
          <w:rFonts w:ascii="Calibri Light" w:hAnsi="Calibri Light" w:cs="Calibri Light"/>
        </w:rPr>
      </w:pPr>
      <w:r>
        <w:rPr>
          <w:rFonts w:ascii="Calibri Light" w:hAnsi="Calibri Light" w:cs="Calibri Light"/>
        </w:rPr>
        <w:t>Ahead of being released, consultation will occur on each set of tender guidelines to ensure they are fit for purpose and maximise use of Commonwealth funds while achieving policy objectives. Lessons learnt and improvements from each tender will be incorporated into the design of subsequent tenders on a rolling basis. This will ensure ongoing improvement and refinement to maximise market participation and ensure maximum reliability benefits.</w:t>
      </w:r>
    </w:p>
    <w:p w:rsidR="00F66475" w:rsidRDefault="00F66475" w:rsidP="00F66475">
      <w:pPr>
        <w:rPr>
          <w:rFonts w:ascii="Calibri Light" w:hAnsi="Calibri Light" w:cs="Calibri Light"/>
        </w:rPr>
      </w:pPr>
      <w:r>
        <w:rPr>
          <w:rFonts w:ascii="Calibri Light" w:hAnsi="Calibri Light" w:cs="Calibri Light"/>
        </w:rPr>
        <w:t>As the first CIS projects are expected to come online and provide capacity from 2026-27, from that date on, the MW of capacity and MWh of generation added to the market will be measured on a quarterly and yearly basis to track the effectiveness of the CIS.</w:t>
      </w:r>
    </w:p>
    <w:p w:rsidR="00F66475" w:rsidRPr="00D47C08" w:rsidRDefault="00F66475" w:rsidP="00F66475">
      <w:pPr>
        <w:rPr>
          <w:rFonts w:ascii="Calibri Light" w:hAnsi="Calibri Light" w:cs="Calibri Light"/>
          <w:szCs w:val="22"/>
        </w:rPr>
      </w:pPr>
      <w:r>
        <w:rPr>
          <w:rFonts w:ascii="Calibri Light" w:hAnsi="Calibri Light" w:cs="Calibri Light"/>
        </w:rPr>
        <w:t xml:space="preserve">As discussed in above sections, </w:t>
      </w:r>
      <w:r w:rsidRPr="00D47C08">
        <w:rPr>
          <w:rFonts w:ascii="Calibri Light" w:hAnsi="Calibri Light" w:cs="Calibri Light"/>
          <w:szCs w:val="22"/>
        </w:rPr>
        <w:t xml:space="preserve">periodic tenders will provide the flexibility to adjust procurement targets as the market evolves and circumstances change as well as the type, timing and location of new generation and storage can be specified to match identified shortfalls through a tender process to ensure reliability and emissions objectives are met. </w:t>
      </w:r>
    </w:p>
    <w:p w:rsidR="00F66475" w:rsidRPr="00813162" w:rsidRDefault="00F66475" w:rsidP="00F66475">
      <w:pPr>
        <w:spacing w:after="200" w:line="288" w:lineRule="auto"/>
        <w:rPr>
          <w:rFonts w:ascii="Calibri Light" w:hAnsi="Calibri Light" w:cs="Calibri Light"/>
          <w:lang w:val="en-US"/>
        </w:rPr>
      </w:pPr>
      <w:r>
        <w:rPr>
          <w:rFonts w:ascii="Calibri Light" w:hAnsi="Calibri Light" w:cs="Calibri Light"/>
          <w:lang w:val="en-US"/>
        </w:rPr>
        <w:t>The Table 5 below describes how success will be measured against the key objectives.</w:t>
      </w:r>
    </w:p>
    <w:p w:rsidR="00F66475" w:rsidRPr="00B71C05" w:rsidRDefault="00F66475" w:rsidP="00F66475">
      <w:pPr>
        <w:spacing w:after="200" w:line="288" w:lineRule="auto"/>
        <w:rPr>
          <w:rFonts w:ascii="Calibri Light" w:hAnsi="Calibri Light" w:cs="Calibri Light"/>
          <w:b/>
          <w:bCs/>
          <w:lang w:val="en-US"/>
        </w:rPr>
      </w:pPr>
      <w:r w:rsidRPr="00B71C05">
        <w:rPr>
          <w:rFonts w:ascii="Calibri Light" w:hAnsi="Calibri Light" w:cs="Calibri Light"/>
          <w:b/>
          <w:bCs/>
          <w:lang w:val="en-US"/>
        </w:rPr>
        <w:t xml:space="preserve">Table </w:t>
      </w:r>
      <w:r>
        <w:rPr>
          <w:rFonts w:ascii="Calibri Light" w:hAnsi="Calibri Light" w:cs="Calibri Light"/>
          <w:b/>
          <w:bCs/>
          <w:lang w:val="en-US"/>
        </w:rPr>
        <w:t>5</w:t>
      </w:r>
      <w:r w:rsidRPr="00B71C05">
        <w:rPr>
          <w:rFonts w:ascii="Calibri Light" w:hAnsi="Calibri Light" w:cs="Calibri Light"/>
          <w:b/>
          <w:bCs/>
          <w:lang w:val="en-US"/>
        </w:rPr>
        <w:t>: Measuring the success of the CIS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91"/>
        <w:gridCol w:w="6465"/>
      </w:tblGrid>
      <w:tr w:rsidR="00F66475" w:rsidTr="00E2051A">
        <w:trPr>
          <w:trHeight w:val="452"/>
        </w:trPr>
        <w:tc>
          <w:tcPr>
            <w:tcW w:w="3091" w:type="dxa"/>
            <w:shd w:val="clear" w:color="auto" w:fill="F2F2F2" w:themeFill="background1" w:themeFillShade="F2"/>
            <w:vAlign w:val="center"/>
          </w:tcPr>
          <w:p w:rsidR="00F66475" w:rsidRPr="00B71C05" w:rsidRDefault="00F66475" w:rsidP="00E2051A">
            <w:pPr>
              <w:spacing w:before="60" w:after="60" w:line="288" w:lineRule="auto"/>
              <w:rPr>
                <w:rFonts w:ascii="Calibri Light" w:eastAsia="Calibri" w:hAnsi="Calibri Light" w:cs="Calibri Light"/>
                <w:b/>
                <w:bCs/>
                <w:szCs w:val="22"/>
              </w:rPr>
            </w:pPr>
            <w:r>
              <w:rPr>
                <w:rFonts w:ascii="Calibri Light" w:eastAsia="Calibri" w:hAnsi="Calibri Light" w:cs="Calibri Light"/>
                <w:b/>
                <w:bCs/>
                <w:szCs w:val="22"/>
              </w:rPr>
              <w:t>Key objectives</w:t>
            </w:r>
          </w:p>
        </w:tc>
        <w:tc>
          <w:tcPr>
            <w:tcW w:w="6465" w:type="dxa"/>
            <w:shd w:val="clear" w:color="auto" w:fill="F2F2F2" w:themeFill="background1" w:themeFillShade="F2"/>
            <w:vAlign w:val="center"/>
          </w:tcPr>
          <w:p w:rsidR="00F66475" w:rsidRPr="00B71C05" w:rsidRDefault="00F66475" w:rsidP="00E2051A">
            <w:pPr>
              <w:spacing w:before="60" w:after="60" w:line="288" w:lineRule="auto"/>
              <w:rPr>
                <w:rFonts w:ascii="Calibri Light" w:eastAsia="Calibri" w:hAnsi="Calibri Light" w:cs="Calibri Light"/>
                <w:b/>
                <w:bCs/>
                <w:szCs w:val="22"/>
              </w:rPr>
            </w:pPr>
            <w:r>
              <w:rPr>
                <w:rFonts w:ascii="Calibri Light" w:eastAsia="Calibri" w:hAnsi="Calibri Light" w:cs="Calibri Light"/>
                <w:b/>
                <w:bCs/>
                <w:szCs w:val="22"/>
              </w:rPr>
              <w:t>CIS success metric</w:t>
            </w:r>
          </w:p>
        </w:tc>
      </w:tr>
      <w:tr w:rsidR="00F66475" w:rsidTr="00E2051A">
        <w:trPr>
          <w:trHeight w:val="710"/>
        </w:trPr>
        <w:tc>
          <w:tcPr>
            <w:tcW w:w="3091" w:type="dxa"/>
          </w:tcPr>
          <w:p w:rsidR="00F66475" w:rsidRPr="00B71C05" w:rsidRDefault="00F66475" w:rsidP="00E2051A">
            <w:pPr>
              <w:spacing w:after="200" w:line="288" w:lineRule="auto"/>
              <w:rPr>
                <w:rFonts w:ascii="Calibri Light" w:eastAsia="Calibri" w:hAnsi="Calibri Light" w:cs="Calibri Light"/>
                <w:szCs w:val="22"/>
              </w:rPr>
            </w:pPr>
            <w:r w:rsidRPr="00613DC8">
              <w:rPr>
                <w:rFonts w:ascii="Calibri Light" w:hAnsi="Calibri Light" w:cs="Calibri Light"/>
                <w:lang w:val="en-US"/>
              </w:rPr>
              <w:t xml:space="preserve">Accelerates investment </w:t>
            </w:r>
          </w:p>
        </w:tc>
        <w:tc>
          <w:tcPr>
            <w:tcW w:w="6465" w:type="dxa"/>
          </w:tcPr>
          <w:p w:rsidR="00F66475" w:rsidRPr="00B71C0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Projects</w:t>
            </w:r>
            <w:r w:rsidDel="009C6EF7">
              <w:rPr>
                <w:rFonts w:ascii="Calibri Light" w:eastAsia="Calibri" w:hAnsi="Calibri Light" w:cs="Calibri Light"/>
                <w:szCs w:val="22"/>
              </w:rPr>
              <w:t xml:space="preserve"> </w:t>
            </w:r>
            <w:r>
              <w:rPr>
                <w:rFonts w:ascii="Calibri Light" w:eastAsia="Calibri" w:hAnsi="Calibri Light" w:cs="Calibri Light"/>
                <w:szCs w:val="22"/>
              </w:rPr>
              <w:t>secure investment and reach commercial operation</w:t>
            </w:r>
            <w:r w:rsidDel="00612F82">
              <w:rPr>
                <w:rFonts w:ascii="Calibri Light" w:eastAsia="Calibri" w:hAnsi="Calibri Light" w:cs="Calibri Light"/>
                <w:szCs w:val="22"/>
              </w:rPr>
              <w:t xml:space="preserve"> </w:t>
            </w:r>
            <w:r>
              <w:rPr>
                <w:rFonts w:ascii="Calibri Light" w:eastAsia="Calibri" w:hAnsi="Calibri Light" w:cs="Calibri Light"/>
                <w:szCs w:val="22"/>
              </w:rPr>
              <w:t>quicker (exact length will vary for each type of project).</w:t>
            </w:r>
          </w:p>
        </w:tc>
      </w:tr>
      <w:tr w:rsidR="00F66475" w:rsidTr="00E2051A">
        <w:trPr>
          <w:trHeight w:val="710"/>
        </w:trPr>
        <w:tc>
          <w:tcPr>
            <w:tcW w:w="3091" w:type="dxa"/>
          </w:tcPr>
          <w:p w:rsidR="00F66475" w:rsidRPr="00B71C05" w:rsidRDefault="00F66475" w:rsidP="00E2051A">
            <w:pPr>
              <w:spacing w:after="200" w:line="288" w:lineRule="auto"/>
              <w:rPr>
                <w:rFonts w:ascii="Calibri Light" w:eastAsia="Calibri" w:hAnsi="Calibri Light" w:cs="Calibri Light"/>
                <w:szCs w:val="22"/>
              </w:rPr>
            </w:pPr>
            <w:r w:rsidRPr="00927361">
              <w:rPr>
                <w:rFonts w:ascii="Calibri Light" w:hAnsi="Calibri Light" w:cs="Calibri Light"/>
              </w:rPr>
              <w:t>Long term investment certainty</w:t>
            </w:r>
          </w:p>
        </w:tc>
        <w:tc>
          <w:tcPr>
            <w:tcW w:w="6465" w:type="dxa"/>
          </w:tcPr>
          <w:p w:rsidR="00F66475" w:rsidRPr="00B71C0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CIS revenue underwriting support sufficiently de-risks projects to lower overall cost of capital and thereby encourages new investments.</w:t>
            </w:r>
          </w:p>
        </w:tc>
      </w:tr>
      <w:tr w:rsidR="00F66475" w:rsidTr="00E2051A">
        <w:trPr>
          <w:trHeight w:val="719"/>
        </w:trPr>
        <w:tc>
          <w:tcPr>
            <w:tcW w:w="3091" w:type="dxa"/>
          </w:tcPr>
          <w:p w:rsidR="00F66475" w:rsidRPr="00B71C05" w:rsidRDefault="00F66475" w:rsidP="00E2051A">
            <w:pPr>
              <w:spacing w:after="200" w:line="288" w:lineRule="auto"/>
              <w:rPr>
                <w:rFonts w:ascii="Calibri Light" w:eastAsia="Calibri" w:hAnsi="Calibri Light" w:cs="Calibri Light"/>
                <w:szCs w:val="22"/>
              </w:rPr>
            </w:pPr>
            <w:r w:rsidRPr="00927361">
              <w:rPr>
                <w:rFonts w:ascii="Calibri Light" w:hAnsi="Calibri Light" w:cs="Calibri Light"/>
              </w:rPr>
              <w:t>Timeliness of implementation</w:t>
            </w:r>
          </w:p>
        </w:tc>
        <w:tc>
          <w:tcPr>
            <w:tcW w:w="6465" w:type="dxa"/>
          </w:tcPr>
          <w:p w:rsidR="00F66475" w:rsidRPr="00B71C0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First tranche of CIS tenders commenced by mid-2024. Subsequent tenders will occur on a bi-annual basis.</w:t>
            </w:r>
          </w:p>
        </w:tc>
      </w:tr>
      <w:tr w:rsidR="00F66475" w:rsidTr="00E2051A">
        <w:trPr>
          <w:trHeight w:val="1033"/>
        </w:trPr>
        <w:tc>
          <w:tcPr>
            <w:tcW w:w="3091" w:type="dxa"/>
          </w:tcPr>
          <w:p w:rsidR="00F66475" w:rsidRPr="00B71C05" w:rsidRDefault="00F66475" w:rsidP="00E2051A">
            <w:pPr>
              <w:spacing w:after="200" w:line="288" w:lineRule="auto"/>
              <w:rPr>
                <w:rFonts w:ascii="Calibri Light" w:eastAsia="Calibri" w:hAnsi="Calibri Light" w:cs="Calibri Light"/>
                <w:szCs w:val="22"/>
              </w:rPr>
            </w:pPr>
            <w:r w:rsidRPr="00927361">
              <w:rPr>
                <w:rFonts w:ascii="Calibri Light" w:hAnsi="Calibri Light" w:cs="Calibri Light"/>
              </w:rPr>
              <w:t>Flexibility to target gaps and recalibrate</w:t>
            </w:r>
          </w:p>
        </w:tc>
        <w:tc>
          <w:tcPr>
            <w:tcW w:w="6465" w:type="dxa"/>
          </w:tcPr>
          <w:p w:rsidR="00F66475" w:rsidRPr="00B71C0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Each tender rescoped (where needed) to target known reliability gaps. The size and location of tenders meets the target gaps for clean dispatchable capacity and renewable generation to improve reliability.</w:t>
            </w:r>
          </w:p>
        </w:tc>
      </w:tr>
      <w:tr w:rsidR="00F66475" w:rsidTr="00E2051A">
        <w:trPr>
          <w:trHeight w:val="719"/>
        </w:trPr>
        <w:tc>
          <w:tcPr>
            <w:tcW w:w="3091" w:type="dxa"/>
          </w:tcPr>
          <w:p w:rsidR="00F66475" w:rsidRPr="00B71C05" w:rsidRDefault="00F66475" w:rsidP="00E2051A">
            <w:pPr>
              <w:spacing w:after="200" w:line="288" w:lineRule="auto"/>
              <w:rPr>
                <w:rFonts w:ascii="Calibri Light" w:eastAsia="Calibri" w:hAnsi="Calibri Light" w:cs="Calibri Light"/>
                <w:szCs w:val="22"/>
              </w:rPr>
            </w:pPr>
            <w:r w:rsidRPr="00613DC8">
              <w:rPr>
                <w:rFonts w:ascii="Calibri Light" w:hAnsi="Calibri Light" w:cs="Calibri Light"/>
                <w:lang w:val="en-US"/>
              </w:rPr>
              <w:t>Cost (consumers or taxpayers)</w:t>
            </w:r>
          </w:p>
        </w:tc>
        <w:tc>
          <w:tcPr>
            <w:tcW w:w="6465" w:type="dxa"/>
          </w:tcPr>
          <w:p w:rsidR="00F66475" w:rsidRPr="00B71C0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Electricity prices fall and the cost of the scheme to taxpayers declines over time through smoother transition of sector.</w:t>
            </w:r>
          </w:p>
        </w:tc>
      </w:tr>
      <w:tr w:rsidR="00F66475" w:rsidTr="00E2051A">
        <w:trPr>
          <w:trHeight w:val="858"/>
        </w:trPr>
        <w:tc>
          <w:tcPr>
            <w:tcW w:w="3091" w:type="dxa"/>
            <w:tcBorders>
              <w:bottom w:val="single" w:sz="4" w:space="0" w:color="auto"/>
            </w:tcBorders>
          </w:tcPr>
          <w:p w:rsidR="00F66475" w:rsidRPr="00613DC8" w:rsidRDefault="00F66475" w:rsidP="00E2051A">
            <w:pPr>
              <w:spacing w:after="200" w:line="288" w:lineRule="auto"/>
              <w:rPr>
                <w:rFonts w:ascii="Calibri Light" w:hAnsi="Calibri Light" w:cs="Calibri Light"/>
                <w:lang w:val="en-US"/>
              </w:rPr>
            </w:pPr>
            <w:r>
              <w:rPr>
                <w:rFonts w:ascii="Calibri Light" w:hAnsi="Calibri Light" w:cs="Calibri Light"/>
                <w:lang w:val="en-US"/>
              </w:rPr>
              <w:lastRenderedPageBreak/>
              <w:t>Minimises impacts on electricity market settings</w:t>
            </w:r>
          </w:p>
        </w:tc>
        <w:tc>
          <w:tcPr>
            <w:tcW w:w="6465" w:type="dxa"/>
            <w:tcBorders>
              <w:bottom w:val="single" w:sz="4" w:space="0" w:color="auto"/>
            </w:tcBorders>
          </w:tcPr>
          <w:p w:rsidR="00F66475" w:rsidRDefault="00F66475" w:rsidP="00E2051A">
            <w:pPr>
              <w:spacing w:after="60" w:line="288" w:lineRule="auto"/>
              <w:rPr>
                <w:rFonts w:ascii="Calibri Light" w:eastAsia="Calibri" w:hAnsi="Calibri Light" w:cs="Calibri Light"/>
                <w:szCs w:val="22"/>
              </w:rPr>
            </w:pPr>
            <w:r>
              <w:rPr>
                <w:rFonts w:ascii="Calibri Light" w:eastAsia="Calibri" w:hAnsi="Calibri Light" w:cs="Calibri Light"/>
                <w:szCs w:val="22"/>
              </w:rPr>
              <w:t xml:space="preserve">CIS objectives and scope is clear to the market and has no or minimal unintended impacts on the electricity market. </w:t>
            </w:r>
          </w:p>
        </w:tc>
      </w:tr>
    </w:tbl>
    <w:p w:rsidR="00F66475" w:rsidRDefault="00F66475" w:rsidP="00F66475">
      <w:pPr>
        <w:spacing w:after="0" w:line="288" w:lineRule="auto"/>
        <w:rPr>
          <w:rFonts w:ascii="Calibri Light" w:hAnsi="Calibri Light" w:cs="Calibri Light"/>
          <w:sz w:val="16"/>
          <w:szCs w:val="16"/>
          <w:lang w:val="en-US"/>
        </w:rPr>
      </w:pPr>
    </w:p>
    <w:p w:rsidR="00F66475" w:rsidRPr="00D72217" w:rsidRDefault="00F66475" w:rsidP="00F66475">
      <w:pPr>
        <w:pStyle w:val="Heading3"/>
        <w:rPr>
          <w:rFonts w:ascii="Calibri Light" w:hAnsi="Calibri Light" w:cs="Calibri Light"/>
          <w:color w:val="197C7D"/>
          <w:sz w:val="36"/>
          <w:szCs w:val="36"/>
          <w:lang w:val="en-US"/>
        </w:rPr>
      </w:pPr>
      <w:bookmarkStart w:id="467" w:name="_Toc148108256"/>
      <w:r w:rsidRPr="00D72217">
        <w:rPr>
          <w:rFonts w:ascii="Calibri Light" w:hAnsi="Calibri Light" w:cs="Calibri Light"/>
          <w:color w:val="197C7D"/>
          <w:sz w:val="36"/>
          <w:szCs w:val="36"/>
          <w:lang w:val="en-US"/>
        </w:rPr>
        <w:t>Risks to implementation</w:t>
      </w:r>
      <w:bookmarkEnd w:id="467"/>
    </w:p>
    <w:p w:rsidR="00F66475" w:rsidRPr="008806D9" w:rsidRDefault="00F66475" w:rsidP="00F66475">
      <w:pPr>
        <w:rPr>
          <w:rFonts w:ascii="Calibri Light" w:hAnsi="Calibri Light" w:cs="Calibri Light"/>
          <w:lang w:val="en-US"/>
        </w:rPr>
      </w:pPr>
      <w:r>
        <w:rPr>
          <w:rFonts w:ascii="Calibri Light" w:hAnsi="Calibri Light" w:cs="Calibri Light"/>
          <w:lang w:val="en-US"/>
        </w:rPr>
        <w:t xml:space="preserve">There are potential risks that could impede successful implementation of the CIS. These are identified in Table 7 below and rated in terms of their likelihood and consequence in accordance with Table 6.  </w:t>
      </w:r>
      <w:r w:rsidRPr="008806D9">
        <w:rPr>
          <w:rFonts w:ascii="Calibri Light" w:hAnsi="Calibri Light" w:cs="Calibri Light"/>
          <w:lang w:val="en-US"/>
        </w:rPr>
        <w:t xml:space="preserve">  </w:t>
      </w:r>
    </w:p>
    <w:p w:rsidR="00F66475" w:rsidRPr="001C78C5" w:rsidRDefault="00F66475" w:rsidP="00F66475">
      <w:pPr>
        <w:rPr>
          <w:rFonts w:ascii="Calibri Light" w:hAnsi="Calibri Light" w:cs="Calibri Light"/>
          <w:b/>
          <w:bCs/>
          <w:lang w:val="en-US"/>
        </w:rPr>
      </w:pPr>
      <w:r w:rsidRPr="001C78C5">
        <w:rPr>
          <w:rFonts w:ascii="Calibri Light" w:hAnsi="Calibri Light" w:cs="Calibri Light"/>
          <w:b/>
          <w:bCs/>
          <w:lang w:val="en-US"/>
        </w:rPr>
        <w:t xml:space="preserve">Table </w:t>
      </w:r>
      <w:r>
        <w:rPr>
          <w:rFonts w:ascii="Calibri Light" w:hAnsi="Calibri Light" w:cs="Calibri Light"/>
          <w:b/>
          <w:bCs/>
          <w:lang w:val="en-US"/>
        </w:rPr>
        <w:t>6</w:t>
      </w:r>
      <w:r w:rsidRPr="001C78C5">
        <w:rPr>
          <w:rFonts w:ascii="Calibri Light" w:hAnsi="Calibri Light" w:cs="Calibri Light"/>
          <w:b/>
          <w:bCs/>
          <w:lang w:val="en-US"/>
        </w:rPr>
        <w:t>: Likelihood and consequence ratings</w:t>
      </w:r>
    </w:p>
    <w:tbl>
      <w:tblPr>
        <w:tblStyle w:val="TableGrid"/>
        <w:tblW w:w="9549" w:type="dxa"/>
        <w:tblLook w:val="04A0" w:firstRow="1" w:lastRow="0" w:firstColumn="1" w:lastColumn="0" w:noHBand="0" w:noVBand="1"/>
      </w:tblPr>
      <w:tblGrid>
        <w:gridCol w:w="1575"/>
        <w:gridCol w:w="1590"/>
        <w:gridCol w:w="1572"/>
        <w:gridCol w:w="1579"/>
        <w:gridCol w:w="1572"/>
        <w:gridCol w:w="1661"/>
      </w:tblGrid>
      <w:tr w:rsidR="00F66475" w:rsidRPr="001C78C5" w:rsidTr="00E2051A">
        <w:trPr>
          <w:trHeight w:val="288"/>
        </w:trPr>
        <w:tc>
          <w:tcPr>
            <w:tcW w:w="9549" w:type="dxa"/>
            <w:gridSpan w:val="6"/>
            <w:shd w:val="clear" w:color="auto" w:fill="F2F2F2" w:themeFill="background1" w:themeFillShade="F2"/>
          </w:tcPr>
          <w:p w:rsidR="00F66475" w:rsidRPr="001C78C5" w:rsidRDefault="00F66475" w:rsidP="00E2051A">
            <w:pPr>
              <w:spacing w:before="120" w:after="120"/>
              <w:jc w:val="center"/>
              <w:rPr>
                <w:rFonts w:ascii="Calibri Light" w:hAnsi="Calibri Light" w:cs="Calibri Light"/>
                <w:b/>
                <w:bCs/>
                <w:sz w:val="20"/>
                <w:szCs w:val="20"/>
              </w:rPr>
            </w:pPr>
            <w:r w:rsidRPr="001C78C5">
              <w:rPr>
                <w:rFonts w:ascii="Calibri Light" w:hAnsi="Calibri Light" w:cs="Calibri Light"/>
                <w:b/>
                <w:bCs/>
                <w:sz w:val="20"/>
                <w:szCs w:val="20"/>
              </w:rPr>
              <w:t>Risk Matrix</w:t>
            </w:r>
          </w:p>
        </w:tc>
      </w:tr>
      <w:tr w:rsidR="00F66475" w:rsidRPr="001C78C5" w:rsidTr="00E2051A">
        <w:trPr>
          <w:trHeight w:val="288"/>
        </w:trPr>
        <w:tc>
          <w:tcPr>
            <w:tcW w:w="1575" w:type="dxa"/>
            <w:shd w:val="clear" w:color="auto" w:fill="F2F2F2" w:themeFill="background1" w:themeFillShade="F2"/>
          </w:tcPr>
          <w:p w:rsidR="00F66475" w:rsidRPr="001C78C5" w:rsidRDefault="00F66475" w:rsidP="00E2051A">
            <w:pPr>
              <w:spacing w:before="120" w:after="120"/>
              <w:rPr>
                <w:rFonts w:ascii="Calibri Light" w:hAnsi="Calibri Light" w:cs="Calibri Light"/>
                <w:b/>
                <w:bCs/>
                <w:sz w:val="20"/>
                <w:szCs w:val="20"/>
              </w:rPr>
            </w:pPr>
            <w:r w:rsidRPr="001C78C5">
              <w:rPr>
                <w:rFonts w:ascii="Calibri Light" w:hAnsi="Calibri Light" w:cs="Calibri Light"/>
                <w:b/>
                <w:bCs/>
                <w:sz w:val="20"/>
                <w:szCs w:val="20"/>
              </w:rPr>
              <w:t>Likelihood</w:t>
            </w:r>
          </w:p>
        </w:tc>
        <w:tc>
          <w:tcPr>
            <w:tcW w:w="1590" w:type="dxa"/>
            <w:shd w:val="clear" w:color="auto" w:fill="F2F2F2" w:themeFill="background1" w:themeFillShade="F2"/>
          </w:tcPr>
          <w:p w:rsidR="00F66475" w:rsidRPr="001C78C5" w:rsidRDefault="00F66475" w:rsidP="00E2051A">
            <w:pPr>
              <w:spacing w:before="120" w:after="120"/>
              <w:rPr>
                <w:rFonts w:ascii="Calibri Light" w:hAnsi="Calibri Light" w:cs="Calibri Light"/>
                <w:b/>
                <w:bCs/>
                <w:sz w:val="20"/>
                <w:szCs w:val="20"/>
              </w:rPr>
            </w:pPr>
            <w:r w:rsidRPr="001C78C5">
              <w:rPr>
                <w:rFonts w:ascii="Calibri Light" w:hAnsi="Calibri Light" w:cs="Calibri Light"/>
                <w:b/>
                <w:bCs/>
                <w:sz w:val="20"/>
                <w:szCs w:val="20"/>
              </w:rPr>
              <w:t>Insignificant</w:t>
            </w:r>
          </w:p>
        </w:tc>
        <w:tc>
          <w:tcPr>
            <w:tcW w:w="1572" w:type="dxa"/>
            <w:shd w:val="clear" w:color="auto" w:fill="F2F2F2" w:themeFill="background1" w:themeFillShade="F2"/>
          </w:tcPr>
          <w:p w:rsidR="00F66475" w:rsidRPr="001C78C5" w:rsidRDefault="00F66475" w:rsidP="00E2051A">
            <w:pPr>
              <w:spacing w:before="120" w:after="120"/>
              <w:rPr>
                <w:rFonts w:ascii="Calibri Light" w:hAnsi="Calibri Light" w:cs="Calibri Light"/>
                <w:b/>
                <w:bCs/>
                <w:sz w:val="20"/>
                <w:szCs w:val="20"/>
              </w:rPr>
            </w:pPr>
            <w:r w:rsidRPr="001C78C5">
              <w:rPr>
                <w:rFonts w:ascii="Calibri Light" w:hAnsi="Calibri Light" w:cs="Calibri Light"/>
                <w:b/>
                <w:bCs/>
                <w:sz w:val="20"/>
                <w:szCs w:val="20"/>
              </w:rPr>
              <w:t>Minor</w:t>
            </w:r>
          </w:p>
        </w:tc>
        <w:tc>
          <w:tcPr>
            <w:tcW w:w="1579" w:type="dxa"/>
            <w:shd w:val="clear" w:color="auto" w:fill="F2F2F2" w:themeFill="background1" w:themeFillShade="F2"/>
          </w:tcPr>
          <w:p w:rsidR="00F66475" w:rsidRPr="001C78C5" w:rsidRDefault="00F66475" w:rsidP="00E2051A">
            <w:pPr>
              <w:spacing w:before="120" w:after="120"/>
              <w:rPr>
                <w:rFonts w:ascii="Calibri Light" w:hAnsi="Calibri Light" w:cs="Calibri Light"/>
                <w:b/>
                <w:bCs/>
                <w:sz w:val="20"/>
                <w:szCs w:val="20"/>
              </w:rPr>
            </w:pPr>
            <w:r w:rsidRPr="001C78C5">
              <w:rPr>
                <w:rFonts w:ascii="Calibri Light" w:hAnsi="Calibri Light" w:cs="Calibri Light"/>
                <w:b/>
                <w:bCs/>
                <w:sz w:val="20"/>
                <w:szCs w:val="20"/>
              </w:rPr>
              <w:t>Moderate</w:t>
            </w:r>
          </w:p>
        </w:tc>
        <w:tc>
          <w:tcPr>
            <w:tcW w:w="1572" w:type="dxa"/>
            <w:shd w:val="clear" w:color="auto" w:fill="F2F2F2" w:themeFill="background1" w:themeFillShade="F2"/>
          </w:tcPr>
          <w:p w:rsidR="00F66475" w:rsidRPr="001C78C5" w:rsidRDefault="00F66475" w:rsidP="00E2051A">
            <w:pPr>
              <w:spacing w:before="120" w:after="120"/>
              <w:rPr>
                <w:rFonts w:ascii="Calibri Light" w:hAnsi="Calibri Light" w:cs="Calibri Light"/>
                <w:b/>
                <w:bCs/>
                <w:sz w:val="20"/>
                <w:szCs w:val="20"/>
              </w:rPr>
            </w:pPr>
            <w:r w:rsidRPr="001C78C5">
              <w:rPr>
                <w:rFonts w:ascii="Calibri Light" w:hAnsi="Calibri Light" w:cs="Calibri Light"/>
                <w:b/>
                <w:bCs/>
                <w:sz w:val="20"/>
                <w:szCs w:val="20"/>
              </w:rPr>
              <w:t>Major</w:t>
            </w:r>
          </w:p>
        </w:tc>
        <w:tc>
          <w:tcPr>
            <w:tcW w:w="1659" w:type="dxa"/>
            <w:shd w:val="clear" w:color="auto" w:fill="F2F2F2" w:themeFill="background1" w:themeFillShade="F2"/>
          </w:tcPr>
          <w:p w:rsidR="00F66475" w:rsidRPr="001C78C5" w:rsidRDefault="00F66475" w:rsidP="00E2051A">
            <w:pPr>
              <w:spacing w:before="120" w:after="120"/>
              <w:rPr>
                <w:rFonts w:ascii="Calibri Light" w:hAnsi="Calibri Light" w:cs="Calibri Light"/>
                <w:b/>
                <w:bCs/>
                <w:sz w:val="20"/>
                <w:szCs w:val="20"/>
              </w:rPr>
            </w:pPr>
            <w:r w:rsidRPr="001C78C5">
              <w:rPr>
                <w:rFonts w:ascii="Calibri Light" w:hAnsi="Calibri Light" w:cs="Calibri Light"/>
                <w:b/>
                <w:bCs/>
                <w:sz w:val="20"/>
                <w:szCs w:val="20"/>
              </w:rPr>
              <w:t>Catastrophic</w:t>
            </w:r>
          </w:p>
        </w:tc>
      </w:tr>
      <w:tr w:rsidR="00F66475" w:rsidRPr="001C78C5" w:rsidTr="00E2051A">
        <w:trPr>
          <w:trHeight w:val="362"/>
        </w:trPr>
        <w:tc>
          <w:tcPr>
            <w:tcW w:w="1575" w:type="dxa"/>
            <w:shd w:val="clear" w:color="auto" w:fill="F2F2F2" w:themeFill="background1" w:themeFillShade="F2"/>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Highly Likely</w:t>
            </w:r>
          </w:p>
        </w:tc>
        <w:tc>
          <w:tcPr>
            <w:tcW w:w="1590" w:type="dxa"/>
            <w:shd w:val="clear" w:color="auto" w:fill="FFFF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Medium</w:t>
            </w:r>
          </w:p>
        </w:tc>
        <w:tc>
          <w:tcPr>
            <w:tcW w:w="1572" w:type="dxa"/>
            <w:shd w:val="clear" w:color="auto" w:fill="FFFF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Medium</w:t>
            </w:r>
          </w:p>
        </w:tc>
        <w:tc>
          <w:tcPr>
            <w:tcW w:w="1579" w:type="dxa"/>
            <w:shd w:val="clear" w:color="auto" w:fill="FF99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High</w:t>
            </w:r>
          </w:p>
        </w:tc>
        <w:tc>
          <w:tcPr>
            <w:tcW w:w="1572" w:type="dxa"/>
            <w:shd w:val="clear" w:color="auto" w:fill="FF00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Severe</w:t>
            </w:r>
          </w:p>
        </w:tc>
        <w:tc>
          <w:tcPr>
            <w:tcW w:w="1659" w:type="dxa"/>
            <w:shd w:val="clear" w:color="auto" w:fill="FF00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Severe</w:t>
            </w:r>
          </w:p>
        </w:tc>
      </w:tr>
      <w:tr w:rsidR="00F66475" w:rsidRPr="001C78C5" w:rsidTr="00E2051A">
        <w:trPr>
          <w:trHeight w:val="288"/>
        </w:trPr>
        <w:tc>
          <w:tcPr>
            <w:tcW w:w="1575" w:type="dxa"/>
            <w:shd w:val="clear" w:color="auto" w:fill="F2F2F2" w:themeFill="background1" w:themeFillShade="F2"/>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Likely</w:t>
            </w:r>
          </w:p>
        </w:tc>
        <w:tc>
          <w:tcPr>
            <w:tcW w:w="1590" w:type="dxa"/>
            <w:shd w:val="clear" w:color="auto" w:fill="00B05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Low</w:t>
            </w:r>
          </w:p>
        </w:tc>
        <w:tc>
          <w:tcPr>
            <w:tcW w:w="1572" w:type="dxa"/>
            <w:shd w:val="clear" w:color="auto" w:fill="FFFF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Medium</w:t>
            </w:r>
          </w:p>
        </w:tc>
        <w:tc>
          <w:tcPr>
            <w:tcW w:w="1579" w:type="dxa"/>
            <w:shd w:val="clear" w:color="auto" w:fill="FF99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High</w:t>
            </w:r>
          </w:p>
        </w:tc>
        <w:tc>
          <w:tcPr>
            <w:tcW w:w="1572" w:type="dxa"/>
            <w:shd w:val="clear" w:color="auto" w:fill="FF99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High</w:t>
            </w:r>
          </w:p>
        </w:tc>
        <w:tc>
          <w:tcPr>
            <w:tcW w:w="1659" w:type="dxa"/>
            <w:shd w:val="clear" w:color="auto" w:fill="FF00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Severe</w:t>
            </w:r>
          </w:p>
        </w:tc>
      </w:tr>
      <w:tr w:rsidR="00F66475" w:rsidRPr="001C78C5" w:rsidTr="00E2051A">
        <w:trPr>
          <w:trHeight w:val="288"/>
        </w:trPr>
        <w:tc>
          <w:tcPr>
            <w:tcW w:w="1575" w:type="dxa"/>
            <w:shd w:val="clear" w:color="auto" w:fill="F2F2F2" w:themeFill="background1" w:themeFillShade="F2"/>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Possible</w:t>
            </w:r>
          </w:p>
        </w:tc>
        <w:tc>
          <w:tcPr>
            <w:tcW w:w="1590" w:type="dxa"/>
            <w:shd w:val="clear" w:color="auto" w:fill="00B05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Low</w:t>
            </w:r>
          </w:p>
        </w:tc>
        <w:tc>
          <w:tcPr>
            <w:tcW w:w="1572" w:type="dxa"/>
            <w:shd w:val="clear" w:color="auto" w:fill="00B05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Low</w:t>
            </w:r>
          </w:p>
        </w:tc>
        <w:tc>
          <w:tcPr>
            <w:tcW w:w="1579" w:type="dxa"/>
            <w:shd w:val="clear" w:color="auto" w:fill="FFFF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Medium</w:t>
            </w:r>
          </w:p>
        </w:tc>
        <w:tc>
          <w:tcPr>
            <w:tcW w:w="1572" w:type="dxa"/>
            <w:shd w:val="clear" w:color="auto" w:fill="FF99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High</w:t>
            </w:r>
          </w:p>
        </w:tc>
        <w:tc>
          <w:tcPr>
            <w:tcW w:w="1659" w:type="dxa"/>
            <w:shd w:val="clear" w:color="auto" w:fill="FF99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High</w:t>
            </w:r>
          </w:p>
        </w:tc>
      </w:tr>
      <w:tr w:rsidR="00F66475" w:rsidRPr="001C78C5" w:rsidTr="00E2051A">
        <w:trPr>
          <w:trHeight w:val="288"/>
        </w:trPr>
        <w:tc>
          <w:tcPr>
            <w:tcW w:w="1575" w:type="dxa"/>
            <w:shd w:val="clear" w:color="auto" w:fill="F2F2F2" w:themeFill="background1" w:themeFillShade="F2"/>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Unlikely</w:t>
            </w:r>
          </w:p>
        </w:tc>
        <w:tc>
          <w:tcPr>
            <w:tcW w:w="1590" w:type="dxa"/>
            <w:shd w:val="clear" w:color="auto" w:fill="00B05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Low</w:t>
            </w:r>
          </w:p>
        </w:tc>
        <w:tc>
          <w:tcPr>
            <w:tcW w:w="1572" w:type="dxa"/>
            <w:shd w:val="clear" w:color="auto" w:fill="00B05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Low</w:t>
            </w:r>
          </w:p>
        </w:tc>
        <w:tc>
          <w:tcPr>
            <w:tcW w:w="1579" w:type="dxa"/>
            <w:shd w:val="clear" w:color="auto" w:fill="FFFF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Medium</w:t>
            </w:r>
          </w:p>
        </w:tc>
        <w:tc>
          <w:tcPr>
            <w:tcW w:w="1572" w:type="dxa"/>
            <w:shd w:val="clear" w:color="auto" w:fill="FFFF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Medium</w:t>
            </w:r>
          </w:p>
        </w:tc>
        <w:tc>
          <w:tcPr>
            <w:tcW w:w="1659" w:type="dxa"/>
            <w:shd w:val="clear" w:color="auto" w:fill="FF99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High</w:t>
            </w:r>
          </w:p>
        </w:tc>
      </w:tr>
      <w:tr w:rsidR="00F66475" w:rsidRPr="001C78C5" w:rsidTr="00E2051A">
        <w:trPr>
          <w:trHeight w:val="288"/>
        </w:trPr>
        <w:tc>
          <w:tcPr>
            <w:tcW w:w="1575" w:type="dxa"/>
            <w:shd w:val="clear" w:color="auto" w:fill="F2F2F2" w:themeFill="background1" w:themeFillShade="F2"/>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Remote</w:t>
            </w:r>
          </w:p>
        </w:tc>
        <w:tc>
          <w:tcPr>
            <w:tcW w:w="1590" w:type="dxa"/>
            <w:shd w:val="clear" w:color="auto" w:fill="00B05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Low</w:t>
            </w:r>
          </w:p>
        </w:tc>
        <w:tc>
          <w:tcPr>
            <w:tcW w:w="1572" w:type="dxa"/>
            <w:shd w:val="clear" w:color="auto" w:fill="00B05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Low</w:t>
            </w:r>
          </w:p>
        </w:tc>
        <w:tc>
          <w:tcPr>
            <w:tcW w:w="1579" w:type="dxa"/>
            <w:shd w:val="clear" w:color="auto" w:fill="00B05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Low</w:t>
            </w:r>
          </w:p>
        </w:tc>
        <w:tc>
          <w:tcPr>
            <w:tcW w:w="1572" w:type="dxa"/>
            <w:shd w:val="clear" w:color="auto" w:fill="FFFF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Medium</w:t>
            </w:r>
          </w:p>
        </w:tc>
        <w:tc>
          <w:tcPr>
            <w:tcW w:w="1659" w:type="dxa"/>
            <w:shd w:val="clear" w:color="auto" w:fill="FFFF00"/>
          </w:tcPr>
          <w:p w:rsidR="00F66475" w:rsidRPr="001C78C5" w:rsidRDefault="00F66475" w:rsidP="00E2051A">
            <w:pPr>
              <w:spacing w:before="120" w:after="120"/>
              <w:rPr>
                <w:rFonts w:ascii="Calibri Light" w:hAnsi="Calibri Light" w:cs="Calibri Light"/>
                <w:sz w:val="20"/>
                <w:szCs w:val="20"/>
              </w:rPr>
            </w:pPr>
            <w:r w:rsidRPr="001C78C5">
              <w:rPr>
                <w:rFonts w:ascii="Calibri Light" w:hAnsi="Calibri Light" w:cs="Calibri Light"/>
                <w:sz w:val="20"/>
                <w:szCs w:val="20"/>
              </w:rPr>
              <w:t>Medium</w:t>
            </w:r>
          </w:p>
        </w:tc>
      </w:tr>
    </w:tbl>
    <w:p w:rsidR="00F66475" w:rsidRPr="006745E8" w:rsidRDefault="00F66475" w:rsidP="00F66475">
      <w:pPr>
        <w:spacing w:after="200" w:line="288" w:lineRule="auto"/>
        <w:rPr>
          <w:rFonts w:ascii="Calibri Light" w:hAnsi="Calibri Light" w:cs="Calibri Light"/>
          <w:b/>
          <w:bCs/>
          <w:lang w:val="en-US"/>
        </w:rPr>
      </w:pPr>
      <w:r w:rsidRPr="00B71C05">
        <w:rPr>
          <w:sz w:val="16"/>
          <w:szCs w:val="16"/>
          <w:lang w:val="en-US"/>
        </w:rPr>
        <w:t xml:space="preserve">Source: DCCEEW Enterprise Risk Management Framework </w:t>
      </w:r>
    </w:p>
    <w:p w:rsidR="00F66475" w:rsidRPr="00813162" w:rsidRDefault="00F66475" w:rsidP="00F66475">
      <w:pPr>
        <w:spacing w:after="0" w:line="288" w:lineRule="auto"/>
        <w:rPr>
          <w:rFonts w:ascii="Calibri Light" w:hAnsi="Calibri Light" w:cs="Calibri Light"/>
          <w:sz w:val="16"/>
          <w:szCs w:val="16"/>
          <w:lang w:val="en-US"/>
        </w:rPr>
      </w:pPr>
    </w:p>
    <w:p w:rsidR="00F66475" w:rsidRDefault="00F66475" w:rsidP="00F66475">
      <w:pPr>
        <w:rPr>
          <w:rFonts w:ascii="Calibri Light" w:eastAsia="Calibri" w:hAnsi="Calibri Light" w:cs="Calibri Light"/>
          <w:szCs w:val="22"/>
          <w:highlight w:val="black"/>
        </w:rPr>
      </w:pPr>
    </w:p>
    <w:p w:rsidR="00F66475" w:rsidRPr="00B463EE" w:rsidRDefault="00F66475" w:rsidP="00F66475">
      <w:pPr>
        <w:rPr>
          <w:rFonts w:ascii="Calibri Light" w:hAnsi="Calibri Light" w:cs="Calibri Light"/>
          <w:b/>
          <w:bCs/>
          <w:highlight w:val="black"/>
          <w:lang w:val="en-US"/>
        </w:rPr>
        <w:sectPr w:rsidR="00F66475" w:rsidRPr="00B463EE" w:rsidSect="00A5645F">
          <w:headerReference w:type="even" r:id="rId14"/>
          <w:headerReference w:type="default" r:id="rId15"/>
          <w:footerReference w:type="even" r:id="rId16"/>
          <w:footerReference w:type="default" r:id="rId17"/>
          <w:headerReference w:type="first" r:id="rId18"/>
          <w:footerReference w:type="first" r:id="rId19"/>
          <w:pgSz w:w="11906" w:h="16838"/>
          <w:pgMar w:top="1701" w:right="1134" w:bottom="1843" w:left="1134" w:header="993" w:footer="709" w:gutter="0"/>
          <w:pgNumType w:start="0"/>
          <w:cols w:space="708"/>
          <w:titlePg/>
          <w:docGrid w:linePitch="360"/>
        </w:sectPr>
      </w:pPr>
    </w:p>
    <w:p w:rsidR="00F66475" w:rsidRDefault="00F66475" w:rsidP="00F66475">
      <w:pPr>
        <w:rPr>
          <w:rFonts w:ascii="Calibri Light" w:hAnsi="Calibri Light" w:cs="Calibri Light"/>
          <w:b/>
          <w:bCs/>
          <w:lang w:val="en-US"/>
        </w:rPr>
      </w:pPr>
      <w:r w:rsidRPr="006745E8">
        <w:rPr>
          <w:rFonts w:ascii="Calibri Light" w:hAnsi="Calibri Light" w:cs="Calibri Light"/>
          <w:b/>
          <w:bCs/>
          <w:lang w:val="en-US"/>
        </w:rPr>
        <w:lastRenderedPageBreak/>
        <w:t xml:space="preserve">Table </w:t>
      </w:r>
      <w:r>
        <w:rPr>
          <w:rFonts w:ascii="Calibri Light" w:hAnsi="Calibri Light" w:cs="Calibri Light"/>
          <w:b/>
          <w:bCs/>
          <w:lang w:val="en-US"/>
        </w:rPr>
        <w:t>7</w:t>
      </w:r>
      <w:r w:rsidRPr="006745E8">
        <w:rPr>
          <w:rFonts w:ascii="Calibri Light" w:hAnsi="Calibri Light" w:cs="Calibri Light"/>
          <w:b/>
          <w:bCs/>
          <w:lang w:val="en-US"/>
        </w:rPr>
        <w:t>: Risk</w:t>
      </w:r>
      <w:r>
        <w:rPr>
          <w:rFonts w:ascii="Calibri Light" w:hAnsi="Calibri Light" w:cs="Calibri Light"/>
          <w:b/>
          <w:bCs/>
          <w:lang w:val="en-US"/>
        </w:rPr>
        <w:t xml:space="preserve"> rating and mitigation strategies</w:t>
      </w:r>
    </w:p>
    <w:tbl>
      <w:tblPr>
        <w:tblStyle w:val="TableGrid"/>
        <w:tblW w:w="13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2"/>
        <w:gridCol w:w="1198"/>
        <w:gridCol w:w="1464"/>
        <w:gridCol w:w="1464"/>
        <w:gridCol w:w="6259"/>
      </w:tblGrid>
      <w:tr w:rsidR="00F66475" w:rsidRPr="00BA22CD" w:rsidTr="00E2051A">
        <w:trPr>
          <w:trHeight w:val="321"/>
        </w:trPr>
        <w:tc>
          <w:tcPr>
            <w:tcW w:w="2762" w:type="dxa"/>
            <w:tcBorders>
              <w:bottom w:val="single" w:sz="4" w:space="0" w:color="auto"/>
            </w:tcBorders>
            <w:shd w:val="clear" w:color="auto" w:fill="F2F2F2" w:themeFill="background1" w:themeFillShade="F2"/>
          </w:tcPr>
          <w:p w:rsidR="00F66475" w:rsidRPr="00BA22CD" w:rsidRDefault="00F66475" w:rsidP="00E2051A">
            <w:pPr>
              <w:spacing w:before="120" w:after="120"/>
              <w:rPr>
                <w:rFonts w:ascii="Calibri Light" w:hAnsi="Calibri Light" w:cs="Calibri Light"/>
                <w:b/>
                <w:bCs/>
                <w:sz w:val="20"/>
                <w:szCs w:val="20"/>
                <w:lang w:val="en-US"/>
              </w:rPr>
            </w:pPr>
            <w:r w:rsidRPr="00BA22CD">
              <w:rPr>
                <w:rFonts w:ascii="Calibri Light" w:hAnsi="Calibri Light" w:cs="Calibri Light"/>
                <w:b/>
                <w:bCs/>
                <w:sz w:val="20"/>
                <w:szCs w:val="20"/>
                <w:lang w:val="en-US"/>
              </w:rPr>
              <w:t>Risk</w:t>
            </w:r>
          </w:p>
        </w:tc>
        <w:tc>
          <w:tcPr>
            <w:tcW w:w="1198" w:type="dxa"/>
            <w:tcBorders>
              <w:bottom w:val="single" w:sz="4" w:space="0" w:color="auto"/>
            </w:tcBorders>
            <w:shd w:val="clear" w:color="auto" w:fill="F2F2F2" w:themeFill="background1" w:themeFillShade="F2"/>
          </w:tcPr>
          <w:p w:rsidR="00F66475" w:rsidRPr="00BA22CD" w:rsidRDefault="00F66475" w:rsidP="00E2051A">
            <w:pPr>
              <w:spacing w:before="120" w:after="120"/>
              <w:rPr>
                <w:rFonts w:ascii="Calibri Light" w:hAnsi="Calibri Light" w:cs="Calibri Light"/>
                <w:b/>
                <w:bCs/>
                <w:sz w:val="20"/>
                <w:szCs w:val="20"/>
                <w:lang w:val="en-US"/>
              </w:rPr>
            </w:pPr>
            <w:r w:rsidRPr="00BA22CD">
              <w:rPr>
                <w:rFonts w:ascii="Calibri Light" w:hAnsi="Calibri Light" w:cs="Calibri Light"/>
                <w:b/>
                <w:bCs/>
                <w:sz w:val="20"/>
                <w:szCs w:val="20"/>
                <w:lang w:val="en-US"/>
              </w:rPr>
              <w:t>Likelihood</w:t>
            </w:r>
          </w:p>
        </w:tc>
        <w:tc>
          <w:tcPr>
            <w:tcW w:w="1464" w:type="dxa"/>
            <w:tcBorders>
              <w:bottom w:val="single" w:sz="4" w:space="0" w:color="auto"/>
            </w:tcBorders>
            <w:shd w:val="clear" w:color="auto" w:fill="F2F2F2" w:themeFill="background1" w:themeFillShade="F2"/>
          </w:tcPr>
          <w:p w:rsidR="00F66475" w:rsidRPr="00BA22CD" w:rsidRDefault="00F66475" w:rsidP="00E2051A">
            <w:pPr>
              <w:spacing w:before="120" w:after="120"/>
              <w:rPr>
                <w:rFonts w:ascii="Calibri Light" w:hAnsi="Calibri Light" w:cs="Calibri Light"/>
                <w:b/>
                <w:bCs/>
                <w:sz w:val="20"/>
                <w:szCs w:val="20"/>
                <w:lang w:val="en-US"/>
              </w:rPr>
            </w:pPr>
            <w:r w:rsidRPr="00BA22CD">
              <w:rPr>
                <w:rFonts w:ascii="Calibri Light" w:hAnsi="Calibri Light" w:cs="Calibri Light"/>
                <w:b/>
                <w:bCs/>
                <w:sz w:val="20"/>
                <w:szCs w:val="20"/>
                <w:lang w:val="en-US"/>
              </w:rPr>
              <w:t xml:space="preserve">Consequence </w:t>
            </w:r>
          </w:p>
        </w:tc>
        <w:tc>
          <w:tcPr>
            <w:tcW w:w="1464" w:type="dxa"/>
            <w:tcBorders>
              <w:bottom w:val="single" w:sz="4" w:space="0" w:color="auto"/>
            </w:tcBorders>
            <w:shd w:val="clear" w:color="auto" w:fill="F2F2F2" w:themeFill="background1" w:themeFillShade="F2"/>
          </w:tcPr>
          <w:p w:rsidR="00F66475" w:rsidRPr="00BA22CD" w:rsidRDefault="00F66475" w:rsidP="00E2051A">
            <w:pPr>
              <w:spacing w:before="120" w:after="120"/>
              <w:rPr>
                <w:rFonts w:ascii="Calibri Light" w:hAnsi="Calibri Light" w:cs="Calibri Light"/>
                <w:b/>
                <w:bCs/>
                <w:sz w:val="20"/>
                <w:szCs w:val="20"/>
                <w:lang w:val="en-US"/>
              </w:rPr>
            </w:pPr>
            <w:r w:rsidRPr="00BA22CD">
              <w:rPr>
                <w:rFonts w:ascii="Calibri Light" w:hAnsi="Calibri Light" w:cs="Calibri Light"/>
                <w:b/>
                <w:bCs/>
                <w:sz w:val="20"/>
                <w:szCs w:val="20"/>
                <w:lang w:val="en-US"/>
              </w:rPr>
              <w:t>Risk rating</w:t>
            </w:r>
          </w:p>
        </w:tc>
        <w:tc>
          <w:tcPr>
            <w:tcW w:w="6259" w:type="dxa"/>
            <w:tcBorders>
              <w:bottom w:val="single" w:sz="4" w:space="0" w:color="auto"/>
            </w:tcBorders>
            <w:shd w:val="clear" w:color="auto" w:fill="F2F2F2" w:themeFill="background1" w:themeFillShade="F2"/>
          </w:tcPr>
          <w:p w:rsidR="00F66475" w:rsidRPr="00BA22CD" w:rsidRDefault="00F66475" w:rsidP="00E2051A">
            <w:pPr>
              <w:spacing w:before="120" w:after="120"/>
              <w:rPr>
                <w:rFonts w:ascii="Calibri Light" w:hAnsi="Calibri Light" w:cs="Calibri Light"/>
                <w:b/>
                <w:bCs/>
                <w:sz w:val="20"/>
                <w:szCs w:val="20"/>
                <w:lang w:val="en-US"/>
              </w:rPr>
            </w:pPr>
            <w:r w:rsidRPr="00BA22CD">
              <w:rPr>
                <w:rFonts w:ascii="Calibri Light" w:hAnsi="Calibri Light" w:cs="Calibri Light"/>
                <w:b/>
                <w:bCs/>
                <w:sz w:val="20"/>
                <w:szCs w:val="20"/>
                <w:lang w:val="en-US"/>
              </w:rPr>
              <w:t xml:space="preserve"> Management</w:t>
            </w:r>
          </w:p>
        </w:tc>
      </w:tr>
      <w:tr w:rsidR="00F66475" w:rsidRPr="00BA22CD" w:rsidTr="00E2051A">
        <w:trPr>
          <w:trHeight w:val="1684"/>
        </w:trPr>
        <w:tc>
          <w:tcPr>
            <w:tcW w:w="2762" w:type="dxa"/>
            <w:tcBorders>
              <w:top w:val="single" w:sz="4" w:space="0" w:color="auto"/>
              <w:bottom w:val="single" w:sz="4" w:space="0" w:color="auto"/>
            </w:tcBorders>
          </w:tcPr>
          <w:p w:rsidR="00F66475" w:rsidRPr="00BA22CD" w:rsidRDefault="00F66475" w:rsidP="00E2051A">
            <w:pPr>
              <w:rPr>
                <w:rFonts w:ascii="Calibri Light" w:hAnsi="Calibri Light" w:cs="Calibri Light"/>
                <w:b/>
                <w:sz w:val="20"/>
                <w:szCs w:val="20"/>
                <w:lang w:val="en-US"/>
              </w:rPr>
            </w:pPr>
            <w:r w:rsidRPr="00BA22CD">
              <w:rPr>
                <w:rFonts w:ascii="Calibri Light" w:hAnsi="Calibri Light" w:cs="Calibri Light"/>
                <w:b/>
                <w:sz w:val="20"/>
                <w:szCs w:val="20"/>
                <w:lang w:val="en-US"/>
              </w:rPr>
              <w:t xml:space="preserve">Delivery risks </w:t>
            </w:r>
          </w:p>
          <w:p w:rsidR="00F66475" w:rsidRPr="00BA22CD" w:rsidRDefault="00F66475" w:rsidP="00E2051A">
            <w:pPr>
              <w:rPr>
                <w:rFonts w:ascii="Calibri Light" w:hAnsi="Calibri Light" w:cs="Calibri Light"/>
                <w:sz w:val="20"/>
                <w:szCs w:val="20"/>
                <w:lang w:val="en-US"/>
              </w:rPr>
            </w:pPr>
            <w:r w:rsidRPr="00BA22CD">
              <w:rPr>
                <w:rFonts w:ascii="Calibri Light" w:hAnsi="Calibri Light" w:cs="Calibri Light"/>
                <w:sz w:val="20"/>
                <w:szCs w:val="20"/>
                <w:lang w:val="en-US"/>
              </w:rPr>
              <w:t>Tender implementation timelines are not met</w:t>
            </w:r>
          </w:p>
          <w:p w:rsidR="00F66475" w:rsidRPr="00BA22CD" w:rsidRDefault="00F66475" w:rsidP="00E2051A">
            <w:pPr>
              <w:rPr>
                <w:rFonts w:ascii="Calibri Light" w:hAnsi="Calibri Light" w:cs="Calibri Light"/>
                <w:sz w:val="20"/>
                <w:szCs w:val="20"/>
                <w:lang w:val="en-US"/>
              </w:rPr>
            </w:pPr>
            <w:r w:rsidRPr="00BA22CD">
              <w:rPr>
                <w:rFonts w:ascii="Calibri Light" w:hAnsi="Calibri Light" w:cs="Calibri Light"/>
                <w:sz w:val="20"/>
                <w:szCs w:val="20"/>
                <w:lang w:val="en-US"/>
              </w:rPr>
              <w:t>Insufficient interest or take-up of scheme</w:t>
            </w:r>
          </w:p>
        </w:tc>
        <w:tc>
          <w:tcPr>
            <w:tcW w:w="1198" w:type="dxa"/>
            <w:tcBorders>
              <w:top w:val="single" w:sz="4" w:space="0" w:color="auto"/>
              <w:bottom w:val="single" w:sz="4" w:space="0" w:color="auto"/>
            </w:tcBorders>
            <w:vAlign w:val="center"/>
          </w:tcPr>
          <w:p w:rsidR="00F66475" w:rsidRPr="00BA22CD" w:rsidRDefault="00F66475" w:rsidP="00E2051A">
            <w:pPr>
              <w:jc w:val="center"/>
              <w:rPr>
                <w:rFonts w:ascii="Calibri Light" w:hAnsi="Calibri Light" w:cs="Calibri Light"/>
                <w:sz w:val="20"/>
                <w:szCs w:val="20"/>
                <w:lang w:val="en-US"/>
              </w:rPr>
            </w:pPr>
            <w:r w:rsidRPr="00BA22CD">
              <w:rPr>
                <w:rFonts w:ascii="Calibri Light" w:hAnsi="Calibri Light" w:cs="Calibri Light"/>
                <w:b/>
                <w:sz w:val="20"/>
                <w:szCs w:val="20"/>
              </w:rPr>
              <w:t>Possible</w:t>
            </w:r>
          </w:p>
        </w:tc>
        <w:tc>
          <w:tcPr>
            <w:tcW w:w="1464" w:type="dxa"/>
            <w:tcBorders>
              <w:top w:val="single" w:sz="4" w:space="0" w:color="auto"/>
              <w:bottom w:val="single" w:sz="4" w:space="0" w:color="auto"/>
            </w:tcBorders>
            <w:shd w:val="clear" w:color="auto" w:fill="auto"/>
            <w:vAlign w:val="center"/>
          </w:tcPr>
          <w:p w:rsidR="00F66475" w:rsidRPr="00BA22CD" w:rsidRDefault="00F66475" w:rsidP="00E2051A">
            <w:pPr>
              <w:jc w:val="center"/>
              <w:rPr>
                <w:rFonts w:ascii="Calibri Light" w:hAnsi="Calibri Light" w:cs="Calibri Light"/>
                <w:sz w:val="20"/>
                <w:szCs w:val="20"/>
                <w:lang w:val="en-US"/>
              </w:rPr>
            </w:pPr>
            <w:r w:rsidRPr="00BA22CD">
              <w:rPr>
                <w:rFonts w:ascii="Calibri Light" w:hAnsi="Calibri Light" w:cs="Calibri Light"/>
                <w:b/>
                <w:sz w:val="20"/>
                <w:szCs w:val="20"/>
              </w:rPr>
              <w:t>Moderate</w:t>
            </w:r>
          </w:p>
        </w:tc>
        <w:tc>
          <w:tcPr>
            <w:tcW w:w="1464" w:type="dxa"/>
            <w:tcBorders>
              <w:top w:val="single" w:sz="4" w:space="0" w:color="auto"/>
              <w:bottom w:val="single" w:sz="4" w:space="0" w:color="auto"/>
            </w:tcBorders>
            <w:vAlign w:val="center"/>
          </w:tcPr>
          <w:p w:rsidR="00F66475" w:rsidRPr="00BA22CD" w:rsidRDefault="00F66475" w:rsidP="00E2051A">
            <w:pPr>
              <w:jc w:val="center"/>
              <w:rPr>
                <w:rFonts w:ascii="Calibri Light" w:hAnsi="Calibri Light" w:cs="Calibri Light"/>
                <w:b/>
                <w:sz w:val="20"/>
                <w:szCs w:val="20"/>
                <w:lang w:val="en-US"/>
              </w:rPr>
            </w:pPr>
            <w:r w:rsidRPr="00BA22CD">
              <w:rPr>
                <w:rFonts w:ascii="Calibri Light" w:hAnsi="Calibri Light" w:cs="Calibri Light"/>
                <w:b/>
                <w:sz w:val="20"/>
                <w:szCs w:val="20"/>
                <w:lang w:val="en-US"/>
              </w:rPr>
              <w:t>Medium</w:t>
            </w:r>
          </w:p>
        </w:tc>
        <w:tc>
          <w:tcPr>
            <w:tcW w:w="6259" w:type="dxa"/>
            <w:tcBorders>
              <w:top w:val="single" w:sz="4" w:space="0" w:color="auto"/>
              <w:bottom w:val="single" w:sz="4" w:space="0" w:color="auto"/>
            </w:tcBorders>
          </w:tcPr>
          <w:p w:rsidR="00F66475" w:rsidRPr="00BA22CD" w:rsidRDefault="00F66475" w:rsidP="00E2051A">
            <w:pPr>
              <w:pStyle w:val="ListParagraph"/>
              <w:numPr>
                <w:ilvl w:val="0"/>
                <w:numId w:val="22"/>
              </w:numPr>
              <w:spacing w:after="60" w:line="240" w:lineRule="auto"/>
              <w:ind w:left="357" w:hanging="357"/>
              <w:contextualSpacing w:val="0"/>
              <w:rPr>
                <w:rFonts w:ascii="Calibri Light" w:hAnsi="Calibri Light" w:cs="Calibri Light"/>
                <w:color w:val="000000"/>
                <w:sz w:val="20"/>
                <w:szCs w:val="20"/>
              </w:rPr>
            </w:pPr>
            <w:r w:rsidRPr="00BA22CD">
              <w:rPr>
                <w:rFonts w:ascii="Calibri Light" w:hAnsi="Calibri Light" w:cs="Calibri Light"/>
                <w:color w:val="000000"/>
                <w:sz w:val="20"/>
                <w:szCs w:val="20"/>
              </w:rPr>
              <w:t>Robust project planning</w:t>
            </w:r>
          </w:p>
          <w:p w:rsidR="00F66475" w:rsidRPr="00BA22CD" w:rsidRDefault="00F66475" w:rsidP="00E2051A">
            <w:pPr>
              <w:pStyle w:val="ListParagraph"/>
              <w:numPr>
                <w:ilvl w:val="0"/>
                <w:numId w:val="22"/>
              </w:numPr>
              <w:spacing w:after="60" w:line="240" w:lineRule="auto"/>
              <w:ind w:left="357" w:hanging="357"/>
              <w:contextualSpacing w:val="0"/>
              <w:rPr>
                <w:rFonts w:ascii="Calibri Light" w:hAnsi="Calibri Light" w:cs="Calibri Light"/>
                <w:color w:val="000000"/>
                <w:sz w:val="20"/>
                <w:szCs w:val="20"/>
              </w:rPr>
            </w:pPr>
            <w:r w:rsidRPr="00BA22CD">
              <w:rPr>
                <w:rFonts w:ascii="Calibri Light" w:hAnsi="Calibri Light" w:cs="Calibri Light"/>
                <w:color w:val="000000"/>
                <w:sz w:val="20"/>
                <w:szCs w:val="20"/>
              </w:rPr>
              <w:t xml:space="preserve">Engagement of skilled staff and experts </w:t>
            </w:r>
            <w:r>
              <w:rPr>
                <w:rFonts w:ascii="Calibri Light" w:hAnsi="Calibri Light" w:cs="Calibri Light"/>
                <w:color w:val="000000"/>
                <w:sz w:val="20"/>
                <w:szCs w:val="20"/>
              </w:rPr>
              <w:t xml:space="preserve">via a delivery partner </w:t>
            </w:r>
            <w:r w:rsidRPr="00BA22CD">
              <w:rPr>
                <w:rFonts w:ascii="Calibri Light" w:hAnsi="Calibri Light" w:cs="Calibri Light"/>
                <w:color w:val="000000"/>
                <w:sz w:val="20"/>
                <w:szCs w:val="20"/>
              </w:rPr>
              <w:t>to support project delivery</w:t>
            </w:r>
          </w:p>
          <w:p w:rsidR="00F66475" w:rsidRPr="00BA22CD" w:rsidRDefault="00F66475" w:rsidP="00E2051A">
            <w:pPr>
              <w:pStyle w:val="ListParagraph"/>
              <w:numPr>
                <w:ilvl w:val="0"/>
                <w:numId w:val="22"/>
              </w:numPr>
              <w:spacing w:after="60" w:line="240" w:lineRule="auto"/>
              <w:ind w:left="357" w:hanging="357"/>
              <w:contextualSpacing w:val="0"/>
              <w:rPr>
                <w:rFonts w:ascii="Calibri Light" w:hAnsi="Calibri Light" w:cs="Calibri Light"/>
                <w:color w:val="000000"/>
                <w:sz w:val="20"/>
                <w:szCs w:val="20"/>
              </w:rPr>
            </w:pPr>
            <w:r w:rsidRPr="00BA22CD">
              <w:rPr>
                <w:rFonts w:ascii="Calibri Light" w:hAnsi="Calibri Light" w:cs="Calibri Light"/>
                <w:color w:val="000000"/>
                <w:sz w:val="20"/>
                <w:szCs w:val="20"/>
              </w:rPr>
              <w:t>Development of stakeholder communication plan to communicate the CIS, consultation timing and forums for communication</w:t>
            </w:r>
            <w:r>
              <w:rPr>
                <w:rFonts w:ascii="Calibri Light" w:hAnsi="Calibri Light" w:cs="Calibri Light"/>
                <w:color w:val="000000"/>
                <w:sz w:val="20"/>
                <w:szCs w:val="20"/>
              </w:rPr>
              <w:t xml:space="preserve"> </w:t>
            </w:r>
          </w:p>
        </w:tc>
      </w:tr>
      <w:tr w:rsidR="00F66475" w:rsidRPr="00BA22CD" w:rsidTr="00E2051A">
        <w:trPr>
          <w:trHeight w:val="1553"/>
        </w:trPr>
        <w:tc>
          <w:tcPr>
            <w:tcW w:w="2762" w:type="dxa"/>
            <w:tcBorders>
              <w:top w:val="single" w:sz="4" w:space="0" w:color="auto"/>
              <w:bottom w:val="single" w:sz="4" w:space="0" w:color="auto"/>
            </w:tcBorders>
          </w:tcPr>
          <w:p w:rsidR="00F66475" w:rsidRPr="00BA22CD" w:rsidRDefault="00F66475" w:rsidP="00E2051A">
            <w:pPr>
              <w:rPr>
                <w:rFonts w:ascii="Calibri Light" w:hAnsi="Calibri Light" w:cs="Calibri Light"/>
                <w:b/>
                <w:sz w:val="20"/>
                <w:szCs w:val="20"/>
                <w:lang w:val="en-US"/>
              </w:rPr>
            </w:pPr>
            <w:r w:rsidRPr="00BA22CD">
              <w:rPr>
                <w:rFonts w:ascii="Calibri Light" w:hAnsi="Calibri Light" w:cs="Calibri Light"/>
                <w:b/>
                <w:sz w:val="20"/>
                <w:szCs w:val="20"/>
                <w:lang w:val="en-US"/>
              </w:rPr>
              <w:t xml:space="preserve">Financial risks  </w:t>
            </w:r>
          </w:p>
          <w:p w:rsidR="00F66475" w:rsidRPr="00BA22CD" w:rsidDel="00755755" w:rsidRDefault="00F66475" w:rsidP="00E2051A">
            <w:pPr>
              <w:rPr>
                <w:rFonts w:ascii="Calibri Light" w:hAnsi="Calibri Light" w:cs="Calibri Light"/>
                <w:b/>
                <w:sz w:val="20"/>
                <w:szCs w:val="20"/>
                <w:lang w:val="en-US"/>
              </w:rPr>
            </w:pPr>
            <w:r w:rsidRPr="00BA22CD">
              <w:rPr>
                <w:rFonts w:ascii="Calibri Light" w:eastAsia="Calibri" w:hAnsi="Calibri Light" w:cs="Calibri Light"/>
                <w:sz w:val="20"/>
                <w:szCs w:val="20"/>
              </w:rPr>
              <w:t>Underwriting projects exposes the Commonwealth to long-term financial risks</w:t>
            </w:r>
          </w:p>
        </w:tc>
        <w:tc>
          <w:tcPr>
            <w:tcW w:w="1198" w:type="dxa"/>
            <w:tcBorders>
              <w:top w:val="single" w:sz="4" w:space="0" w:color="auto"/>
              <w:bottom w:val="single" w:sz="4" w:space="0" w:color="auto"/>
            </w:tcBorders>
            <w:vAlign w:val="center"/>
          </w:tcPr>
          <w:p w:rsidR="00F66475" w:rsidRPr="00BA22CD" w:rsidRDefault="00F66475" w:rsidP="00E2051A">
            <w:pPr>
              <w:jc w:val="center"/>
              <w:rPr>
                <w:rFonts w:ascii="Calibri Light" w:hAnsi="Calibri Light" w:cs="Calibri Light"/>
                <w:b/>
                <w:sz w:val="20"/>
                <w:szCs w:val="20"/>
              </w:rPr>
            </w:pPr>
            <w:r w:rsidRPr="00BA22CD">
              <w:rPr>
                <w:rFonts w:ascii="Calibri Light" w:hAnsi="Calibri Light" w:cs="Calibri Light"/>
                <w:b/>
                <w:sz w:val="20"/>
                <w:szCs w:val="20"/>
              </w:rPr>
              <w:t>Possible</w:t>
            </w:r>
          </w:p>
        </w:tc>
        <w:tc>
          <w:tcPr>
            <w:tcW w:w="1464" w:type="dxa"/>
            <w:tcBorders>
              <w:top w:val="single" w:sz="4" w:space="0" w:color="auto"/>
              <w:bottom w:val="single" w:sz="4" w:space="0" w:color="auto"/>
            </w:tcBorders>
            <w:shd w:val="clear" w:color="auto" w:fill="auto"/>
            <w:vAlign w:val="center"/>
          </w:tcPr>
          <w:p w:rsidR="00F66475" w:rsidRPr="00BA22CD" w:rsidDel="00795FAD" w:rsidRDefault="00F66475" w:rsidP="00E2051A">
            <w:pPr>
              <w:jc w:val="center"/>
              <w:rPr>
                <w:rFonts w:ascii="Calibri Light" w:hAnsi="Calibri Light" w:cs="Calibri Light"/>
                <w:b/>
                <w:sz w:val="20"/>
                <w:szCs w:val="20"/>
              </w:rPr>
            </w:pPr>
            <w:r w:rsidRPr="00BA22CD">
              <w:rPr>
                <w:rFonts w:ascii="Calibri Light" w:hAnsi="Calibri Light" w:cs="Calibri Light"/>
                <w:b/>
                <w:sz w:val="20"/>
                <w:szCs w:val="20"/>
              </w:rPr>
              <w:t>M</w:t>
            </w:r>
            <w:r>
              <w:rPr>
                <w:rFonts w:ascii="Calibri Light" w:hAnsi="Calibri Light" w:cs="Calibri Light"/>
                <w:b/>
                <w:sz w:val="20"/>
                <w:szCs w:val="20"/>
              </w:rPr>
              <w:t>ajor</w:t>
            </w:r>
          </w:p>
        </w:tc>
        <w:tc>
          <w:tcPr>
            <w:tcW w:w="1464" w:type="dxa"/>
            <w:tcBorders>
              <w:top w:val="single" w:sz="4" w:space="0" w:color="auto"/>
              <w:bottom w:val="single" w:sz="4" w:space="0" w:color="auto"/>
            </w:tcBorders>
            <w:vAlign w:val="center"/>
          </w:tcPr>
          <w:p w:rsidR="00F66475" w:rsidRPr="00BA22CD" w:rsidRDefault="00F66475" w:rsidP="00E2051A">
            <w:pPr>
              <w:jc w:val="center"/>
              <w:rPr>
                <w:rFonts w:ascii="Calibri Light" w:hAnsi="Calibri Light" w:cs="Calibri Light"/>
                <w:b/>
                <w:sz w:val="20"/>
                <w:szCs w:val="20"/>
                <w:lang w:val="en-US"/>
              </w:rPr>
            </w:pPr>
            <w:r>
              <w:rPr>
                <w:rFonts w:ascii="Calibri Light" w:hAnsi="Calibri Light" w:cs="Calibri Light"/>
                <w:b/>
                <w:sz w:val="20"/>
                <w:szCs w:val="20"/>
                <w:lang w:val="en-US"/>
              </w:rPr>
              <w:t>High</w:t>
            </w:r>
          </w:p>
        </w:tc>
        <w:tc>
          <w:tcPr>
            <w:tcW w:w="6259" w:type="dxa"/>
            <w:tcBorders>
              <w:top w:val="single" w:sz="4" w:space="0" w:color="auto"/>
              <w:bottom w:val="single" w:sz="4" w:space="0" w:color="auto"/>
            </w:tcBorders>
          </w:tcPr>
          <w:p w:rsidR="00F66475" w:rsidRPr="00BA22CD" w:rsidRDefault="00F66475" w:rsidP="00E2051A">
            <w:pPr>
              <w:pStyle w:val="ListParagraph"/>
              <w:numPr>
                <w:ilvl w:val="0"/>
                <w:numId w:val="22"/>
              </w:numPr>
              <w:spacing w:after="60" w:line="240" w:lineRule="auto"/>
              <w:ind w:left="357" w:hanging="357"/>
              <w:contextualSpacing w:val="0"/>
              <w:rPr>
                <w:rFonts w:ascii="Calibri Light" w:hAnsi="Calibri Light" w:cs="Calibri Light"/>
                <w:color w:val="000000"/>
                <w:sz w:val="20"/>
                <w:szCs w:val="20"/>
              </w:rPr>
            </w:pPr>
            <w:r w:rsidRPr="00BA22CD">
              <w:rPr>
                <w:rFonts w:ascii="Calibri Light" w:hAnsi="Calibri Light" w:cs="Calibri Light"/>
                <w:sz w:val="20"/>
                <w:szCs w:val="20"/>
              </w:rPr>
              <w:t>The CIS design include</w:t>
            </w:r>
            <w:r>
              <w:rPr>
                <w:rFonts w:ascii="Calibri Light" w:hAnsi="Calibri Light" w:cs="Calibri Light"/>
                <w:sz w:val="20"/>
                <w:szCs w:val="20"/>
              </w:rPr>
              <w:t>s</w:t>
            </w:r>
            <w:r w:rsidRPr="00BA22CD">
              <w:rPr>
                <w:rFonts w:ascii="Calibri Light" w:hAnsi="Calibri Light" w:cs="Calibri Light"/>
                <w:sz w:val="20"/>
                <w:szCs w:val="20"/>
              </w:rPr>
              <w:t xml:space="preserve"> safeguards and caps to mitigate downside risks to government, and underwriting payments only commence once projects are built and operational</w:t>
            </w:r>
            <w:r w:rsidRPr="00BA22CD">
              <w:rPr>
                <w:rFonts w:ascii="Calibri Light" w:hAnsi="Calibri Light" w:cs="Calibri Light"/>
                <w:color w:val="000000"/>
                <w:sz w:val="20"/>
                <w:szCs w:val="20"/>
              </w:rPr>
              <w:t xml:space="preserve"> </w:t>
            </w:r>
          </w:p>
          <w:p w:rsidR="00F66475" w:rsidRPr="00BA22CD" w:rsidRDefault="00F66475" w:rsidP="00E2051A">
            <w:pPr>
              <w:pStyle w:val="ListParagraph"/>
              <w:numPr>
                <w:ilvl w:val="0"/>
                <w:numId w:val="22"/>
              </w:numPr>
              <w:spacing w:after="60" w:line="240" w:lineRule="auto"/>
              <w:ind w:left="357" w:hanging="357"/>
              <w:contextualSpacing w:val="0"/>
              <w:rPr>
                <w:rFonts w:ascii="Calibri Light" w:hAnsi="Calibri Light" w:cs="Calibri Light"/>
                <w:color w:val="000000"/>
                <w:sz w:val="20"/>
                <w:szCs w:val="20"/>
              </w:rPr>
            </w:pPr>
            <w:r w:rsidRPr="00BA22CD">
              <w:rPr>
                <w:rFonts w:ascii="Calibri Light" w:hAnsi="Calibri Light" w:cs="Calibri Light"/>
                <w:color w:val="000000"/>
                <w:sz w:val="20"/>
                <w:szCs w:val="20"/>
              </w:rPr>
              <w:t>Ongoing monitoring and evaluation, with lessons learnt from previous tenders incorporated into broader national roll out of scheme</w:t>
            </w:r>
          </w:p>
          <w:p w:rsidR="00F66475" w:rsidRPr="00B27BA6" w:rsidRDefault="00F66475" w:rsidP="00E2051A">
            <w:pPr>
              <w:pStyle w:val="ListParagraph"/>
              <w:numPr>
                <w:ilvl w:val="0"/>
                <w:numId w:val="22"/>
              </w:numPr>
              <w:spacing w:after="60" w:line="240" w:lineRule="auto"/>
              <w:ind w:left="357" w:hanging="357"/>
              <w:contextualSpacing w:val="0"/>
              <w:rPr>
                <w:sz w:val="20"/>
                <w:szCs w:val="20"/>
                <w:lang w:val="en-US"/>
              </w:rPr>
            </w:pPr>
            <w:r w:rsidRPr="00BA22CD">
              <w:rPr>
                <w:rFonts w:ascii="Calibri Light" w:hAnsi="Calibri Light" w:cs="Calibri Light"/>
                <w:sz w:val="20"/>
                <w:szCs w:val="20"/>
              </w:rPr>
              <w:t xml:space="preserve">Detailed due diligence and assessment of prospective projects </w:t>
            </w:r>
          </w:p>
          <w:p w:rsidR="00F66475" w:rsidRPr="00BA22CD" w:rsidRDefault="00F66475" w:rsidP="00E2051A">
            <w:pPr>
              <w:pStyle w:val="ListParagraph"/>
              <w:numPr>
                <w:ilvl w:val="0"/>
                <w:numId w:val="22"/>
              </w:numPr>
              <w:spacing w:after="120" w:line="240" w:lineRule="auto"/>
              <w:ind w:left="357" w:hanging="357"/>
              <w:contextualSpacing w:val="0"/>
              <w:rPr>
                <w:sz w:val="20"/>
                <w:szCs w:val="20"/>
                <w:lang w:val="en-US"/>
              </w:rPr>
            </w:pPr>
            <w:r>
              <w:rPr>
                <w:rFonts w:ascii="Calibri Light" w:hAnsi="Calibri Light" w:cs="Calibri Light"/>
                <w:sz w:val="20"/>
                <w:szCs w:val="20"/>
              </w:rPr>
              <w:t xml:space="preserve">CIS Agreements designed to help mitigate financial risks </w:t>
            </w:r>
          </w:p>
        </w:tc>
      </w:tr>
      <w:tr w:rsidR="00F66475" w:rsidRPr="00BA22CD" w:rsidTr="00E2051A">
        <w:trPr>
          <w:trHeight w:val="1264"/>
        </w:trPr>
        <w:tc>
          <w:tcPr>
            <w:tcW w:w="2762" w:type="dxa"/>
            <w:tcBorders>
              <w:top w:val="single" w:sz="4" w:space="0" w:color="auto"/>
              <w:bottom w:val="single" w:sz="4" w:space="0" w:color="auto"/>
            </w:tcBorders>
          </w:tcPr>
          <w:p w:rsidR="00F66475" w:rsidRPr="00BA22CD" w:rsidRDefault="00F66475" w:rsidP="00E2051A">
            <w:pPr>
              <w:rPr>
                <w:rFonts w:ascii="Calibri Light" w:hAnsi="Calibri Light" w:cs="Calibri Light"/>
                <w:b/>
                <w:sz w:val="20"/>
                <w:szCs w:val="20"/>
                <w:lang w:val="en-US"/>
              </w:rPr>
            </w:pPr>
            <w:r w:rsidRPr="00BA22CD">
              <w:rPr>
                <w:rFonts w:ascii="Calibri Light" w:hAnsi="Calibri Light" w:cs="Calibri Light"/>
                <w:b/>
                <w:sz w:val="20"/>
                <w:szCs w:val="20"/>
                <w:lang w:val="en-US"/>
              </w:rPr>
              <w:t xml:space="preserve">Market </w:t>
            </w:r>
            <w:r w:rsidRPr="00BA22CD">
              <w:rPr>
                <w:rFonts w:ascii="Calibri Light" w:hAnsi="Calibri Light" w:cs="Calibri Light"/>
                <w:b/>
                <w:bCs/>
                <w:sz w:val="20"/>
                <w:szCs w:val="20"/>
                <w:lang w:val="en-US"/>
              </w:rPr>
              <w:t>risks</w:t>
            </w:r>
            <w:r w:rsidRPr="00BA22CD">
              <w:rPr>
                <w:rFonts w:ascii="Calibri Light" w:hAnsi="Calibri Light" w:cs="Calibri Light"/>
                <w:b/>
                <w:sz w:val="20"/>
                <w:szCs w:val="20"/>
                <w:lang w:val="en-US"/>
              </w:rPr>
              <w:t xml:space="preserve"> </w:t>
            </w:r>
          </w:p>
          <w:p w:rsidR="00F66475" w:rsidRPr="00BA22CD" w:rsidRDefault="00F66475" w:rsidP="00E2051A">
            <w:pPr>
              <w:rPr>
                <w:rFonts w:ascii="Calibri Light" w:hAnsi="Calibri Light" w:cs="Calibri Light"/>
                <w:b/>
                <w:sz w:val="20"/>
                <w:szCs w:val="20"/>
                <w:lang w:val="en-US"/>
              </w:rPr>
            </w:pPr>
            <w:r w:rsidRPr="00BA22CD">
              <w:rPr>
                <w:rFonts w:ascii="Calibri Light" w:eastAsia="Calibri" w:hAnsi="Calibri Light" w:cs="Calibri Light"/>
                <w:sz w:val="20"/>
                <w:szCs w:val="20"/>
              </w:rPr>
              <w:t>Investment in the market becomes ‘lumpy’ as potential investors wait for CIS tenders before committing to investments</w:t>
            </w:r>
          </w:p>
        </w:tc>
        <w:tc>
          <w:tcPr>
            <w:tcW w:w="1198" w:type="dxa"/>
            <w:tcBorders>
              <w:top w:val="single" w:sz="4" w:space="0" w:color="auto"/>
              <w:bottom w:val="single" w:sz="4" w:space="0" w:color="auto"/>
            </w:tcBorders>
            <w:vAlign w:val="center"/>
          </w:tcPr>
          <w:p w:rsidR="00F66475" w:rsidRPr="00BA22CD" w:rsidRDefault="00F66475" w:rsidP="00E2051A">
            <w:pPr>
              <w:jc w:val="center"/>
              <w:rPr>
                <w:rFonts w:ascii="Calibri Light" w:hAnsi="Calibri Light" w:cs="Calibri Light"/>
                <w:b/>
                <w:sz w:val="20"/>
                <w:szCs w:val="20"/>
              </w:rPr>
            </w:pPr>
            <w:r w:rsidRPr="00BA22CD">
              <w:rPr>
                <w:rFonts w:ascii="Calibri Light" w:hAnsi="Calibri Light" w:cs="Calibri Light"/>
                <w:b/>
                <w:sz w:val="20"/>
                <w:szCs w:val="20"/>
              </w:rPr>
              <w:t>Possible</w:t>
            </w:r>
          </w:p>
        </w:tc>
        <w:tc>
          <w:tcPr>
            <w:tcW w:w="1464" w:type="dxa"/>
            <w:tcBorders>
              <w:top w:val="single" w:sz="4" w:space="0" w:color="auto"/>
              <w:bottom w:val="single" w:sz="4" w:space="0" w:color="auto"/>
            </w:tcBorders>
            <w:shd w:val="clear" w:color="auto" w:fill="auto"/>
            <w:vAlign w:val="center"/>
          </w:tcPr>
          <w:p w:rsidR="00F66475" w:rsidRPr="00BA22CD" w:rsidRDefault="00F66475" w:rsidP="00E2051A">
            <w:pPr>
              <w:jc w:val="center"/>
              <w:rPr>
                <w:rFonts w:ascii="Calibri Light" w:hAnsi="Calibri Light" w:cs="Calibri Light"/>
                <w:b/>
                <w:sz w:val="20"/>
                <w:szCs w:val="20"/>
              </w:rPr>
            </w:pPr>
            <w:r w:rsidRPr="00BA22CD">
              <w:rPr>
                <w:rFonts w:ascii="Calibri Light" w:hAnsi="Calibri Light" w:cs="Calibri Light"/>
                <w:b/>
                <w:sz w:val="20"/>
                <w:szCs w:val="20"/>
              </w:rPr>
              <w:t>Moderate</w:t>
            </w:r>
          </w:p>
        </w:tc>
        <w:tc>
          <w:tcPr>
            <w:tcW w:w="1464" w:type="dxa"/>
            <w:tcBorders>
              <w:top w:val="single" w:sz="4" w:space="0" w:color="auto"/>
              <w:bottom w:val="single" w:sz="4" w:space="0" w:color="auto"/>
            </w:tcBorders>
            <w:vAlign w:val="center"/>
          </w:tcPr>
          <w:p w:rsidR="00F66475" w:rsidRPr="00BA22CD" w:rsidRDefault="00F66475" w:rsidP="00E2051A">
            <w:pPr>
              <w:jc w:val="center"/>
              <w:rPr>
                <w:rFonts w:ascii="Calibri Light" w:hAnsi="Calibri Light" w:cs="Calibri Light"/>
                <w:b/>
                <w:sz w:val="20"/>
                <w:szCs w:val="20"/>
                <w:lang w:val="en-US"/>
              </w:rPr>
            </w:pPr>
            <w:r w:rsidRPr="00BA22CD">
              <w:rPr>
                <w:rFonts w:ascii="Calibri Light" w:hAnsi="Calibri Light" w:cs="Calibri Light"/>
                <w:b/>
                <w:sz w:val="20"/>
                <w:szCs w:val="20"/>
                <w:lang w:val="en-US"/>
              </w:rPr>
              <w:t>Medium</w:t>
            </w:r>
          </w:p>
        </w:tc>
        <w:tc>
          <w:tcPr>
            <w:tcW w:w="6259" w:type="dxa"/>
            <w:tcBorders>
              <w:top w:val="single" w:sz="4" w:space="0" w:color="auto"/>
              <w:bottom w:val="single" w:sz="4" w:space="0" w:color="auto"/>
            </w:tcBorders>
          </w:tcPr>
          <w:p w:rsidR="00F66475" w:rsidRPr="004159C2" w:rsidRDefault="00F66475" w:rsidP="00E2051A">
            <w:pPr>
              <w:pStyle w:val="ListParagraph"/>
              <w:numPr>
                <w:ilvl w:val="0"/>
                <w:numId w:val="22"/>
              </w:numPr>
              <w:spacing w:after="60" w:line="240" w:lineRule="auto"/>
              <w:ind w:left="357" w:hanging="357"/>
              <w:contextualSpacing w:val="0"/>
              <w:rPr>
                <w:rFonts w:ascii="Calibri Light" w:hAnsi="Calibri Light" w:cs="Calibri Light"/>
                <w:sz w:val="20"/>
                <w:szCs w:val="20"/>
              </w:rPr>
            </w:pPr>
            <w:r w:rsidRPr="00BA22CD">
              <w:rPr>
                <w:rFonts w:ascii="Calibri Light" w:hAnsi="Calibri Light" w:cs="Calibri Light"/>
                <w:sz w:val="20"/>
                <w:szCs w:val="20"/>
              </w:rPr>
              <w:t>Contracts will be designed to minimise the risk of distorting bidding behaviour. The ‘cap and floor’ approach to underwriting retains some price and market risk with operators, which maintains incentive to participate in contract markets.</w:t>
            </w:r>
          </w:p>
          <w:p w:rsidR="00F66475" w:rsidRPr="00514E8E" w:rsidRDefault="00F66475" w:rsidP="00E2051A">
            <w:pPr>
              <w:pStyle w:val="ListParagraph"/>
              <w:numPr>
                <w:ilvl w:val="0"/>
                <w:numId w:val="22"/>
              </w:numPr>
              <w:spacing w:after="60" w:line="240" w:lineRule="auto"/>
              <w:ind w:left="357" w:hanging="357"/>
              <w:contextualSpacing w:val="0"/>
              <w:rPr>
                <w:rFonts w:ascii="Calibri Light" w:hAnsi="Calibri Light" w:cs="Calibri Light"/>
                <w:sz w:val="20"/>
                <w:szCs w:val="20"/>
                <w:lang w:val="en-US"/>
              </w:rPr>
            </w:pPr>
            <w:r w:rsidRPr="00BA22CD">
              <w:rPr>
                <w:rFonts w:ascii="Calibri Light" w:hAnsi="Calibri Light" w:cs="Calibri Light"/>
                <w:sz w:val="20"/>
                <w:szCs w:val="20"/>
              </w:rPr>
              <w:t xml:space="preserve">Ongoing monitoring to ensure the CIS does not have any unintended impact on market’s investment behaviour </w:t>
            </w:r>
          </w:p>
          <w:p w:rsidR="00F66475" w:rsidRPr="00BA22CD" w:rsidRDefault="00F66475" w:rsidP="00E2051A">
            <w:pPr>
              <w:pStyle w:val="ListParagraph"/>
              <w:numPr>
                <w:ilvl w:val="0"/>
                <w:numId w:val="22"/>
              </w:numPr>
              <w:spacing w:after="60" w:line="240" w:lineRule="auto"/>
              <w:ind w:left="357" w:hanging="357"/>
              <w:contextualSpacing w:val="0"/>
              <w:rPr>
                <w:rFonts w:ascii="Calibri Light" w:hAnsi="Calibri Light" w:cs="Calibri Light"/>
                <w:sz w:val="20"/>
                <w:szCs w:val="20"/>
                <w:lang w:val="en-US"/>
              </w:rPr>
            </w:pPr>
            <w:r>
              <w:rPr>
                <w:rFonts w:ascii="Calibri Light" w:hAnsi="Calibri Light" w:cs="Calibri Light"/>
                <w:sz w:val="20"/>
                <w:szCs w:val="20"/>
              </w:rPr>
              <w:t>CIS design is flexible and can be adjusted at each tender to account for any unintended consequences</w:t>
            </w:r>
          </w:p>
        </w:tc>
      </w:tr>
      <w:tr w:rsidR="00F66475" w:rsidRPr="00BA22CD" w:rsidTr="00E2051A">
        <w:trPr>
          <w:trHeight w:val="829"/>
        </w:trPr>
        <w:tc>
          <w:tcPr>
            <w:tcW w:w="2762" w:type="dxa"/>
            <w:tcBorders>
              <w:top w:val="single" w:sz="4" w:space="0" w:color="auto"/>
              <w:bottom w:val="single" w:sz="4" w:space="0" w:color="auto"/>
            </w:tcBorders>
          </w:tcPr>
          <w:p w:rsidR="00F66475" w:rsidRPr="00BA22CD" w:rsidRDefault="00F66475" w:rsidP="00E2051A">
            <w:pPr>
              <w:rPr>
                <w:rFonts w:ascii="Calibri Light" w:hAnsi="Calibri Light" w:cs="Calibri Light"/>
                <w:b/>
                <w:sz w:val="20"/>
                <w:szCs w:val="20"/>
                <w:lang w:val="en-US"/>
              </w:rPr>
            </w:pPr>
            <w:r w:rsidRPr="00BA22CD">
              <w:rPr>
                <w:rFonts w:ascii="Calibri Light" w:hAnsi="Calibri Light" w:cs="Calibri Light"/>
                <w:b/>
                <w:sz w:val="20"/>
                <w:szCs w:val="20"/>
                <w:lang w:val="en-US"/>
              </w:rPr>
              <w:t xml:space="preserve">Project risks </w:t>
            </w:r>
          </w:p>
          <w:p w:rsidR="00F66475" w:rsidRPr="00BA22CD" w:rsidRDefault="00F66475" w:rsidP="00E2051A">
            <w:pPr>
              <w:rPr>
                <w:rFonts w:ascii="Calibri Light" w:hAnsi="Calibri Light" w:cs="Calibri Light"/>
                <w:b/>
                <w:sz w:val="20"/>
                <w:szCs w:val="20"/>
                <w:lang w:val="en-US"/>
              </w:rPr>
            </w:pPr>
            <w:r w:rsidRPr="00BA22CD">
              <w:rPr>
                <w:rFonts w:ascii="Calibri Light" w:eastAsia="Calibri" w:hAnsi="Calibri Light" w:cs="Calibri Light"/>
                <w:sz w:val="20"/>
                <w:szCs w:val="20"/>
              </w:rPr>
              <w:t xml:space="preserve">Projects that receive underwriting contracts are not viable or delayed </w:t>
            </w:r>
          </w:p>
        </w:tc>
        <w:tc>
          <w:tcPr>
            <w:tcW w:w="1198" w:type="dxa"/>
            <w:tcBorders>
              <w:top w:val="single" w:sz="4" w:space="0" w:color="auto"/>
              <w:bottom w:val="single" w:sz="4" w:space="0" w:color="auto"/>
            </w:tcBorders>
            <w:vAlign w:val="center"/>
          </w:tcPr>
          <w:p w:rsidR="00F66475" w:rsidRPr="001919F5" w:rsidRDefault="00F66475" w:rsidP="00E2051A">
            <w:pPr>
              <w:jc w:val="center"/>
              <w:rPr>
                <w:rFonts w:ascii="Calibri Light" w:hAnsi="Calibri Light" w:cs="Calibri Light"/>
                <w:b/>
                <w:sz w:val="20"/>
                <w:szCs w:val="20"/>
              </w:rPr>
            </w:pPr>
            <w:r w:rsidRPr="001919F5">
              <w:rPr>
                <w:rFonts w:ascii="Calibri Light" w:hAnsi="Calibri Light" w:cs="Calibri Light"/>
                <w:b/>
                <w:sz w:val="20"/>
                <w:szCs w:val="20"/>
              </w:rPr>
              <w:t>Possible</w:t>
            </w:r>
          </w:p>
        </w:tc>
        <w:tc>
          <w:tcPr>
            <w:tcW w:w="1464" w:type="dxa"/>
            <w:tcBorders>
              <w:top w:val="single" w:sz="4" w:space="0" w:color="auto"/>
              <w:bottom w:val="single" w:sz="4" w:space="0" w:color="auto"/>
            </w:tcBorders>
            <w:vAlign w:val="center"/>
          </w:tcPr>
          <w:p w:rsidR="00F66475" w:rsidRPr="00BA22CD" w:rsidRDefault="00F66475" w:rsidP="00E2051A">
            <w:pPr>
              <w:jc w:val="center"/>
              <w:rPr>
                <w:rFonts w:ascii="Calibri Light" w:hAnsi="Calibri Light" w:cs="Calibri Light"/>
                <w:b/>
                <w:sz w:val="20"/>
                <w:szCs w:val="20"/>
                <w:lang w:val="en-US"/>
              </w:rPr>
            </w:pPr>
            <w:r w:rsidRPr="00BA22CD">
              <w:rPr>
                <w:rFonts w:ascii="Calibri Light" w:hAnsi="Calibri Light" w:cs="Calibri Light"/>
                <w:b/>
                <w:sz w:val="20"/>
                <w:szCs w:val="20"/>
                <w:lang w:val="en-US"/>
              </w:rPr>
              <w:t>Moderate</w:t>
            </w:r>
          </w:p>
        </w:tc>
        <w:tc>
          <w:tcPr>
            <w:tcW w:w="1464" w:type="dxa"/>
            <w:tcBorders>
              <w:top w:val="single" w:sz="4" w:space="0" w:color="auto"/>
              <w:bottom w:val="single" w:sz="4" w:space="0" w:color="auto"/>
            </w:tcBorders>
            <w:vAlign w:val="center"/>
          </w:tcPr>
          <w:p w:rsidR="00F66475" w:rsidRPr="00BA22CD" w:rsidRDefault="00F66475" w:rsidP="00E2051A">
            <w:pPr>
              <w:jc w:val="center"/>
              <w:rPr>
                <w:rFonts w:ascii="Calibri Light" w:hAnsi="Calibri Light" w:cs="Calibri Light"/>
                <w:b/>
                <w:sz w:val="20"/>
                <w:szCs w:val="20"/>
                <w:lang w:val="en-US"/>
              </w:rPr>
            </w:pPr>
            <w:r w:rsidRPr="00BA22CD">
              <w:rPr>
                <w:rFonts w:ascii="Calibri Light" w:hAnsi="Calibri Light" w:cs="Calibri Light"/>
                <w:b/>
                <w:sz w:val="20"/>
                <w:szCs w:val="20"/>
                <w:lang w:val="en-US"/>
              </w:rPr>
              <w:t>Medium</w:t>
            </w:r>
          </w:p>
        </w:tc>
        <w:tc>
          <w:tcPr>
            <w:tcW w:w="6259" w:type="dxa"/>
            <w:tcBorders>
              <w:top w:val="single" w:sz="4" w:space="0" w:color="auto"/>
              <w:bottom w:val="single" w:sz="4" w:space="0" w:color="auto"/>
            </w:tcBorders>
          </w:tcPr>
          <w:p w:rsidR="00F66475" w:rsidRPr="004159C2" w:rsidRDefault="00F66475" w:rsidP="00E2051A">
            <w:pPr>
              <w:pStyle w:val="ListParagraph"/>
              <w:numPr>
                <w:ilvl w:val="0"/>
                <w:numId w:val="22"/>
              </w:numPr>
              <w:spacing w:after="60" w:line="240" w:lineRule="auto"/>
              <w:ind w:left="357" w:hanging="357"/>
              <w:contextualSpacing w:val="0"/>
              <w:rPr>
                <w:rFonts w:ascii="Calibri Light" w:hAnsi="Calibri Light" w:cs="Calibri Light"/>
                <w:sz w:val="20"/>
                <w:szCs w:val="20"/>
              </w:rPr>
            </w:pPr>
            <w:r w:rsidRPr="004159C2">
              <w:rPr>
                <w:rFonts w:ascii="Calibri Light" w:hAnsi="Calibri Light" w:cs="Calibri Light"/>
                <w:sz w:val="20"/>
                <w:szCs w:val="20"/>
              </w:rPr>
              <w:t xml:space="preserve">Competitive tender and rigorous tender assessment by experts will reduce the risk of </w:t>
            </w:r>
            <w:r>
              <w:rPr>
                <w:rFonts w:ascii="Calibri Light" w:hAnsi="Calibri Light" w:cs="Calibri Light"/>
                <w:sz w:val="20"/>
                <w:szCs w:val="20"/>
              </w:rPr>
              <w:t>supporting non-prospective</w:t>
            </w:r>
            <w:r w:rsidRPr="004159C2">
              <w:rPr>
                <w:rFonts w:ascii="Calibri Light" w:hAnsi="Calibri Light" w:cs="Calibri Light"/>
                <w:sz w:val="20"/>
                <w:szCs w:val="20"/>
              </w:rPr>
              <w:t xml:space="preserve"> projects.  </w:t>
            </w:r>
          </w:p>
          <w:p w:rsidR="00F66475" w:rsidRPr="004159C2" w:rsidRDefault="00F66475" w:rsidP="00E2051A">
            <w:pPr>
              <w:pStyle w:val="ListParagraph"/>
              <w:numPr>
                <w:ilvl w:val="0"/>
                <w:numId w:val="22"/>
              </w:numPr>
              <w:spacing w:after="60" w:line="240" w:lineRule="auto"/>
              <w:ind w:left="357" w:hanging="357"/>
              <w:contextualSpacing w:val="0"/>
              <w:rPr>
                <w:rFonts w:ascii="Calibri Light" w:hAnsi="Calibri Light" w:cs="Calibri Light"/>
                <w:sz w:val="20"/>
                <w:szCs w:val="20"/>
              </w:rPr>
            </w:pPr>
            <w:r w:rsidRPr="00BA22CD">
              <w:rPr>
                <w:rFonts w:ascii="Calibri Light" w:hAnsi="Calibri Light" w:cs="Calibri Light"/>
                <w:sz w:val="20"/>
                <w:szCs w:val="20"/>
              </w:rPr>
              <w:t>Detailed due diligence and assessment of propo</w:t>
            </w:r>
            <w:r>
              <w:rPr>
                <w:rFonts w:ascii="Calibri Light" w:hAnsi="Calibri Light" w:cs="Calibri Light"/>
                <w:sz w:val="20"/>
                <w:szCs w:val="20"/>
              </w:rPr>
              <w:t>sed</w:t>
            </w:r>
            <w:r w:rsidRPr="00BA22CD">
              <w:rPr>
                <w:rFonts w:ascii="Calibri Light" w:hAnsi="Calibri Light" w:cs="Calibri Light"/>
                <w:sz w:val="20"/>
                <w:szCs w:val="20"/>
              </w:rPr>
              <w:t xml:space="preserve"> projects</w:t>
            </w:r>
          </w:p>
          <w:p w:rsidR="00F66475" w:rsidRPr="004813DF" w:rsidRDefault="00F66475" w:rsidP="00E2051A">
            <w:pPr>
              <w:pStyle w:val="ListParagraph"/>
              <w:numPr>
                <w:ilvl w:val="0"/>
                <w:numId w:val="22"/>
              </w:numPr>
              <w:spacing w:after="60" w:line="240" w:lineRule="auto"/>
              <w:ind w:left="357" w:hanging="357"/>
              <w:contextualSpacing w:val="0"/>
              <w:rPr>
                <w:rFonts w:ascii="Calibri Light" w:hAnsi="Calibri Light" w:cs="Calibri Light"/>
                <w:sz w:val="20"/>
                <w:szCs w:val="20"/>
                <w:lang w:val="en-US"/>
              </w:rPr>
            </w:pPr>
            <w:r w:rsidRPr="00BA22CD">
              <w:rPr>
                <w:rFonts w:ascii="Calibri Light" w:hAnsi="Calibri Light" w:cs="Calibri Light"/>
                <w:sz w:val="20"/>
                <w:szCs w:val="20"/>
              </w:rPr>
              <w:t>Ongoing monitoring of projects progress and development</w:t>
            </w:r>
          </w:p>
          <w:p w:rsidR="00F66475" w:rsidRPr="00BA22CD" w:rsidRDefault="00F66475" w:rsidP="00E2051A">
            <w:pPr>
              <w:pStyle w:val="ListParagraph"/>
              <w:numPr>
                <w:ilvl w:val="0"/>
                <w:numId w:val="22"/>
              </w:numPr>
              <w:spacing w:after="60" w:line="240" w:lineRule="auto"/>
              <w:ind w:left="357" w:hanging="357"/>
              <w:contextualSpacing w:val="0"/>
              <w:rPr>
                <w:rFonts w:ascii="Calibri Light" w:hAnsi="Calibri Light" w:cs="Calibri Light"/>
                <w:sz w:val="20"/>
                <w:szCs w:val="20"/>
                <w:lang w:val="en-US"/>
              </w:rPr>
            </w:pPr>
            <w:r>
              <w:rPr>
                <w:rFonts w:ascii="Calibri Light" w:hAnsi="Calibri Light" w:cs="Calibri Light"/>
                <w:sz w:val="20"/>
                <w:szCs w:val="20"/>
              </w:rPr>
              <w:t xml:space="preserve">CIS Agreements design to help minimise overall project risks </w:t>
            </w:r>
          </w:p>
        </w:tc>
      </w:tr>
    </w:tbl>
    <w:p w:rsidR="00F66475" w:rsidRDefault="00F66475" w:rsidP="00F66475">
      <w:pPr>
        <w:spacing w:after="200" w:line="288" w:lineRule="auto"/>
        <w:rPr>
          <w:rFonts w:ascii="Calibri" w:hAnsi="Calibri"/>
          <w:b/>
          <w:bCs/>
          <w:color w:val="197C7D"/>
          <w:sz w:val="48"/>
          <w:szCs w:val="48"/>
          <w:lang w:eastAsia="ja-JP"/>
        </w:rPr>
        <w:sectPr w:rsidR="00F66475" w:rsidSect="00873CBC">
          <w:footerReference w:type="default" r:id="rId20"/>
          <w:headerReference w:type="first" r:id="rId21"/>
          <w:pgSz w:w="16838" w:h="11906" w:orient="landscape"/>
          <w:pgMar w:top="1134" w:right="1701" w:bottom="1134" w:left="1843" w:header="992" w:footer="709" w:gutter="0"/>
          <w:cols w:space="708"/>
          <w:docGrid w:linePitch="360"/>
        </w:sectPr>
      </w:pPr>
      <w:bookmarkStart w:id="468" w:name="_Toc147396198"/>
      <w:bookmarkStart w:id="469" w:name="_Toc147479816"/>
      <w:bookmarkStart w:id="470" w:name="_Toc147735934"/>
      <w:bookmarkStart w:id="471" w:name="_Toc147742387"/>
      <w:bookmarkStart w:id="472" w:name="_Toc147396199"/>
      <w:bookmarkStart w:id="473" w:name="_Toc147479817"/>
      <w:bookmarkStart w:id="474" w:name="_Toc147735935"/>
      <w:bookmarkStart w:id="475" w:name="_Toc147742388"/>
      <w:bookmarkStart w:id="476" w:name="_Toc147396200"/>
      <w:bookmarkStart w:id="477" w:name="_Toc147479818"/>
      <w:bookmarkStart w:id="478" w:name="_Toc147735936"/>
      <w:bookmarkStart w:id="479" w:name="_Toc147742389"/>
      <w:bookmarkStart w:id="480" w:name="_Toc146800984"/>
      <w:bookmarkStart w:id="481" w:name="_Toc146808147"/>
      <w:bookmarkStart w:id="482" w:name="_Toc146866803"/>
      <w:bookmarkStart w:id="483" w:name="_Toc147152159"/>
      <w:bookmarkStart w:id="484" w:name="_Toc147396201"/>
      <w:bookmarkStart w:id="485" w:name="_Toc147479819"/>
      <w:bookmarkStart w:id="486" w:name="_Toc147735937"/>
      <w:bookmarkStart w:id="487" w:name="_Toc147742390"/>
      <w:bookmarkStart w:id="488" w:name="_Toc146800985"/>
      <w:bookmarkStart w:id="489" w:name="_Toc146808148"/>
      <w:bookmarkStart w:id="490" w:name="_Toc146866804"/>
      <w:bookmarkStart w:id="491" w:name="_Toc147152160"/>
      <w:bookmarkStart w:id="492" w:name="_Toc147396202"/>
      <w:bookmarkStart w:id="493" w:name="_Toc147479820"/>
      <w:bookmarkStart w:id="494" w:name="_Toc147735938"/>
      <w:bookmarkStart w:id="495" w:name="_Toc147742391"/>
      <w:bookmarkStart w:id="496" w:name="_Toc119502626"/>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F66475" w:rsidRPr="00D72217" w:rsidRDefault="00F66475" w:rsidP="00F66475">
      <w:pPr>
        <w:pStyle w:val="Heading3"/>
        <w:rPr>
          <w:rFonts w:eastAsiaTheme="minorEastAsia" w:cstheme="majorBidi"/>
          <w:color w:val="197C7D"/>
          <w:sz w:val="48"/>
          <w:szCs w:val="48"/>
          <w:lang w:eastAsia="ja-JP"/>
        </w:rPr>
      </w:pPr>
      <w:bookmarkStart w:id="497" w:name="_Toc1690647021"/>
      <w:r w:rsidRPr="52A7AAAB">
        <w:rPr>
          <w:rFonts w:eastAsiaTheme="minorEastAsia" w:cstheme="majorBidi"/>
          <w:color w:val="197C7D"/>
          <w:sz w:val="48"/>
          <w:szCs w:val="48"/>
          <w:lang w:eastAsia="ja-JP"/>
        </w:rPr>
        <w:lastRenderedPageBreak/>
        <w:t>Appendix 1: Regulatory burden calculations</w:t>
      </w:r>
      <w:bookmarkEnd w:id="497"/>
      <w:r w:rsidRPr="52A7AAAB">
        <w:rPr>
          <w:rFonts w:eastAsiaTheme="minorEastAsia" w:cstheme="majorBidi"/>
          <w:color w:val="197C7D"/>
          <w:sz w:val="48"/>
          <w:szCs w:val="48"/>
          <w:lang w:eastAsia="ja-JP"/>
        </w:rPr>
        <w:t xml:space="preserve"> </w:t>
      </w:r>
    </w:p>
    <w:p w:rsidR="00F66475" w:rsidRPr="00F3175C" w:rsidRDefault="00F66475" w:rsidP="00F66475">
      <w:pPr>
        <w:rPr>
          <w:rFonts w:ascii="Calibri Light" w:hAnsi="Calibri Light" w:cs="Calibri Light"/>
          <w:szCs w:val="22"/>
        </w:rPr>
      </w:pPr>
      <w:r>
        <w:rPr>
          <w:rFonts w:ascii="Calibri Light" w:hAnsi="Calibri Light" w:cs="Calibri Light"/>
          <w:szCs w:val="22"/>
        </w:rPr>
        <w:t>The below calculations are based on assumptions made regarding the likely number of stakeholders involved each CIS tender round and the number of hours each step of the tender process is expected to take.</w:t>
      </w:r>
    </w:p>
    <w:tbl>
      <w:tblPr>
        <w:tblW w:w="9533" w:type="dxa"/>
        <w:tblLook w:val="04A0" w:firstRow="1" w:lastRow="0" w:firstColumn="1" w:lastColumn="0" w:noHBand="0" w:noVBand="1"/>
      </w:tblPr>
      <w:tblGrid>
        <w:gridCol w:w="846"/>
        <w:gridCol w:w="2533"/>
        <w:gridCol w:w="1537"/>
        <w:gridCol w:w="1384"/>
        <w:gridCol w:w="1233"/>
        <w:gridCol w:w="2000"/>
      </w:tblGrid>
      <w:tr w:rsidR="00F66475" w:rsidRPr="00286012" w:rsidTr="00E2051A">
        <w:trPr>
          <w:trHeight w:val="382"/>
        </w:trPr>
        <w:tc>
          <w:tcPr>
            <w:tcW w:w="95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120" w:after="120" w:line="240" w:lineRule="auto"/>
              <w:jc w:val="center"/>
              <w:rPr>
                <w:rFonts w:ascii="Calibri" w:eastAsia="Times New Roman" w:hAnsi="Calibri" w:cs="Calibri"/>
                <w:b/>
                <w:bCs/>
                <w:color w:val="000000"/>
                <w:szCs w:val="22"/>
                <w:lang w:eastAsia="en-AU"/>
              </w:rPr>
            </w:pPr>
            <w:r w:rsidRPr="00286012">
              <w:rPr>
                <w:rFonts w:ascii="Calibri" w:eastAsia="Times New Roman" w:hAnsi="Calibri" w:cs="Calibri"/>
                <w:b/>
                <w:bCs/>
                <w:color w:val="000000"/>
                <w:szCs w:val="22"/>
                <w:lang w:eastAsia="en-AU"/>
              </w:rPr>
              <w:t>Estimate of administration costs per tender</w:t>
            </w:r>
            <w:r>
              <w:rPr>
                <w:rFonts w:ascii="Calibri" w:eastAsia="Times New Roman" w:hAnsi="Calibri" w:cs="Calibri"/>
                <w:b/>
                <w:bCs/>
                <w:color w:val="000000"/>
                <w:szCs w:val="22"/>
                <w:lang w:eastAsia="en-AU"/>
              </w:rPr>
              <w:t xml:space="preserve"> round (</w:t>
            </w:r>
            <w:r w:rsidRPr="00AE30EC">
              <w:rPr>
                <w:rFonts w:ascii="Calibri Light" w:hAnsi="Calibri Light" w:cs="Calibri Light"/>
                <w:b/>
                <w:bCs/>
                <w:szCs w:val="22"/>
              </w:rPr>
              <w:t>dispatchable capacity and renewable generation)</w:t>
            </w:r>
          </w:p>
        </w:tc>
      </w:tr>
      <w:tr w:rsidR="00F66475" w:rsidRPr="00286012" w:rsidTr="00E2051A">
        <w:trPr>
          <w:trHeight w:val="32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Stage</w:t>
            </w:r>
          </w:p>
        </w:tc>
        <w:tc>
          <w:tcPr>
            <w:tcW w:w="2533" w:type="dxa"/>
            <w:tcBorders>
              <w:top w:val="nil"/>
              <w:left w:val="nil"/>
              <w:bottom w:val="single" w:sz="4" w:space="0" w:color="auto"/>
              <w:right w:val="single" w:sz="4" w:space="0" w:color="auto"/>
            </w:tcBorders>
            <w:shd w:val="clear" w:color="auto" w:fill="auto"/>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Description</w:t>
            </w:r>
          </w:p>
        </w:tc>
        <w:tc>
          <w:tcPr>
            <w:tcW w:w="1537" w:type="dxa"/>
            <w:tcBorders>
              <w:top w:val="nil"/>
              <w:left w:val="nil"/>
              <w:bottom w:val="single" w:sz="4" w:space="0" w:color="auto"/>
              <w:right w:val="single" w:sz="4" w:space="0" w:color="auto"/>
            </w:tcBorders>
            <w:shd w:val="clear" w:color="auto" w:fill="auto"/>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Stakeholders</w:t>
            </w:r>
          </w:p>
        </w:tc>
        <w:tc>
          <w:tcPr>
            <w:tcW w:w="1384" w:type="dxa"/>
            <w:tcBorders>
              <w:top w:val="nil"/>
              <w:left w:val="nil"/>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Total hours</w:t>
            </w:r>
          </w:p>
        </w:tc>
        <w:tc>
          <w:tcPr>
            <w:tcW w:w="1233" w:type="dxa"/>
            <w:tcBorders>
              <w:top w:val="nil"/>
              <w:left w:val="nil"/>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Wage ($)</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Cost ($)</w:t>
            </w:r>
          </w:p>
        </w:tc>
      </w:tr>
      <w:tr w:rsidR="00F66475" w:rsidRPr="00286012" w:rsidTr="00E2051A">
        <w:trPr>
          <w:trHeight w:val="267"/>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jc w:val="right"/>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1</w:t>
            </w:r>
          </w:p>
        </w:tc>
        <w:tc>
          <w:tcPr>
            <w:tcW w:w="2533" w:type="dxa"/>
            <w:tcBorders>
              <w:top w:val="nil"/>
              <w:left w:val="nil"/>
              <w:bottom w:val="single" w:sz="4" w:space="0" w:color="auto"/>
              <w:right w:val="single" w:sz="4" w:space="0" w:color="auto"/>
            </w:tcBorders>
            <w:shd w:val="clear" w:color="auto" w:fill="auto"/>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Consultation</w:t>
            </w:r>
          </w:p>
        </w:tc>
        <w:tc>
          <w:tcPr>
            <w:tcW w:w="1537" w:type="dxa"/>
            <w:tcBorders>
              <w:top w:val="nil"/>
              <w:left w:val="nil"/>
              <w:bottom w:val="single" w:sz="4" w:space="0" w:color="auto"/>
              <w:right w:val="single" w:sz="4" w:space="0" w:color="auto"/>
            </w:tcBorders>
            <w:shd w:val="clear" w:color="000000" w:fill="FFEB9C"/>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60</w:t>
            </w:r>
          </w:p>
        </w:tc>
        <w:tc>
          <w:tcPr>
            <w:tcW w:w="1384"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60</w:t>
            </w:r>
          </w:p>
        </w:tc>
        <w:tc>
          <w:tcPr>
            <w:tcW w:w="1233"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79.63</w:t>
            </w:r>
          </w:p>
        </w:tc>
        <w:tc>
          <w:tcPr>
            <w:tcW w:w="2000" w:type="dxa"/>
            <w:tcBorders>
              <w:top w:val="nil"/>
              <w:left w:val="nil"/>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Pr>
                <w:rFonts w:ascii="Calibri" w:hAnsi="Calibri" w:cs="Calibri"/>
                <w:color w:val="000000"/>
                <w:szCs w:val="22"/>
              </w:rPr>
              <w:t xml:space="preserve"> $            286,668 </w:t>
            </w:r>
          </w:p>
        </w:tc>
      </w:tr>
      <w:tr w:rsidR="00F66475" w:rsidRPr="00286012" w:rsidTr="00E2051A">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jc w:val="right"/>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2</w:t>
            </w:r>
          </w:p>
        </w:tc>
        <w:tc>
          <w:tcPr>
            <w:tcW w:w="2533" w:type="dxa"/>
            <w:tcBorders>
              <w:top w:val="nil"/>
              <w:left w:val="nil"/>
              <w:bottom w:val="single" w:sz="4" w:space="0" w:color="auto"/>
              <w:right w:val="single" w:sz="4" w:space="0" w:color="auto"/>
            </w:tcBorders>
            <w:shd w:val="clear" w:color="auto" w:fill="auto"/>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Term Sheet Consultation</w:t>
            </w:r>
          </w:p>
        </w:tc>
        <w:tc>
          <w:tcPr>
            <w:tcW w:w="1537" w:type="dxa"/>
            <w:tcBorders>
              <w:top w:val="nil"/>
              <w:left w:val="nil"/>
              <w:bottom w:val="single" w:sz="4" w:space="0" w:color="auto"/>
              <w:right w:val="single" w:sz="4" w:space="0" w:color="auto"/>
            </w:tcBorders>
            <w:shd w:val="clear" w:color="000000" w:fill="FFEB9C"/>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60</w:t>
            </w:r>
          </w:p>
        </w:tc>
        <w:tc>
          <w:tcPr>
            <w:tcW w:w="1384"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60</w:t>
            </w:r>
          </w:p>
        </w:tc>
        <w:tc>
          <w:tcPr>
            <w:tcW w:w="1233"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79.63</w:t>
            </w:r>
          </w:p>
        </w:tc>
        <w:tc>
          <w:tcPr>
            <w:tcW w:w="2000" w:type="dxa"/>
            <w:tcBorders>
              <w:top w:val="nil"/>
              <w:left w:val="nil"/>
              <w:bottom w:val="single" w:sz="4" w:space="0" w:color="auto"/>
              <w:right w:val="single" w:sz="4" w:space="0" w:color="auto"/>
            </w:tcBorders>
            <w:shd w:val="clear" w:color="auto" w:fill="auto"/>
            <w:noWrap/>
            <w:vAlign w:val="bottom"/>
            <w:hideMark/>
          </w:tcPr>
          <w:p w:rsidR="00F66475" w:rsidRPr="007F4A84" w:rsidRDefault="00F66475" w:rsidP="00E2051A">
            <w:pPr>
              <w:spacing w:before="60" w:after="60" w:line="240" w:lineRule="auto"/>
              <w:rPr>
                <w:rFonts w:ascii="Calibri" w:hAnsi="Calibri" w:cs="Calibri"/>
                <w:color w:val="000000"/>
                <w:szCs w:val="22"/>
              </w:rPr>
            </w:pPr>
            <w:r>
              <w:rPr>
                <w:rFonts w:ascii="Calibri" w:hAnsi="Calibri" w:cs="Calibri"/>
                <w:color w:val="000000"/>
                <w:szCs w:val="22"/>
              </w:rPr>
              <w:t xml:space="preserve"> $            286,668 </w:t>
            </w:r>
          </w:p>
        </w:tc>
      </w:tr>
      <w:tr w:rsidR="00F66475" w:rsidRPr="00286012" w:rsidTr="00E2051A">
        <w:trPr>
          <w:trHeight w:val="18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jc w:val="right"/>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3</w:t>
            </w:r>
          </w:p>
        </w:tc>
        <w:tc>
          <w:tcPr>
            <w:tcW w:w="2533" w:type="dxa"/>
            <w:tcBorders>
              <w:top w:val="nil"/>
              <w:left w:val="nil"/>
              <w:bottom w:val="single" w:sz="4" w:space="0" w:color="auto"/>
              <w:right w:val="single" w:sz="4" w:space="0" w:color="auto"/>
            </w:tcBorders>
            <w:shd w:val="clear" w:color="auto" w:fill="auto"/>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Registration</w:t>
            </w:r>
          </w:p>
        </w:tc>
        <w:tc>
          <w:tcPr>
            <w:tcW w:w="1537" w:type="dxa"/>
            <w:tcBorders>
              <w:top w:val="nil"/>
              <w:left w:val="nil"/>
              <w:bottom w:val="single" w:sz="4" w:space="0" w:color="auto"/>
              <w:right w:val="single" w:sz="4" w:space="0" w:color="auto"/>
            </w:tcBorders>
            <w:shd w:val="clear" w:color="000000" w:fill="FFEB9C"/>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60</w:t>
            </w:r>
          </w:p>
        </w:tc>
        <w:tc>
          <w:tcPr>
            <w:tcW w:w="1384"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5</w:t>
            </w:r>
          </w:p>
        </w:tc>
        <w:tc>
          <w:tcPr>
            <w:tcW w:w="1233"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79.63</w:t>
            </w:r>
          </w:p>
        </w:tc>
        <w:tc>
          <w:tcPr>
            <w:tcW w:w="2000" w:type="dxa"/>
            <w:tcBorders>
              <w:top w:val="nil"/>
              <w:left w:val="nil"/>
              <w:bottom w:val="single" w:sz="4" w:space="0" w:color="auto"/>
              <w:right w:val="single" w:sz="4" w:space="0" w:color="auto"/>
            </w:tcBorders>
            <w:shd w:val="clear" w:color="auto" w:fill="auto"/>
            <w:noWrap/>
            <w:vAlign w:val="bottom"/>
            <w:hideMark/>
          </w:tcPr>
          <w:p w:rsidR="00F66475" w:rsidRPr="007F4A84" w:rsidRDefault="00F66475" w:rsidP="00E2051A">
            <w:pPr>
              <w:spacing w:before="60" w:after="60" w:line="240" w:lineRule="auto"/>
              <w:rPr>
                <w:rFonts w:ascii="Calibri" w:hAnsi="Calibri" w:cs="Calibri"/>
                <w:color w:val="000000"/>
                <w:szCs w:val="22"/>
              </w:rPr>
            </w:pPr>
            <w:r>
              <w:rPr>
                <w:rFonts w:ascii="Calibri" w:hAnsi="Calibri" w:cs="Calibri"/>
                <w:color w:val="000000"/>
                <w:szCs w:val="22"/>
              </w:rPr>
              <w:t xml:space="preserve"> $               23,889 </w:t>
            </w:r>
          </w:p>
        </w:tc>
      </w:tr>
      <w:tr w:rsidR="00F66475" w:rsidRPr="00286012" w:rsidTr="00E2051A">
        <w:trPr>
          <w:trHeight w:val="213"/>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jc w:val="right"/>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4</w:t>
            </w:r>
          </w:p>
        </w:tc>
        <w:tc>
          <w:tcPr>
            <w:tcW w:w="2533" w:type="dxa"/>
            <w:tcBorders>
              <w:top w:val="nil"/>
              <w:left w:val="nil"/>
              <w:bottom w:val="single" w:sz="4" w:space="0" w:color="auto"/>
              <w:right w:val="single" w:sz="4" w:space="0" w:color="auto"/>
            </w:tcBorders>
            <w:shd w:val="clear" w:color="auto" w:fill="auto"/>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Stage A Bid</w:t>
            </w:r>
          </w:p>
        </w:tc>
        <w:tc>
          <w:tcPr>
            <w:tcW w:w="1537" w:type="dxa"/>
            <w:tcBorders>
              <w:top w:val="nil"/>
              <w:left w:val="nil"/>
              <w:bottom w:val="single" w:sz="4" w:space="0" w:color="auto"/>
              <w:right w:val="single" w:sz="4" w:space="0" w:color="auto"/>
            </w:tcBorders>
            <w:shd w:val="clear" w:color="000000" w:fill="FFEB9C"/>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50</w:t>
            </w:r>
          </w:p>
        </w:tc>
        <w:tc>
          <w:tcPr>
            <w:tcW w:w="1384"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480</w:t>
            </w:r>
          </w:p>
        </w:tc>
        <w:tc>
          <w:tcPr>
            <w:tcW w:w="1233"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79.63</w:t>
            </w:r>
          </w:p>
        </w:tc>
        <w:tc>
          <w:tcPr>
            <w:tcW w:w="2000" w:type="dxa"/>
            <w:tcBorders>
              <w:top w:val="nil"/>
              <w:left w:val="nil"/>
              <w:bottom w:val="single" w:sz="4" w:space="0" w:color="auto"/>
              <w:right w:val="single" w:sz="4" w:space="0" w:color="auto"/>
            </w:tcBorders>
            <w:shd w:val="clear" w:color="auto" w:fill="auto"/>
            <w:noWrap/>
            <w:vAlign w:val="bottom"/>
            <w:hideMark/>
          </w:tcPr>
          <w:p w:rsidR="00F66475" w:rsidRPr="007F4A84" w:rsidRDefault="00F66475" w:rsidP="00E2051A">
            <w:pPr>
              <w:spacing w:before="60" w:after="60" w:line="240" w:lineRule="auto"/>
              <w:rPr>
                <w:rFonts w:ascii="Calibri" w:hAnsi="Calibri" w:cs="Calibri"/>
                <w:color w:val="000000"/>
                <w:szCs w:val="22"/>
              </w:rPr>
            </w:pPr>
            <w:r>
              <w:rPr>
                <w:rFonts w:ascii="Calibri" w:hAnsi="Calibri" w:cs="Calibri"/>
                <w:color w:val="000000"/>
                <w:szCs w:val="22"/>
              </w:rPr>
              <w:t xml:space="preserve"> $         1,911,120 </w:t>
            </w:r>
          </w:p>
        </w:tc>
      </w:tr>
      <w:tr w:rsidR="00F66475" w:rsidRPr="00286012" w:rsidTr="00E2051A">
        <w:trPr>
          <w:trHeight w:val="24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jc w:val="right"/>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5</w:t>
            </w:r>
          </w:p>
        </w:tc>
        <w:tc>
          <w:tcPr>
            <w:tcW w:w="2533" w:type="dxa"/>
            <w:tcBorders>
              <w:top w:val="nil"/>
              <w:left w:val="nil"/>
              <w:bottom w:val="single" w:sz="4" w:space="0" w:color="auto"/>
              <w:right w:val="single" w:sz="4" w:space="0" w:color="auto"/>
            </w:tcBorders>
            <w:shd w:val="clear" w:color="auto" w:fill="auto"/>
            <w:vAlign w:val="bottom"/>
            <w:hideMark/>
          </w:tcPr>
          <w:p w:rsidR="00F66475" w:rsidRPr="00873467" w:rsidRDefault="00F66475" w:rsidP="00E2051A">
            <w:pPr>
              <w:spacing w:before="60" w:after="60" w:line="240" w:lineRule="auto"/>
              <w:rPr>
                <w:rFonts w:ascii="Calibri" w:eastAsia="Times New Roman" w:hAnsi="Calibri" w:cs="Calibri"/>
                <w:color w:val="FF0000"/>
                <w:szCs w:val="22"/>
                <w:lang w:eastAsia="en-AU"/>
              </w:rPr>
            </w:pPr>
            <w:r w:rsidRPr="007F4A84">
              <w:rPr>
                <w:rFonts w:ascii="Calibri" w:eastAsia="Times New Roman" w:hAnsi="Calibri" w:cs="Calibri"/>
                <w:color w:val="000000"/>
                <w:szCs w:val="22"/>
                <w:lang w:eastAsia="en-AU"/>
              </w:rPr>
              <w:t>Stage B Bid</w:t>
            </w:r>
          </w:p>
        </w:tc>
        <w:tc>
          <w:tcPr>
            <w:tcW w:w="1537" w:type="dxa"/>
            <w:tcBorders>
              <w:top w:val="nil"/>
              <w:left w:val="nil"/>
              <w:bottom w:val="single" w:sz="4" w:space="0" w:color="auto"/>
              <w:right w:val="single" w:sz="4" w:space="0" w:color="auto"/>
            </w:tcBorders>
            <w:shd w:val="clear" w:color="000000" w:fill="FFEB9C"/>
            <w:vAlign w:val="bottom"/>
            <w:hideMark/>
          </w:tcPr>
          <w:p w:rsidR="00F66475" w:rsidRPr="007F4A84" w:rsidRDefault="00F66475" w:rsidP="00E2051A">
            <w:pPr>
              <w:spacing w:before="60" w:after="60" w:line="240" w:lineRule="auto"/>
              <w:jc w:val="right"/>
              <w:rPr>
                <w:rFonts w:ascii="Calibri" w:hAnsi="Calibri" w:cs="Calibri"/>
                <w:color w:val="9C5700"/>
                <w:szCs w:val="22"/>
              </w:rPr>
            </w:pPr>
            <w:r w:rsidRPr="007F4A84">
              <w:rPr>
                <w:rFonts w:ascii="Calibri" w:hAnsi="Calibri" w:cs="Calibri"/>
                <w:color w:val="9C5700"/>
                <w:szCs w:val="22"/>
              </w:rPr>
              <w:t>25</w:t>
            </w:r>
          </w:p>
        </w:tc>
        <w:tc>
          <w:tcPr>
            <w:tcW w:w="1384" w:type="dxa"/>
            <w:tcBorders>
              <w:top w:val="nil"/>
              <w:left w:val="nil"/>
              <w:bottom w:val="single" w:sz="4" w:space="0" w:color="auto"/>
              <w:right w:val="single" w:sz="4" w:space="0" w:color="auto"/>
            </w:tcBorders>
            <w:shd w:val="clear" w:color="000000" w:fill="FFEB9C"/>
            <w:noWrap/>
            <w:vAlign w:val="bottom"/>
            <w:hideMark/>
          </w:tcPr>
          <w:p w:rsidR="00F66475" w:rsidRPr="007F4A84" w:rsidRDefault="00F66475" w:rsidP="00E2051A">
            <w:pPr>
              <w:spacing w:before="60" w:after="60" w:line="240" w:lineRule="auto"/>
              <w:jc w:val="right"/>
              <w:rPr>
                <w:rFonts w:ascii="Calibri" w:hAnsi="Calibri" w:cs="Calibri"/>
                <w:color w:val="9C5700"/>
                <w:szCs w:val="22"/>
              </w:rPr>
            </w:pPr>
            <w:r w:rsidRPr="007F4A84">
              <w:rPr>
                <w:rFonts w:ascii="Calibri" w:hAnsi="Calibri" w:cs="Calibri"/>
                <w:color w:val="9C5700"/>
                <w:szCs w:val="22"/>
              </w:rPr>
              <w:t>480</w:t>
            </w:r>
          </w:p>
        </w:tc>
        <w:tc>
          <w:tcPr>
            <w:tcW w:w="1233" w:type="dxa"/>
            <w:tcBorders>
              <w:top w:val="nil"/>
              <w:left w:val="nil"/>
              <w:bottom w:val="single" w:sz="4" w:space="0" w:color="auto"/>
              <w:right w:val="single" w:sz="4" w:space="0" w:color="auto"/>
            </w:tcBorders>
            <w:shd w:val="clear" w:color="000000" w:fill="FFEB9C"/>
            <w:noWrap/>
            <w:vAlign w:val="bottom"/>
            <w:hideMark/>
          </w:tcPr>
          <w:p w:rsidR="00F66475" w:rsidRPr="007F4A84" w:rsidRDefault="00F66475" w:rsidP="00E2051A">
            <w:pPr>
              <w:spacing w:before="60" w:after="60" w:line="240" w:lineRule="auto"/>
              <w:jc w:val="right"/>
              <w:rPr>
                <w:rFonts w:ascii="Calibri" w:hAnsi="Calibri" w:cs="Calibri"/>
                <w:color w:val="9C5700"/>
                <w:szCs w:val="22"/>
              </w:rPr>
            </w:pPr>
            <w:r w:rsidRPr="007F4A84">
              <w:rPr>
                <w:rFonts w:ascii="Calibri" w:hAnsi="Calibri" w:cs="Calibri"/>
                <w:color w:val="9C5700"/>
                <w:szCs w:val="22"/>
              </w:rPr>
              <w:t>79.63</w:t>
            </w:r>
          </w:p>
        </w:tc>
        <w:tc>
          <w:tcPr>
            <w:tcW w:w="2000" w:type="dxa"/>
            <w:tcBorders>
              <w:top w:val="nil"/>
              <w:left w:val="nil"/>
              <w:bottom w:val="single" w:sz="4" w:space="0" w:color="auto"/>
              <w:right w:val="single" w:sz="4" w:space="0" w:color="auto"/>
            </w:tcBorders>
            <w:shd w:val="clear" w:color="auto" w:fill="auto"/>
            <w:noWrap/>
            <w:vAlign w:val="bottom"/>
            <w:hideMark/>
          </w:tcPr>
          <w:p w:rsidR="00F66475" w:rsidRPr="007F4A84" w:rsidRDefault="00F66475" w:rsidP="00E2051A">
            <w:pPr>
              <w:spacing w:before="60" w:after="60" w:line="240" w:lineRule="auto"/>
              <w:rPr>
                <w:rFonts w:ascii="Calibri" w:hAnsi="Calibri" w:cs="Calibri"/>
                <w:color w:val="000000"/>
                <w:szCs w:val="22"/>
              </w:rPr>
            </w:pPr>
            <w:r w:rsidRPr="007F4A84">
              <w:rPr>
                <w:rFonts w:ascii="Calibri" w:hAnsi="Calibri" w:cs="Calibri"/>
                <w:color w:val="000000"/>
                <w:szCs w:val="22"/>
              </w:rPr>
              <w:t xml:space="preserve"> $         </w:t>
            </w:r>
            <w:r>
              <w:rPr>
                <w:rFonts w:ascii="Calibri" w:hAnsi="Calibri" w:cs="Calibri"/>
                <w:color w:val="000000"/>
                <w:szCs w:val="22"/>
              </w:rPr>
              <w:t xml:space="preserve">   </w:t>
            </w:r>
            <w:r w:rsidRPr="007F4A84">
              <w:rPr>
                <w:rFonts w:ascii="Calibri" w:hAnsi="Calibri" w:cs="Calibri"/>
                <w:color w:val="000000"/>
                <w:szCs w:val="22"/>
              </w:rPr>
              <w:t>955,560</w:t>
            </w:r>
          </w:p>
        </w:tc>
      </w:tr>
      <w:tr w:rsidR="00F66475" w:rsidRPr="00286012" w:rsidTr="00E2051A">
        <w:trPr>
          <w:trHeight w:val="154"/>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jc w:val="right"/>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6</w:t>
            </w:r>
          </w:p>
        </w:tc>
        <w:tc>
          <w:tcPr>
            <w:tcW w:w="2533" w:type="dxa"/>
            <w:tcBorders>
              <w:top w:val="nil"/>
              <w:left w:val="nil"/>
              <w:bottom w:val="single" w:sz="4" w:space="0" w:color="auto"/>
              <w:right w:val="single" w:sz="4" w:space="0" w:color="auto"/>
            </w:tcBorders>
            <w:shd w:val="clear" w:color="auto" w:fill="auto"/>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Contract Signing</w:t>
            </w:r>
          </w:p>
        </w:tc>
        <w:tc>
          <w:tcPr>
            <w:tcW w:w="1537" w:type="dxa"/>
            <w:tcBorders>
              <w:top w:val="nil"/>
              <w:left w:val="nil"/>
              <w:bottom w:val="single" w:sz="4" w:space="0" w:color="auto"/>
              <w:right w:val="single" w:sz="4" w:space="0" w:color="auto"/>
            </w:tcBorders>
            <w:shd w:val="clear" w:color="000000" w:fill="FFEB9C"/>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16</w:t>
            </w:r>
          </w:p>
        </w:tc>
        <w:tc>
          <w:tcPr>
            <w:tcW w:w="1384"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320</w:t>
            </w:r>
          </w:p>
        </w:tc>
        <w:tc>
          <w:tcPr>
            <w:tcW w:w="1233"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79.63</w:t>
            </w:r>
          </w:p>
        </w:tc>
        <w:tc>
          <w:tcPr>
            <w:tcW w:w="2000" w:type="dxa"/>
            <w:tcBorders>
              <w:top w:val="nil"/>
              <w:left w:val="nil"/>
              <w:bottom w:val="single" w:sz="4" w:space="0" w:color="auto"/>
              <w:right w:val="single" w:sz="4" w:space="0" w:color="auto"/>
            </w:tcBorders>
            <w:shd w:val="clear" w:color="auto" w:fill="auto"/>
            <w:noWrap/>
            <w:vAlign w:val="bottom"/>
            <w:hideMark/>
          </w:tcPr>
          <w:p w:rsidR="00F66475" w:rsidRPr="007F4A84" w:rsidRDefault="00F66475" w:rsidP="00E2051A">
            <w:pPr>
              <w:spacing w:before="60" w:after="60" w:line="240" w:lineRule="auto"/>
              <w:rPr>
                <w:rFonts w:ascii="Calibri" w:hAnsi="Calibri" w:cs="Calibri"/>
                <w:color w:val="000000"/>
                <w:szCs w:val="22"/>
              </w:rPr>
            </w:pPr>
            <w:r>
              <w:rPr>
                <w:rFonts w:ascii="Calibri" w:hAnsi="Calibri" w:cs="Calibri"/>
                <w:color w:val="000000"/>
                <w:szCs w:val="22"/>
              </w:rPr>
              <w:t xml:space="preserve"> $            407,706 </w:t>
            </w:r>
          </w:p>
        </w:tc>
      </w:tr>
      <w:tr w:rsidR="00F66475" w:rsidRPr="00286012" w:rsidTr="00E2051A">
        <w:trPr>
          <w:trHeight w:val="187"/>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jc w:val="right"/>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7</w:t>
            </w:r>
          </w:p>
        </w:tc>
        <w:tc>
          <w:tcPr>
            <w:tcW w:w="2533" w:type="dxa"/>
            <w:tcBorders>
              <w:top w:val="nil"/>
              <w:left w:val="nil"/>
              <w:bottom w:val="single" w:sz="4" w:space="0" w:color="auto"/>
              <w:right w:val="single" w:sz="4" w:space="0" w:color="auto"/>
            </w:tcBorders>
            <w:shd w:val="clear" w:color="auto" w:fill="auto"/>
            <w:vAlign w:val="bottom"/>
            <w:hideMark/>
          </w:tcPr>
          <w:p w:rsidR="00F66475" w:rsidRPr="00286012" w:rsidRDefault="00F66475" w:rsidP="00E2051A">
            <w:pPr>
              <w:spacing w:before="60" w:after="6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Contract Management</w:t>
            </w:r>
          </w:p>
        </w:tc>
        <w:tc>
          <w:tcPr>
            <w:tcW w:w="1537" w:type="dxa"/>
            <w:tcBorders>
              <w:top w:val="nil"/>
              <w:left w:val="nil"/>
              <w:bottom w:val="single" w:sz="4" w:space="0" w:color="auto"/>
              <w:right w:val="single" w:sz="4" w:space="0" w:color="auto"/>
            </w:tcBorders>
            <w:shd w:val="clear" w:color="000000" w:fill="FFEB9C"/>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16</w:t>
            </w:r>
          </w:p>
        </w:tc>
        <w:tc>
          <w:tcPr>
            <w:tcW w:w="1384"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1500</w:t>
            </w:r>
          </w:p>
        </w:tc>
        <w:tc>
          <w:tcPr>
            <w:tcW w:w="1233"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before="60" w:after="60" w:line="240" w:lineRule="auto"/>
              <w:jc w:val="right"/>
              <w:rPr>
                <w:rFonts w:ascii="Calibri" w:eastAsia="Times New Roman" w:hAnsi="Calibri" w:cs="Calibri"/>
                <w:color w:val="9C5700"/>
                <w:szCs w:val="22"/>
                <w:lang w:eastAsia="en-AU"/>
              </w:rPr>
            </w:pPr>
            <w:r>
              <w:rPr>
                <w:rFonts w:ascii="Calibri" w:hAnsi="Calibri" w:cs="Calibri"/>
                <w:color w:val="9C5700"/>
                <w:szCs w:val="22"/>
              </w:rPr>
              <w:t>79.63</w:t>
            </w:r>
          </w:p>
        </w:tc>
        <w:tc>
          <w:tcPr>
            <w:tcW w:w="2000" w:type="dxa"/>
            <w:tcBorders>
              <w:top w:val="nil"/>
              <w:left w:val="nil"/>
              <w:bottom w:val="single" w:sz="4" w:space="0" w:color="auto"/>
              <w:right w:val="single" w:sz="4" w:space="0" w:color="auto"/>
            </w:tcBorders>
            <w:shd w:val="clear" w:color="auto" w:fill="auto"/>
            <w:noWrap/>
            <w:vAlign w:val="bottom"/>
            <w:hideMark/>
          </w:tcPr>
          <w:p w:rsidR="00F66475" w:rsidRPr="007F4A84" w:rsidRDefault="00F66475" w:rsidP="00E2051A">
            <w:pPr>
              <w:spacing w:before="60" w:after="60" w:line="240" w:lineRule="auto"/>
              <w:rPr>
                <w:rFonts w:ascii="Calibri" w:hAnsi="Calibri" w:cs="Calibri"/>
                <w:color w:val="000000"/>
                <w:szCs w:val="22"/>
              </w:rPr>
            </w:pPr>
            <w:r>
              <w:rPr>
                <w:rFonts w:ascii="Calibri" w:hAnsi="Calibri" w:cs="Calibri"/>
                <w:color w:val="000000"/>
                <w:szCs w:val="22"/>
              </w:rPr>
              <w:t xml:space="preserve"> $         1,911,120 </w:t>
            </w:r>
          </w:p>
        </w:tc>
      </w:tr>
      <w:tr w:rsidR="00F66475" w:rsidRPr="00286012" w:rsidTr="00E2051A">
        <w:trPr>
          <w:trHeight w:val="382"/>
        </w:trPr>
        <w:tc>
          <w:tcPr>
            <w:tcW w:w="3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jc w:val="center"/>
              <w:rPr>
                <w:rFonts w:ascii="Calibri" w:eastAsia="Times New Roman" w:hAnsi="Calibri" w:cs="Calibri"/>
                <w:b/>
                <w:bCs/>
                <w:color w:val="000000"/>
                <w:szCs w:val="22"/>
                <w:lang w:eastAsia="en-AU"/>
              </w:rPr>
            </w:pPr>
            <w:r w:rsidRPr="00286012">
              <w:rPr>
                <w:rFonts w:ascii="Calibri" w:eastAsia="Times New Roman" w:hAnsi="Calibri" w:cs="Calibri"/>
                <w:b/>
                <w:bCs/>
                <w:color w:val="000000"/>
                <w:szCs w:val="22"/>
                <w:lang w:eastAsia="en-AU"/>
              </w:rPr>
              <w:t xml:space="preserve">Total </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rPr>
                <w:rFonts w:ascii="Calibri" w:eastAsia="Times New Roman" w:hAnsi="Calibri" w:cs="Calibri"/>
                <w:b/>
                <w:bCs/>
                <w:color w:val="000000"/>
                <w:szCs w:val="22"/>
                <w:lang w:eastAsia="en-AU"/>
              </w:rPr>
            </w:pPr>
            <w:r w:rsidRPr="00286012">
              <w:rPr>
                <w:rFonts w:ascii="Calibri" w:eastAsia="Times New Roman" w:hAnsi="Calibri" w:cs="Calibri"/>
                <w:b/>
                <w:bCs/>
                <w:color w:val="000000"/>
                <w:szCs w:val="22"/>
                <w:lang w:eastAsia="en-AU"/>
              </w:rPr>
              <w:t> </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rPr>
                <w:rFonts w:ascii="Calibri" w:eastAsia="Times New Roman" w:hAnsi="Calibri" w:cs="Calibri"/>
                <w:b/>
                <w:bCs/>
                <w:color w:val="000000"/>
                <w:szCs w:val="22"/>
                <w:lang w:eastAsia="en-AU"/>
              </w:rPr>
            </w:pPr>
            <w:r w:rsidRPr="00286012">
              <w:rPr>
                <w:rFonts w:ascii="Calibri" w:eastAsia="Times New Roman" w:hAnsi="Calibri" w:cs="Calibri"/>
                <w:b/>
                <w:bCs/>
                <w:color w:val="000000"/>
                <w:szCs w:val="22"/>
                <w:lang w:eastAsia="en-AU"/>
              </w:rPr>
              <w:t> </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rPr>
                <w:rFonts w:ascii="Calibri" w:eastAsia="Times New Roman" w:hAnsi="Calibri" w:cs="Calibri"/>
                <w:b/>
                <w:bCs/>
                <w:color w:val="000000"/>
                <w:szCs w:val="22"/>
                <w:lang w:eastAsia="en-AU"/>
              </w:rPr>
            </w:pPr>
            <w:r w:rsidRPr="00286012">
              <w:rPr>
                <w:rFonts w:ascii="Calibri" w:eastAsia="Times New Roman" w:hAnsi="Calibri" w:cs="Calibri"/>
                <w:b/>
                <w:bCs/>
                <w:color w:val="000000"/>
                <w:szCs w:val="22"/>
                <w:lang w:eastAsia="en-AU"/>
              </w:rPr>
              <w:t> </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before="60" w:after="60" w:line="240" w:lineRule="auto"/>
              <w:rPr>
                <w:rFonts w:ascii="Calibri" w:eastAsia="Times New Roman" w:hAnsi="Calibri" w:cs="Calibri"/>
                <w:b/>
                <w:bCs/>
                <w:color w:val="000000"/>
                <w:szCs w:val="22"/>
                <w:lang w:eastAsia="en-AU"/>
              </w:rPr>
            </w:pPr>
            <w:r w:rsidRPr="00286012">
              <w:rPr>
                <w:rFonts w:ascii="Calibri" w:eastAsia="Times New Roman" w:hAnsi="Calibri" w:cs="Calibri"/>
                <w:b/>
                <w:bCs/>
                <w:color w:val="000000"/>
                <w:szCs w:val="22"/>
                <w:lang w:eastAsia="en-AU"/>
              </w:rPr>
              <w:t xml:space="preserve"> $         </w:t>
            </w:r>
            <w:r>
              <w:rPr>
                <w:rFonts w:ascii="Calibri" w:eastAsia="Times New Roman" w:hAnsi="Calibri" w:cs="Calibri"/>
                <w:b/>
                <w:bCs/>
                <w:color w:val="000000"/>
                <w:szCs w:val="22"/>
                <w:lang w:eastAsia="en-AU"/>
              </w:rPr>
              <w:t>5,782,731</w:t>
            </w:r>
            <w:r w:rsidRPr="00286012">
              <w:rPr>
                <w:rFonts w:ascii="Calibri" w:eastAsia="Times New Roman" w:hAnsi="Calibri" w:cs="Calibri"/>
                <w:b/>
                <w:bCs/>
                <w:color w:val="000000"/>
                <w:szCs w:val="22"/>
                <w:lang w:eastAsia="en-AU"/>
              </w:rPr>
              <w:t xml:space="preserve"> </w:t>
            </w:r>
          </w:p>
        </w:tc>
      </w:tr>
    </w:tbl>
    <w:p w:rsidR="00F66475" w:rsidRDefault="00F66475" w:rsidP="00F66475">
      <w:pPr>
        <w:spacing w:after="120" w:line="240" w:lineRule="auto"/>
        <w:rPr>
          <w:rFonts w:ascii="Calibri Light" w:hAnsi="Calibri Light" w:cs="Calibri Light"/>
          <w:szCs w:val="22"/>
        </w:rPr>
      </w:pPr>
    </w:p>
    <w:p w:rsidR="00F66475" w:rsidRDefault="00F66475" w:rsidP="00F66475">
      <w:pPr>
        <w:spacing w:after="120" w:line="240" w:lineRule="auto"/>
        <w:rPr>
          <w:rFonts w:ascii="Calibri Light" w:hAnsi="Calibri Light" w:cs="Calibri Light"/>
          <w:szCs w:val="22"/>
        </w:rPr>
      </w:pPr>
    </w:p>
    <w:tbl>
      <w:tblPr>
        <w:tblW w:w="6091" w:type="dxa"/>
        <w:tblLook w:val="04A0" w:firstRow="1" w:lastRow="0" w:firstColumn="1" w:lastColumn="0" w:noHBand="0" w:noVBand="1"/>
      </w:tblPr>
      <w:tblGrid>
        <w:gridCol w:w="3823"/>
        <w:gridCol w:w="2268"/>
      </w:tblGrid>
      <w:tr w:rsidR="00F66475" w:rsidRPr="00286012" w:rsidTr="00E2051A">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after="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Administration costs per tender</w:t>
            </w:r>
            <w:r>
              <w:rPr>
                <w:rFonts w:ascii="Calibri" w:eastAsia="Times New Roman" w:hAnsi="Calibri" w:cs="Calibri"/>
                <w:color w:val="000000"/>
                <w:szCs w:val="22"/>
                <w:lang w:eastAsia="en-AU"/>
              </w:rPr>
              <w:t xml:space="preserve"> round</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475" w:rsidRPr="00286012" w:rsidRDefault="00F66475" w:rsidP="00E2051A">
            <w:pPr>
              <w:spacing w:after="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 xml:space="preserve">$         </w:t>
            </w:r>
            <w:r>
              <w:rPr>
                <w:rFonts w:ascii="Calibri" w:eastAsia="Times New Roman" w:hAnsi="Calibri" w:cs="Calibri"/>
                <w:color w:val="000000"/>
                <w:szCs w:val="22"/>
                <w:lang w:eastAsia="en-AU"/>
              </w:rPr>
              <w:t xml:space="preserve">   5,782,731</w:t>
            </w:r>
            <w:r w:rsidRPr="00286012">
              <w:rPr>
                <w:rFonts w:ascii="Calibri" w:eastAsia="Times New Roman" w:hAnsi="Calibri" w:cs="Calibri"/>
                <w:color w:val="000000"/>
                <w:szCs w:val="22"/>
                <w:lang w:eastAsia="en-AU"/>
              </w:rPr>
              <w:t xml:space="preserve"> </w:t>
            </w:r>
          </w:p>
        </w:tc>
      </w:tr>
      <w:tr w:rsidR="00F66475" w:rsidRPr="00286012" w:rsidTr="00E2051A">
        <w:trPr>
          <w:trHeight w:val="237"/>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after="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Tender</w:t>
            </w:r>
            <w:r>
              <w:rPr>
                <w:rFonts w:ascii="Calibri" w:eastAsia="Times New Roman" w:hAnsi="Calibri" w:cs="Calibri"/>
                <w:color w:val="000000"/>
                <w:szCs w:val="22"/>
                <w:lang w:eastAsia="en-AU"/>
              </w:rPr>
              <w:t xml:space="preserve"> rounds</w:t>
            </w:r>
            <w:r w:rsidRPr="00286012">
              <w:rPr>
                <w:rFonts w:ascii="Calibri" w:eastAsia="Times New Roman" w:hAnsi="Calibri" w:cs="Calibri"/>
                <w:color w:val="000000"/>
                <w:szCs w:val="22"/>
                <w:lang w:eastAsia="en-AU"/>
              </w:rPr>
              <w:t xml:space="preserve"> per year</w:t>
            </w:r>
          </w:p>
        </w:tc>
        <w:tc>
          <w:tcPr>
            <w:tcW w:w="2268"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after="0" w:line="240" w:lineRule="auto"/>
              <w:rPr>
                <w:rFonts w:ascii="Calibri" w:eastAsia="Times New Roman" w:hAnsi="Calibri" w:cs="Calibri"/>
                <w:color w:val="9C5700"/>
                <w:szCs w:val="22"/>
                <w:lang w:eastAsia="en-AU"/>
              </w:rPr>
            </w:pPr>
            <w:r>
              <w:rPr>
                <w:rFonts w:ascii="Calibri" w:eastAsia="Times New Roman" w:hAnsi="Calibri" w:cs="Calibri"/>
                <w:color w:val="9C5700"/>
                <w:szCs w:val="22"/>
                <w:lang w:eastAsia="en-AU"/>
              </w:rPr>
              <w:t>2</w:t>
            </w:r>
          </w:p>
        </w:tc>
      </w:tr>
      <w:tr w:rsidR="00F66475" w:rsidRPr="00286012" w:rsidTr="00E2051A">
        <w:trPr>
          <w:trHeight w:val="273"/>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after="0" w:line="240" w:lineRule="auto"/>
              <w:rPr>
                <w:rFonts w:ascii="Calibri" w:eastAsia="Times New Roman" w:hAnsi="Calibri" w:cs="Calibri"/>
                <w:color w:val="000000"/>
                <w:szCs w:val="22"/>
                <w:lang w:eastAsia="en-AU"/>
              </w:rPr>
            </w:pPr>
            <w:r w:rsidRPr="00286012">
              <w:rPr>
                <w:rFonts w:ascii="Calibri" w:eastAsia="Times New Roman" w:hAnsi="Calibri" w:cs="Calibri"/>
                <w:color w:val="000000"/>
                <w:szCs w:val="22"/>
                <w:lang w:eastAsia="en-AU"/>
              </w:rPr>
              <w:t>Years of program</w:t>
            </w:r>
          </w:p>
        </w:tc>
        <w:tc>
          <w:tcPr>
            <w:tcW w:w="2268" w:type="dxa"/>
            <w:tcBorders>
              <w:top w:val="nil"/>
              <w:left w:val="nil"/>
              <w:bottom w:val="single" w:sz="4" w:space="0" w:color="auto"/>
              <w:right w:val="single" w:sz="4" w:space="0" w:color="auto"/>
            </w:tcBorders>
            <w:shd w:val="clear" w:color="000000" w:fill="FFEB9C"/>
            <w:noWrap/>
            <w:vAlign w:val="bottom"/>
            <w:hideMark/>
          </w:tcPr>
          <w:p w:rsidR="00F66475" w:rsidRPr="00286012" w:rsidRDefault="00F66475" w:rsidP="00E2051A">
            <w:pPr>
              <w:spacing w:after="0" w:line="240" w:lineRule="auto"/>
              <w:rPr>
                <w:rFonts w:ascii="Calibri" w:eastAsia="Times New Roman" w:hAnsi="Calibri" w:cs="Calibri"/>
                <w:color w:val="9C5700"/>
                <w:szCs w:val="22"/>
                <w:lang w:eastAsia="en-AU"/>
              </w:rPr>
            </w:pPr>
            <w:r w:rsidRPr="00286012">
              <w:rPr>
                <w:rFonts w:ascii="Calibri" w:eastAsia="Times New Roman" w:hAnsi="Calibri" w:cs="Calibri"/>
                <w:color w:val="9C5700"/>
                <w:szCs w:val="22"/>
                <w:lang w:eastAsia="en-AU"/>
              </w:rPr>
              <w:t xml:space="preserve">3 </w:t>
            </w:r>
          </w:p>
        </w:tc>
      </w:tr>
      <w:tr w:rsidR="00F66475" w:rsidRPr="00286012" w:rsidTr="00E2051A">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F66475" w:rsidRPr="00286012" w:rsidRDefault="00F66475" w:rsidP="00E2051A">
            <w:pPr>
              <w:spacing w:after="0" w:line="240" w:lineRule="auto"/>
              <w:rPr>
                <w:rFonts w:ascii="Calibri" w:eastAsia="Times New Roman" w:hAnsi="Calibri" w:cs="Calibri"/>
                <w:b/>
                <w:bCs/>
                <w:color w:val="000000"/>
                <w:szCs w:val="22"/>
                <w:lang w:eastAsia="en-AU"/>
              </w:rPr>
            </w:pPr>
            <w:r w:rsidRPr="00286012">
              <w:rPr>
                <w:rFonts w:ascii="Calibri" w:eastAsia="Times New Roman" w:hAnsi="Calibri" w:cs="Calibri"/>
                <w:b/>
                <w:bCs/>
                <w:color w:val="000000"/>
                <w:szCs w:val="22"/>
                <w:lang w:eastAsia="en-AU"/>
              </w:rPr>
              <w:t>Total Administration Costs</w:t>
            </w:r>
            <w:r>
              <w:rPr>
                <w:rFonts w:ascii="Calibri" w:eastAsia="Times New Roman" w:hAnsi="Calibri" w:cs="Calibri"/>
                <w:b/>
                <w:bCs/>
                <w:color w:val="000000"/>
                <w:szCs w:val="22"/>
                <w:lang w:eastAsia="en-AU"/>
              </w:rPr>
              <w:t xml:space="preserve"> (life of CIS)</w:t>
            </w:r>
          </w:p>
        </w:tc>
        <w:tc>
          <w:tcPr>
            <w:tcW w:w="2268" w:type="dxa"/>
            <w:tcBorders>
              <w:top w:val="nil"/>
              <w:left w:val="nil"/>
              <w:bottom w:val="single" w:sz="4" w:space="0" w:color="auto"/>
              <w:right w:val="single" w:sz="4" w:space="0" w:color="auto"/>
            </w:tcBorders>
            <w:shd w:val="clear" w:color="auto" w:fill="auto"/>
            <w:noWrap/>
            <w:vAlign w:val="bottom"/>
            <w:hideMark/>
          </w:tcPr>
          <w:p w:rsidR="00F66475" w:rsidRPr="00286012" w:rsidRDefault="00F66475" w:rsidP="00E2051A">
            <w:pPr>
              <w:spacing w:after="0" w:line="240" w:lineRule="auto"/>
              <w:rPr>
                <w:rFonts w:ascii="Calibri" w:eastAsia="Times New Roman" w:hAnsi="Calibri" w:cs="Calibri"/>
                <w:b/>
                <w:bCs/>
                <w:color w:val="000000"/>
                <w:szCs w:val="22"/>
                <w:lang w:eastAsia="en-AU"/>
              </w:rPr>
            </w:pPr>
            <w:r w:rsidRPr="00286012">
              <w:rPr>
                <w:rFonts w:ascii="Calibri" w:eastAsia="Times New Roman" w:hAnsi="Calibri" w:cs="Calibri"/>
                <w:b/>
                <w:bCs/>
                <w:color w:val="000000"/>
                <w:szCs w:val="22"/>
                <w:lang w:eastAsia="en-AU"/>
              </w:rPr>
              <w:t xml:space="preserve"> $         </w:t>
            </w:r>
            <w:r>
              <w:rPr>
                <w:rFonts w:ascii="Calibri" w:eastAsia="Times New Roman" w:hAnsi="Calibri" w:cs="Calibri"/>
                <w:b/>
                <w:bCs/>
                <w:color w:val="000000"/>
                <w:szCs w:val="22"/>
                <w:lang w:eastAsia="en-AU"/>
              </w:rPr>
              <w:t>34,696,384</w:t>
            </w:r>
          </w:p>
        </w:tc>
      </w:tr>
    </w:tbl>
    <w:p w:rsidR="00F66475" w:rsidRDefault="00F66475" w:rsidP="00F66475">
      <w:pPr>
        <w:spacing w:after="120" w:line="240" w:lineRule="auto"/>
        <w:rPr>
          <w:rFonts w:ascii="Calibri Light" w:hAnsi="Calibri Light" w:cs="Calibri Light"/>
          <w:szCs w:val="22"/>
        </w:rPr>
      </w:pPr>
    </w:p>
    <w:p w:rsidR="00F66475" w:rsidRDefault="00F66475" w:rsidP="00F66475">
      <w:pPr>
        <w:rPr>
          <w:rFonts w:ascii="Calibri Light" w:hAnsi="Calibri Light" w:cs="Calibri Light"/>
          <w:szCs w:val="22"/>
        </w:rPr>
      </w:pPr>
      <w:r>
        <w:rPr>
          <w:rFonts w:ascii="Calibri Light" w:hAnsi="Calibri Light" w:cs="Calibri Light"/>
          <w:szCs w:val="22"/>
        </w:rPr>
        <w:t xml:space="preserve">Stakeholders participating in the CIS are assumed to be businesses only due to the large scale nature of potential CIS projects. </w:t>
      </w:r>
    </w:p>
    <w:p w:rsidR="00F66475" w:rsidRPr="00086D5E" w:rsidRDefault="00F66475" w:rsidP="00F66475">
      <w:pPr>
        <w:rPr>
          <w:rFonts w:ascii="Calibri Light" w:hAnsi="Calibri Light" w:cs="Calibri Light"/>
          <w:szCs w:val="22"/>
        </w:rPr>
      </w:pPr>
      <w:r>
        <w:rPr>
          <w:rFonts w:ascii="Calibri Light" w:hAnsi="Calibri Light" w:cs="Calibri Light"/>
          <w:szCs w:val="22"/>
        </w:rPr>
        <w:t>Wage rates have been gathered from the Office of Impact Assessment</w:t>
      </w:r>
      <w:r w:rsidRPr="00BE50DE">
        <w:rPr>
          <w:rFonts w:ascii="Calibri Light" w:hAnsi="Calibri Light" w:cs="Calibri Light"/>
          <w:vertAlign w:val="superscript"/>
        </w:rPr>
        <w:footnoteReference w:id="6"/>
      </w:r>
      <w:r>
        <w:rPr>
          <w:rFonts w:ascii="Calibri Light" w:hAnsi="Calibri Light" w:cs="Calibri Light"/>
          <w:szCs w:val="22"/>
        </w:rPr>
        <w:t>.</w:t>
      </w:r>
      <w:r w:rsidRPr="00546409">
        <w:rPr>
          <w:rFonts w:ascii="Calibri Light" w:hAnsi="Calibri Light" w:cs="Calibri Light"/>
          <w:szCs w:val="22"/>
        </w:rPr>
        <w:t xml:space="preserve">The default hourly cost is based on average weekly earnings, but adjusted to include income tax.  This provides an economy-wide value for employees of $45.50 per hour.  This value needs to be scaled up using a multiplier of 1.75 to account for the non-wage labour on-costs (for example, payroll tax and superannuation) and overhead costs (for example, rent, telephone, electricity and information technology equipment expenses). This results in a scaled-up rate of $79.63 per hour ($45.50 multiplied by 1.75). </w:t>
      </w:r>
    </w:p>
    <w:p w:rsidR="00F66475" w:rsidRDefault="00F66475" w:rsidP="00F66475">
      <w:pPr>
        <w:spacing w:after="200" w:line="288" w:lineRule="auto"/>
      </w:pPr>
    </w:p>
    <w:p w:rsidR="00F66475" w:rsidRPr="001C78C5" w:rsidRDefault="00F66475" w:rsidP="00F66475">
      <w:pPr>
        <w:pStyle w:val="Heading3"/>
        <w:rPr>
          <w:rFonts w:ascii="Calibri" w:eastAsiaTheme="minorEastAsia" w:hAnsi="Calibri" w:cstheme="minorBidi"/>
          <w:color w:val="197C7D"/>
          <w:sz w:val="56"/>
          <w:szCs w:val="56"/>
          <w:lang w:eastAsia="ja-JP"/>
        </w:rPr>
      </w:pPr>
      <w:bookmarkStart w:id="498" w:name="_Toc714618502"/>
      <w:r>
        <w:br w:type="page"/>
      </w:r>
      <w:r w:rsidRPr="52A7AAAB">
        <w:rPr>
          <w:rFonts w:eastAsiaTheme="minorEastAsia" w:cstheme="majorBidi"/>
          <w:color w:val="197C7D"/>
          <w:sz w:val="48"/>
          <w:szCs w:val="48"/>
          <w:lang w:eastAsia="ja-JP"/>
        </w:rPr>
        <w:lastRenderedPageBreak/>
        <w:t>Appendix 2: Examples of comparable domestic and international underwriting schemes</w:t>
      </w:r>
      <w:bookmarkEnd w:id="498"/>
    </w:p>
    <w:p w:rsidR="00F66475" w:rsidRDefault="00F66475" w:rsidP="00F66475">
      <w:pPr>
        <w:rPr>
          <w:rFonts w:ascii="Calibri Light" w:hAnsi="Calibri Light" w:cs="Calibri Light"/>
          <w:szCs w:val="22"/>
        </w:rPr>
      </w:pPr>
      <w:r w:rsidRPr="00B4301A">
        <w:rPr>
          <w:rFonts w:ascii="Calibri Light" w:hAnsi="Calibri Light" w:cs="Calibri Light"/>
          <w:szCs w:val="22"/>
        </w:rPr>
        <w:t>There has been a global trend towards the use of underwriting to support renewable energy and renewable energy integration, allocated via competitive tenders</w:t>
      </w:r>
      <w:r w:rsidRPr="00D72217">
        <w:rPr>
          <w:rFonts w:ascii="Calibri Light" w:hAnsi="Calibri Light" w:cs="Calibri Light"/>
          <w:vertAlign w:val="superscript"/>
        </w:rPr>
        <w:footnoteReference w:id="7"/>
      </w:r>
      <w:r>
        <w:rPr>
          <w:rFonts w:ascii="Calibri Light" w:hAnsi="Calibri Light" w:cs="Calibri Light"/>
        </w:rPr>
        <w:t>.</w:t>
      </w:r>
      <w:r w:rsidRPr="002D1264">
        <w:rPr>
          <w:rFonts w:ascii="Calibri Light" w:hAnsi="Calibri Light" w:cs="Calibri Light"/>
          <w:szCs w:val="22"/>
        </w:rPr>
        <w:t xml:space="preserve"> </w:t>
      </w:r>
      <w:r>
        <w:rPr>
          <w:rFonts w:ascii="Calibri Light" w:hAnsi="Calibri Light" w:cs="Calibri Light"/>
          <w:szCs w:val="22"/>
        </w:rPr>
        <w:t>T</w:t>
      </w:r>
      <w:r w:rsidRPr="001C78C5">
        <w:rPr>
          <w:rFonts w:ascii="Calibri Light" w:hAnsi="Calibri Light" w:cs="Calibri Light"/>
          <w:szCs w:val="22"/>
        </w:rPr>
        <w:t>his</w:t>
      </w:r>
      <w:r w:rsidRPr="00B4301A">
        <w:rPr>
          <w:rFonts w:ascii="Calibri Light" w:hAnsi="Calibri Light" w:cs="Calibri Light"/>
          <w:szCs w:val="22"/>
        </w:rPr>
        <w:t xml:space="preserve"> includes schemes in NSW, ACT and Victoria. </w:t>
      </w:r>
    </w:p>
    <w:p w:rsidR="00F66475" w:rsidRPr="00B4301A" w:rsidRDefault="00F66475" w:rsidP="00F66475">
      <w:pPr>
        <w:rPr>
          <w:rFonts w:ascii="Calibri Light" w:hAnsi="Calibri Light" w:cs="Calibri Light"/>
          <w:szCs w:val="22"/>
        </w:rPr>
      </w:pPr>
      <w:r w:rsidRPr="00B4301A">
        <w:rPr>
          <w:rFonts w:ascii="Calibri Light" w:hAnsi="Calibri Light" w:cs="Calibri Light"/>
          <w:szCs w:val="22"/>
        </w:rPr>
        <w:t xml:space="preserve">Auction based underwriting schemes are now well understood by industry. </w:t>
      </w:r>
    </w:p>
    <w:p w:rsidR="00F66475" w:rsidRPr="00B4301A" w:rsidRDefault="00F66475" w:rsidP="00F66475">
      <w:pPr>
        <w:rPr>
          <w:rFonts w:ascii="Calibri Light" w:hAnsi="Calibri Light" w:cs="Calibri Light"/>
          <w:szCs w:val="22"/>
        </w:rPr>
      </w:pPr>
      <w:r w:rsidRPr="00B4301A">
        <w:rPr>
          <w:rFonts w:ascii="Calibri Light" w:hAnsi="Calibri Light" w:cs="Calibri Light"/>
          <w:szCs w:val="22"/>
        </w:rPr>
        <w:t>The benefits of auctions to policymakers are their ability to reveal competitive prices, particularly in the context of steadily decreasing technology costs</w:t>
      </w:r>
      <w:r w:rsidRPr="00D72217">
        <w:rPr>
          <w:rFonts w:ascii="Calibri Light" w:hAnsi="Calibri Light" w:cs="Calibri Light"/>
          <w:vertAlign w:val="superscript"/>
        </w:rPr>
        <w:footnoteReference w:id="8"/>
      </w:r>
      <w:r>
        <w:rPr>
          <w:rFonts w:ascii="Calibri Light" w:hAnsi="Calibri Light" w:cs="Calibri Light"/>
        </w:rPr>
        <w:t>.</w:t>
      </w:r>
    </w:p>
    <w:p w:rsidR="00F66475" w:rsidRPr="00B4301A" w:rsidRDefault="00F66475" w:rsidP="00F66475">
      <w:pPr>
        <w:rPr>
          <w:rFonts w:ascii="Calibri Light" w:hAnsi="Calibri Light" w:cs="Calibri Light"/>
          <w:szCs w:val="22"/>
        </w:rPr>
      </w:pPr>
      <w:r w:rsidRPr="00B4301A">
        <w:rPr>
          <w:rFonts w:ascii="Calibri Light" w:hAnsi="Calibri Light" w:cs="Calibri Light"/>
          <w:szCs w:val="22"/>
        </w:rPr>
        <w:t>Underwriting schemes are seen to minimise finance costs for capital intensive technologies such as renewables</w:t>
      </w:r>
      <w:r w:rsidRPr="00D72217">
        <w:rPr>
          <w:vertAlign w:val="superscript"/>
        </w:rPr>
        <w:footnoteReference w:id="9"/>
      </w:r>
      <w:r>
        <w:rPr>
          <w:rFonts w:ascii="Calibri Light" w:hAnsi="Calibri Light" w:cs="Calibri Light"/>
        </w:rPr>
        <w:t>.</w:t>
      </w:r>
    </w:p>
    <w:p w:rsidR="00F66475" w:rsidRPr="00B4301A" w:rsidRDefault="00F66475" w:rsidP="00F66475">
      <w:pPr>
        <w:rPr>
          <w:rFonts w:ascii="Calibri Light" w:hAnsi="Calibri Light" w:cs="Calibri Light"/>
          <w:szCs w:val="22"/>
        </w:rPr>
      </w:pPr>
      <w:r w:rsidRPr="00B4301A">
        <w:rPr>
          <w:rFonts w:ascii="Calibri Light" w:hAnsi="Calibri Light" w:cs="Calibri Light"/>
          <w:szCs w:val="22"/>
        </w:rPr>
        <w:t>Many European countries, as well as Victoria and the ACT, use ‘contracts for difference’ (CFDs) which guarantee a single stable price for renewable energy generators. CFDs provide the most benefit to renewable generators in terms of de-risking investment. However, their widespread use can reduce contract market liquidity</w:t>
      </w:r>
      <w:r w:rsidRPr="00D72217">
        <w:rPr>
          <w:vertAlign w:val="superscript"/>
        </w:rPr>
        <w:footnoteReference w:id="10"/>
      </w:r>
      <w:r>
        <w:rPr>
          <w:rFonts w:ascii="Calibri Light" w:hAnsi="Calibri Light" w:cs="Calibri Light"/>
        </w:rPr>
        <w:t>.</w:t>
      </w:r>
    </w:p>
    <w:p w:rsidR="00F66475" w:rsidRPr="00CD2217" w:rsidRDefault="00F66475" w:rsidP="00F66475">
      <w:pPr>
        <w:pStyle w:val="ListParagraph"/>
        <w:numPr>
          <w:ilvl w:val="0"/>
          <w:numId w:val="17"/>
        </w:numPr>
        <w:spacing w:after="120"/>
        <w:ind w:left="714" w:hanging="357"/>
        <w:contextualSpacing w:val="0"/>
        <w:rPr>
          <w:rFonts w:ascii="Calibri Light" w:hAnsi="Calibri Light" w:cs="Calibri Light"/>
        </w:rPr>
      </w:pPr>
      <w:r w:rsidRPr="00CD2217">
        <w:rPr>
          <w:rFonts w:ascii="Calibri Light" w:hAnsi="Calibri Light" w:cs="Calibri Light"/>
        </w:rPr>
        <w:t>Among EU member states, Croatia and Bulgaria conduct tenders for storage capacity, and the UK is considering the extension of the use of CFDs to long duration storage.</w:t>
      </w:r>
    </w:p>
    <w:p w:rsidR="00F66475" w:rsidRPr="00CD2217" w:rsidRDefault="00F66475" w:rsidP="00F66475">
      <w:pPr>
        <w:pStyle w:val="ListParagraph"/>
        <w:numPr>
          <w:ilvl w:val="0"/>
          <w:numId w:val="17"/>
        </w:numPr>
        <w:spacing w:after="120"/>
        <w:ind w:left="714" w:hanging="357"/>
        <w:contextualSpacing w:val="0"/>
        <w:rPr>
          <w:rFonts w:ascii="Calibri Light" w:hAnsi="Calibri Light" w:cs="Calibri Light"/>
        </w:rPr>
      </w:pPr>
      <w:r w:rsidRPr="00B90500">
        <w:rPr>
          <w:rFonts w:ascii="Calibri Light" w:hAnsi="Calibri Light" w:cs="Calibri Light"/>
        </w:rPr>
        <w:t>Aurora Energy Research reports that most countries are shifting from direct subsidies to CFDs type schemes to incentivise renewables investment. Aurora reports that CFD arrangements are now in place in nine European countries and the UK</w:t>
      </w:r>
      <w:r w:rsidRPr="00CD2217">
        <w:rPr>
          <w:rFonts w:ascii="Calibri Light" w:hAnsi="Calibri Light" w:cs="Calibri Light"/>
        </w:rPr>
        <w:t>.</w:t>
      </w:r>
      <w:r w:rsidRPr="00CD2217">
        <w:rPr>
          <w:rFonts w:ascii="Calibri Light" w:hAnsi="Calibri Light" w:cs="Calibri Light"/>
          <w:vertAlign w:val="superscript"/>
        </w:rPr>
        <w:footnoteReference w:id="11"/>
      </w:r>
      <w:r w:rsidRPr="00CD2217">
        <w:rPr>
          <w:rFonts w:ascii="Calibri Light" w:hAnsi="Calibri Light" w:cs="Calibri Light"/>
        </w:rPr>
        <w:t xml:space="preserve"> </w:t>
      </w:r>
    </w:p>
    <w:p w:rsidR="00F66475" w:rsidRPr="00CD2217" w:rsidRDefault="00F66475" w:rsidP="00F66475">
      <w:pPr>
        <w:pStyle w:val="ListParagraph"/>
        <w:numPr>
          <w:ilvl w:val="0"/>
          <w:numId w:val="17"/>
        </w:numPr>
        <w:spacing w:after="120"/>
        <w:ind w:left="714" w:hanging="357"/>
        <w:contextualSpacing w:val="0"/>
        <w:rPr>
          <w:rFonts w:ascii="Calibri Light" w:hAnsi="Calibri Light" w:cs="Calibri Light"/>
        </w:rPr>
      </w:pPr>
      <w:r w:rsidRPr="00CD2217">
        <w:rPr>
          <w:rFonts w:ascii="Calibri Light" w:hAnsi="Calibri Light" w:cs="Calibri Light"/>
        </w:rPr>
        <w:t>Global Law Firm, Pinsent Mason states that “CFDs have been extremely effective in encouraging the growth of low carbon electricity generation in the UK. They have played a critical role in encouraging developers to invest in complex and challenging projects, using technologies which were novel or required market intervention at the time the CFDs were issued, such as offshore wind. The success of the CFD model in supporting a huge increase in renewables in the last decade has been seized upon by the UK government and CFDs are now at the heart of emerging business models for other industries and technologies”.</w:t>
      </w:r>
      <w:r w:rsidRPr="00CD2217">
        <w:rPr>
          <w:rFonts w:ascii="Calibri Light" w:hAnsi="Calibri Light" w:cs="Calibri Light"/>
          <w:vertAlign w:val="superscript"/>
        </w:rPr>
        <w:footnoteReference w:id="12"/>
      </w:r>
    </w:p>
    <w:p w:rsidR="00F66475" w:rsidRPr="00B4301A" w:rsidRDefault="00F66475" w:rsidP="00F66475">
      <w:pPr>
        <w:rPr>
          <w:rFonts w:ascii="Calibri Light" w:hAnsi="Calibri Light" w:cs="Calibri Light"/>
          <w:szCs w:val="22"/>
        </w:rPr>
      </w:pPr>
      <w:r w:rsidRPr="00B4301A">
        <w:rPr>
          <w:rFonts w:ascii="Calibri Light" w:hAnsi="Calibri Light" w:cs="Calibri Light"/>
          <w:szCs w:val="22"/>
        </w:rPr>
        <w:t xml:space="preserve">The closest domestic model to the Capacity Investment Scheme is the Long Term Energy Service Agreements (LTESA) scheme in NSW, which uses a ‘cap and floor’ approach to underwrite both renewable generation and long duration storage. </w:t>
      </w:r>
    </w:p>
    <w:p w:rsidR="00F66475" w:rsidRPr="00B4301A" w:rsidRDefault="00F66475" w:rsidP="00F66475">
      <w:pPr>
        <w:rPr>
          <w:rFonts w:ascii="Calibri Light" w:hAnsi="Calibri Light" w:cs="Calibri Light"/>
          <w:szCs w:val="22"/>
        </w:rPr>
      </w:pPr>
      <w:r w:rsidRPr="00B4301A">
        <w:rPr>
          <w:rFonts w:ascii="Calibri Light" w:hAnsi="Calibri Light" w:cs="Calibri Light"/>
          <w:szCs w:val="22"/>
        </w:rPr>
        <w:t>This ‘cap and floor’ approach retains some price and market risk with operators, which maintains their incentives to participate in contract markets. It also reduces the financial exposure to government.</w:t>
      </w:r>
    </w:p>
    <w:p w:rsidR="00F66475" w:rsidRPr="00CD2217" w:rsidRDefault="00F66475" w:rsidP="00F66475">
      <w:pPr>
        <w:pStyle w:val="ListParagraph"/>
        <w:numPr>
          <w:ilvl w:val="0"/>
          <w:numId w:val="17"/>
        </w:numPr>
        <w:spacing w:after="120"/>
        <w:ind w:left="714" w:hanging="357"/>
        <w:contextualSpacing w:val="0"/>
        <w:rPr>
          <w:rFonts w:ascii="Calibri Light" w:hAnsi="Calibri Light" w:cs="Calibri Light"/>
        </w:rPr>
      </w:pPr>
      <w:r w:rsidRPr="00CD2217">
        <w:rPr>
          <w:rFonts w:ascii="Calibri Light" w:hAnsi="Calibri Light" w:cs="Calibri Light"/>
        </w:rPr>
        <w:lastRenderedPageBreak/>
        <w:t>The Commonwealth Scheme is proposed to operate similarly (but with some differences) to the NSW Electricity Infrastructure Investment scheme, which involves competitive tenders for LTESAs and Access Rights connections to Renewable Energy Zones. The Commonwealth scheme would only focus on the LTESA arrangements.</w:t>
      </w:r>
    </w:p>
    <w:p w:rsidR="00F66475" w:rsidRPr="00CD2217" w:rsidRDefault="00F66475" w:rsidP="00F66475">
      <w:pPr>
        <w:pStyle w:val="ListParagraph"/>
        <w:numPr>
          <w:ilvl w:val="0"/>
          <w:numId w:val="23"/>
        </w:numPr>
        <w:spacing w:after="120"/>
        <w:contextualSpacing w:val="0"/>
        <w:rPr>
          <w:rFonts w:ascii="Calibri Light" w:hAnsi="Calibri Light" w:cs="Calibri Light"/>
        </w:rPr>
      </w:pPr>
      <w:r w:rsidRPr="00CD2217">
        <w:rPr>
          <w:rFonts w:ascii="Calibri Light" w:hAnsi="Calibri Light" w:cs="Calibri Light"/>
        </w:rPr>
        <w:t xml:space="preserve">The LTESAs aim is to incentivise new investment in generation and storage by providing a long term underwriting agreement providing protection against low wholesale electricity prices. LTESAs contract terms are of various lengths depending on the type of technology (e.g. up to 20 years for renewable generation, up to 14 years for chemical batteries, and up to 40 years for pumped hydro). </w:t>
      </w:r>
    </w:p>
    <w:p w:rsidR="00F66475" w:rsidRPr="00CD2217" w:rsidRDefault="00F66475" w:rsidP="00F66475">
      <w:pPr>
        <w:pStyle w:val="ListParagraph"/>
        <w:numPr>
          <w:ilvl w:val="0"/>
          <w:numId w:val="17"/>
        </w:numPr>
        <w:spacing w:after="120"/>
        <w:ind w:left="714" w:hanging="357"/>
        <w:contextualSpacing w:val="0"/>
        <w:rPr>
          <w:rFonts w:ascii="Calibri Light" w:hAnsi="Calibri Light" w:cs="Calibri Light"/>
        </w:rPr>
      </w:pPr>
      <w:r w:rsidRPr="00CD2217">
        <w:rPr>
          <w:rFonts w:ascii="Calibri Light" w:hAnsi="Calibri Light" w:cs="Calibri Light"/>
        </w:rPr>
        <w:t>The ACT and Victoria have both underwritten renewable and storage projects via reverse auction.</w:t>
      </w:r>
    </w:p>
    <w:p w:rsidR="00F66475" w:rsidRPr="00CD2217" w:rsidRDefault="00F66475" w:rsidP="00F66475">
      <w:pPr>
        <w:pStyle w:val="ListParagraph"/>
        <w:numPr>
          <w:ilvl w:val="0"/>
          <w:numId w:val="17"/>
        </w:numPr>
        <w:spacing w:after="120"/>
        <w:ind w:left="714" w:hanging="357"/>
        <w:contextualSpacing w:val="0"/>
        <w:rPr>
          <w:rFonts w:ascii="Calibri Light" w:hAnsi="Calibri Light" w:cs="Calibri Light"/>
        </w:rPr>
      </w:pPr>
      <w:r w:rsidRPr="00CD2217">
        <w:rPr>
          <w:rFonts w:ascii="Calibri Light" w:hAnsi="Calibri Light" w:cs="Calibri Light"/>
        </w:rPr>
        <w:t>The ACT scheme involved 5 reverse auctions from 2012 to 2016 resulting in 840 MW of wind and solar projects receiving C</w:t>
      </w:r>
      <w:r>
        <w:rPr>
          <w:rFonts w:ascii="Calibri Light" w:hAnsi="Calibri Light" w:cs="Calibri Light"/>
        </w:rPr>
        <w:t>f</w:t>
      </w:r>
      <w:r w:rsidRPr="00CD2217">
        <w:rPr>
          <w:rFonts w:ascii="Calibri Light" w:hAnsi="Calibri Light" w:cs="Calibri Light"/>
        </w:rPr>
        <w:t>Ds.</w:t>
      </w:r>
    </w:p>
    <w:p w:rsidR="00F66475" w:rsidRPr="00CD2217" w:rsidRDefault="00F66475" w:rsidP="00F66475">
      <w:pPr>
        <w:pStyle w:val="ListParagraph"/>
        <w:numPr>
          <w:ilvl w:val="0"/>
          <w:numId w:val="17"/>
        </w:numPr>
        <w:spacing w:after="120"/>
        <w:ind w:left="714" w:hanging="357"/>
        <w:contextualSpacing w:val="0"/>
        <w:rPr>
          <w:rFonts w:ascii="Calibri Light" w:hAnsi="Calibri Light" w:cs="Calibri Light"/>
        </w:rPr>
      </w:pPr>
      <w:r w:rsidRPr="00CD2217">
        <w:rPr>
          <w:rFonts w:ascii="Calibri Light" w:hAnsi="Calibri Light" w:cs="Calibri Light"/>
        </w:rPr>
        <w:t xml:space="preserve">The Victorian scheme, the Victorian Renewable Energy Target (VRET1) has delivered 5 projects with 800MW of new wind and solar capacity. </w:t>
      </w:r>
    </w:p>
    <w:p w:rsidR="00F66475" w:rsidRPr="00CD2217" w:rsidRDefault="00F66475" w:rsidP="00F66475">
      <w:pPr>
        <w:pStyle w:val="ListParagraph"/>
        <w:numPr>
          <w:ilvl w:val="0"/>
          <w:numId w:val="17"/>
        </w:numPr>
        <w:spacing w:after="120"/>
        <w:ind w:left="714" w:hanging="357"/>
        <w:contextualSpacing w:val="0"/>
        <w:rPr>
          <w:rFonts w:ascii="Calibri Light" w:hAnsi="Calibri Light" w:cs="Calibri Light"/>
        </w:rPr>
      </w:pPr>
      <w:r w:rsidRPr="00CD2217">
        <w:rPr>
          <w:rFonts w:ascii="Calibri Light" w:hAnsi="Calibri Light" w:cs="Calibri Light"/>
        </w:rPr>
        <w:t xml:space="preserve">VRET1 used technology-specific tariff prices for wind ($56/MWh), solar PV ($53/MWh) and tracked solar PV ($56/MWh). </w:t>
      </w:r>
    </w:p>
    <w:p w:rsidR="00F66475" w:rsidRPr="00CD2217" w:rsidRDefault="00F66475" w:rsidP="00F66475">
      <w:pPr>
        <w:pStyle w:val="ListParagraph"/>
        <w:numPr>
          <w:ilvl w:val="0"/>
          <w:numId w:val="17"/>
        </w:numPr>
        <w:spacing w:after="120"/>
        <w:ind w:left="714" w:hanging="357"/>
        <w:contextualSpacing w:val="0"/>
        <w:rPr>
          <w:rFonts w:ascii="Calibri Light" w:hAnsi="Calibri Light" w:cs="Calibri Light"/>
        </w:rPr>
      </w:pPr>
      <w:r w:rsidRPr="00CD2217">
        <w:rPr>
          <w:rFonts w:ascii="Calibri Light" w:hAnsi="Calibri Light" w:cs="Calibri Light"/>
        </w:rPr>
        <w:t xml:space="preserve">South Australia and Victoria have also held several tenders for battery storage. </w:t>
      </w:r>
    </w:p>
    <w:p w:rsidR="00F66475" w:rsidRDefault="00F66475" w:rsidP="00F66475">
      <w:pPr>
        <w:rPr>
          <w:rFonts w:ascii="Calibri Light" w:hAnsi="Calibri Light" w:cs="Calibri Light"/>
        </w:rPr>
      </w:pPr>
    </w:p>
    <w:p w:rsidR="00F66475" w:rsidRDefault="00F66475" w:rsidP="00F66475">
      <w:pPr>
        <w:rPr>
          <w:rFonts w:ascii="Calibri Light" w:hAnsi="Calibri Light" w:cs="Calibri Light"/>
        </w:rPr>
      </w:pPr>
    </w:p>
    <w:p w:rsidR="00F66475" w:rsidRDefault="00F66475" w:rsidP="00F66475">
      <w:pPr>
        <w:rPr>
          <w:rFonts w:ascii="Calibri Light" w:hAnsi="Calibri Light" w:cs="Calibri Light"/>
        </w:rPr>
      </w:pPr>
    </w:p>
    <w:p w:rsidR="00F66475" w:rsidRDefault="00F66475" w:rsidP="00F66475">
      <w:pPr>
        <w:rPr>
          <w:rFonts w:ascii="Calibri Light" w:hAnsi="Calibri Light" w:cs="Calibri Light"/>
        </w:rPr>
      </w:pPr>
    </w:p>
    <w:p w:rsidR="00F66475" w:rsidRDefault="00F66475" w:rsidP="00F66475">
      <w:pPr>
        <w:rPr>
          <w:rFonts w:ascii="Calibri Light" w:hAnsi="Calibri Light" w:cs="Calibri Light"/>
        </w:rPr>
      </w:pPr>
    </w:p>
    <w:p w:rsidR="00F66475" w:rsidRDefault="00F66475" w:rsidP="00F66475">
      <w:pPr>
        <w:rPr>
          <w:rFonts w:ascii="Calibri Light" w:hAnsi="Calibri Light" w:cs="Calibri Light"/>
        </w:rPr>
      </w:pPr>
    </w:p>
    <w:p w:rsidR="00F66475" w:rsidRDefault="00F66475" w:rsidP="00F66475">
      <w:pPr>
        <w:rPr>
          <w:rFonts w:ascii="Calibri Light" w:hAnsi="Calibri Light" w:cs="Calibri Light"/>
        </w:rPr>
      </w:pPr>
    </w:p>
    <w:p w:rsidR="00F66475" w:rsidRPr="003B26C1" w:rsidRDefault="00F66475" w:rsidP="00F66475">
      <w:pPr>
        <w:rPr>
          <w:rFonts w:ascii="Calibri Light" w:hAnsi="Calibri Light" w:cs="Calibri Light"/>
        </w:rPr>
      </w:pPr>
    </w:p>
    <w:p w:rsidR="001C4540" w:rsidRDefault="0031449E"/>
    <w:sectPr w:rsidR="001C4540" w:rsidSect="00873CBC">
      <w:footerReference w:type="default" r:id="rId22"/>
      <w:headerReference w:type="first" r:id="rId23"/>
      <w:pgSz w:w="11906" w:h="16838"/>
      <w:pgMar w:top="1701" w:right="1134" w:bottom="1843" w:left="1134" w:header="99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49E" w:rsidRDefault="0031449E" w:rsidP="00F66475">
      <w:pPr>
        <w:spacing w:after="0" w:line="240" w:lineRule="auto"/>
      </w:pPr>
      <w:r>
        <w:separator/>
      </w:r>
    </w:p>
  </w:endnote>
  <w:endnote w:type="continuationSeparator" w:id="0">
    <w:p w:rsidR="0031449E" w:rsidRDefault="0031449E" w:rsidP="00F6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inhardt Light">
    <w:altName w:val="Calibri"/>
    <w:panose1 w:val="00000000000000000000"/>
    <w:charset w:val="00"/>
    <w:family w:val="swiss"/>
    <w:notTrueType/>
    <w:pitch w:val="variable"/>
    <w:sig w:usb0="A00000AF" w:usb1="5000206A" w:usb2="00000000" w:usb3="00000000" w:csb0="00000093" w:csb1="00000000"/>
  </w:font>
  <w:font w:name="Arial (Body)">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heinhardt Medium">
    <w:altName w:val="Calibri"/>
    <w:panose1 w:val="00000000000000000000"/>
    <w:charset w:val="00"/>
    <w:family w:val="swiss"/>
    <w:notTrueType/>
    <w:pitch w:val="variable"/>
    <w:sig w:usb0="A00000EF" w:usb1="4000206B" w:usb2="00000008" w:usb3="00000000" w:csb0="00000093" w:csb1="00000000"/>
  </w:font>
  <w:font w:name="Theinhardt Pan">
    <w:altName w:val="Calibri"/>
    <w:panose1 w:val="00000000000000000000"/>
    <w:charset w:val="00"/>
    <w:family w:val="swiss"/>
    <w:notTrueType/>
    <w:pitch w:val="variable"/>
    <w:sig w:usb0="A00002FF" w:usb1="4000207B" w:usb2="00000008" w:usb3="00000000" w:csb0="0000009F" w:csb1="00000000"/>
  </w:font>
  <w:font w:name="Consolas">
    <w:panose1 w:val="020B0609020204030204"/>
    <w:charset w:val="00"/>
    <w:family w:val="modern"/>
    <w:pitch w:val="fixed"/>
    <w:sig w:usb0="E00006FF" w:usb1="0000FCFF" w:usb2="00000001" w:usb3="00000000" w:csb0="0000019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F30" w:rsidRDefault="00094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475" w:rsidRPr="00852F35" w:rsidRDefault="00F66475" w:rsidP="00536F78">
    <w:pPr>
      <w:pStyle w:val="Header"/>
      <w:rPr>
        <w:rFonts w:ascii="Segoe UI" w:hAnsi="Segoe UI" w:cs="Segoe UI"/>
        <w:color w:val="6E6E6E"/>
        <w:sz w:val="18"/>
      </w:rPr>
    </w:pPr>
    <w:r>
      <w:rPr>
        <w:color w:val="6E6E6E"/>
        <w:sz w:val="18"/>
        <w:szCs w:val="18"/>
      </w:rPr>
      <w:t>DCCEEW</w:t>
    </w:r>
    <w:r w:rsidRPr="00852F35">
      <w:rPr>
        <w:color w:val="6E6E6E"/>
        <w:sz w:val="18"/>
        <w:szCs w:val="18"/>
      </w:rPr>
      <w:t xml:space="preserve"> | </w:t>
    </w:r>
    <w:r>
      <w:rPr>
        <w:color w:val="6E6E6E"/>
        <w:sz w:val="18"/>
        <w:szCs w:val="18"/>
      </w:rPr>
      <w:t>Options for electricity generation and storage capacity – Regulatory Impact Assessment</w:t>
    </w:r>
    <w:r w:rsidRPr="00852F35">
      <w:rPr>
        <w:color w:val="6E6E6E"/>
      </w:rPr>
      <w:ptab w:relativeTo="margin" w:alignment="right" w:leader="none"/>
    </w:r>
  </w:p>
  <w:sdt>
    <w:sdtPr>
      <w:id w:val="-35507990"/>
      <w:docPartObj>
        <w:docPartGallery w:val="Page Numbers (Bottom of Page)"/>
        <w:docPartUnique/>
      </w:docPartObj>
    </w:sdtPr>
    <w:sdtEndPr>
      <w:rPr>
        <w:noProof/>
        <w:sz w:val="20"/>
        <w:szCs w:val="20"/>
      </w:rPr>
    </w:sdtEndPr>
    <w:sdtContent>
      <w:p w:rsidR="00F66475" w:rsidRPr="00AC0CAA" w:rsidRDefault="00F66475">
        <w:pPr>
          <w:pStyle w:val="Footer"/>
          <w:jc w:val="right"/>
          <w:rPr>
            <w:sz w:val="20"/>
            <w:szCs w:val="20"/>
          </w:rPr>
        </w:pPr>
        <w:r w:rsidRPr="00AC0CAA">
          <w:rPr>
            <w:sz w:val="20"/>
            <w:szCs w:val="20"/>
          </w:rPr>
          <w:fldChar w:fldCharType="begin"/>
        </w:r>
        <w:r w:rsidRPr="00AC0CAA">
          <w:rPr>
            <w:sz w:val="20"/>
            <w:szCs w:val="20"/>
          </w:rPr>
          <w:instrText xml:space="preserve"> PAGE   \* MERGEFORMAT </w:instrText>
        </w:r>
        <w:r w:rsidRPr="00AC0CAA">
          <w:rPr>
            <w:sz w:val="20"/>
            <w:szCs w:val="20"/>
          </w:rPr>
          <w:fldChar w:fldCharType="separate"/>
        </w:r>
        <w:r w:rsidR="00094F30">
          <w:rPr>
            <w:noProof/>
            <w:sz w:val="20"/>
            <w:szCs w:val="20"/>
          </w:rPr>
          <w:t>1</w:t>
        </w:r>
        <w:r w:rsidRPr="00AC0CAA">
          <w:rPr>
            <w:noProof/>
            <w:sz w:val="20"/>
            <w:szCs w:val="20"/>
          </w:rPr>
          <w:fldChar w:fldCharType="end"/>
        </w:r>
      </w:p>
    </w:sdtContent>
  </w:sdt>
  <w:p w:rsidR="00F66475" w:rsidRPr="00852F35" w:rsidRDefault="00F66475" w:rsidP="00D10635">
    <w:pPr>
      <w:pStyle w:val="Header"/>
      <w:rPr>
        <w:rFonts w:ascii="Segoe UI" w:hAnsi="Segoe UI" w:cs="Segoe UI"/>
        <w:color w:val="6E6E6E"/>
        <w:sz w:val="18"/>
      </w:rPr>
    </w:pPr>
  </w:p>
  <w:p w:rsidR="00F66475" w:rsidRDefault="00F6647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475" w:rsidRDefault="00F66475" w:rsidP="00464D89">
    <w:pPr>
      <w:pStyle w:val="Header"/>
      <w:jc w:val="center"/>
    </w:pPr>
  </w:p>
  <w:p w:rsidR="00F66475" w:rsidRPr="00BB1526" w:rsidRDefault="00F66475" w:rsidP="00BB1526">
    <w:pPr>
      <w:pStyle w:val="Header"/>
      <w:rPr>
        <w:rFonts w:ascii="Segoe UI" w:hAnsi="Segoe UI" w:cs="Segoe UI"/>
        <w:color w:val="6E6E6E"/>
        <w:sz w:val="18"/>
      </w:rPr>
    </w:pPr>
  </w:p>
  <w:p w:rsidR="00F66475" w:rsidRDefault="00F6647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475" w:rsidRPr="00852F35" w:rsidRDefault="00F66475" w:rsidP="00536F78">
    <w:pPr>
      <w:pStyle w:val="Header"/>
      <w:rPr>
        <w:rFonts w:ascii="Segoe UI" w:hAnsi="Segoe UI" w:cs="Segoe UI"/>
        <w:color w:val="6E6E6E"/>
        <w:sz w:val="18"/>
      </w:rPr>
    </w:pPr>
    <w:r>
      <w:rPr>
        <w:color w:val="6E6E6E"/>
        <w:sz w:val="18"/>
        <w:szCs w:val="18"/>
      </w:rPr>
      <w:t>DCCEEW</w:t>
    </w:r>
    <w:r w:rsidRPr="00852F35">
      <w:rPr>
        <w:color w:val="6E6E6E"/>
        <w:sz w:val="18"/>
        <w:szCs w:val="18"/>
      </w:rPr>
      <w:t xml:space="preserve"> | </w:t>
    </w:r>
    <w:r>
      <w:rPr>
        <w:color w:val="6E6E6E"/>
        <w:sz w:val="18"/>
        <w:szCs w:val="18"/>
      </w:rPr>
      <w:t>Options for electricity generation and storage capacity – Regulatory Impact Assessment</w:t>
    </w:r>
    <w:r w:rsidRPr="00852F35">
      <w:rPr>
        <w:color w:val="6E6E6E"/>
      </w:rPr>
      <w:ptab w:relativeTo="margin" w:alignment="right" w:leader="none"/>
    </w:r>
  </w:p>
  <w:sdt>
    <w:sdtPr>
      <w:id w:val="2075624105"/>
      <w:docPartObj>
        <w:docPartGallery w:val="Page Numbers (Bottom of Page)"/>
        <w:docPartUnique/>
      </w:docPartObj>
    </w:sdtPr>
    <w:sdtEndPr>
      <w:rPr>
        <w:noProof/>
        <w:sz w:val="20"/>
        <w:szCs w:val="20"/>
      </w:rPr>
    </w:sdtEndPr>
    <w:sdtContent>
      <w:p w:rsidR="00F66475" w:rsidRPr="00AC0CAA" w:rsidRDefault="00F66475">
        <w:pPr>
          <w:pStyle w:val="Footer"/>
          <w:jc w:val="right"/>
          <w:rPr>
            <w:sz w:val="20"/>
            <w:szCs w:val="20"/>
          </w:rPr>
        </w:pPr>
        <w:r w:rsidRPr="00AC0CAA">
          <w:rPr>
            <w:sz w:val="20"/>
            <w:szCs w:val="20"/>
          </w:rPr>
          <w:fldChar w:fldCharType="begin"/>
        </w:r>
        <w:r w:rsidRPr="00AC0CAA">
          <w:rPr>
            <w:sz w:val="20"/>
            <w:szCs w:val="20"/>
          </w:rPr>
          <w:instrText xml:space="preserve"> PAGE   \* MERGEFORMAT </w:instrText>
        </w:r>
        <w:r w:rsidRPr="00AC0CAA">
          <w:rPr>
            <w:sz w:val="20"/>
            <w:szCs w:val="20"/>
          </w:rPr>
          <w:fldChar w:fldCharType="separate"/>
        </w:r>
        <w:r w:rsidR="00094F30">
          <w:rPr>
            <w:noProof/>
            <w:sz w:val="20"/>
            <w:szCs w:val="20"/>
          </w:rPr>
          <w:t>26</w:t>
        </w:r>
        <w:r w:rsidRPr="00AC0CAA">
          <w:rPr>
            <w:noProof/>
            <w:sz w:val="20"/>
            <w:szCs w:val="20"/>
          </w:rPr>
          <w:fldChar w:fldCharType="end"/>
        </w:r>
      </w:p>
    </w:sdtContent>
  </w:sdt>
  <w:p w:rsidR="00F66475" w:rsidRDefault="00F664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EE" w:rsidRPr="00852F35" w:rsidRDefault="00BF3DD5" w:rsidP="00536F78">
    <w:pPr>
      <w:pStyle w:val="Header"/>
      <w:rPr>
        <w:rFonts w:ascii="Segoe UI" w:hAnsi="Segoe UI" w:cs="Segoe UI"/>
        <w:color w:val="6E6E6E"/>
        <w:sz w:val="18"/>
      </w:rPr>
    </w:pPr>
    <w:r>
      <w:rPr>
        <w:color w:val="6E6E6E"/>
        <w:sz w:val="18"/>
        <w:szCs w:val="18"/>
      </w:rPr>
      <w:t>DCCEEW</w:t>
    </w:r>
    <w:r w:rsidRPr="00852F35">
      <w:rPr>
        <w:color w:val="6E6E6E"/>
        <w:sz w:val="18"/>
        <w:szCs w:val="18"/>
      </w:rPr>
      <w:t xml:space="preserve"> | </w:t>
    </w:r>
    <w:r>
      <w:rPr>
        <w:color w:val="6E6E6E"/>
        <w:sz w:val="18"/>
        <w:szCs w:val="18"/>
      </w:rPr>
      <w:t>Options for electricity generation and storage capacity – Regulatory Impact Assessment</w:t>
    </w:r>
    <w:r w:rsidRPr="00852F35">
      <w:rPr>
        <w:color w:val="6E6E6E"/>
      </w:rPr>
      <w:ptab w:relativeTo="margin" w:alignment="right" w:leader="none"/>
    </w:r>
  </w:p>
  <w:sdt>
    <w:sdtPr>
      <w:id w:val="1008561783"/>
      <w:docPartObj>
        <w:docPartGallery w:val="Page Numbers (Bottom of Page)"/>
        <w:docPartUnique/>
      </w:docPartObj>
    </w:sdtPr>
    <w:sdtEndPr>
      <w:rPr>
        <w:noProof/>
        <w:sz w:val="20"/>
        <w:szCs w:val="20"/>
      </w:rPr>
    </w:sdtEndPr>
    <w:sdtContent>
      <w:p w:rsidR="00B463EE" w:rsidRPr="00AC0CAA" w:rsidRDefault="00BF3DD5">
        <w:pPr>
          <w:pStyle w:val="Footer"/>
          <w:jc w:val="right"/>
          <w:rPr>
            <w:sz w:val="20"/>
            <w:szCs w:val="20"/>
          </w:rPr>
        </w:pPr>
        <w:r w:rsidRPr="00AC0CAA">
          <w:rPr>
            <w:sz w:val="20"/>
            <w:szCs w:val="20"/>
          </w:rPr>
          <w:fldChar w:fldCharType="begin"/>
        </w:r>
        <w:r w:rsidRPr="00AC0CAA">
          <w:rPr>
            <w:sz w:val="20"/>
            <w:szCs w:val="20"/>
          </w:rPr>
          <w:instrText xml:space="preserve"> PAGE   \* MERGEFORMAT </w:instrText>
        </w:r>
        <w:r w:rsidRPr="00AC0CAA">
          <w:rPr>
            <w:sz w:val="20"/>
            <w:szCs w:val="20"/>
          </w:rPr>
          <w:fldChar w:fldCharType="separate"/>
        </w:r>
        <w:r w:rsidR="00094F30">
          <w:rPr>
            <w:noProof/>
            <w:sz w:val="20"/>
            <w:szCs w:val="20"/>
          </w:rPr>
          <w:t>29</w:t>
        </w:r>
        <w:r w:rsidRPr="00AC0CAA">
          <w:rPr>
            <w:noProof/>
            <w:sz w:val="20"/>
            <w:szCs w:val="20"/>
          </w:rPr>
          <w:fldChar w:fldCharType="end"/>
        </w:r>
      </w:p>
    </w:sdtContent>
  </w:sdt>
  <w:p w:rsidR="00B463EE" w:rsidRDefault="00314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49E" w:rsidRDefault="0031449E" w:rsidP="00F66475">
      <w:pPr>
        <w:spacing w:after="0" w:line="240" w:lineRule="auto"/>
      </w:pPr>
      <w:r>
        <w:separator/>
      </w:r>
    </w:p>
  </w:footnote>
  <w:footnote w:type="continuationSeparator" w:id="0">
    <w:p w:rsidR="0031449E" w:rsidRDefault="0031449E" w:rsidP="00F66475">
      <w:pPr>
        <w:spacing w:after="0" w:line="240" w:lineRule="auto"/>
      </w:pPr>
      <w:r>
        <w:continuationSeparator/>
      </w:r>
    </w:p>
  </w:footnote>
  <w:footnote w:id="1">
    <w:p w:rsidR="00F66475" w:rsidRDefault="00F66475" w:rsidP="00F66475">
      <w:pPr>
        <w:pStyle w:val="FootnoteText"/>
      </w:pPr>
      <w:r>
        <w:rPr>
          <w:rStyle w:val="FootnoteReference"/>
        </w:rPr>
        <w:footnoteRef/>
      </w:r>
      <w:r w:rsidRPr="00A75495">
        <w:rPr>
          <w:sz w:val="16"/>
          <w:szCs w:val="16"/>
        </w:rPr>
        <w:t xml:space="preserve"> </w:t>
      </w:r>
      <w:hyperlink r:id="rId1" w:history="1">
        <w:r w:rsidRPr="00A75495">
          <w:rPr>
            <w:rStyle w:val="Hyperlink"/>
            <w:sz w:val="16"/>
            <w:szCs w:val="16"/>
          </w:rPr>
          <w:t>AEMO | 2022 Integrated System Plan (ISP)</w:t>
        </w:r>
      </w:hyperlink>
    </w:p>
  </w:footnote>
  <w:footnote w:id="2">
    <w:p w:rsidR="00F66475" w:rsidRDefault="00F66475" w:rsidP="00F66475">
      <w:pPr>
        <w:pStyle w:val="FootnoteText"/>
      </w:pPr>
      <w:r>
        <w:rPr>
          <w:rStyle w:val="FootnoteReference"/>
        </w:rPr>
        <w:footnoteRef/>
      </w:r>
      <w:r>
        <w:t xml:space="preserve"> </w:t>
      </w:r>
      <w:hyperlink r:id="rId2" w:anchor=":~:text=526%20MW%20of%20new%20renewable,year%20of%20investment%20in%202022." w:history="1">
        <w:r>
          <w:rPr>
            <w:rStyle w:val="Hyperlink"/>
            <w:sz w:val="16"/>
            <w:szCs w:val="16"/>
          </w:rPr>
          <w:t>Large-scale generation certificates (LGCs) (cleanenergyregulator.gov.au)</w:t>
        </w:r>
      </w:hyperlink>
    </w:p>
  </w:footnote>
  <w:footnote w:id="3">
    <w:p w:rsidR="00F66475" w:rsidRDefault="00F66475" w:rsidP="00F66475">
      <w:pPr>
        <w:pStyle w:val="FootnoteText"/>
      </w:pPr>
      <w:r>
        <w:rPr>
          <w:rStyle w:val="FootnoteReference"/>
        </w:rPr>
        <w:footnoteRef/>
      </w:r>
      <w:r>
        <w:t xml:space="preserve"> </w:t>
      </w:r>
      <w:hyperlink r:id="rId3" w:history="1">
        <w:r w:rsidRPr="001C78C5">
          <w:rPr>
            <w:rStyle w:val="Hyperlink"/>
            <w:sz w:val="16"/>
            <w:szCs w:val="16"/>
          </w:rPr>
          <w:t>Capacity mechanism high-level design paper released | energy.gov.au</w:t>
        </w:r>
      </w:hyperlink>
    </w:p>
  </w:footnote>
  <w:footnote w:id="4">
    <w:p w:rsidR="00F66475" w:rsidRDefault="00F66475" w:rsidP="00F66475">
      <w:pPr>
        <w:pStyle w:val="FootnoteText"/>
      </w:pPr>
      <w:r>
        <w:rPr>
          <w:rStyle w:val="FootnoteReference"/>
        </w:rPr>
        <w:footnoteRef/>
      </w:r>
      <w:r>
        <w:t xml:space="preserve"> </w:t>
      </w:r>
      <w:hyperlink r:id="rId4" w:history="1">
        <w:r w:rsidRPr="00B84EFF">
          <w:rPr>
            <w:rStyle w:val="Hyperlink"/>
            <w:sz w:val="16"/>
            <w:szCs w:val="16"/>
          </w:rPr>
          <w:t>Meetings and communiques | energy.gov.au</w:t>
        </w:r>
      </w:hyperlink>
    </w:p>
  </w:footnote>
  <w:footnote w:id="5">
    <w:p w:rsidR="00F66475" w:rsidRDefault="00F66475" w:rsidP="00F66475">
      <w:pPr>
        <w:pStyle w:val="FootnoteText"/>
      </w:pPr>
      <w:r>
        <w:rPr>
          <w:rStyle w:val="FootnoteReference"/>
        </w:rPr>
        <w:footnoteRef/>
      </w:r>
      <w:r>
        <w:t xml:space="preserve"> </w:t>
      </w:r>
      <w:hyperlink r:id="rId5" w:history="1">
        <w:r w:rsidRPr="00D47C08">
          <w:rPr>
            <w:rStyle w:val="Hyperlink"/>
            <w:sz w:val="16"/>
            <w:szCs w:val="16"/>
          </w:rPr>
          <w:t>Consultation hub | Capacity Investment Scheme – Public Consultation paper - Climate (dcceew.gov.au)</w:t>
        </w:r>
      </w:hyperlink>
    </w:p>
  </w:footnote>
  <w:footnote w:id="6">
    <w:p w:rsidR="00F66475" w:rsidRDefault="00F66475" w:rsidP="00F66475">
      <w:pPr>
        <w:pStyle w:val="FootnoteText"/>
      </w:pPr>
      <w:r>
        <w:rPr>
          <w:rStyle w:val="FootnoteReference"/>
        </w:rPr>
        <w:footnoteRef/>
      </w:r>
      <w:r w:rsidRPr="001C78C5">
        <w:rPr>
          <w:sz w:val="22"/>
          <w:szCs w:val="22"/>
        </w:rPr>
        <w:t xml:space="preserve"> </w:t>
      </w:r>
      <w:hyperlink r:id="rId6" w:history="1">
        <w:r w:rsidRPr="000E7BD0">
          <w:rPr>
            <w:rStyle w:val="Hyperlink"/>
            <w:rFonts w:ascii="Calibri Light" w:hAnsi="Calibri Light" w:cs="Calibri Light"/>
            <w:szCs w:val="22"/>
          </w:rPr>
          <w:t>The Office of Impact Analysis regulatory burden measurement framework</w:t>
        </w:r>
      </w:hyperlink>
    </w:p>
  </w:footnote>
  <w:footnote w:id="7">
    <w:p w:rsidR="00F66475" w:rsidRPr="002B4B89" w:rsidRDefault="00F66475" w:rsidP="00F66475">
      <w:pPr>
        <w:pStyle w:val="FootnoteText"/>
        <w:rPr>
          <w:sz w:val="16"/>
          <w:szCs w:val="16"/>
        </w:rPr>
      </w:pPr>
      <w:r w:rsidRPr="002B4B89">
        <w:rPr>
          <w:rStyle w:val="FootnoteReference"/>
          <w:sz w:val="16"/>
          <w:szCs w:val="16"/>
        </w:rPr>
        <w:footnoteRef/>
      </w:r>
      <w:r w:rsidRPr="002B4B89">
        <w:rPr>
          <w:sz w:val="16"/>
          <w:szCs w:val="16"/>
        </w:rPr>
        <w:t xml:space="preserve"> Aurora Energy Research, European market and policy outlook, October 2022.</w:t>
      </w:r>
    </w:p>
  </w:footnote>
  <w:footnote w:id="8">
    <w:p w:rsidR="00F66475" w:rsidRPr="002B4B89" w:rsidRDefault="00F66475" w:rsidP="00F66475">
      <w:pPr>
        <w:pStyle w:val="FootnoteText"/>
        <w:rPr>
          <w:sz w:val="16"/>
          <w:szCs w:val="16"/>
        </w:rPr>
      </w:pPr>
      <w:r w:rsidRPr="002B4B89">
        <w:rPr>
          <w:rStyle w:val="FootnoteReference"/>
          <w:sz w:val="16"/>
          <w:szCs w:val="16"/>
        </w:rPr>
        <w:footnoteRef/>
      </w:r>
      <w:r w:rsidRPr="002B4B89">
        <w:rPr>
          <w:sz w:val="16"/>
          <w:szCs w:val="16"/>
        </w:rPr>
        <w:t xml:space="preserve"> International Renewable Energy Agency, Recent Trends in Renewable Energy Auctions, 2019.</w:t>
      </w:r>
    </w:p>
  </w:footnote>
  <w:footnote w:id="9">
    <w:p w:rsidR="00F66475" w:rsidRPr="002B4B89" w:rsidRDefault="00F66475" w:rsidP="00F66475">
      <w:pPr>
        <w:pStyle w:val="FootnoteText"/>
        <w:rPr>
          <w:sz w:val="16"/>
          <w:szCs w:val="16"/>
        </w:rPr>
      </w:pPr>
      <w:r w:rsidRPr="002B4B89">
        <w:rPr>
          <w:rStyle w:val="FootnoteReference"/>
          <w:sz w:val="16"/>
          <w:szCs w:val="16"/>
        </w:rPr>
        <w:footnoteRef/>
      </w:r>
      <w:r w:rsidRPr="002B4B89">
        <w:rPr>
          <w:sz w:val="16"/>
          <w:szCs w:val="16"/>
        </w:rPr>
        <w:t xml:space="preserve"> International Renewable Energy Agency, Power Market Design, 2022.</w:t>
      </w:r>
    </w:p>
  </w:footnote>
  <w:footnote w:id="10">
    <w:p w:rsidR="00F66475" w:rsidRPr="002B4B89" w:rsidRDefault="00F66475" w:rsidP="00F66475">
      <w:pPr>
        <w:pStyle w:val="FootnoteText"/>
        <w:rPr>
          <w:sz w:val="16"/>
          <w:szCs w:val="16"/>
        </w:rPr>
      </w:pPr>
      <w:r w:rsidRPr="002B4B89">
        <w:rPr>
          <w:rStyle w:val="FootnoteReference"/>
          <w:sz w:val="16"/>
          <w:szCs w:val="16"/>
        </w:rPr>
        <w:footnoteRef/>
      </w:r>
      <w:r w:rsidRPr="002B4B89">
        <w:rPr>
          <w:sz w:val="16"/>
          <w:szCs w:val="16"/>
        </w:rPr>
        <w:t xml:space="preserve"> Nelson, T., Nolan, T. and Gilmore, J. (2022), What’s next for the Renewable Energy Target – resolving Australia’s integration of energy and climate change policy?. Aust J Agric Resource Econ, 66: 136-163.</w:t>
      </w:r>
    </w:p>
  </w:footnote>
  <w:footnote w:id="11">
    <w:p w:rsidR="00F66475" w:rsidRPr="002B4B89" w:rsidRDefault="00F66475" w:rsidP="00F66475">
      <w:pPr>
        <w:pStyle w:val="FootnoteText"/>
        <w:rPr>
          <w:sz w:val="16"/>
          <w:szCs w:val="16"/>
        </w:rPr>
      </w:pPr>
      <w:r w:rsidRPr="002B4B89">
        <w:rPr>
          <w:rStyle w:val="FootnoteReference"/>
          <w:sz w:val="16"/>
          <w:szCs w:val="16"/>
        </w:rPr>
        <w:footnoteRef/>
      </w:r>
      <w:r w:rsidRPr="002B4B89">
        <w:rPr>
          <w:sz w:val="16"/>
          <w:szCs w:val="16"/>
        </w:rPr>
        <w:t xml:space="preserve"> Aurora Energy Research, European market and policy outlook, October 2022.</w:t>
      </w:r>
    </w:p>
  </w:footnote>
  <w:footnote w:id="12">
    <w:p w:rsidR="00F66475" w:rsidRPr="002B4B89" w:rsidRDefault="00F66475" w:rsidP="00F66475">
      <w:pPr>
        <w:pStyle w:val="FootnoteText"/>
        <w:rPr>
          <w:sz w:val="16"/>
          <w:szCs w:val="16"/>
        </w:rPr>
      </w:pPr>
      <w:r w:rsidRPr="002B4B89">
        <w:rPr>
          <w:rStyle w:val="FootnoteReference"/>
          <w:sz w:val="16"/>
          <w:szCs w:val="16"/>
        </w:rPr>
        <w:footnoteRef/>
      </w:r>
      <w:r w:rsidRPr="002B4B89">
        <w:rPr>
          <w:sz w:val="16"/>
          <w:szCs w:val="16"/>
        </w:rPr>
        <w:t xml:space="preserve"> </w:t>
      </w:r>
      <w:hyperlink r:id="rId7" w:history="1">
        <w:r w:rsidRPr="002B4B89">
          <w:rPr>
            <w:rStyle w:val="Hyperlink"/>
            <w:sz w:val="16"/>
            <w:szCs w:val="16"/>
          </w:rPr>
          <w:t>https://www.pinsentmasons.com/out-law/analysis/contracts-for-difference-industry-cleantech</w:t>
        </w:r>
      </w:hyperlink>
    </w:p>
    <w:p w:rsidR="00F66475" w:rsidRDefault="00F66475" w:rsidP="00F664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F30" w:rsidRDefault="00094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F30" w:rsidRDefault="00094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475" w:rsidRDefault="00F66475" w:rsidP="00E9516C">
    <w:pPr>
      <w:pStyle w:val="Header"/>
      <w:jc w:val="center"/>
      <w:rPr>
        <w:noProof/>
        <w:lang w:val="en-US"/>
      </w:rPr>
    </w:pPr>
    <w:r>
      <w:rPr>
        <w:noProof/>
        <w:lang w:eastAsia="en-AU"/>
      </w:rPr>
      <w:drawing>
        <wp:anchor distT="0" distB="0" distL="114300" distR="114300" simplePos="0" relativeHeight="251659264" behindDoc="1" locked="0" layoutInCell="1" allowOverlap="1" wp14:anchorId="774AF7F8" wp14:editId="1217CCF3">
          <wp:simplePos x="0" y="0"/>
          <wp:positionH relativeFrom="page">
            <wp:align>left</wp:align>
          </wp:positionH>
          <wp:positionV relativeFrom="paragraph">
            <wp:posOffset>-620395</wp:posOffset>
          </wp:positionV>
          <wp:extent cx="7559610" cy="10693190"/>
          <wp:effectExtent l="0" t="0" r="3810" b="0"/>
          <wp:wrapNone/>
          <wp:docPr id="323076909" name="Picture 32307690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p>
  <w:p w:rsidR="00F66475" w:rsidRDefault="00F66475" w:rsidP="00E9516C">
    <w:pPr>
      <w:pStyle w:val="Header"/>
      <w:jc w:val="center"/>
      <w:rPr>
        <w:rStyle w:val="CLASSIFICATIONChar"/>
      </w:rPr>
    </w:pPr>
  </w:p>
  <w:p w:rsidR="00F66475" w:rsidRDefault="00F66475" w:rsidP="00E9516C">
    <w:pPr>
      <w:pStyle w:val="Header"/>
      <w:jc w:val="center"/>
      <w:rPr>
        <w:rStyle w:val="CLASSIFICATIONChar"/>
      </w:rPr>
    </w:pPr>
  </w:p>
  <w:p w:rsidR="00F66475" w:rsidRDefault="00F66475" w:rsidP="00E9516C">
    <w:pPr>
      <w:pStyle w:val="Header"/>
      <w:jc w:val="center"/>
      <w:rPr>
        <w:rStyle w:val="CLASSIFICATIONChar"/>
      </w:rPr>
    </w:pPr>
  </w:p>
  <w:p w:rsidR="00F66475" w:rsidRDefault="00F66475" w:rsidP="00E9516C">
    <w:pPr>
      <w:pStyle w:val="Header"/>
      <w:jc w:val="center"/>
      <w:rPr>
        <w:rStyle w:val="CLASSIFICATIONChar"/>
      </w:rPr>
    </w:pPr>
  </w:p>
  <w:p w:rsidR="00F66475" w:rsidRPr="00E9516C" w:rsidRDefault="00F66475" w:rsidP="00534803">
    <w:pPr>
      <w:pStyle w:val="CLASSIFICATION"/>
    </w:pPr>
  </w:p>
  <w:p w:rsidR="00F66475" w:rsidRDefault="00F6647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475" w:rsidRDefault="00F66475" w:rsidP="00E9516C">
    <w:pPr>
      <w:pStyle w:val="Header"/>
      <w:jc w:val="center"/>
      <w:rPr>
        <w:noProof/>
        <w:lang w:val="en-US"/>
      </w:rPr>
    </w:pPr>
  </w:p>
  <w:p w:rsidR="00F66475" w:rsidRDefault="00F66475" w:rsidP="00E9516C">
    <w:pPr>
      <w:pStyle w:val="Header"/>
      <w:jc w:val="center"/>
      <w:rPr>
        <w:rStyle w:val="CLASSIFICATIONChar"/>
      </w:rPr>
    </w:pPr>
  </w:p>
  <w:p w:rsidR="00F66475" w:rsidRDefault="00F66475" w:rsidP="00E9516C">
    <w:pPr>
      <w:pStyle w:val="Header"/>
      <w:jc w:val="center"/>
      <w:rPr>
        <w:rStyle w:val="CLASSIFICATIONChar"/>
      </w:rPr>
    </w:pPr>
  </w:p>
  <w:p w:rsidR="00F66475" w:rsidRDefault="00F66475" w:rsidP="00E9516C">
    <w:pPr>
      <w:pStyle w:val="Header"/>
      <w:jc w:val="center"/>
      <w:rPr>
        <w:rStyle w:val="CLASSIFICATIONChar"/>
      </w:rPr>
    </w:pPr>
  </w:p>
  <w:p w:rsidR="00F66475" w:rsidRDefault="00F66475" w:rsidP="00E9516C">
    <w:pPr>
      <w:pStyle w:val="Header"/>
      <w:jc w:val="center"/>
      <w:rPr>
        <w:rStyle w:val="CLASSIFICATIONChar"/>
      </w:rPr>
    </w:pPr>
  </w:p>
  <w:p w:rsidR="00F66475" w:rsidRPr="00E9516C" w:rsidRDefault="00F66475" w:rsidP="00534803">
    <w:pPr>
      <w:pStyle w:val="CLASSIFICATION"/>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EE" w:rsidRDefault="0031449E" w:rsidP="00E9516C">
    <w:pPr>
      <w:pStyle w:val="Header"/>
      <w:jc w:val="center"/>
      <w:rPr>
        <w:noProof/>
        <w:lang w:val="en-US"/>
      </w:rPr>
    </w:pPr>
  </w:p>
  <w:p w:rsidR="00B463EE" w:rsidRDefault="0031449E" w:rsidP="00E9516C">
    <w:pPr>
      <w:pStyle w:val="Header"/>
      <w:jc w:val="center"/>
      <w:rPr>
        <w:rStyle w:val="CLASSIFICATIONChar"/>
      </w:rPr>
    </w:pPr>
  </w:p>
  <w:p w:rsidR="00B463EE" w:rsidRDefault="0031449E" w:rsidP="00E9516C">
    <w:pPr>
      <w:pStyle w:val="Header"/>
      <w:jc w:val="center"/>
      <w:rPr>
        <w:rStyle w:val="CLASSIFICATIONChar"/>
      </w:rPr>
    </w:pPr>
  </w:p>
  <w:p w:rsidR="00B463EE" w:rsidRDefault="0031449E" w:rsidP="00E9516C">
    <w:pPr>
      <w:pStyle w:val="Header"/>
      <w:jc w:val="center"/>
      <w:rPr>
        <w:rStyle w:val="CLASSIFICATIONChar"/>
      </w:rPr>
    </w:pPr>
  </w:p>
  <w:p w:rsidR="00B463EE" w:rsidRDefault="0031449E" w:rsidP="00E9516C">
    <w:pPr>
      <w:pStyle w:val="Header"/>
      <w:jc w:val="center"/>
      <w:rPr>
        <w:rStyle w:val="CLASSIFICATIONChar"/>
      </w:rPr>
    </w:pPr>
  </w:p>
  <w:p w:rsidR="00B463EE" w:rsidRPr="00E9516C" w:rsidRDefault="0031449E" w:rsidP="00534803">
    <w:pPr>
      <w:pStyle w:val="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05A5B2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10088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5706C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034EA4E"/>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E5823996"/>
    <w:lvl w:ilvl="0">
      <w:start w:val="1"/>
      <w:numFmt w:val="decimal"/>
      <w:pStyle w:val="ListNumber"/>
      <w:lvlText w:val="%1."/>
      <w:lvlJc w:val="left"/>
      <w:pPr>
        <w:tabs>
          <w:tab w:val="num" w:pos="360"/>
        </w:tabs>
        <w:ind w:left="360" w:hanging="360"/>
      </w:pPr>
    </w:lvl>
  </w:abstractNum>
  <w:abstractNum w:abstractNumId="5" w15:restartNumberingAfterBreak="0">
    <w:nsid w:val="09AE7F05"/>
    <w:multiLevelType w:val="hybridMultilevel"/>
    <w:tmpl w:val="50789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1C581C"/>
    <w:multiLevelType w:val="hybridMultilevel"/>
    <w:tmpl w:val="E5F6D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125B6B2D"/>
    <w:multiLevelType w:val="hybridMultilevel"/>
    <w:tmpl w:val="FA6E0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FD33CB"/>
    <w:multiLevelType w:val="multilevel"/>
    <w:tmpl w:val="04090025"/>
    <w:lvl w:ilvl="0">
      <w:start w:val="1"/>
      <w:numFmt w:val="decimal"/>
      <w:pStyle w:val="List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3" w15:restartNumberingAfterBreak="0">
    <w:nsid w:val="15CB4C00"/>
    <w:multiLevelType w:val="hybridMultilevel"/>
    <w:tmpl w:val="CBE83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pStyle w:val="ListBullet2"/>
      <w:lvlText w:val="%2."/>
      <w:lvlJc w:val="left"/>
      <w:pPr>
        <w:ind w:left="3709" w:hanging="360"/>
      </w:pPr>
    </w:lvl>
    <w:lvl w:ilvl="2" w:tplc="0C09001B" w:tentative="1">
      <w:start w:val="1"/>
      <w:numFmt w:val="lowerRoman"/>
      <w:pStyle w:val="ListBullet3"/>
      <w:lvlText w:val="%3."/>
      <w:lvlJc w:val="right"/>
      <w:pPr>
        <w:ind w:left="4429" w:hanging="180"/>
      </w:pPr>
    </w:lvl>
    <w:lvl w:ilvl="3" w:tplc="0C09000F" w:tentative="1">
      <w:start w:val="1"/>
      <w:numFmt w:val="decimal"/>
      <w:pStyle w:val="ListBullet4"/>
      <w:lvlText w:val="%4."/>
      <w:lvlJc w:val="left"/>
      <w:pPr>
        <w:ind w:left="5149" w:hanging="360"/>
      </w:pPr>
    </w:lvl>
    <w:lvl w:ilvl="4" w:tplc="0C090019" w:tentative="1">
      <w:start w:val="1"/>
      <w:numFmt w:val="lowerLetter"/>
      <w:pStyle w:val="ListBullet5"/>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15" w15:restartNumberingAfterBreak="0">
    <w:nsid w:val="1ADC1FF7"/>
    <w:multiLevelType w:val="multilevel"/>
    <w:tmpl w:val="F0824414"/>
    <w:lvl w:ilvl="0">
      <w:start w:val="1"/>
      <w:numFmt w:val="decimal"/>
      <w:pStyle w:val="05L1"/>
      <w:lvlText w:val="%1."/>
      <w:lvlJc w:val="left"/>
      <w:pPr>
        <w:ind w:left="360" w:hanging="360"/>
      </w:pPr>
      <w:rPr>
        <w:rFonts w:hint="default"/>
      </w:rPr>
    </w:lvl>
    <w:lvl w:ilvl="1">
      <w:start w:val="1"/>
      <w:numFmt w:val="lowerLetter"/>
      <w:pStyle w:val="05L2"/>
      <w:lvlText w:val="%2."/>
      <w:lvlJc w:val="left"/>
      <w:pPr>
        <w:ind w:left="792" w:hanging="432"/>
      </w:pPr>
      <w:rPr>
        <w:rFonts w:hint="default"/>
        <w:color w:val="auto"/>
      </w:rPr>
    </w:lvl>
    <w:lvl w:ilvl="2">
      <w:start w:val="1"/>
      <w:numFmt w:val="decimal"/>
      <w:pStyle w:val="05L3"/>
      <w:lvlText w:val="%3)"/>
      <w:lvlJc w:val="left"/>
      <w:pPr>
        <w:ind w:left="1224" w:hanging="504"/>
      </w:pPr>
      <w:rPr>
        <w:rFonts w:hint="default"/>
        <w:color w:val="auto"/>
      </w:rPr>
    </w:lvl>
    <w:lvl w:ilvl="3">
      <w:start w:val="1"/>
      <w:numFmt w:val="lowerLetter"/>
      <w:pStyle w:val="05L4"/>
      <w:lvlText w:val="%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20DD714C"/>
    <w:multiLevelType w:val="hybridMultilevel"/>
    <w:tmpl w:val="8674A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9" w15:restartNumberingAfterBreak="0">
    <w:nsid w:val="33F576DF"/>
    <w:multiLevelType w:val="hybridMultilevel"/>
    <w:tmpl w:val="3A346192"/>
    <w:lvl w:ilvl="0" w:tplc="E2DA5DC6">
      <w:start w:val="1"/>
      <w:numFmt w:val="bullet"/>
      <w:lvlText w:val=""/>
      <w:lvlJc w:val="left"/>
      <w:pPr>
        <w:ind w:left="360" w:hanging="360"/>
      </w:pPr>
      <w:rPr>
        <w:rFonts w:ascii="Symbol" w:hAnsi="Symbol" w:hint="default"/>
      </w:rPr>
    </w:lvl>
    <w:lvl w:ilvl="1" w:tplc="0F0447BE" w:tentative="1">
      <w:start w:val="1"/>
      <w:numFmt w:val="bullet"/>
      <w:lvlText w:val="o"/>
      <w:lvlJc w:val="left"/>
      <w:pPr>
        <w:ind w:left="1080" w:hanging="360"/>
      </w:pPr>
      <w:rPr>
        <w:rFonts w:ascii="Courier New" w:hAnsi="Courier New" w:cs="Courier New" w:hint="default"/>
      </w:rPr>
    </w:lvl>
    <w:lvl w:ilvl="2" w:tplc="D6CCD9FE" w:tentative="1">
      <w:start w:val="1"/>
      <w:numFmt w:val="bullet"/>
      <w:lvlText w:val=""/>
      <w:lvlJc w:val="left"/>
      <w:pPr>
        <w:ind w:left="1800" w:hanging="360"/>
      </w:pPr>
      <w:rPr>
        <w:rFonts w:ascii="Wingdings" w:hAnsi="Wingdings" w:hint="default"/>
      </w:rPr>
    </w:lvl>
    <w:lvl w:ilvl="3" w:tplc="9F727D38" w:tentative="1">
      <w:start w:val="1"/>
      <w:numFmt w:val="bullet"/>
      <w:lvlText w:val=""/>
      <w:lvlJc w:val="left"/>
      <w:pPr>
        <w:ind w:left="2520" w:hanging="360"/>
      </w:pPr>
      <w:rPr>
        <w:rFonts w:ascii="Symbol" w:hAnsi="Symbol" w:hint="default"/>
      </w:rPr>
    </w:lvl>
    <w:lvl w:ilvl="4" w:tplc="36FE38BC" w:tentative="1">
      <w:start w:val="1"/>
      <w:numFmt w:val="bullet"/>
      <w:lvlText w:val="o"/>
      <w:lvlJc w:val="left"/>
      <w:pPr>
        <w:ind w:left="3240" w:hanging="360"/>
      </w:pPr>
      <w:rPr>
        <w:rFonts w:ascii="Courier New" w:hAnsi="Courier New" w:cs="Courier New" w:hint="default"/>
      </w:rPr>
    </w:lvl>
    <w:lvl w:ilvl="5" w:tplc="CB80A488" w:tentative="1">
      <w:start w:val="1"/>
      <w:numFmt w:val="bullet"/>
      <w:lvlText w:val=""/>
      <w:lvlJc w:val="left"/>
      <w:pPr>
        <w:ind w:left="3960" w:hanging="360"/>
      </w:pPr>
      <w:rPr>
        <w:rFonts w:ascii="Wingdings" w:hAnsi="Wingdings" w:hint="default"/>
      </w:rPr>
    </w:lvl>
    <w:lvl w:ilvl="6" w:tplc="6F4E5ECC" w:tentative="1">
      <w:start w:val="1"/>
      <w:numFmt w:val="bullet"/>
      <w:lvlText w:val=""/>
      <w:lvlJc w:val="left"/>
      <w:pPr>
        <w:ind w:left="4680" w:hanging="360"/>
      </w:pPr>
      <w:rPr>
        <w:rFonts w:ascii="Symbol" w:hAnsi="Symbol" w:hint="default"/>
      </w:rPr>
    </w:lvl>
    <w:lvl w:ilvl="7" w:tplc="24AEA47E" w:tentative="1">
      <w:start w:val="1"/>
      <w:numFmt w:val="bullet"/>
      <w:lvlText w:val="o"/>
      <w:lvlJc w:val="left"/>
      <w:pPr>
        <w:ind w:left="5400" w:hanging="360"/>
      </w:pPr>
      <w:rPr>
        <w:rFonts w:ascii="Courier New" w:hAnsi="Courier New" w:cs="Courier New" w:hint="default"/>
      </w:rPr>
    </w:lvl>
    <w:lvl w:ilvl="8" w:tplc="0B8EC30A" w:tentative="1">
      <w:start w:val="1"/>
      <w:numFmt w:val="bullet"/>
      <w:lvlText w:val=""/>
      <w:lvlJc w:val="left"/>
      <w:pPr>
        <w:ind w:left="6120" w:hanging="360"/>
      </w:pPr>
      <w:rPr>
        <w:rFonts w:ascii="Wingdings" w:hAnsi="Wingdings" w:hint="default"/>
      </w:rPr>
    </w:lvl>
  </w:abstractNum>
  <w:abstractNum w:abstractNumId="20" w15:restartNumberingAfterBreak="0">
    <w:nsid w:val="36A34C0A"/>
    <w:multiLevelType w:val="hybridMultilevel"/>
    <w:tmpl w:val="BD78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2" w15:restartNumberingAfterBreak="0">
    <w:nsid w:val="386A7637"/>
    <w:multiLevelType w:val="hybridMultilevel"/>
    <w:tmpl w:val="C4360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4" w15:restartNumberingAfterBreak="0">
    <w:nsid w:val="4B2102F2"/>
    <w:multiLevelType w:val="hybridMultilevel"/>
    <w:tmpl w:val="6A26D154"/>
    <w:lvl w:ilvl="0" w:tplc="166A23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DD7A21"/>
    <w:multiLevelType w:val="multilevel"/>
    <w:tmpl w:val="2F6A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19591B"/>
    <w:multiLevelType w:val="hybridMultilevel"/>
    <w:tmpl w:val="CE56392C"/>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7" w15:restartNumberingAfterBreak="0">
    <w:nsid w:val="53650728"/>
    <w:multiLevelType w:val="hybridMultilevel"/>
    <w:tmpl w:val="5D785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0B5E12"/>
    <w:multiLevelType w:val="hybridMultilevel"/>
    <w:tmpl w:val="3A7C0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D63A20"/>
    <w:multiLevelType w:val="multilevel"/>
    <w:tmpl w:val="F238DCCE"/>
    <w:lvl w:ilvl="0">
      <w:start w:val="1"/>
      <w:numFmt w:val="bullet"/>
      <w:pStyle w:val="01B1Dot"/>
      <w:lvlText w:val="●"/>
      <w:lvlJc w:val="left"/>
      <w:pPr>
        <w:ind w:left="360" w:hanging="360"/>
      </w:pPr>
      <w:rPr>
        <w:rFonts w:ascii="Arial" w:hAnsi="Arial" w:hint="default"/>
      </w:rPr>
    </w:lvl>
    <w:lvl w:ilvl="1">
      <w:start w:val="1"/>
      <w:numFmt w:val="bullet"/>
      <w:pStyle w:val="01B2Dash"/>
      <w:lvlText w:val="—"/>
      <w:lvlJc w:val="left"/>
      <w:pPr>
        <w:ind w:left="576" w:hanging="288"/>
      </w:pPr>
      <w:rPr>
        <w:rFonts w:ascii="Theinhardt Light" w:hAnsi="Theinhardt Light" w:hint="default"/>
        <w:color w:val="auto"/>
      </w:rPr>
    </w:lvl>
    <w:lvl w:ilvl="2">
      <w:start w:val="1"/>
      <w:numFmt w:val="bullet"/>
      <w:pStyle w:val="01B3Chevron"/>
      <w:lvlText w:val="›"/>
      <w:lvlJc w:val="left"/>
      <w:pPr>
        <w:ind w:left="864" w:hanging="288"/>
      </w:pPr>
      <w:rPr>
        <w:rFonts w:ascii="Arial" w:hAnsi="Arial" w:hint="default"/>
        <w:color w:val="auto"/>
      </w:rPr>
    </w:lvl>
    <w:lvl w:ilvl="3">
      <w:start w:val="1"/>
      <w:numFmt w:val="bullet"/>
      <w:pStyle w:val="01B4Chevron"/>
      <w:lvlText w:val="»"/>
      <w:lvlJc w:val="left"/>
      <w:pPr>
        <w:ind w:left="1152" w:hanging="288"/>
      </w:pPr>
      <w:rPr>
        <w:rFonts w:ascii="Arial" w:hAnsi="Arial" w:hint="default"/>
        <w:color w:val="auto"/>
      </w:rPr>
    </w:lvl>
    <w:lvl w:ilvl="4">
      <w:start w:val="1"/>
      <w:numFmt w:val="bullet"/>
      <w:pStyle w:val="01B5Square"/>
      <w:lvlText w:val="▫"/>
      <w:lvlJc w:val="left"/>
      <w:pPr>
        <w:ind w:left="1440" w:hanging="288"/>
      </w:pPr>
      <w:rPr>
        <w:rFonts w:ascii="Arial" w:hAnsi="Arial" w:hint="default"/>
        <w:color w:val="auto"/>
      </w:rPr>
    </w:lvl>
    <w:lvl w:ilvl="5">
      <w:start w:val="1"/>
      <w:numFmt w:val="bullet"/>
      <w:lvlText w:val="▫"/>
      <w:lvlJc w:val="left"/>
      <w:pPr>
        <w:ind w:left="1728" w:hanging="288"/>
      </w:pPr>
      <w:rPr>
        <w:rFonts w:asciiTheme="minorHAnsi" w:hAnsiTheme="minorHAnsi" w:hint="default"/>
        <w:color w:val="auto"/>
      </w:rPr>
    </w:lvl>
    <w:lvl w:ilvl="6">
      <w:start w:val="1"/>
      <w:numFmt w:val="bullet"/>
      <w:lvlText w:val="▫"/>
      <w:lvlJc w:val="left"/>
      <w:pPr>
        <w:ind w:left="2016" w:hanging="288"/>
      </w:pPr>
      <w:rPr>
        <w:rFonts w:asciiTheme="minorHAnsi" w:hAnsiTheme="minorHAnsi" w:hint="default"/>
        <w:color w:val="auto"/>
      </w:rPr>
    </w:lvl>
    <w:lvl w:ilvl="7">
      <w:start w:val="1"/>
      <w:numFmt w:val="bullet"/>
      <w:lvlText w:val="▫"/>
      <w:lvlJc w:val="left"/>
      <w:pPr>
        <w:ind w:left="2304" w:hanging="288"/>
      </w:pPr>
      <w:rPr>
        <w:rFonts w:asciiTheme="minorHAnsi" w:hAnsiTheme="minorHAnsi" w:hint="default"/>
      </w:rPr>
    </w:lvl>
    <w:lvl w:ilvl="8">
      <w:start w:val="1"/>
      <w:numFmt w:val="bullet"/>
      <w:lvlText w:val="▪"/>
      <w:lvlJc w:val="left"/>
      <w:pPr>
        <w:ind w:left="2592" w:hanging="288"/>
      </w:pPr>
      <w:rPr>
        <w:rFonts w:ascii="Calibri" w:hAnsi="Calibri" w:hint="default"/>
      </w:rPr>
    </w:lvl>
  </w:abstractNum>
  <w:abstractNum w:abstractNumId="30"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1" w15:restartNumberingAfterBreak="0">
    <w:nsid w:val="607F4479"/>
    <w:multiLevelType w:val="hybridMultilevel"/>
    <w:tmpl w:val="3AB8F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0961FB"/>
    <w:multiLevelType w:val="hybridMultilevel"/>
    <w:tmpl w:val="7BD06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D96574"/>
    <w:multiLevelType w:val="hybridMultilevel"/>
    <w:tmpl w:val="1058455E"/>
    <w:lvl w:ilvl="0" w:tplc="8F16D02E">
      <w:start w:val="3"/>
      <w:numFmt w:val="bullet"/>
      <w:lvlText w:val="-"/>
      <w:lvlJc w:val="left"/>
      <w:pPr>
        <w:ind w:left="720" w:hanging="360"/>
      </w:pPr>
      <w:rPr>
        <w:rFonts w:ascii="Arial (Body)" w:eastAsia="Times New Roman" w:hAnsi="Arial (Body)"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4428B8"/>
    <w:multiLevelType w:val="multilevel"/>
    <w:tmpl w:val="A64C5254"/>
    <w:lvl w:ilvl="0">
      <w:start w:val="1"/>
      <w:numFmt w:val="decimal"/>
      <w:pStyle w:val="301MajorH1"/>
      <w:lvlText w:val="%1"/>
      <w:lvlJc w:val="left"/>
      <w:pPr>
        <w:ind w:left="432" w:hanging="432"/>
      </w:pPr>
      <w:rPr>
        <w:rFonts w:hint="default"/>
      </w:rPr>
    </w:lvl>
    <w:lvl w:ilvl="1">
      <w:start w:val="1"/>
      <w:numFmt w:val="decimal"/>
      <w:pStyle w:val="302MinH2"/>
      <w:lvlText w:val="%1.%2"/>
      <w:lvlJc w:val="left"/>
      <w:pPr>
        <w:ind w:left="576" w:hanging="576"/>
      </w:pPr>
      <w:rPr>
        <w:rFonts w:hint="default"/>
      </w:rPr>
    </w:lvl>
    <w:lvl w:ilvl="2">
      <w:start w:val="1"/>
      <w:numFmt w:val="decimal"/>
      <w:pStyle w:val="303Sub1H3"/>
      <w:lvlText w:val="%1.%2.%3"/>
      <w:lvlJc w:val="left"/>
      <w:pPr>
        <w:ind w:left="720" w:hanging="720"/>
      </w:pPr>
      <w:rPr>
        <w:rFonts w:hint="default"/>
      </w:rPr>
    </w:lvl>
    <w:lvl w:ilvl="3">
      <w:start w:val="1"/>
      <w:numFmt w:val="decimal"/>
      <w:pStyle w:val="304Sub2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7" w15:restartNumberingAfterBreak="0">
    <w:nsid w:val="750B7A88"/>
    <w:multiLevelType w:val="hybridMultilevel"/>
    <w:tmpl w:val="2A44E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7E6BD8"/>
    <w:multiLevelType w:val="hybridMultilevel"/>
    <w:tmpl w:val="00703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8E62FE"/>
    <w:multiLevelType w:val="hybridMultilevel"/>
    <w:tmpl w:val="7960B3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B646C61"/>
    <w:multiLevelType w:val="hybridMultilevel"/>
    <w:tmpl w:val="07861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BD03740"/>
    <w:multiLevelType w:val="multilevel"/>
    <w:tmpl w:val="40962182"/>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abstractNumId w:val="7"/>
  </w:num>
  <w:num w:numId="2">
    <w:abstractNumId w:val="6"/>
  </w:num>
  <w:num w:numId="3">
    <w:abstractNumId w:val="34"/>
  </w:num>
  <w:num w:numId="4">
    <w:abstractNumId w:val="18"/>
  </w:num>
  <w:num w:numId="5">
    <w:abstractNumId w:val="39"/>
  </w:num>
  <w:num w:numId="6">
    <w:abstractNumId w:val="14"/>
  </w:num>
  <w:num w:numId="7">
    <w:abstractNumId w:val="23"/>
  </w:num>
  <w:num w:numId="8">
    <w:abstractNumId w:val="12"/>
  </w:num>
  <w:num w:numId="9">
    <w:abstractNumId w:val="16"/>
  </w:num>
  <w:num w:numId="10">
    <w:abstractNumId w:val="9"/>
  </w:num>
  <w:num w:numId="11">
    <w:abstractNumId w:val="36"/>
  </w:num>
  <w:num w:numId="12">
    <w:abstractNumId w:val="21"/>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3">
    <w:abstractNumId w:val="27"/>
  </w:num>
  <w:num w:numId="14">
    <w:abstractNumId w:val="37"/>
  </w:num>
  <w:num w:numId="15">
    <w:abstractNumId w:val="10"/>
  </w:num>
  <w:num w:numId="16">
    <w:abstractNumId w:val="30"/>
  </w:num>
  <w:num w:numId="17">
    <w:abstractNumId w:val="13"/>
  </w:num>
  <w:num w:numId="18">
    <w:abstractNumId w:val="28"/>
  </w:num>
  <w:num w:numId="19">
    <w:abstractNumId w:val="29"/>
  </w:num>
  <w:num w:numId="20">
    <w:abstractNumId w:val="17"/>
  </w:num>
  <w:num w:numId="21">
    <w:abstractNumId w:val="25"/>
  </w:num>
  <w:num w:numId="22">
    <w:abstractNumId w:val="32"/>
  </w:num>
  <w:num w:numId="23">
    <w:abstractNumId w:val="26"/>
  </w:num>
  <w:num w:numId="24">
    <w:abstractNumId w:val="0"/>
  </w:num>
  <w:num w:numId="25">
    <w:abstractNumId w:val="4"/>
  </w:num>
  <w:num w:numId="26">
    <w:abstractNumId w:val="3"/>
  </w:num>
  <w:num w:numId="27">
    <w:abstractNumId w:val="2"/>
  </w:num>
  <w:num w:numId="28">
    <w:abstractNumId w:val="1"/>
  </w:num>
  <w:num w:numId="29">
    <w:abstractNumId w:val="15"/>
  </w:num>
  <w:num w:numId="30">
    <w:abstractNumId w:val="35"/>
  </w:num>
  <w:num w:numId="31">
    <w:abstractNumId w:val="11"/>
  </w:num>
  <w:num w:numId="32">
    <w:abstractNumId w:val="40"/>
  </w:num>
  <w:num w:numId="33">
    <w:abstractNumId w:val="19"/>
  </w:num>
  <w:num w:numId="34">
    <w:abstractNumId w:val="8"/>
  </w:num>
  <w:num w:numId="35">
    <w:abstractNumId w:val="20"/>
  </w:num>
  <w:num w:numId="36">
    <w:abstractNumId w:val="24"/>
  </w:num>
  <w:num w:numId="37">
    <w:abstractNumId w:val="42"/>
  </w:num>
  <w:num w:numId="38">
    <w:abstractNumId w:val="38"/>
  </w:num>
  <w:num w:numId="39">
    <w:abstractNumId w:val="31"/>
  </w:num>
  <w:num w:numId="40">
    <w:abstractNumId w:val="33"/>
  </w:num>
  <w:num w:numId="41">
    <w:abstractNumId w:val="22"/>
  </w:num>
  <w:num w:numId="42">
    <w:abstractNumId w:val="41"/>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475"/>
    <w:rsid w:val="00094F30"/>
    <w:rsid w:val="002A52A4"/>
    <w:rsid w:val="0031449E"/>
    <w:rsid w:val="00346E23"/>
    <w:rsid w:val="0035057D"/>
    <w:rsid w:val="004A5845"/>
    <w:rsid w:val="004F742F"/>
    <w:rsid w:val="008A167F"/>
    <w:rsid w:val="00BF3DD5"/>
    <w:rsid w:val="00F664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475"/>
    <w:pPr>
      <w:spacing w:line="264" w:lineRule="auto"/>
    </w:pPr>
    <w:rPr>
      <w:rFonts w:eastAsiaTheme="minorEastAsia"/>
      <w:szCs w:val="21"/>
    </w:rPr>
  </w:style>
  <w:style w:type="paragraph" w:styleId="Heading1">
    <w:name w:val="heading 1"/>
    <w:basedOn w:val="Normal"/>
    <w:next w:val="Normal"/>
    <w:link w:val="Heading1Char"/>
    <w:uiPriority w:val="9"/>
    <w:qFormat/>
    <w:rsid w:val="00F66475"/>
    <w:pPr>
      <w:keepNext/>
      <w:keepLines/>
      <w:spacing w:before="360" w:line="240" w:lineRule="auto"/>
      <w:outlineLvl w:val="0"/>
    </w:pPr>
    <w:rPr>
      <w:rFonts w:asciiTheme="majorHAnsi" w:eastAsiaTheme="majorEastAsia" w:hAnsiTheme="majorHAnsi" w:cstheme="majorBidi"/>
      <w:color w:val="4472C4" w:themeColor="accent1"/>
      <w:sz w:val="48"/>
      <w:szCs w:val="40"/>
    </w:rPr>
  </w:style>
  <w:style w:type="paragraph" w:styleId="Heading2">
    <w:name w:val="heading 2"/>
    <w:basedOn w:val="Normal"/>
    <w:next w:val="Normal"/>
    <w:link w:val="Heading2Char"/>
    <w:uiPriority w:val="9"/>
    <w:qFormat/>
    <w:rsid w:val="00F66475"/>
    <w:pPr>
      <w:keepNext/>
      <w:keepLines/>
      <w:spacing w:before="240" w:line="240" w:lineRule="auto"/>
      <w:outlineLvl w:val="1"/>
    </w:pPr>
    <w:rPr>
      <w:rFonts w:asciiTheme="majorHAnsi" w:eastAsiaTheme="majorEastAsia" w:hAnsiTheme="majorHAnsi" w:cstheme="majorBidi"/>
      <w:color w:val="4472C4" w:themeColor="accent1"/>
      <w:sz w:val="36"/>
      <w:szCs w:val="28"/>
    </w:rPr>
  </w:style>
  <w:style w:type="paragraph" w:styleId="Heading3">
    <w:name w:val="heading 3"/>
    <w:basedOn w:val="Heading4"/>
    <w:next w:val="Normal"/>
    <w:link w:val="Heading3Char"/>
    <w:uiPriority w:val="9"/>
    <w:qFormat/>
    <w:rsid w:val="00F66475"/>
    <w:pPr>
      <w:outlineLvl w:val="2"/>
    </w:pPr>
    <w:rPr>
      <w:color w:val="4472C4" w:themeColor="accent1"/>
      <w:sz w:val="24"/>
      <w:szCs w:val="24"/>
    </w:rPr>
  </w:style>
  <w:style w:type="paragraph" w:styleId="Heading4">
    <w:name w:val="heading 4"/>
    <w:basedOn w:val="Normal"/>
    <w:next w:val="Normal"/>
    <w:link w:val="Heading4Char"/>
    <w:uiPriority w:val="9"/>
    <w:qFormat/>
    <w:rsid w:val="00F66475"/>
    <w:pPr>
      <w:keepNext/>
      <w:keepLines/>
      <w:spacing w:before="240"/>
      <w:outlineLvl w:val="3"/>
    </w:pPr>
    <w:rPr>
      <w:rFonts w:asciiTheme="majorHAnsi" w:eastAsiaTheme="majorEastAsia" w:hAnsiTheme="majorHAnsi" w:cstheme="minorHAnsi"/>
      <w:color w:val="44546A" w:themeColor="text2"/>
      <w:szCs w:val="22"/>
    </w:rPr>
  </w:style>
  <w:style w:type="paragraph" w:styleId="Heading5">
    <w:name w:val="heading 5"/>
    <w:basedOn w:val="Normal"/>
    <w:next w:val="Normal"/>
    <w:link w:val="Heading5Char"/>
    <w:uiPriority w:val="9"/>
    <w:unhideWhenUsed/>
    <w:rsid w:val="00F66475"/>
    <w:pPr>
      <w:keepNext/>
      <w:keepLines/>
      <w:spacing w:before="240"/>
      <w:outlineLvl w:val="4"/>
    </w:pPr>
    <w:rPr>
      <w:rFonts w:asciiTheme="majorHAnsi" w:eastAsiaTheme="majorEastAsia" w:hAnsiTheme="majorHAnsi" w:cstheme="majorBidi"/>
      <w:iCs/>
      <w:color w:val="538135" w:themeColor="accent6" w:themeShade="BF"/>
      <w:szCs w:val="22"/>
    </w:rPr>
  </w:style>
  <w:style w:type="paragraph" w:styleId="Heading6">
    <w:name w:val="heading 6"/>
    <w:basedOn w:val="Normal"/>
    <w:next w:val="Normal"/>
    <w:link w:val="Heading6Char"/>
    <w:uiPriority w:val="9"/>
    <w:unhideWhenUsed/>
    <w:rsid w:val="00F66475"/>
    <w:pPr>
      <w:keepNext/>
      <w:keepLines/>
      <w:spacing w:before="240"/>
      <w:outlineLvl w:val="5"/>
    </w:pPr>
    <w:rPr>
      <w:rFonts w:asciiTheme="majorHAnsi" w:eastAsiaTheme="majorEastAsia" w:hAnsiTheme="majorHAnsi" w:cstheme="majorBidi"/>
      <w:color w:val="BF8F00" w:themeColor="accent4" w:themeShade="BF"/>
    </w:rPr>
  </w:style>
  <w:style w:type="paragraph" w:styleId="Heading7">
    <w:name w:val="heading 7"/>
    <w:basedOn w:val="Normal"/>
    <w:next w:val="Normal"/>
    <w:link w:val="Heading7Char"/>
    <w:uiPriority w:val="9"/>
    <w:unhideWhenUsed/>
    <w:rsid w:val="00F66475"/>
    <w:pPr>
      <w:keepNext/>
      <w:keepLines/>
      <w:spacing w:before="240"/>
      <w:outlineLvl w:val="6"/>
    </w:pPr>
    <w:rPr>
      <w:rFonts w:asciiTheme="majorHAnsi" w:eastAsiaTheme="majorEastAsia" w:hAnsiTheme="majorHAnsi" w:cstheme="majorBidi"/>
      <w:b/>
      <w:bCs/>
      <w:color w:val="44546A" w:themeColor="text2"/>
    </w:rPr>
  </w:style>
  <w:style w:type="paragraph" w:styleId="Heading8">
    <w:name w:val="heading 8"/>
    <w:basedOn w:val="Normal"/>
    <w:next w:val="Normal"/>
    <w:link w:val="Heading8Char"/>
    <w:uiPriority w:val="9"/>
    <w:unhideWhenUsed/>
    <w:rsid w:val="00F66475"/>
    <w:pPr>
      <w:keepNext/>
      <w:keepLines/>
      <w:spacing w:before="240"/>
      <w:outlineLvl w:val="7"/>
    </w:pPr>
    <w:rPr>
      <w:rFonts w:asciiTheme="majorHAnsi" w:eastAsiaTheme="majorEastAsia" w:hAnsiTheme="majorHAnsi" w:cstheme="majorBidi"/>
      <w:b/>
      <w:bCs/>
      <w:i/>
      <w:iCs/>
      <w:color w:val="44546A" w:themeColor="text2"/>
      <w:sz w:val="20"/>
      <w:szCs w:val="20"/>
    </w:rPr>
  </w:style>
  <w:style w:type="paragraph" w:styleId="Heading9">
    <w:name w:val="heading 9"/>
    <w:basedOn w:val="Normal"/>
    <w:next w:val="Normal"/>
    <w:link w:val="Heading9Char"/>
    <w:uiPriority w:val="9"/>
    <w:unhideWhenUsed/>
    <w:rsid w:val="00F66475"/>
    <w:pPr>
      <w:keepNext/>
      <w:keepLines/>
      <w:spacing w:before="240"/>
      <w:outlineLvl w:val="8"/>
    </w:pPr>
    <w:rPr>
      <w:rFonts w:asciiTheme="majorHAnsi" w:eastAsiaTheme="majorEastAsia" w:hAnsiTheme="majorHAnsi" w:cstheme="majorBidi"/>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475"/>
    <w:rPr>
      <w:rFonts w:asciiTheme="majorHAnsi" w:eastAsiaTheme="majorEastAsia" w:hAnsiTheme="majorHAnsi" w:cstheme="majorBidi"/>
      <w:color w:val="4472C4" w:themeColor="accent1"/>
      <w:sz w:val="48"/>
      <w:szCs w:val="40"/>
    </w:rPr>
  </w:style>
  <w:style w:type="character" w:customStyle="1" w:styleId="Heading2Char">
    <w:name w:val="Heading 2 Char"/>
    <w:basedOn w:val="DefaultParagraphFont"/>
    <w:link w:val="Heading2"/>
    <w:uiPriority w:val="9"/>
    <w:rsid w:val="00F66475"/>
    <w:rPr>
      <w:rFonts w:asciiTheme="majorHAnsi" w:eastAsiaTheme="majorEastAsia" w:hAnsiTheme="majorHAnsi" w:cstheme="majorBidi"/>
      <w:color w:val="4472C4" w:themeColor="accent1"/>
      <w:sz w:val="36"/>
      <w:szCs w:val="28"/>
    </w:rPr>
  </w:style>
  <w:style w:type="character" w:customStyle="1" w:styleId="Heading3Char">
    <w:name w:val="Heading 3 Char"/>
    <w:basedOn w:val="DefaultParagraphFont"/>
    <w:link w:val="Heading3"/>
    <w:uiPriority w:val="9"/>
    <w:rsid w:val="00F66475"/>
    <w:rPr>
      <w:rFonts w:asciiTheme="majorHAnsi" w:eastAsiaTheme="majorEastAsia" w:hAnsiTheme="majorHAnsi" w:cstheme="minorHAnsi"/>
      <w:color w:val="4472C4" w:themeColor="accent1"/>
      <w:sz w:val="24"/>
      <w:szCs w:val="24"/>
    </w:rPr>
  </w:style>
  <w:style w:type="character" w:customStyle="1" w:styleId="Heading4Char">
    <w:name w:val="Heading 4 Char"/>
    <w:basedOn w:val="DefaultParagraphFont"/>
    <w:link w:val="Heading4"/>
    <w:uiPriority w:val="9"/>
    <w:rsid w:val="00F66475"/>
    <w:rPr>
      <w:rFonts w:asciiTheme="majorHAnsi" w:eastAsiaTheme="majorEastAsia" w:hAnsiTheme="majorHAnsi" w:cstheme="minorHAnsi"/>
      <w:color w:val="44546A" w:themeColor="text2"/>
    </w:rPr>
  </w:style>
  <w:style w:type="character" w:customStyle="1" w:styleId="Heading5Char">
    <w:name w:val="Heading 5 Char"/>
    <w:basedOn w:val="DefaultParagraphFont"/>
    <w:link w:val="Heading5"/>
    <w:uiPriority w:val="9"/>
    <w:rsid w:val="00F66475"/>
    <w:rPr>
      <w:rFonts w:asciiTheme="majorHAnsi" w:eastAsiaTheme="majorEastAsia" w:hAnsiTheme="majorHAnsi" w:cstheme="majorBidi"/>
      <w:iCs/>
      <w:color w:val="538135" w:themeColor="accent6" w:themeShade="BF"/>
    </w:rPr>
  </w:style>
  <w:style w:type="character" w:customStyle="1" w:styleId="Heading6Char">
    <w:name w:val="Heading 6 Char"/>
    <w:basedOn w:val="DefaultParagraphFont"/>
    <w:link w:val="Heading6"/>
    <w:uiPriority w:val="9"/>
    <w:rsid w:val="00F66475"/>
    <w:rPr>
      <w:rFonts w:asciiTheme="majorHAnsi" w:eastAsiaTheme="majorEastAsia" w:hAnsiTheme="majorHAnsi" w:cstheme="majorBidi"/>
      <w:color w:val="BF8F00" w:themeColor="accent4" w:themeShade="BF"/>
      <w:szCs w:val="21"/>
    </w:rPr>
  </w:style>
  <w:style w:type="character" w:customStyle="1" w:styleId="Heading7Char">
    <w:name w:val="Heading 7 Char"/>
    <w:basedOn w:val="DefaultParagraphFont"/>
    <w:link w:val="Heading7"/>
    <w:uiPriority w:val="9"/>
    <w:rsid w:val="00F66475"/>
    <w:rPr>
      <w:rFonts w:asciiTheme="majorHAnsi" w:eastAsiaTheme="majorEastAsia" w:hAnsiTheme="majorHAnsi" w:cstheme="majorBidi"/>
      <w:b/>
      <w:bCs/>
      <w:color w:val="44546A" w:themeColor="text2"/>
      <w:szCs w:val="21"/>
    </w:rPr>
  </w:style>
  <w:style w:type="character" w:customStyle="1" w:styleId="Heading8Char">
    <w:name w:val="Heading 8 Char"/>
    <w:basedOn w:val="DefaultParagraphFont"/>
    <w:link w:val="Heading8"/>
    <w:uiPriority w:val="9"/>
    <w:rsid w:val="00F66475"/>
    <w:rPr>
      <w:rFonts w:asciiTheme="majorHAnsi" w:eastAsiaTheme="majorEastAsia" w:hAnsiTheme="majorHAnsi" w:cstheme="majorBidi"/>
      <w:b/>
      <w:bCs/>
      <w:i/>
      <w:iCs/>
      <w:color w:val="44546A" w:themeColor="text2"/>
      <w:sz w:val="20"/>
      <w:szCs w:val="20"/>
    </w:rPr>
  </w:style>
  <w:style w:type="character" w:customStyle="1" w:styleId="Heading9Char">
    <w:name w:val="Heading 9 Char"/>
    <w:basedOn w:val="DefaultParagraphFont"/>
    <w:link w:val="Heading9"/>
    <w:uiPriority w:val="9"/>
    <w:rsid w:val="00F66475"/>
    <w:rPr>
      <w:rFonts w:asciiTheme="majorHAnsi" w:eastAsiaTheme="majorEastAsia" w:hAnsiTheme="majorHAnsi" w:cstheme="majorBidi"/>
      <w:i/>
      <w:iCs/>
      <w:color w:val="44546A" w:themeColor="text2"/>
      <w:sz w:val="20"/>
      <w:szCs w:val="20"/>
    </w:rPr>
  </w:style>
  <w:style w:type="paragraph" w:styleId="Title">
    <w:name w:val="Title"/>
    <w:basedOn w:val="Normal"/>
    <w:next w:val="Normal"/>
    <w:link w:val="TitleChar"/>
    <w:uiPriority w:val="10"/>
    <w:rsid w:val="00F66475"/>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0"/>
    <w:rsid w:val="00F66475"/>
    <w:rPr>
      <w:rFonts w:asciiTheme="majorHAnsi" w:eastAsiaTheme="majorEastAsia" w:hAnsiTheme="majorHAnsi" w:cstheme="majorBidi"/>
      <w:noProof/>
      <w:spacing w:val="-15"/>
      <w:sz w:val="56"/>
      <w:szCs w:val="96"/>
    </w:rPr>
  </w:style>
  <w:style w:type="paragraph" w:styleId="Subtitle">
    <w:name w:val="Subtitle"/>
    <w:basedOn w:val="Normal"/>
    <w:next w:val="Normal"/>
    <w:link w:val="SubtitleChar"/>
    <w:uiPriority w:val="11"/>
    <w:rsid w:val="00F66475"/>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1"/>
    <w:rsid w:val="00F66475"/>
    <w:rPr>
      <w:rFonts w:eastAsiaTheme="majorEastAsia" w:cstheme="minorHAnsi"/>
      <w:noProof/>
      <w:sz w:val="28"/>
      <w:szCs w:val="30"/>
    </w:rPr>
  </w:style>
  <w:style w:type="paragraph" w:styleId="NoSpacing">
    <w:name w:val="No Spacing"/>
    <w:link w:val="NoSpacingChar"/>
    <w:uiPriority w:val="1"/>
    <w:unhideWhenUsed/>
    <w:rsid w:val="00F66475"/>
    <w:pPr>
      <w:spacing w:after="0" w:line="240" w:lineRule="auto"/>
    </w:pPr>
    <w:rPr>
      <w:rFonts w:eastAsiaTheme="minorEastAsia"/>
      <w:sz w:val="21"/>
      <w:szCs w:val="21"/>
    </w:rPr>
  </w:style>
  <w:style w:type="paragraph" w:styleId="Caption">
    <w:name w:val="caption"/>
    <w:basedOn w:val="Normal"/>
    <w:next w:val="Normal"/>
    <w:uiPriority w:val="35"/>
    <w:unhideWhenUsed/>
    <w:qFormat/>
    <w:rsid w:val="00F66475"/>
    <w:pPr>
      <w:spacing w:line="240" w:lineRule="auto"/>
    </w:pPr>
    <w:rPr>
      <w:b/>
      <w:bCs/>
      <w:smallCaps/>
      <w:color w:val="595959" w:themeColor="text1" w:themeTint="A6"/>
    </w:rPr>
  </w:style>
  <w:style w:type="character" w:styleId="Strong">
    <w:name w:val="Strong"/>
    <w:basedOn w:val="DefaultParagraphFont"/>
    <w:uiPriority w:val="22"/>
    <w:unhideWhenUsed/>
    <w:qFormat/>
    <w:rsid w:val="00F66475"/>
    <w:rPr>
      <w:b/>
      <w:bCs/>
    </w:rPr>
  </w:style>
  <w:style w:type="character" w:styleId="Emphasis">
    <w:name w:val="Emphasis"/>
    <w:basedOn w:val="DefaultParagraphFont"/>
    <w:uiPriority w:val="20"/>
    <w:unhideWhenUsed/>
    <w:qFormat/>
    <w:rsid w:val="00F66475"/>
    <w:rPr>
      <w:i/>
      <w:iCs/>
      <w:color w:val="auto"/>
    </w:rPr>
  </w:style>
  <w:style w:type="paragraph" w:styleId="Quote">
    <w:name w:val="Quote"/>
    <w:basedOn w:val="Normal"/>
    <w:next w:val="Normal"/>
    <w:link w:val="QuoteChar"/>
    <w:uiPriority w:val="29"/>
    <w:qFormat/>
    <w:rsid w:val="00F66475"/>
    <w:pPr>
      <w:spacing w:before="240"/>
      <w:ind w:left="720" w:right="720"/>
    </w:pPr>
    <w:rPr>
      <w:i/>
      <w:iCs/>
      <w:color w:val="44546A" w:themeColor="text2"/>
    </w:rPr>
  </w:style>
  <w:style w:type="character" w:customStyle="1" w:styleId="QuoteChar">
    <w:name w:val="Quote Char"/>
    <w:basedOn w:val="DefaultParagraphFont"/>
    <w:link w:val="Quote"/>
    <w:uiPriority w:val="29"/>
    <w:rsid w:val="00F66475"/>
    <w:rPr>
      <w:rFonts w:eastAsiaTheme="minorEastAsia"/>
      <w:i/>
      <w:iCs/>
      <w:color w:val="44546A" w:themeColor="text2"/>
      <w:szCs w:val="21"/>
    </w:rPr>
  </w:style>
  <w:style w:type="paragraph" w:styleId="IntenseQuote">
    <w:name w:val="Intense Quote"/>
    <w:basedOn w:val="Normal"/>
    <w:next w:val="Normal"/>
    <w:link w:val="IntenseQuoteChar"/>
    <w:uiPriority w:val="30"/>
    <w:qFormat/>
    <w:rsid w:val="00F66475"/>
    <w:pPr>
      <w:spacing w:before="120"/>
      <w:ind w:left="720" w:right="720"/>
    </w:pPr>
    <w:rPr>
      <w:rFonts w:asciiTheme="majorHAnsi" w:eastAsiaTheme="majorEastAsia" w:hAnsiTheme="majorHAnsi" w:cstheme="majorBidi"/>
      <w:i/>
      <w:iCs/>
      <w:color w:val="44546A" w:themeColor="text2"/>
      <w:sz w:val="32"/>
      <w:szCs w:val="32"/>
    </w:rPr>
  </w:style>
  <w:style w:type="character" w:customStyle="1" w:styleId="IntenseQuoteChar">
    <w:name w:val="Intense Quote Char"/>
    <w:basedOn w:val="DefaultParagraphFont"/>
    <w:link w:val="IntenseQuote"/>
    <w:uiPriority w:val="30"/>
    <w:rsid w:val="00F66475"/>
    <w:rPr>
      <w:rFonts w:asciiTheme="majorHAnsi" w:eastAsiaTheme="majorEastAsia" w:hAnsiTheme="majorHAnsi" w:cstheme="majorBidi"/>
      <w:i/>
      <w:iCs/>
      <w:color w:val="44546A" w:themeColor="text2"/>
      <w:sz w:val="32"/>
      <w:szCs w:val="32"/>
    </w:rPr>
  </w:style>
  <w:style w:type="character" w:styleId="SubtleEmphasis">
    <w:name w:val="Subtle Emphasis"/>
    <w:basedOn w:val="DefaultParagraphFont"/>
    <w:uiPriority w:val="19"/>
    <w:unhideWhenUsed/>
    <w:rsid w:val="00F66475"/>
    <w:rPr>
      <w:i/>
      <w:iCs/>
    </w:rPr>
  </w:style>
  <w:style w:type="character" w:styleId="IntenseEmphasis">
    <w:name w:val="Intense Emphasis"/>
    <w:basedOn w:val="DefaultParagraphFont"/>
    <w:uiPriority w:val="21"/>
    <w:unhideWhenUsed/>
    <w:qFormat/>
    <w:rsid w:val="00F66475"/>
    <w:rPr>
      <w:b/>
      <w:bCs/>
      <w:i/>
      <w:iCs/>
    </w:rPr>
  </w:style>
  <w:style w:type="character" w:styleId="SubtleReference">
    <w:name w:val="Subtle Reference"/>
    <w:basedOn w:val="DefaultParagraphFont"/>
    <w:uiPriority w:val="31"/>
    <w:unhideWhenUsed/>
    <w:rsid w:val="00F66475"/>
    <w:rPr>
      <w:rFonts w:asciiTheme="minorHAnsi" w:hAnsiTheme="minorHAnsi"/>
      <w:caps w:val="0"/>
      <w:smallCaps w:val="0"/>
      <w:color w:val="44546A" w:themeColor="text2"/>
    </w:rPr>
  </w:style>
  <w:style w:type="character" w:styleId="IntenseReference">
    <w:name w:val="Intense Reference"/>
    <w:basedOn w:val="DefaultParagraphFont"/>
    <w:uiPriority w:val="32"/>
    <w:unhideWhenUsed/>
    <w:rsid w:val="00F66475"/>
    <w:rPr>
      <w:rFonts w:asciiTheme="majorHAnsi" w:hAnsiTheme="majorHAnsi"/>
      <w:b/>
      <w:bCs/>
      <w:caps w:val="0"/>
      <w:smallCaps w:val="0"/>
      <w:color w:val="44546A" w:themeColor="text2"/>
    </w:rPr>
  </w:style>
  <w:style w:type="paragraph" w:styleId="TOCHeading">
    <w:name w:val="TOC Heading"/>
    <w:basedOn w:val="Heading1"/>
    <w:next w:val="Normal"/>
    <w:uiPriority w:val="39"/>
    <w:unhideWhenUsed/>
    <w:qFormat/>
    <w:rsid w:val="00F66475"/>
    <w:pPr>
      <w:outlineLvl w:val="9"/>
    </w:pPr>
  </w:style>
  <w:style w:type="paragraph" w:styleId="Header">
    <w:name w:val="header"/>
    <w:basedOn w:val="Normal"/>
    <w:link w:val="HeaderChar"/>
    <w:uiPriority w:val="99"/>
    <w:unhideWhenUsed/>
    <w:rsid w:val="00F66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475"/>
    <w:rPr>
      <w:rFonts w:eastAsiaTheme="minorEastAsia"/>
      <w:szCs w:val="21"/>
    </w:rPr>
  </w:style>
  <w:style w:type="paragraph" w:styleId="Footer">
    <w:name w:val="footer"/>
    <w:basedOn w:val="Normal"/>
    <w:link w:val="FooterChar"/>
    <w:uiPriority w:val="99"/>
    <w:unhideWhenUsed/>
    <w:rsid w:val="00F66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475"/>
    <w:rPr>
      <w:rFonts w:eastAsiaTheme="minorEastAsia"/>
      <w:szCs w:val="21"/>
    </w:rPr>
  </w:style>
  <w:style w:type="character" w:styleId="PlaceholderText">
    <w:name w:val="Placeholder Text"/>
    <w:basedOn w:val="DefaultParagraphFont"/>
    <w:uiPriority w:val="99"/>
    <w:semiHidden/>
    <w:rsid w:val="00F66475"/>
    <w:rPr>
      <w:color w:val="808080"/>
    </w:rPr>
  </w:style>
  <w:style w:type="paragraph" w:styleId="BalloonText">
    <w:name w:val="Balloon Text"/>
    <w:basedOn w:val="Normal"/>
    <w:link w:val="BalloonTextChar"/>
    <w:uiPriority w:val="99"/>
    <w:semiHidden/>
    <w:unhideWhenUsed/>
    <w:rsid w:val="00F66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475"/>
    <w:rPr>
      <w:rFonts w:ascii="Segoe UI" w:eastAsiaTheme="minorEastAsia" w:hAnsi="Segoe UI" w:cs="Segoe UI"/>
      <w:sz w:val="18"/>
      <w:szCs w:val="18"/>
    </w:rPr>
  </w:style>
  <w:style w:type="paragraph" w:customStyle="1" w:styleId="CLASSIFICATION">
    <w:name w:val="CLASSIFICATION"/>
    <w:basedOn w:val="Normal"/>
    <w:link w:val="CLASSIFICATIONChar"/>
    <w:autoRedefine/>
    <w:uiPriority w:val="99"/>
    <w:unhideWhenUsed/>
    <w:rsid w:val="00F66475"/>
    <w:rPr>
      <w:rFonts w:ascii="Segoe UI" w:hAnsi="Segoe UI"/>
      <w:caps/>
      <w:color w:val="70AD47" w:themeColor="accent6"/>
      <w:sz w:val="18"/>
    </w:rPr>
  </w:style>
  <w:style w:type="paragraph" w:customStyle="1" w:styleId="BOXHeading2">
    <w:name w:val="BOX Heading 2"/>
    <w:basedOn w:val="Heading2"/>
    <w:next w:val="BOXText"/>
    <w:uiPriority w:val="6"/>
    <w:qFormat/>
    <w:rsid w:val="00F66475"/>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F66475"/>
    <w:rPr>
      <w:rFonts w:ascii="Segoe UI" w:eastAsiaTheme="minorEastAsia" w:hAnsi="Segoe UI"/>
      <w:caps/>
      <w:color w:val="70AD47" w:themeColor="accent6"/>
      <w:sz w:val="18"/>
      <w:szCs w:val="21"/>
    </w:rPr>
  </w:style>
  <w:style w:type="paragraph" w:customStyle="1" w:styleId="BOXText">
    <w:name w:val="BOX Text"/>
    <w:basedOn w:val="Normal"/>
    <w:uiPriority w:val="4"/>
    <w:qFormat/>
    <w:rsid w:val="00F66475"/>
    <w:p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ind w:left="227" w:right="227"/>
    </w:pPr>
    <w:rPr>
      <w:color w:val="000000" w:themeColor="text1"/>
    </w:rPr>
  </w:style>
  <w:style w:type="paragraph" w:customStyle="1" w:styleId="BOXBulletedList">
    <w:name w:val="BOX Bulleted List"/>
    <w:basedOn w:val="BOXText"/>
    <w:uiPriority w:val="5"/>
    <w:qFormat/>
    <w:rsid w:val="00F66475"/>
    <w:pPr>
      <w:numPr>
        <w:numId w:val="1"/>
      </w:numPr>
      <w:ind w:left="511"/>
    </w:pPr>
  </w:style>
  <w:style w:type="table" w:styleId="TableGrid">
    <w:name w:val="Table Grid"/>
    <w:basedOn w:val="TableNormal"/>
    <w:uiPriority w:val="39"/>
    <w:rsid w:val="00F6647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F66475"/>
    <w:pPr>
      <w:spacing w:after="0" w:line="240" w:lineRule="auto"/>
    </w:pPr>
    <w:rPr>
      <w:rFonts w:eastAsiaTheme="minorEastAsia"/>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igure">
    <w:name w:val="Figure"/>
    <w:basedOn w:val="Normal"/>
    <w:uiPriority w:val="2"/>
    <w:qFormat/>
    <w:rsid w:val="00F66475"/>
    <w:pPr>
      <w:numPr>
        <w:numId w:val="6"/>
      </w:numPr>
      <w:spacing w:before="240"/>
    </w:pPr>
    <w:rPr>
      <w:rFonts w:asciiTheme="majorHAnsi" w:hAnsiTheme="majorHAnsi" w:cs="Segoe UI"/>
      <w:color w:val="44546A" w:themeColor="text2"/>
    </w:rPr>
  </w:style>
  <w:style w:type="paragraph" w:customStyle="1" w:styleId="TBLHeading">
    <w:name w:val="TBL Heading"/>
    <w:basedOn w:val="Normal"/>
    <w:autoRedefine/>
    <w:uiPriority w:val="11"/>
    <w:qFormat/>
    <w:rsid w:val="00F66475"/>
    <w:pPr>
      <w:spacing w:after="0" w:line="240" w:lineRule="auto"/>
    </w:pPr>
    <w:rPr>
      <w:rFonts w:ascii="Segoe UI" w:hAnsi="Segoe UI" w:cs="Segoe UI"/>
      <w:color w:val="FFFFFF" w:themeColor="background1"/>
    </w:rPr>
  </w:style>
  <w:style w:type="paragraph" w:customStyle="1" w:styleId="TBLText">
    <w:name w:val="TBL Text"/>
    <w:basedOn w:val="Normal"/>
    <w:uiPriority w:val="9"/>
    <w:qFormat/>
    <w:rsid w:val="00F66475"/>
    <w:pPr>
      <w:spacing w:after="0" w:line="240" w:lineRule="auto"/>
    </w:pPr>
    <w:rPr>
      <w:sz w:val="18"/>
      <w:szCs w:val="18"/>
    </w:rPr>
  </w:style>
  <w:style w:type="paragraph" w:customStyle="1" w:styleId="TBLBulletedList">
    <w:name w:val="TBL Bulleted List"/>
    <w:basedOn w:val="TBLText"/>
    <w:uiPriority w:val="10"/>
    <w:qFormat/>
    <w:rsid w:val="00F66475"/>
    <w:pPr>
      <w:numPr>
        <w:numId w:val="2"/>
      </w:numPr>
      <w:ind w:left="206" w:hanging="206"/>
    </w:pPr>
  </w:style>
  <w:style w:type="paragraph" w:customStyle="1" w:styleId="TBLNumberedList">
    <w:name w:val="TBL Numbered List"/>
    <w:basedOn w:val="TBLText"/>
    <w:uiPriority w:val="10"/>
    <w:qFormat/>
    <w:rsid w:val="00F66475"/>
    <w:pPr>
      <w:numPr>
        <w:numId w:val="3"/>
      </w:numPr>
      <w:ind w:left="270" w:hanging="270"/>
    </w:pPr>
  </w:style>
  <w:style w:type="paragraph" w:customStyle="1" w:styleId="BOXHeading3">
    <w:name w:val="BOX Heading 3"/>
    <w:basedOn w:val="BOXHeading2"/>
    <w:next w:val="BOXText"/>
    <w:uiPriority w:val="6"/>
    <w:qFormat/>
    <w:rsid w:val="00F66475"/>
    <w:pPr>
      <w:outlineLvl w:val="2"/>
    </w:pPr>
    <w:rPr>
      <w:rFonts w:cstheme="minorHAnsi"/>
      <w:sz w:val="24"/>
      <w:szCs w:val="26"/>
    </w:rPr>
  </w:style>
  <w:style w:type="paragraph" w:styleId="ListParagraph">
    <w:name w:val="List Paragraph"/>
    <w:aliases w:val="1 heading,Bulleted Para,CV text,Dot pt,F5 List Paragraph,FooterText,L,List Paragraph1,List Paragraph11,List Paragraph111,List Paragraph2,Medium Grid 1 - Accent 21,NFP GP Bulleted List,Numbered Paragraph,Recommendation,bullet point list,列出"/>
    <w:basedOn w:val="Normal"/>
    <w:link w:val="ListParagraphChar"/>
    <w:uiPriority w:val="2"/>
    <w:unhideWhenUsed/>
    <w:qFormat/>
    <w:rsid w:val="00F66475"/>
    <w:pPr>
      <w:ind w:left="720"/>
      <w:contextualSpacing/>
    </w:pPr>
  </w:style>
  <w:style w:type="paragraph" w:customStyle="1" w:styleId="BulletedList-Level1">
    <w:name w:val="Bulleted List - Level 1"/>
    <w:basedOn w:val="ListParagraph"/>
    <w:uiPriority w:val="1"/>
    <w:qFormat/>
    <w:rsid w:val="00F66475"/>
    <w:pPr>
      <w:numPr>
        <w:numId w:val="4"/>
      </w:numPr>
      <w:ind w:left="568" w:hanging="284"/>
    </w:pPr>
  </w:style>
  <w:style w:type="paragraph" w:customStyle="1" w:styleId="BulletedList-Level2">
    <w:name w:val="Bulleted List - Level 2"/>
    <w:basedOn w:val="BulletedList-Level1"/>
    <w:uiPriority w:val="1"/>
    <w:qFormat/>
    <w:rsid w:val="00F66475"/>
    <w:pPr>
      <w:numPr>
        <w:numId w:val="9"/>
      </w:numPr>
    </w:pPr>
  </w:style>
  <w:style w:type="paragraph" w:customStyle="1" w:styleId="BulletedList-Level3">
    <w:name w:val="Bulleted List - Level 3"/>
    <w:basedOn w:val="ListParagraph"/>
    <w:uiPriority w:val="1"/>
    <w:qFormat/>
    <w:rsid w:val="00F66475"/>
    <w:pPr>
      <w:numPr>
        <w:numId w:val="10"/>
      </w:numPr>
      <w:ind w:left="1135" w:hanging="284"/>
    </w:pPr>
  </w:style>
  <w:style w:type="paragraph" w:customStyle="1" w:styleId="NumberedList-Level1">
    <w:name w:val="Numbered List - Level 1"/>
    <w:basedOn w:val="ListParagraph"/>
    <w:uiPriority w:val="1"/>
    <w:qFormat/>
    <w:rsid w:val="00F66475"/>
    <w:pPr>
      <w:numPr>
        <w:numId w:val="5"/>
      </w:numPr>
      <w:ind w:left="568" w:hanging="284"/>
    </w:pPr>
  </w:style>
  <w:style w:type="paragraph" w:customStyle="1" w:styleId="NumberedList-level2">
    <w:name w:val="Numbered List - level 2"/>
    <w:basedOn w:val="ListParagraph"/>
    <w:uiPriority w:val="1"/>
    <w:qFormat/>
    <w:rsid w:val="00F66475"/>
    <w:pPr>
      <w:numPr>
        <w:ilvl w:val="1"/>
        <w:numId w:val="5"/>
      </w:numPr>
    </w:pPr>
  </w:style>
  <w:style w:type="paragraph" w:customStyle="1" w:styleId="NumberedList-Level3">
    <w:name w:val="Numbered List - Level 3"/>
    <w:basedOn w:val="ListParagraph"/>
    <w:uiPriority w:val="1"/>
    <w:qFormat/>
    <w:rsid w:val="00F66475"/>
    <w:pPr>
      <w:numPr>
        <w:ilvl w:val="2"/>
        <w:numId w:val="5"/>
      </w:numPr>
    </w:pPr>
  </w:style>
  <w:style w:type="paragraph" w:customStyle="1" w:styleId="BoxDark-HeadingLevel1">
    <w:name w:val="Box Dark - Heading Level 1"/>
    <w:basedOn w:val="BOXHeading2"/>
    <w:uiPriority w:val="9"/>
    <w:rsid w:val="00F66475"/>
    <w:pPr>
      <w:pBdr>
        <w:top w:val="single" w:sz="48" w:space="1" w:color="4472C4" w:themeColor="accent1"/>
        <w:left w:val="single" w:sz="48" w:space="4" w:color="4472C4" w:themeColor="accent1"/>
        <w:bottom w:val="single" w:sz="48" w:space="1" w:color="4472C4" w:themeColor="accent1"/>
        <w:right w:val="single" w:sz="48" w:space="4" w:color="4472C4" w:themeColor="accent1"/>
      </w:pBdr>
      <w:shd w:val="clear" w:color="auto" w:fill="4472C4" w:themeFill="accent1"/>
    </w:pPr>
    <w:rPr>
      <w:color w:val="FFFFFF" w:themeColor="background1"/>
    </w:rPr>
  </w:style>
  <w:style w:type="paragraph" w:styleId="TOC1">
    <w:name w:val="toc 1"/>
    <w:basedOn w:val="Normal"/>
    <w:next w:val="Normal"/>
    <w:autoRedefine/>
    <w:uiPriority w:val="39"/>
    <w:unhideWhenUsed/>
    <w:rsid w:val="00F66475"/>
    <w:pPr>
      <w:tabs>
        <w:tab w:val="right" w:leader="dot" w:pos="9628"/>
      </w:tabs>
      <w:spacing w:after="100"/>
    </w:pPr>
  </w:style>
  <w:style w:type="paragraph" w:styleId="TOC2">
    <w:name w:val="toc 2"/>
    <w:basedOn w:val="Normal"/>
    <w:next w:val="Normal"/>
    <w:autoRedefine/>
    <w:uiPriority w:val="39"/>
    <w:unhideWhenUsed/>
    <w:rsid w:val="00F66475"/>
    <w:pPr>
      <w:tabs>
        <w:tab w:val="right" w:leader="dot" w:pos="9628"/>
      </w:tabs>
      <w:spacing w:after="100"/>
      <w:ind w:left="220"/>
    </w:pPr>
    <w:rPr>
      <w:rFonts w:cstheme="majorHAnsi"/>
      <w:b/>
      <w:bCs/>
      <w:noProof/>
      <w:lang w:eastAsia="ja-JP"/>
    </w:rPr>
  </w:style>
  <w:style w:type="paragraph" w:styleId="TOC3">
    <w:name w:val="toc 3"/>
    <w:basedOn w:val="Normal"/>
    <w:next w:val="Normal"/>
    <w:autoRedefine/>
    <w:uiPriority w:val="39"/>
    <w:unhideWhenUsed/>
    <w:rsid w:val="00F66475"/>
    <w:pPr>
      <w:tabs>
        <w:tab w:val="right" w:leader="dot" w:pos="9630"/>
      </w:tabs>
      <w:spacing w:after="100"/>
    </w:pPr>
  </w:style>
  <w:style w:type="character" w:styleId="Hyperlink">
    <w:name w:val="Hyperlink"/>
    <w:basedOn w:val="DefaultParagraphFont"/>
    <w:uiPriority w:val="99"/>
    <w:unhideWhenUsed/>
    <w:rsid w:val="00F66475"/>
    <w:rPr>
      <w:color w:val="385623" w:themeColor="accent6" w:themeShade="80"/>
      <w:u w:val="single"/>
    </w:rPr>
  </w:style>
  <w:style w:type="paragraph" w:customStyle="1" w:styleId="BoxDark-HeadingLevel3">
    <w:name w:val="Box Dark - Heading Level 3"/>
    <w:basedOn w:val="BOXHeading3"/>
    <w:uiPriority w:val="9"/>
    <w:rsid w:val="00F66475"/>
    <w:pPr>
      <w:pBdr>
        <w:top w:val="single" w:sz="48" w:space="1" w:color="4472C4" w:themeColor="accent1"/>
        <w:left w:val="single" w:sz="48" w:space="4" w:color="4472C4" w:themeColor="accent1"/>
        <w:bottom w:val="single" w:sz="48" w:space="1" w:color="4472C4" w:themeColor="accent1"/>
        <w:right w:val="single" w:sz="48" w:space="4" w:color="4472C4" w:themeColor="accent1"/>
      </w:pBdr>
      <w:shd w:val="clear" w:color="auto" w:fill="4472C4" w:themeFill="accent1"/>
    </w:pPr>
    <w:rPr>
      <w:color w:val="FFFFFF" w:themeColor="background1"/>
    </w:rPr>
  </w:style>
  <w:style w:type="paragraph" w:customStyle="1" w:styleId="BoxDark-Text">
    <w:name w:val="Box Dark - Text"/>
    <w:basedOn w:val="BOXText"/>
    <w:uiPriority w:val="7"/>
    <w:rsid w:val="00F66475"/>
    <w:pPr>
      <w:pBdr>
        <w:top w:val="single" w:sz="48" w:space="1" w:color="4472C4" w:themeColor="accent1"/>
        <w:left w:val="single" w:sz="48" w:space="4" w:color="4472C4" w:themeColor="accent1"/>
        <w:bottom w:val="single" w:sz="48" w:space="1" w:color="4472C4" w:themeColor="accent1"/>
        <w:right w:val="single" w:sz="48" w:space="4" w:color="4472C4" w:themeColor="accent1"/>
      </w:pBdr>
      <w:shd w:val="clear" w:color="auto" w:fill="4472C4"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66475"/>
    <w:pPr>
      <w:pBdr>
        <w:top w:val="single" w:sz="48" w:space="1" w:color="4472C4" w:themeColor="accent1"/>
        <w:left w:val="single" w:sz="48" w:space="4" w:color="4472C4" w:themeColor="accent1"/>
        <w:bottom w:val="single" w:sz="48" w:space="1" w:color="4472C4" w:themeColor="accent1"/>
        <w:right w:val="single" w:sz="48" w:space="4" w:color="4472C4" w:themeColor="accent1"/>
      </w:pBdr>
      <w:shd w:val="clear" w:color="auto" w:fill="4472C4" w:themeFill="accent1"/>
    </w:pPr>
    <w:rPr>
      <w:rFonts w:ascii="Segoe UI Semilight" w:hAnsi="Segoe UI Semilight"/>
    </w:rPr>
  </w:style>
  <w:style w:type="paragraph" w:customStyle="1" w:styleId="BOXNumberedList">
    <w:name w:val="BOX Numbered List"/>
    <w:basedOn w:val="BOXText"/>
    <w:uiPriority w:val="5"/>
    <w:qFormat/>
    <w:rsid w:val="00F66475"/>
    <w:pPr>
      <w:numPr>
        <w:numId w:val="7"/>
      </w:numPr>
      <w:ind w:left="584" w:hanging="357"/>
    </w:pPr>
  </w:style>
  <w:style w:type="paragraph" w:customStyle="1" w:styleId="BoxDark-NumberedList">
    <w:name w:val="Box Dark - Numbered List"/>
    <w:basedOn w:val="BOXNumberedList"/>
    <w:uiPriority w:val="8"/>
    <w:rsid w:val="00F66475"/>
    <w:pPr>
      <w:numPr>
        <w:numId w:val="8"/>
      </w:numPr>
      <w:pBdr>
        <w:top w:val="single" w:sz="48" w:space="1" w:color="4472C4" w:themeColor="accent1"/>
        <w:left w:val="single" w:sz="48" w:space="4" w:color="4472C4" w:themeColor="accent1"/>
        <w:bottom w:val="single" w:sz="48" w:space="1" w:color="4472C4" w:themeColor="accent1"/>
        <w:right w:val="single" w:sz="48" w:space="4" w:color="4472C4" w:themeColor="accent1"/>
      </w:pBdr>
      <w:shd w:val="clear" w:color="auto" w:fill="4472C4" w:themeFill="accent1"/>
      <w:ind w:left="584" w:hanging="357"/>
    </w:pPr>
  </w:style>
  <w:style w:type="table" w:customStyle="1" w:styleId="Custom1">
    <w:name w:val="Custom 1"/>
    <w:basedOn w:val="TableNormal"/>
    <w:uiPriority w:val="99"/>
    <w:rsid w:val="00F66475"/>
    <w:pPr>
      <w:spacing w:after="0" w:line="240" w:lineRule="auto"/>
    </w:pPr>
    <w:rPr>
      <w:rFonts w:eastAsiaTheme="minorEastAsia"/>
      <w:sz w:val="18"/>
      <w:szCs w:val="21"/>
    </w:rPr>
    <w:tblPr>
      <w:tblStyleRowBandSize w:val="1"/>
      <w:tblBorders>
        <w:top w:val="single" w:sz="4" w:space="0" w:color="4472C4" w:themeColor="accent1"/>
        <w:bottom w:val="single" w:sz="12" w:space="0" w:color="4472C4" w:themeColor="accent1"/>
        <w:insideH w:val="single" w:sz="4" w:space="0" w:color="4472C4" w:themeColor="accent1"/>
      </w:tblBorders>
      <w:tblCellMar>
        <w:top w:w="57" w:type="dxa"/>
        <w:bottom w:w="57" w:type="dxa"/>
      </w:tblCellMar>
    </w:tblPr>
    <w:tblStylePr w:type="firstRow">
      <w:rPr>
        <w:rFonts w:asciiTheme="minorHAnsi" w:hAnsiTheme="minorHAnsi"/>
        <w:b/>
        <w:sz w:val="18"/>
      </w:rPr>
      <w:tblPr/>
      <w:tcPr>
        <w:shd w:val="clear" w:color="auto" w:fill="4472C4" w:themeFill="accent1"/>
      </w:tcPr>
    </w:tblStylePr>
    <w:tblStylePr w:type="band1Horz">
      <w:tblPr/>
      <w:tcPr>
        <w:shd w:val="clear" w:color="auto" w:fill="E7E6E6" w:themeFill="background2"/>
      </w:tcPr>
    </w:tblStylePr>
  </w:style>
  <w:style w:type="table" w:customStyle="1" w:styleId="Style1">
    <w:name w:val="Style1"/>
    <w:basedOn w:val="Custom1"/>
    <w:uiPriority w:val="99"/>
    <w:rsid w:val="00F66475"/>
    <w:tblPr>
      <w:tblBorders>
        <w:top w:val="none" w:sz="0" w:space="0" w:color="auto"/>
        <w:left w:val="single" w:sz="4" w:space="0" w:color="4472C4" w:themeColor="accent1"/>
        <w:bottom w:val="single" w:sz="4" w:space="0" w:color="4472C4" w:themeColor="accent1"/>
        <w:right w:val="single" w:sz="4" w:space="0" w:color="4472C4" w:themeColor="accent1"/>
        <w:insideH w:val="none" w:sz="0" w:space="0" w:color="auto"/>
        <w:insideV w:val="single" w:sz="4" w:space="0" w:color="4472C4" w:themeColor="accent1"/>
      </w:tblBorders>
    </w:tblPr>
    <w:tblStylePr w:type="firstRow">
      <w:rPr>
        <w:rFonts w:asciiTheme="minorHAnsi" w:hAnsiTheme="minorHAnsi"/>
        <w:b/>
        <w:sz w:val="18"/>
      </w:rPr>
      <w:tblPr/>
      <w:tcPr>
        <w:shd w:val="clear" w:color="auto" w:fill="4472C4" w:themeFill="accent1"/>
      </w:tcPr>
    </w:tblStylePr>
    <w:tblStylePr w:type="firstCol">
      <w:rPr>
        <w:b/>
      </w:rPr>
      <w:tblPr/>
      <w:tcPr>
        <w:shd w:val="clear" w:color="auto" w:fill="4472C4" w:themeFill="accent1"/>
      </w:tcPr>
    </w:tblStylePr>
    <w:tblStylePr w:type="band1Horz">
      <w:tblPr/>
      <w:tcPr>
        <w:shd w:val="clear" w:color="auto" w:fill="E7E6E6" w:themeFill="background2"/>
      </w:tcPr>
    </w:tblStylePr>
  </w:style>
  <w:style w:type="paragraph" w:customStyle="1" w:styleId="EmphasisPanelBullet">
    <w:name w:val="Emphasis Panel Bullet"/>
    <w:uiPriority w:val="11"/>
    <w:qFormat/>
    <w:rsid w:val="00F66475"/>
    <w:pPr>
      <w:keepLines/>
      <w:numPr>
        <w:numId w:val="11"/>
      </w:numPr>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120" w:after="120" w:line="264" w:lineRule="auto"/>
      <w:ind w:right="215"/>
    </w:pPr>
    <w:rPr>
      <w:rFonts w:eastAsia="Times New Roman" w:cstheme="minorHAnsi"/>
      <w:color w:val="262626" w:themeColor="text1" w:themeTint="D9"/>
      <w:sz w:val="20"/>
      <w:lang w:val="en-US"/>
    </w:rPr>
  </w:style>
  <w:style w:type="paragraph" w:customStyle="1" w:styleId="TableNumbering">
    <w:name w:val="Table Numbering"/>
    <w:uiPriority w:val="11"/>
    <w:qFormat/>
    <w:rsid w:val="00F66475"/>
    <w:pPr>
      <w:numPr>
        <w:numId w:val="12"/>
      </w:numPr>
      <w:spacing w:before="40" w:after="40" w:line="264" w:lineRule="auto"/>
    </w:pPr>
    <w:rPr>
      <w:color w:val="000000" w:themeColor="text1"/>
      <w:sz w:val="18"/>
      <w:szCs w:val="20"/>
    </w:rPr>
  </w:style>
  <w:style w:type="character" w:styleId="FollowedHyperlink">
    <w:name w:val="FollowedHyperlink"/>
    <w:basedOn w:val="DefaultParagraphFont"/>
    <w:uiPriority w:val="99"/>
    <w:semiHidden/>
    <w:unhideWhenUsed/>
    <w:rsid w:val="00F66475"/>
    <w:rPr>
      <w:color w:val="954F72" w:themeColor="followedHyperlink"/>
      <w:u w:val="single"/>
    </w:rPr>
  </w:style>
  <w:style w:type="character" w:styleId="CommentReference">
    <w:name w:val="annotation reference"/>
    <w:basedOn w:val="DefaultParagraphFont"/>
    <w:uiPriority w:val="99"/>
    <w:semiHidden/>
    <w:unhideWhenUsed/>
    <w:rsid w:val="00F66475"/>
    <w:rPr>
      <w:sz w:val="16"/>
      <w:szCs w:val="16"/>
    </w:rPr>
  </w:style>
  <w:style w:type="paragraph" w:styleId="CommentText">
    <w:name w:val="annotation text"/>
    <w:basedOn w:val="Normal"/>
    <w:link w:val="CommentTextChar"/>
    <w:uiPriority w:val="99"/>
    <w:unhideWhenUsed/>
    <w:rsid w:val="00F66475"/>
    <w:pPr>
      <w:spacing w:line="240" w:lineRule="auto"/>
    </w:pPr>
    <w:rPr>
      <w:sz w:val="20"/>
      <w:szCs w:val="20"/>
    </w:rPr>
  </w:style>
  <w:style w:type="character" w:customStyle="1" w:styleId="CommentTextChar">
    <w:name w:val="Comment Text Char"/>
    <w:basedOn w:val="DefaultParagraphFont"/>
    <w:link w:val="CommentText"/>
    <w:uiPriority w:val="99"/>
    <w:rsid w:val="00F6647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66475"/>
    <w:rPr>
      <w:b/>
      <w:bCs/>
    </w:rPr>
  </w:style>
  <w:style w:type="character" w:customStyle="1" w:styleId="CommentSubjectChar">
    <w:name w:val="Comment Subject Char"/>
    <w:basedOn w:val="CommentTextChar"/>
    <w:link w:val="CommentSubject"/>
    <w:uiPriority w:val="99"/>
    <w:semiHidden/>
    <w:rsid w:val="00F66475"/>
    <w:rPr>
      <w:rFonts w:eastAsiaTheme="minorEastAsia"/>
      <w:b/>
      <w:bCs/>
      <w:sz w:val="20"/>
      <w:szCs w:val="20"/>
    </w:rPr>
  </w:style>
  <w:style w:type="table" w:styleId="ListTable3">
    <w:name w:val="List Table 3"/>
    <w:basedOn w:val="TableNormal"/>
    <w:uiPriority w:val="48"/>
    <w:rsid w:val="00F66475"/>
    <w:pPr>
      <w:spacing w:after="0" w:line="240" w:lineRule="auto"/>
    </w:pPr>
    <w:rPr>
      <w:rFonts w:eastAsiaTheme="minorEastAsia"/>
      <w:sz w:val="21"/>
      <w:szCs w:val="21"/>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
    <w:name w:val="Table Grid1"/>
    <w:basedOn w:val="TableNormal"/>
    <w:next w:val="TableGrid"/>
    <w:uiPriority w:val="39"/>
    <w:rsid w:val="00F664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 heading Char,Bulleted Para Char,CV text Char,Dot pt Char,F5 List Paragraph Char,FooterText Char,L Char,List Paragraph1 Char,List Paragraph11 Char,List Paragraph111 Char,List Paragraph2 Char,Medium Grid 1 - Accent 21 Char,列出 Char"/>
    <w:link w:val="ListParagraph"/>
    <w:uiPriority w:val="2"/>
    <w:qFormat/>
    <w:rsid w:val="00F66475"/>
    <w:rPr>
      <w:rFonts w:eastAsiaTheme="minorEastAsia"/>
      <w:szCs w:val="21"/>
    </w:rPr>
  </w:style>
  <w:style w:type="table" w:customStyle="1" w:styleId="TableGrid2">
    <w:name w:val="Table Grid2"/>
    <w:basedOn w:val="TableNormal"/>
    <w:next w:val="TableGrid"/>
    <w:uiPriority w:val="39"/>
    <w:rsid w:val="00F664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66475"/>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rsid w:val="00F66475"/>
    <w:rPr>
      <w:rFonts w:eastAsia="Calibri"/>
      <w:sz w:val="20"/>
      <w:szCs w:val="20"/>
    </w:rPr>
  </w:style>
  <w:style w:type="character" w:styleId="FootnoteReference">
    <w:name w:val="footnote reference"/>
    <w:basedOn w:val="DefaultParagraphFont"/>
    <w:uiPriority w:val="99"/>
    <w:semiHidden/>
    <w:unhideWhenUsed/>
    <w:rsid w:val="00F66475"/>
    <w:rPr>
      <w:vertAlign w:val="superscript"/>
    </w:rPr>
  </w:style>
  <w:style w:type="paragraph" w:styleId="Revision">
    <w:name w:val="Revision"/>
    <w:hidden/>
    <w:uiPriority w:val="99"/>
    <w:semiHidden/>
    <w:rsid w:val="00F66475"/>
    <w:pPr>
      <w:spacing w:after="0" w:line="240" w:lineRule="auto"/>
    </w:pPr>
    <w:rPr>
      <w:rFonts w:eastAsiaTheme="minorEastAsia"/>
      <w:szCs w:val="21"/>
    </w:rPr>
  </w:style>
  <w:style w:type="character" w:customStyle="1" w:styleId="UnresolvedMention">
    <w:name w:val="Unresolved Mention"/>
    <w:basedOn w:val="DefaultParagraphFont"/>
    <w:uiPriority w:val="99"/>
    <w:semiHidden/>
    <w:unhideWhenUsed/>
    <w:rsid w:val="00F66475"/>
    <w:rPr>
      <w:color w:val="605E5C"/>
      <w:shd w:val="clear" w:color="auto" w:fill="E1DFDD"/>
    </w:rPr>
  </w:style>
  <w:style w:type="paragraph" w:styleId="NormalWeb">
    <w:name w:val="Normal (Web)"/>
    <w:basedOn w:val="Normal"/>
    <w:uiPriority w:val="99"/>
    <w:unhideWhenUsed/>
    <w:rsid w:val="00F6647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ention">
    <w:name w:val="Mention"/>
    <w:basedOn w:val="DefaultParagraphFont"/>
    <w:uiPriority w:val="99"/>
    <w:unhideWhenUsed/>
    <w:rsid w:val="00F66475"/>
    <w:rPr>
      <w:color w:val="2B579A"/>
      <w:shd w:val="clear" w:color="auto" w:fill="E1DFDD"/>
    </w:rPr>
  </w:style>
  <w:style w:type="paragraph" w:customStyle="1" w:styleId="TableBullet">
    <w:name w:val="Table Bullet"/>
    <w:basedOn w:val="ListParagraph"/>
    <w:uiPriority w:val="11"/>
    <w:qFormat/>
    <w:rsid w:val="00F66475"/>
    <w:pPr>
      <w:numPr>
        <w:numId w:val="16"/>
      </w:numPr>
      <w:spacing w:before="40" w:after="40" w:line="240" w:lineRule="auto"/>
      <w:contextualSpacing w:val="0"/>
    </w:pPr>
    <w:rPr>
      <w:rFonts w:eastAsiaTheme="minorHAnsi"/>
      <w:color w:val="262626" w:themeColor="text1" w:themeTint="D9"/>
      <w:sz w:val="18"/>
      <w:szCs w:val="20"/>
    </w:rPr>
  </w:style>
  <w:style w:type="character" w:customStyle="1" w:styleId="ui-provider">
    <w:name w:val="ui-provider"/>
    <w:basedOn w:val="DefaultParagraphFont"/>
    <w:rsid w:val="00F66475"/>
  </w:style>
  <w:style w:type="table" w:styleId="PlainTable5">
    <w:name w:val="Plain Table 5"/>
    <w:basedOn w:val="TableNormal"/>
    <w:uiPriority w:val="45"/>
    <w:rsid w:val="00F66475"/>
    <w:pPr>
      <w:spacing w:after="0" w:line="240" w:lineRule="auto"/>
    </w:pPr>
    <w:rPr>
      <w:rFonts w:eastAsiaTheme="minorEastAsia"/>
      <w:sz w:val="21"/>
      <w:szCs w:val="2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F66475"/>
    <w:pPr>
      <w:spacing w:after="0" w:line="240" w:lineRule="auto"/>
    </w:pPr>
    <w:rPr>
      <w:rFonts w:eastAsiaTheme="minorEastAsia"/>
      <w:color w:val="000000" w:themeColor="text1"/>
      <w:sz w:val="21"/>
      <w:szCs w:val="2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66475"/>
    <w:pPr>
      <w:spacing w:after="0" w:line="240" w:lineRule="auto"/>
    </w:pPr>
    <w:rPr>
      <w:rFonts w:eastAsiaTheme="minorEastAsia"/>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Body">
    <w:name w:val="00 Body"/>
    <w:basedOn w:val="Normal"/>
    <w:link w:val="00BodyChar"/>
    <w:qFormat/>
    <w:rsid w:val="00F66475"/>
    <w:pPr>
      <w:spacing w:before="180" w:after="180"/>
    </w:pPr>
    <w:rPr>
      <w:rFonts w:ascii="Arial (Body)" w:eastAsia="Times New Roman" w:hAnsi="Arial (Body)" w:cs="Times New Roman"/>
      <w:szCs w:val="20"/>
      <w:lang w:val="en-US"/>
    </w:rPr>
  </w:style>
  <w:style w:type="paragraph" w:customStyle="1" w:styleId="01B1Dot">
    <w:name w:val="01 B1 Dot"/>
    <w:basedOn w:val="Normal"/>
    <w:link w:val="01B1DotChar"/>
    <w:uiPriority w:val="7"/>
    <w:qFormat/>
    <w:rsid w:val="00F66475"/>
    <w:pPr>
      <w:numPr>
        <w:numId w:val="19"/>
      </w:numPr>
      <w:spacing w:after="120"/>
    </w:pPr>
    <w:rPr>
      <w:rFonts w:ascii="Arial (Body)" w:eastAsia="Times New Roman" w:hAnsi="Arial (Body)" w:cs="Times New Roman"/>
      <w:szCs w:val="20"/>
      <w:lang w:val="en-US"/>
    </w:rPr>
  </w:style>
  <w:style w:type="character" w:customStyle="1" w:styleId="00BodyChar">
    <w:name w:val="00 Body Char"/>
    <w:basedOn w:val="DefaultParagraphFont"/>
    <w:link w:val="00Body"/>
    <w:rsid w:val="00F66475"/>
    <w:rPr>
      <w:rFonts w:ascii="Arial (Body)" w:eastAsia="Times New Roman" w:hAnsi="Arial (Body)" w:cs="Times New Roman"/>
      <w:szCs w:val="20"/>
      <w:lang w:val="en-US"/>
    </w:rPr>
  </w:style>
  <w:style w:type="character" w:customStyle="1" w:styleId="01B1DotChar">
    <w:name w:val="01 B1 Dot Char"/>
    <w:basedOn w:val="00BodyChar"/>
    <w:link w:val="01B1Dot"/>
    <w:uiPriority w:val="7"/>
    <w:rsid w:val="00F66475"/>
    <w:rPr>
      <w:rFonts w:ascii="Arial (Body)" w:eastAsia="Times New Roman" w:hAnsi="Arial (Body)" w:cs="Times New Roman"/>
      <w:szCs w:val="20"/>
      <w:lang w:val="en-US"/>
    </w:rPr>
  </w:style>
  <w:style w:type="paragraph" w:customStyle="1" w:styleId="01B2Dash">
    <w:name w:val="01 B2 Dash"/>
    <w:basedOn w:val="01B1Dot"/>
    <w:uiPriority w:val="1"/>
    <w:rsid w:val="00F66475"/>
    <w:pPr>
      <w:numPr>
        <w:ilvl w:val="1"/>
      </w:numPr>
    </w:pPr>
    <w:rPr>
      <w:rFonts w:eastAsiaTheme="minorHAnsi"/>
    </w:rPr>
  </w:style>
  <w:style w:type="paragraph" w:customStyle="1" w:styleId="01B3Chevron">
    <w:name w:val="01 B3 Chevron"/>
    <w:basedOn w:val="01B1Dot"/>
    <w:uiPriority w:val="1"/>
    <w:rsid w:val="00F66475"/>
    <w:pPr>
      <w:numPr>
        <w:ilvl w:val="2"/>
      </w:numPr>
    </w:pPr>
    <w:rPr>
      <w:rFonts w:eastAsiaTheme="minorHAnsi"/>
    </w:rPr>
  </w:style>
  <w:style w:type="paragraph" w:customStyle="1" w:styleId="01B4Chevron">
    <w:name w:val="01 B4 Chevron"/>
    <w:basedOn w:val="01B1Dot"/>
    <w:uiPriority w:val="1"/>
    <w:rsid w:val="00F66475"/>
    <w:pPr>
      <w:numPr>
        <w:ilvl w:val="3"/>
      </w:numPr>
      <w:tabs>
        <w:tab w:val="num" w:pos="360"/>
      </w:tabs>
    </w:pPr>
    <w:rPr>
      <w:rFonts w:eastAsiaTheme="minorHAnsi"/>
    </w:rPr>
  </w:style>
  <w:style w:type="paragraph" w:customStyle="1" w:styleId="01B5Square">
    <w:name w:val="01 B5 Square"/>
    <w:basedOn w:val="01B1Dot"/>
    <w:uiPriority w:val="1"/>
    <w:rsid w:val="00F66475"/>
    <w:pPr>
      <w:numPr>
        <w:ilvl w:val="4"/>
      </w:numPr>
      <w:tabs>
        <w:tab w:val="num" w:pos="360"/>
      </w:tabs>
    </w:pPr>
    <w:rPr>
      <w:rFonts w:eastAsiaTheme="minorHAnsi"/>
    </w:rPr>
  </w:style>
  <w:style w:type="paragraph" w:styleId="EndnoteText">
    <w:name w:val="endnote text"/>
    <w:basedOn w:val="Normal"/>
    <w:link w:val="EndnoteTextChar"/>
    <w:uiPriority w:val="99"/>
    <w:semiHidden/>
    <w:unhideWhenUsed/>
    <w:rsid w:val="00F664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6475"/>
    <w:rPr>
      <w:rFonts w:eastAsiaTheme="minorEastAsia"/>
      <w:sz w:val="20"/>
      <w:szCs w:val="20"/>
    </w:rPr>
  </w:style>
  <w:style w:type="character" w:styleId="EndnoteReference">
    <w:name w:val="endnote reference"/>
    <w:basedOn w:val="DefaultParagraphFont"/>
    <w:semiHidden/>
    <w:unhideWhenUsed/>
    <w:rsid w:val="00F66475"/>
    <w:rPr>
      <w:vertAlign w:val="superscript"/>
    </w:rPr>
  </w:style>
  <w:style w:type="character" w:customStyle="1" w:styleId="normaltextrun">
    <w:name w:val="normaltextrun"/>
    <w:basedOn w:val="DefaultParagraphFont"/>
    <w:rsid w:val="00F66475"/>
  </w:style>
  <w:style w:type="character" w:customStyle="1" w:styleId="eop">
    <w:name w:val="eop"/>
    <w:basedOn w:val="DefaultParagraphFont"/>
    <w:rsid w:val="00F66475"/>
  </w:style>
  <w:style w:type="paragraph" w:customStyle="1" w:styleId="CABTableHeading">
    <w:name w:val="CAB Table Heading"/>
    <w:basedOn w:val="Normal"/>
    <w:uiPriority w:val="7"/>
    <w:qFormat/>
    <w:rsid w:val="00F66475"/>
    <w:pPr>
      <w:spacing w:before="50" w:after="50" w:line="240" w:lineRule="auto"/>
    </w:pPr>
    <w:rPr>
      <w:rFonts w:ascii="Arial" w:eastAsiaTheme="minorHAnsi" w:hAnsi="Arial" w:cs="Arial"/>
      <w:b/>
      <w:bCs/>
      <w:sz w:val="20"/>
      <w:szCs w:val="20"/>
    </w:rPr>
  </w:style>
  <w:style w:type="paragraph" w:customStyle="1" w:styleId="TableBody">
    <w:name w:val="Table Body"/>
    <w:basedOn w:val="Normal"/>
    <w:uiPriority w:val="11"/>
    <w:qFormat/>
    <w:rsid w:val="00F66475"/>
    <w:pPr>
      <w:spacing w:before="40" w:after="40"/>
    </w:pPr>
    <w:rPr>
      <w:rFonts w:eastAsiaTheme="minorHAnsi"/>
      <w:color w:val="000000" w:themeColor="text1"/>
      <w:sz w:val="18"/>
      <w:szCs w:val="20"/>
    </w:rPr>
  </w:style>
  <w:style w:type="paragraph" w:customStyle="1" w:styleId="TableHeading">
    <w:name w:val="Table Heading"/>
    <w:basedOn w:val="Normal"/>
    <w:uiPriority w:val="11"/>
    <w:qFormat/>
    <w:rsid w:val="00F66475"/>
    <w:pPr>
      <w:spacing w:after="120"/>
    </w:pPr>
    <w:rPr>
      <w:rFonts w:asciiTheme="majorHAnsi" w:eastAsiaTheme="minorHAnsi" w:hAnsiTheme="majorHAnsi"/>
      <w:bCs/>
      <w:color w:val="FFFFFF" w:themeColor="background1"/>
      <w:sz w:val="18"/>
      <w:szCs w:val="20"/>
    </w:rPr>
  </w:style>
  <w:style w:type="table" w:customStyle="1" w:styleId="TableGrid6">
    <w:name w:val="Table Grid6"/>
    <w:basedOn w:val="TableNormal"/>
    <w:uiPriority w:val="39"/>
    <w:rsid w:val="00F664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5">
    <w:name w:val="List Number 5"/>
    <w:basedOn w:val="Normal"/>
    <w:uiPriority w:val="99"/>
    <w:semiHidden/>
    <w:unhideWhenUsed/>
    <w:rsid w:val="00F66475"/>
    <w:pPr>
      <w:numPr>
        <w:numId w:val="24"/>
      </w:numPr>
      <w:spacing w:after="180"/>
      <w:contextualSpacing/>
    </w:pPr>
    <w:rPr>
      <w:rFonts w:ascii="Arial (Body)" w:eastAsia="Times New Roman" w:hAnsi="Arial (Body)" w:cs="Times New Roman"/>
      <w:szCs w:val="20"/>
      <w:lang w:val="en-US"/>
    </w:rPr>
  </w:style>
  <w:style w:type="numbering" w:customStyle="1" w:styleId="NoList1">
    <w:name w:val="No List1"/>
    <w:next w:val="NoList"/>
    <w:uiPriority w:val="99"/>
    <w:semiHidden/>
    <w:unhideWhenUsed/>
    <w:rsid w:val="00F66475"/>
  </w:style>
  <w:style w:type="table" w:customStyle="1" w:styleId="McKinseyTable2">
    <w:name w:val="McKinsey Table 2"/>
    <w:basedOn w:val="TableNormal"/>
    <w:uiPriority w:val="99"/>
    <w:rsid w:val="00F66475"/>
    <w:pPr>
      <w:spacing w:after="0" w:line="240" w:lineRule="auto"/>
    </w:pPr>
    <w:rPr>
      <w:rFonts w:eastAsia="Arial"/>
      <w:lang w:val="en-US"/>
    </w:rPr>
    <w:tblPr>
      <w:tblStyleRowBandSize w:val="1"/>
    </w:tblPr>
    <w:tblStylePr w:type="firstRow">
      <w:tblPr/>
      <w:tcPr>
        <w:tcBorders>
          <w:top w:val="nil"/>
          <w:left w:val="nil"/>
          <w:bottom w:val="single" w:sz="12" w:space="0" w:color="7F7F7F"/>
          <w:right w:val="nil"/>
          <w:insideH w:val="nil"/>
          <w:insideV w:val="nil"/>
        </w:tcBorders>
        <w:vAlign w:val="bottom"/>
      </w:tcPr>
    </w:tblStylePr>
    <w:tblStylePr w:type="lastRow">
      <w:tblPr/>
      <w:tcPr>
        <w:tcBorders>
          <w:bottom w:val="single" w:sz="12" w:space="0" w:color="7F7F7F"/>
        </w:tcBorders>
      </w:tcPr>
    </w:tblStylePr>
    <w:tblStylePr w:type="band1Horz">
      <w:tblPr/>
      <w:tcPr>
        <w:tcBorders>
          <w:bottom w:val="single" w:sz="4" w:space="0" w:color="7F7F7F"/>
        </w:tcBorders>
      </w:tcPr>
    </w:tblStylePr>
    <w:tblStylePr w:type="band2Horz">
      <w:tblPr/>
      <w:tcPr>
        <w:tcBorders>
          <w:bottom w:val="single" w:sz="4" w:space="0" w:color="7F7F7F"/>
        </w:tcBorders>
      </w:tcPr>
    </w:tblStylePr>
  </w:style>
  <w:style w:type="paragraph" w:customStyle="1" w:styleId="991Title">
    <w:name w:val="99.1 Title"/>
    <w:next w:val="00Body"/>
    <w:link w:val="991TitleChar"/>
    <w:uiPriority w:val="3"/>
    <w:rsid w:val="00F66475"/>
    <w:pPr>
      <w:spacing w:before="100" w:beforeAutospacing="1" w:after="100" w:afterAutospacing="1" w:line="240" w:lineRule="auto"/>
    </w:pPr>
    <w:rPr>
      <w:rFonts w:ascii="Georgia" w:eastAsia="Times New Roman" w:hAnsi="Georgia" w:cs="Times New Roman"/>
      <w:b/>
      <w:kern w:val="40"/>
      <w:sz w:val="64"/>
      <w:szCs w:val="64"/>
      <w:lang w:val="en-US"/>
      <w14:numForm w14:val="lining"/>
    </w:rPr>
  </w:style>
  <w:style w:type="paragraph" w:customStyle="1" w:styleId="TitlePageDisclaimer">
    <w:name w:val="Title Page Disclaimer"/>
    <w:basedOn w:val="Normal"/>
    <w:link w:val="TitlePageDisclaimerChar"/>
    <w:semiHidden/>
    <w:locked/>
    <w:rsid w:val="00F66475"/>
    <w:pPr>
      <w:spacing w:after="0" w:line="240" w:lineRule="auto"/>
    </w:pPr>
    <w:rPr>
      <w:rFonts w:ascii="Arial" w:eastAsia="Times New Roman" w:hAnsi="Arial" w:cs="Times New Roman"/>
      <w:color w:val="000000"/>
      <w:sz w:val="20"/>
      <w:szCs w:val="20"/>
      <w:lang w:val="en-US"/>
    </w:rPr>
  </w:style>
  <w:style w:type="character" w:customStyle="1" w:styleId="TitlePageDisclaimerChar">
    <w:name w:val="Title Page Disclaimer Char"/>
    <w:basedOn w:val="DefaultParagraphFont"/>
    <w:link w:val="TitlePageDisclaimer"/>
    <w:semiHidden/>
    <w:rsid w:val="00F66475"/>
    <w:rPr>
      <w:rFonts w:ascii="Arial" w:eastAsia="Times New Roman" w:hAnsi="Arial" w:cs="Times New Roman"/>
      <w:color w:val="000000"/>
      <w:sz w:val="20"/>
      <w:szCs w:val="20"/>
      <w:lang w:val="en-US"/>
    </w:rPr>
  </w:style>
  <w:style w:type="character" w:customStyle="1" w:styleId="991TitleChar">
    <w:name w:val="99.1 Title Char"/>
    <w:basedOn w:val="DefaultParagraphFont"/>
    <w:link w:val="991Title"/>
    <w:uiPriority w:val="3"/>
    <w:rsid w:val="00F66475"/>
    <w:rPr>
      <w:rFonts w:ascii="Georgia" w:eastAsia="Times New Roman" w:hAnsi="Georgia" w:cs="Times New Roman"/>
      <w:b/>
      <w:kern w:val="40"/>
      <w:sz w:val="64"/>
      <w:szCs w:val="64"/>
      <w:lang w:val="en-US"/>
      <w14:numForm w14:val="lining"/>
    </w:rPr>
  </w:style>
  <w:style w:type="paragraph" w:customStyle="1" w:styleId="993Eyebrow">
    <w:name w:val="99.3 Eyebrow"/>
    <w:basedOn w:val="Normal"/>
    <w:next w:val="991Title"/>
    <w:uiPriority w:val="3"/>
    <w:rsid w:val="00F66475"/>
    <w:pPr>
      <w:spacing w:before="360" w:after="60"/>
    </w:pPr>
    <w:rPr>
      <w:rFonts w:ascii="Arial (Body)" w:eastAsia="Times New Roman" w:hAnsi="Arial (Body)" w:cs="Theinhardt Medium"/>
      <w:b/>
      <w:sz w:val="24"/>
      <w:szCs w:val="24"/>
      <w:lang w:val="en-US"/>
    </w:rPr>
  </w:style>
  <w:style w:type="paragraph" w:customStyle="1" w:styleId="992Subtitle">
    <w:name w:val="99.2 Subtitle"/>
    <w:basedOn w:val="Normal"/>
    <w:uiPriority w:val="2"/>
    <w:rsid w:val="00F66475"/>
    <w:pPr>
      <w:spacing w:before="60" w:after="180"/>
    </w:pPr>
    <w:rPr>
      <w:rFonts w:ascii="Arial (Body)" w:eastAsia="Times New Roman" w:hAnsi="Arial (Body)" w:cs="Times New Roman"/>
      <w:sz w:val="32"/>
      <w:szCs w:val="20"/>
      <w:lang w:val="en-US"/>
    </w:rPr>
  </w:style>
  <w:style w:type="paragraph" w:customStyle="1" w:styleId="27TBStat">
    <w:name w:val="27 TB Stat"/>
    <w:next w:val="28TBText"/>
    <w:rsid w:val="00F66475"/>
    <w:pPr>
      <w:spacing w:after="60" w:line="216" w:lineRule="auto"/>
    </w:pPr>
    <w:rPr>
      <w:rFonts w:ascii="Georgia" w:eastAsia="Times New Roman" w:hAnsi="Georgia" w:cs="Times New Roman"/>
      <w:b/>
      <w:color w:val="000000"/>
      <w:kern w:val="40"/>
      <w:sz w:val="72"/>
      <w:szCs w:val="88"/>
      <w:lang w:val="en-US"/>
      <w14:numForm w14:val="lining"/>
    </w:rPr>
  </w:style>
  <w:style w:type="paragraph" w:customStyle="1" w:styleId="20MajorH1">
    <w:name w:val="20 Major H1"/>
    <w:basedOn w:val="Normal"/>
    <w:next w:val="00Body"/>
    <w:link w:val="20MajorH1Char"/>
    <w:uiPriority w:val="2"/>
    <w:qFormat/>
    <w:rsid w:val="00F66475"/>
    <w:pPr>
      <w:keepNext/>
      <w:keepLines/>
      <w:spacing w:before="480" w:after="180"/>
      <w:outlineLvl w:val="0"/>
    </w:pPr>
    <w:rPr>
      <w:rFonts w:ascii="Arial (Body)" w:eastAsia="Times New Roman" w:hAnsi="Arial (Body)" w:cs="Times New Roman"/>
      <w:b/>
      <w:kern w:val="28"/>
      <w:sz w:val="32"/>
      <w:szCs w:val="20"/>
      <w:lang w:val="en-US"/>
      <w14:numForm w14:val="lining"/>
    </w:rPr>
  </w:style>
  <w:style w:type="paragraph" w:customStyle="1" w:styleId="21MinorH2">
    <w:name w:val="21 Minor H2"/>
    <w:basedOn w:val="Normal"/>
    <w:next w:val="00Body"/>
    <w:link w:val="21MinorH2Char"/>
    <w:uiPriority w:val="3"/>
    <w:qFormat/>
    <w:rsid w:val="00F66475"/>
    <w:pPr>
      <w:keepNext/>
      <w:keepLines/>
      <w:spacing w:before="360" w:after="180"/>
      <w:outlineLvl w:val="1"/>
    </w:pPr>
    <w:rPr>
      <w:rFonts w:ascii="Arial (Body)" w:eastAsia="Times New Roman" w:hAnsi="Arial (Body)" w:cs="Times New Roman"/>
      <w:kern w:val="28"/>
      <w:sz w:val="28"/>
      <w:szCs w:val="20"/>
      <w:lang w:val="en-US"/>
      <w14:numForm w14:val="lining"/>
    </w:rPr>
  </w:style>
  <w:style w:type="character" w:customStyle="1" w:styleId="20MajorH1Char">
    <w:name w:val="20 Major H1 Char"/>
    <w:basedOn w:val="DefaultParagraphFont"/>
    <w:link w:val="20MajorH1"/>
    <w:uiPriority w:val="2"/>
    <w:rsid w:val="00F66475"/>
    <w:rPr>
      <w:rFonts w:ascii="Arial (Body)" w:eastAsia="Times New Roman" w:hAnsi="Arial (Body)" w:cs="Times New Roman"/>
      <w:b/>
      <w:kern w:val="28"/>
      <w:sz w:val="32"/>
      <w:szCs w:val="20"/>
      <w:lang w:val="en-US"/>
      <w14:numForm w14:val="lining"/>
    </w:rPr>
  </w:style>
  <w:style w:type="paragraph" w:customStyle="1" w:styleId="993-Square">
    <w:name w:val="99 3-Square"/>
    <w:basedOn w:val="Normal"/>
    <w:next w:val="00Body"/>
    <w:uiPriority w:val="2"/>
    <w:rsid w:val="00F66475"/>
    <w:pPr>
      <w:spacing w:after="180" w:line="240" w:lineRule="auto"/>
      <w:jc w:val="center"/>
    </w:pPr>
    <w:rPr>
      <w:rFonts w:ascii="Arial (Body)" w:eastAsia="Times New Roman" w:hAnsi="Arial (Body)" w:cs="Times New Roman"/>
      <w:szCs w:val="20"/>
      <w:lang w:val="en-US"/>
    </w:rPr>
  </w:style>
  <w:style w:type="character" w:customStyle="1" w:styleId="21MinorH2Char">
    <w:name w:val="21 Minor H2 Char"/>
    <w:basedOn w:val="DefaultParagraphFont"/>
    <w:link w:val="21MinorH2"/>
    <w:uiPriority w:val="3"/>
    <w:rsid w:val="00F66475"/>
    <w:rPr>
      <w:rFonts w:ascii="Arial (Body)" w:eastAsia="Times New Roman" w:hAnsi="Arial (Body)" w:cs="Times New Roman"/>
      <w:kern w:val="28"/>
      <w:sz w:val="28"/>
      <w:szCs w:val="20"/>
      <w:lang w:val="en-US"/>
      <w14:numForm w14:val="lining"/>
    </w:rPr>
  </w:style>
  <w:style w:type="paragraph" w:customStyle="1" w:styleId="99EndDate">
    <w:name w:val="99 End Date"/>
    <w:basedOn w:val="00Body"/>
    <w:uiPriority w:val="1"/>
    <w:rsid w:val="00F66475"/>
    <w:pPr>
      <w:spacing w:before="300" w:line="276" w:lineRule="auto"/>
      <w:jc w:val="right"/>
    </w:pPr>
    <w:rPr>
      <w:b/>
      <w:i/>
      <w:iCs/>
      <w:sz w:val="20"/>
    </w:rPr>
  </w:style>
  <w:style w:type="paragraph" w:styleId="TOAHeading">
    <w:name w:val="toa heading"/>
    <w:basedOn w:val="20MajorH1"/>
    <w:next w:val="Normal"/>
    <w:uiPriority w:val="99"/>
    <w:unhideWhenUsed/>
    <w:rsid w:val="00F66475"/>
    <w:pPr>
      <w:outlineLvl w:val="9"/>
    </w:pPr>
    <w:rPr>
      <w:lang w:val="ru-RU"/>
    </w:rPr>
  </w:style>
  <w:style w:type="paragraph" w:customStyle="1" w:styleId="10TableBody">
    <w:name w:val="10 Table Body"/>
    <w:basedOn w:val="Normal"/>
    <w:next w:val="00Body"/>
    <w:uiPriority w:val="2"/>
    <w:rsid w:val="00F66475"/>
    <w:pPr>
      <w:spacing w:after="180"/>
    </w:pPr>
    <w:rPr>
      <w:rFonts w:ascii="Arial (Body)" w:eastAsia="Times New Roman" w:hAnsi="Arial (Body)" w:cs="Arial"/>
      <w:szCs w:val="20"/>
      <w:lang w:val="en-US"/>
    </w:rPr>
  </w:style>
  <w:style w:type="paragraph" w:customStyle="1" w:styleId="TOC71">
    <w:name w:val="TOC 71"/>
    <w:basedOn w:val="Normal"/>
    <w:next w:val="Normal"/>
    <w:autoRedefine/>
    <w:uiPriority w:val="39"/>
    <w:unhideWhenUsed/>
    <w:rsid w:val="00F66475"/>
    <w:pPr>
      <w:spacing w:after="0"/>
      <w:ind w:left="1320"/>
    </w:pPr>
    <w:rPr>
      <w:rFonts w:eastAsia="Times New Roman" w:cs="Arial"/>
      <w:sz w:val="20"/>
      <w:szCs w:val="24"/>
      <w:lang w:val="en-US"/>
    </w:rPr>
  </w:style>
  <w:style w:type="paragraph" w:customStyle="1" w:styleId="22Sub1H3">
    <w:name w:val="22 Sub 1 H3"/>
    <w:basedOn w:val="Normal"/>
    <w:next w:val="00Body"/>
    <w:link w:val="22Sub1H3Char"/>
    <w:uiPriority w:val="4"/>
    <w:qFormat/>
    <w:rsid w:val="00F66475"/>
    <w:pPr>
      <w:keepNext/>
      <w:keepLines/>
      <w:spacing w:before="360" w:after="180"/>
      <w:outlineLvl w:val="2"/>
    </w:pPr>
    <w:rPr>
      <w:rFonts w:ascii="Arial (Body)" w:eastAsia="Times New Roman" w:hAnsi="Arial (Body)" w:cs="Times New Roman"/>
      <w:b/>
      <w:sz w:val="24"/>
      <w:szCs w:val="20"/>
      <w:lang w:val="en-US"/>
    </w:rPr>
  </w:style>
  <w:style w:type="paragraph" w:customStyle="1" w:styleId="TOC81">
    <w:name w:val="TOC 81"/>
    <w:basedOn w:val="Normal"/>
    <w:next w:val="Normal"/>
    <w:autoRedefine/>
    <w:uiPriority w:val="39"/>
    <w:unhideWhenUsed/>
    <w:rsid w:val="00F66475"/>
    <w:pPr>
      <w:spacing w:after="0"/>
      <w:ind w:left="1540"/>
    </w:pPr>
    <w:rPr>
      <w:rFonts w:eastAsia="Times New Roman" w:cs="Arial"/>
      <w:sz w:val="20"/>
      <w:szCs w:val="24"/>
      <w:lang w:val="en-US"/>
    </w:rPr>
  </w:style>
  <w:style w:type="paragraph" w:customStyle="1" w:styleId="304Sub2H4">
    <w:name w:val="30.4 #Sub 2 H4"/>
    <w:basedOn w:val="22Sub2H4"/>
    <w:next w:val="00Body"/>
    <w:rsid w:val="00F66475"/>
    <w:pPr>
      <w:numPr>
        <w:ilvl w:val="3"/>
        <w:numId w:val="30"/>
      </w:numPr>
      <w:ind w:left="3107" w:hanging="360"/>
    </w:pPr>
  </w:style>
  <w:style w:type="character" w:customStyle="1" w:styleId="22Sub1H3Char">
    <w:name w:val="22 Sub 1 H3 Char"/>
    <w:basedOn w:val="DefaultParagraphFont"/>
    <w:link w:val="22Sub1H3"/>
    <w:uiPriority w:val="4"/>
    <w:rsid w:val="00F66475"/>
    <w:rPr>
      <w:rFonts w:ascii="Arial (Body)" w:eastAsia="Times New Roman" w:hAnsi="Arial (Body)" w:cs="Times New Roman"/>
      <w:b/>
      <w:sz w:val="24"/>
      <w:szCs w:val="20"/>
      <w:lang w:val="en-US"/>
    </w:rPr>
  </w:style>
  <w:style w:type="paragraph" w:styleId="ListBullet3">
    <w:name w:val="List Bullet 3"/>
    <w:basedOn w:val="01B3Chevron"/>
    <w:uiPriority w:val="99"/>
    <w:semiHidden/>
    <w:rsid w:val="00F66475"/>
    <w:pPr>
      <w:numPr>
        <w:numId w:val="6"/>
      </w:numPr>
    </w:pPr>
  </w:style>
  <w:style w:type="paragraph" w:styleId="E-mailSignature">
    <w:name w:val="E-mail Signature"/>
    <w:basedOn w:val="Normal"/>
    <w:link w:val="E-mailSignatureChar"/>
    <w:uiPriority w:val="99"/>
    <w:semiHidden/>
    <w:unhideWhenUsed/>
    <w:rsid w:val="00F66475"/>
    <w:pPr>
      <w:spacing w:after="0" w:line="240" w:lineRule="auto"/>
    </w:pPr>
    <w:rPr>
      <w:rFonts w:ascii="Arial (Body)" w:eastAsia="Times New Roman" w:hAnsi="Arial (Body)" w:cs="Times New Roman"/>
      <w:szCs w:val="20"/>
      <w:lang w:val="en-US"/>
    </w:rPr>
  </w:style>
  <w:style w:type="character" w:customStyle="1" w:styleId="E-mailSignatureChar">
    <w:name w:val="E-mail Signature Char"/>
    <w:basedOn w:val="DefaultParagraphFont"/>
    <w:link w:val="E-mailSignature"/>
    <w:uiPriority w:val="99"/>
    <w:semiHidden/>
    <w:rsid w:val="00F66475"/>
    <w:rPr>
      <w:rFonts w:ascii="Arial (Body)" w:eastAsia="Times New Roman" w:hAnsi="Arial (Body)" w:cs="Times New Roman"/>
      <w:szCs w:val="20"/>
      <w:lang w:val="en-US"/>
    </w:rPr>
  </w:style>
  <w:style w:type="paragraph" w:customStyle="1" w:styleId="61ExhImg">
    <w:name w:val="61 Exh Img"/>
    <w:next w:val="62ExhSource"/>
    <w:rsid w:val="00F66475"/>
    <w:pPr>
      <w:spacing w:after="240" w:line="240" w:lineRule="auto"/>
    </w:pPr>
    <w:rPr>
      <w:rFonts w:eastAsia="Times New Roman" w:cs="Times New Roman"/>
      <w:sz w:val="20"/>
      <w:szCs w:val="20"/>
      <w:lang w:val="en-US"/>
    </w:rPr>
  </w:style>
  <w:style w:type="paragraph" w:customStyle="1" w:styleId="11TableHeading">
    <w:name w:val="11 Table Heading"/>
    <w:basedOn w:val="Normal"/>
    <w:uiPriority w:val="2"/>
    <w:rsid w:val="00F66475"/>
    <w:pPr>
      <w:spacing w:after="180"/>
    </w:pPr>
    <w:rPr>
      <w:rFonts w:ascii="Arial (Body)" w:eastAsia="Times New Roman" w:hAnsi="Arial (Body)" w:cs="Times New Roman"/>
      <w:b/>
      <w:szCs w:val="20"/>
      <w:lang w:val="en-US"/>
    </w:rPr>
  </w:style>
  <w:style w:type="paragraph" w:customStyle="1" w:styleId="19ChapterTitle">
    <w:name w:val="19 Chapter Title"/>
    <w:basedOn w:val="Normal"/>
    <w:next w:val="00Body"/>
    <w:uiPriority w:val="1"/>
    <w:qFormat/>
    <w:rsid w:val="00F66475"/>
    <w:pPr>
      <w:keepNext/>
      <w:keepLines/>
      <w:pageBreakBefore/>
      <w:suppressAutoHyphens/>
      <w:spacing w:after="360"/>
      <w:outlineLvl w:val="0"/>
    </w:pPr>
    <w:rPr>
      <w:rFonts w:ascii="Georgia" w:eastAsia="Times New Roman" w:hAnsi="Georgia" w:cs="Times New Roman"/>
      <w:b/>
      <w:kern w:val="28"/>
      <w:sz w:val="60"/>
      <w:szCs w:val="20"/>
      <w:lang w:val="en-US"/>
      <w14:numForm w14:val="lining"/>
    </w:rPr>
  </w:style>
  <w:style w:type="paragraph" w:customStyle="1" w:styleId="TOC91">
    <w:name w:val="TOC 91"/>
    <w:basedOn w:val="Normal"/>
    <w:next w:val="Normal"/>
    <w:autoRedefine/>
    <w:uiPriority w:val="39"/>
    <w:unhideWhenUsed/>
    <w:rsid w:val="00F66475"/>
    <w:pPr>
      <w:spacing w:after="0"/>
      <w:ind w:left="1760"/>
    </w:pPr>
    <w:rPr>
      <w:rFonts w:eastAsia="Times New Roman" w:cs="Arial"/>
      <w:sz w:val="20"/>
      <w:szCs w:val="24"/>
      <w:lang w:val="en-US"/>
    </w:rPr>
  </w:style>
  <w:style w:type="paragraph" w:customStyle="1" w:styleId="69TOCTitle">
    <w:name w:val="69 TOC Title"/>
    <w:basedOn w:val="20MajorH1"/>
    <w:uiPriority w:val="3"/>
    <w:rsid w:val="00F66475"/>
    <w:pPr>
      <w:outlineLvl w:val="9"/>
    </w:pPr>
  </w:style>
  <w:style w:type="paragraph" w:customStyle="1" w:styleId="25PullQuote">
    <w:name w:val="25 Pull Quote"/>
    <w:next w:val="00Body"/>
    <w:uiPriority w:val="9"/>
    <w:qFormat/>
    <w:rsid w:val="00F66475"/>
    <w:pPr>
      <w:keepNext/>
      <w:spacing w:before="300" w:after="300" w:line="264" w:lineRule="auto"/>
      <w:ind w:left="432" w:right="432"/>
    </w:pPr>
    <w:rPr>
      <w:rFonts w:ascii="Georgia" w:eastAsia="Times New Roman" w:hAnsi="Georgia" w:cs="Times New Roman"/>
      <w:b/>
      <w:kern w:val="40"/>
      <w:sz w:val="40"/>
      <w:szCs w:val="20"/>
      <w:lang w:val="en-US"/>
      <w14:numForm w14:val="lining"/>
    </w:rPr>
  </w:style>
  <w:style w:type="paragraph" w:customStyle="1" w:styleId="64CVName">
    <w:name w:val="64 CVName"/>
    <w:basedOn w:val="20MajorH1"/>
    <w:rsid w:val="00F66475"/>
    <w:pPr>
      <w:spacing w:before="0"/>
      <w:outlineLvl w:val="9"/>
    </w:pPr>
  </w:style>
  <w:style w:type="paragraph" w:customStyle="1" w:styleId="28TBText">
    <w:name w:val="28 TB Text"/>
    <w:basedOn w:val="Normal"/>
    <w:rsid w:val="00F66475"/>
    <w:pPr>
      <w:spacing w:after="180"/>
    </w:pPr>
    <w:rPr>
      <w:rFonts w:ascii="Arial (Body)" w:eastAsia="Times New Roman" w:hAnsi="Arial (Body)" w:cs="Arial"/>
      <w:sz w:val="28"/>
      <w:szCs w:val="28"/>
      <w:lang w:val="en-US"/>
    </w:rPr>
  </w:style>
  <w:style w:type="paragraph" w:customStyle="1" w:styleId="68RefTitle">
    <w:name w:val="68 Ref Title"/>
    <w:basedOn w:val="20MajorH1"/>
    <w:rsid w:val="00F66475"/>
  </w:style>
  <w:style w:type="paragraph" w:customStyle="1" w:styleId="22Sub2H4">
    <w:name w:val="22 Sub 2 H4"/>
    <w:next w:val="00Body"/>
    <w:uiPriority w:val="5"/>
    <w:qFormat/>
    <w:rsid w:val="00F66475"/>
    <w:pPr>
      <w:keepNext/>
      <w:keepLines/>
      <w:spacing w:before="360" w:after="180" w:line="264" w:lineRule="auto"/>
      <w:outlineLvl w:val="3"/>
    </w:pPr>
    <w:rPr>
      <w:rFonts w:eastAsia="Times New Roman" w:cs="Times New Roman"/>
      <w:kern w:val="28"/>
      <w:sz w:val="24"/>
      <w:szCs w:val="20"/>
      <w:lang w:val="en-US"/>
      <w14:numForm w14:val="lining"/>
    </w:rPr>
  </w:style>
  <w:style w:type="table" w:customStyle="1" w:styleId="McKinseyTable1">
    <w:name w:val="McKinsey Table 1"/>
    <w:basedOn w:val="TableNormal"/>
    <w:uiPriority w:val="99"/>
    <w:rsid w:val="00F66475"/>
    <w:pPr>
      <w:spacing w:after="0" w:line="240" w:lineRule="auto"/>
    </w:pPr>
    <w:rPr>
      <w:rFonts w:eastAsia="Arial"/>
      <w:lang w:val="en-US"/>
    </w:rPr>
    <w:tblPr/>
    <w:tblStylePr w:type="firstRow">
      <w:tblPr/>
      <w:tcPr>
        <w:tcBorders>
          <w:bottom w:val="single" w:sz="12" w:space="0" w:color="7F7F7F"/>
        </w:tcBorders>
        <w:vAlign w:val="bottom"/>
      </w:tcPr>
    </w:tblStylePr>
  </w:style>
  <w:style w:type="paragraph" w:customStyle="1" w:styleId="65CVRole">
    <w:name w:val="65 CVRole"/>
    <w:basedOn w:val="21MinorH2"/>
    <w:rsid w:val="00F66475"/>
    <w:pPr>
      <w:spacing w:before="120"/>
      <w:outlineLvl w:val="4"/>
    </w:pPr>
  </w:style>
  <w:style w:type="table" w:customStyle="1" w:styleId="TableGrid3">
    <w:name w:val="Table Grid3"/>
    <w:basedOn w:val="TableNormal"/>
    <w:next w:val="TableGrid"/>
    <w:uiPriority w:val="39"/>
    <w:rsid w:val="00F66475"/>
    <w:pPr>
      <w:spacing w:after="0" w:line="240" w:lineRule="auto"/>
    </w:pPr>
    <w:rPr>
      <w:rFonts w:eastAsia="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CVOffice">
    <w:name w:val="66 CVOffice"/>
    <w:basedOn w:val="Normal"/>
    <w:rsid w:val="00F66475"/>
    <w:pPr>
      <w:keepNext/>
      <w:keepLines/>
      <w:spacing w:before="120" w:after="180"/>
      <w:outlineLvl w:val="4"/>
    </w:pPr>
    <w:rPr>
      <w:rFonts w:ascii="Arial (Body)" w:eastAsia="Times New Roman" w:hAnsi="Arial (Body)" w:cs="Arial"/>
      <w:i/>
      <w:sz w:val="26"/>
      <w:szCs w:val="20"/>
      <w:lang w:val="en-US"/>
    </w:rPr>
  </w:style>
  <w:style w:type="paragraph" w:customStyle="1" w:styleId="40Address">
    <w:name w:val="40 Address"/>
    <w:basedOn w:val="00Body"/>
    <w:uiPriority w:val="2"/>
    <w:rsid w:val="00F66475"/>
    <w:pPr>
      <w:spacing w:before="120" w:after="0"/>
      <w:contextualSpacing/>
    </w:pPr>
  </w:style>
  <w:style w:type="paragraph" w:customStyle="1" w:styleId="38LetterDate">
    <w:name w:val="38 Letter Date"/>
    <w:basedOn w:val="40Address"/>
    <w:uiPriority w:val="2"/>
    <w:rsid w:val="00F66475"/>
    <w:pPr>
      <w:spacing w:before="1200" w:after="60"/>
    </w:pPr>
  </w:style>
  <w:style w:type="character" w:customStyle="1" w:styleId="NoSpacingChar">
    <w:name w:val="No Spacing Char"/>
    <w:basedOn w:val="DefaultParagraphFont"/>
    <w:link w:val="NoSpacing"/>
    <w:uiPriority w:val="1"/>
    <w:rsid w:val="00F66475"/>
    <w:rPr>
      <w:rFonts w:eastAsiaTheme="minorEastAsia"/>
      <w:sz w:val="21"/>
      <w:szCs w:val="21"/>
    </w:rPr>
  </w:style>
  <w:style w:type="paragraph" w:customStyle="1" w:styleId="301MajorH1">
    <w:name w:val="30.1 #Major H1"/>
    <w:basedOn w:val="20MajorH1"/>
    <w:next w:val="00Body"/>
    <w:rsid w:val="00F66475"/>
    <w:pPr>
      <w:numPr>
        <w:numId w:val="30"/>
      </w:numPr>
      <w:ind w:left="947" w:hanging="360"/>
    </w:pPr>
  </w:style>
  <w:style w:type="paragraph" w:customStyle="1" w:styleId="302MinH2">
    <w:name w:val="30.2 #Min H2"/>
    <w:basedOn w:val="21MinorH2"/>
    <w:next w:val="00Body"/>
    <w:rsid w:val="00F66475"/>
    <w:pPr>
      <w:numPr>
        <w:ilvl w:val="1"/>
        <w:numId w:val="30"/>
      </w:numPr>
      <w:ind w:left="1667" w:hanging="360"/>
    </w:pPr>
  </w:style>
  <w:style w:type="paragraph" w:customStyle="1" w:styleId="303Sub1H3">
    <w:name w:val="30.3 #Sub 1 H3"/>
    <w:basedOn w:val="22Sub1H3"/>
    <w:next w:val="00Body"/>
    <w:rsid w:val="00F66475"/>
    <w:pPr>
      <w:numPr>
        <w:ilvl w:val="2"/>
        <w:numId w:val="30"/>
      </w:numPr>
      <w:ind w:left="2387" w:hanging="180"/>
    </w:pPr>
  </w:style>
  <w:style w:type="paragraph" w:customStyle="1" w:styleId="05L1">
    <w:name w:val="05 #L1"/>
    <w:basedOn w:val="01B1Dot"/>
    <w:uiPriority w:val="8"/>
    <w:qFormat/>
    <w:rsid w:val="00F66475"/>
    <w:pPr>
      <w:numPr>
        <w:numId w:val="29"/>
      </w:numPr>
    </w:pPr>
  </w:style>
  <w:style w:type="paragraph" w:customStyle="1" w:styleId="05L2">
    <w:name w:val="05 #L2"/>
    <w:basedOn w:val="01B2Dash"/>
    <w:uiPriority w:val="1"/>
    <w:rsid w:val="00F66475"/>
    <w:pPr>
      <w:numPr>
        <w:numId w:val="29"/>
      </w:numPr>
      <w:ind w:left="720" w:hanging="360"/>
    </w:pPr>
  </w:style>
  <w:style w:type="paragraph" w:customStyle="1" w:styleId="05L3">
    <w:name w:val="05 #L3"/>
    <w:basedOn w:val="01B3Chevron"/>
    <w:uiPriority w:val="1"/>
    <w:rsid w:val="00F66475"/>
    <w:pPr>
      <w:numPr>
        <w:numId w:val="29"/>
      </w:numPr>
      <w:ind w:left="1008" w:hanging="288"/>
    </w:pPr>
  </w:style>
  <w:style w:type="paragraph" w:customStyle="1" w:styleId="05L4">
    <w:name w:val="05 #L4"/>
    <w:basedOn w:val="01B4Chevron"/>
    <w:uiPriority w:val="1"/>
    <w:rsid w:val="00F66475"/>
    <w:pPr>
      <w:numPr>
        <w:numId w:val="29"/>
      </w:numPr>
      <w:ind w:left="1296" w:hanging="288"/>
    </w:pPr>
  </w:style>
  <w:style w:type="paragraph" w:styleId="Salutation">
    <w:name w:val="Salutation"/>
    <w:basedOn w:val="Normal"/>
    <w:next w:val="Normal"/>
    <w:link w:val="SalutationChar"/>
    <w:uiPriority w:val="99"/>
    <w:semiHidden/>
    <w:rsid w:val="00F66475"/>
    <w:pPr>
      <w:spacing w:before="640" w:after="180"/>
    </w:pPr>
    <w:rPr>
      <w:rFonts w:ascii="Arial (Body)" w:eastAsia="Times New Roman" w:hAnsi="Arial (Body)" w:cs="Times New Roman"/>
      <w:szCs w:val="20"/>
      <w:lang w:val="en-US"/>
    </w:rPr>
  </w:style>
  <w:style w:type="character" w:customStyle="1" w:styleId="SalutationChar">
    <w:name w:val="Salutation Char"/>
    <w:basedOn w:val="DefaultParagraphFont"/>
    <w:link w:val="Salutation"/>
    <w:uiPriority w:val="99"/>
    <w:semiHidden/>
    <w:rsid w:val="00F66475"/>
    <w:rPr>
      <w:rFonts w:ascii="Arial (Body)" w:eastAsia="Times New Roman" w:hAnsi="Arial (Body)" w:cs="Times New Roman"/>
      <w:szCs w:val="20"/>
      <w:lang w:val="en-US"/>
    </w:rPr>
  </w:style>
  <w:style w:type="paragraph" w:customStyle="1" w:styleId="TOC61">
    <w:name w:val="TOC 61"/>
    <w:basedOn w:val="Normal"/>
    <w:next w:val="Normal"/>
    <w:autoRedefine/>
    <w:uiPriority w:val="39"/>
    <w:unhideWhenUsed/>
    <w:rsid w:val="00F66475"/>
    <w:pPr>
      <w:spacing w:after="0"/>
      <w:ind w:left="1100"/>
    </w:pPr>
    <w:rPr>
      <w:rFonts w:eastAsia="Times New Roman" w:cs="Arial"/>
      <w:sz w:val="20"/>
      <w:szCs w:val="24"/>
      <w:lang w:val="en-US"/>
    </w:rPr>
  </w:style>
  <w:style w:type="paragraph" w:customStyle="1" w:styleId="60ExhNormal">
    <w:name w:val="60 Exh Normal"/>
    <w:basedOn w:val="EndnoteText"/>
    <w:uiPriority w:val="1"/>
    <w:rsid w:val="00F66475"/>
    <w:pPr>
      <w:keepNext/>
      <w:keepLines/>
      <w:spacing w:before="480" w:after="60"/>
    </w:pPr>
    <w:rPr>
      <w:rFonts w:ascii="Arial (Body)" w:eastAsia="Times New Roman" w:hAnsi="Arial (Body)" w:cs="Times New Roman"/>
      <w:lang w:val="en-US"/>
    </w:rPr>
  </w:style>
  <w:style w:type="paragraph" w:customStyle="1" w:styleId="42cc">
    <w:name w:val="42 cc:"/>
    <w:basedOn w:val="Normal"/>
    <w:uiPriority w:val="2"/>
    <w:rsid w:val="00F66475"/>
    <w:pPr>
      <w:spacing w:before="180" w:after="60"/>
      <w:ind w:left="544" w:hanging="544"/>
    </w:pPr>
    <w:rPr>
      <w:rFonts w:ascii="Arial (Body)" w:eastAsia="Times New Roman" w:hAnsi="Arial (Body)" w:cs="Times New Roman"/>
      <w:sz w:val="24"/>
      <w:szCs w:val="20"/>
      <w:lang w:val="en-US"/>
    </w:rPr>
  </w:style>
  <w:style w:type="paragraph" w:customStyle="1" w:styleId="StyleArialLeft-2cmAfter0pt">
    <w:name w:val="Style Arial Left:  -2 cm After:  0 pt"/>
    <w:basedOn w:val="Normal"/>
    <w:semiHidden/>
    <w:rsid w:val="00F66475"/>
    <w:pPr>
      <w:spacing w:before="180" w:after="0"/>
      <w:ind w:left="-1134"/>
    </w:pPr>
    <w:rPr>
      <w:rFonts w:ascii="Arial" w:eastAsia="Times New Roman" w:hAnsi="Arial" w:cs="Times New Roman"/>
      <w:sz w:val="24"/>
      <w:szCs w:val="20"/>
      <w:lang w:val="en-US"/>
    </w:rPr>
  </w:style>
  <w:style w:type="paragraph" w:customStyle="1" w:styleId="39RestrictiveNote">
    <w:name w:val="39 Restrictive Note"/>
    <w:basedOn w:val="NormalWeb"/>
    <w:uiPriority w:val="2"/>
    <w:rsid w:val="00F66475"/>
    <w:pPr>
      <w:spacing w:before="0" w:beforeAutospacing="0" w:after="180" w:afterAutospacing="0" w:line="264" w:lineRule="auto"/>
    </w:pPr>
    <w:rPr>
      <w:rFonts w:ascii="Arial" w:hAnsi="Arial"/>
      <w:b/>
      <w:color w:val="E5546C"/>
      <w:sz w:val="22"/>
      <w:lang w:val="en-US" w:eastAsia="en-US"/>
    </w:rPr>
  </w:style>
  <w:style w:type="paragraph" w:customStyle="1" w:styleId="36Opener">
    <w:name w:val="36 Opener"/>
    <w:basedOn w:val="00Body"/>
    <w:uiPriority w:val="2"/>
    <w:rsid w:val="00F66475"/>
  </w:style>
  <w:style w:type="paragraph" w:customStyle="1" w:styleId="26TBQuote">
    <w:name w:val="26 TB Quote"/>
    <w:next w:val="28TBText"/>
    <w:rsid w:val="00F66475"/>
    <w:pPr>
      <w:spacing w:after="300" w:line="264" w:lineRule="auto"/>
    </w:pPr>
    <w:rPr>
      <w:rFonts w:ascii="Georgia" w:eastAsia="Times New Roman" w:hAnsi="Georgia" w:cs="Times New Roman"/>
      <w:b/>
      <w:kern w:val="40"/>
      <w:sz w:val="40"/>
      <w:szCs w:val="32"/>
      <w:lang w:val="en-US"/>
      <w14:numForm w14:val="lining"/>
    </w:rPr>
  </w:style>
  <w:style w:type="paragraph" w:styleId="Index1">
    <w:name w:val="index 1"/>
    <w:basedOn w:val="Normal"/>
    <w:next w:val="Normal"/>
    <w:autoRedefine/>
    <w:uiPriority w:val="99"/>
    <w:semiHidden/>
    <w:unhideWhenUsed/>
    <w:rsid w:val="00F66475"/>
    <w:pPr>
      <w:spacing w:after="0" w:line="240" w:lineRule="auto"/>
      <w:ind w:left="220" w:hanging="220"/>
    </w:pPr>
    <w:rPr>
      <w:rFonts w:ascii="Arial (Body)" w:eastAsia="Times New Roman" w:hAnsi="Arial (Body)" w:cs="Times New Roman"/>
      <w:szCs w:val="20"/>
      <w:lang w:val="en-US"/>
    </w:rPr>
  </w:style>
  <w:style w:type="table" w:customStyle="1" w:styleId="McKinseyExhibit1">
    <w:name w:val="McKinsey Exhibit 1"/>
    <w:basedOn w:val="TableNormal"/>
    <w:uiPriority w:val="99"/>
    <w:rsid w:val="00F66475"/>
    <w:pPr>
      <w:keepNext/>
      <w:keepLines/>
      <w:spacing w:after="0" w:line="240" w:lineRule="auto"/>
    </w:pPr>
    <w:rPr>
      <w:rFonts w:eastAsia="Arial"/>
      <w:lang w:val="en-US"/>
    </w:rPr>
    <w:tblPr>
      <w:tblCellMar>
        <w:left w:w="0" w:type="dxa"/>
        <w:right w:w="0" w:type="dxa"/>
      </w:tblCellMar>
    </w:tblPr>
    <w:trPr>
      <w:cantSplit/>
    </w:trPr>
    <w:tcPr>
      <w:tcMar>
        <w:top w:w="0" w:type="dxa"/>
      </w:tcMar>
    </w:tcPr>
  </w:style>
  <w:style w:type="paragraph" w:customStyle="1" w:styleId="62ExhSource">
    <w:name w:val="62 Exh Source"/>
    <w:basedOn w:val="60ExhNormal"/>
    <w:rsid w:val="00F66475"/>
    <w:pPr>
      <w:spacing w:before="60" w:after="480"/>
    </w:pPr>
  </w:style>
  <w:style w:type="paragraph" w:customStyle="1" w:styleId="981SOPPMajor">
    <w:name w:val="98.1 SOPP Major"/>
    <w:basedOn w:val="Normal"/>
    <w:rsid w:val="00F66475"/>
    <w:pPr>
      <w:keepNext/>
      <w:keepLines/>
      <w:spacing w:before="360" w:after="60" w:line="240" w:lineRule="auto"/>
      <w:outlineLvl w:val="0"/>
    </w:pPr>
    <w:rPr>
      <w:rFonts w:ascii="Arial (Body)" w:eastAsia="Times New Roman" w:hAnsi="Arial (Body)" w:cs="Times New Roman"/>
      <w:b/>
      <w:kern w:val="28"/>
      <w:sz w:val="32"/>
      <w:szCs w:val="20"/>
      <w:lang w:val="en-US"/>
      <w14:numForm w14:val="lining"/>
    </w:rPr>
  </w:style>
  <w:style w:type="paragraph" w:customStyle="1" w:styleId="982SOPPMinor">
    <w:name w:val="98.2 SOPP Minor"/>
    <w:basedOn w:val="Normal"/>
    <w:rsid w:val="00F66475"/>
    <w:pPr>
      <w:spacing w:before="360" w:after="60" w:line="240" w:lineRule="auto"/>
    </w:pPr>
    <w:rPr>
      <w:rFonts w:ascii="Arial (Body)" w:eastAsia="Times New Roman" w:hAnsi="Arial (Body)" w:cs="Times New Roman"/>
      <w:kern w:val="28"/>
      <w:sz w:val="28"/>
      <w:szCs w:val="20"/>
      <w:lang w:val="en-US"/>
      <w14:numForm w14:val="lining"/>
    </w:rPr>
  </w:style>
  <w:style w:type="paragraph" w:customStyle="1" w:styleId="983SOPPTitle">
    <w:name w:val="98.3 SOPP Title"/>
    <w:basedOn w:val="991Title"/>
    <w:next w:val="00Body"/>
    <w:rsid w:val="00F66475"/>
    <w:pPr>
      <w:pageBreakBefore/>
    </w:pPr>
    <w:rPr>
      <w:sz w:val="60"/>
    </w:rPr>
  </w:style>
  <w:style w:type="paragraph" w:customStyle="1" w:styleId="ListBullet1">
    <w:name w:val="List Bullet1"/>
    <w:basedOn w:val="01B1Dot"/>
    <w:next w:val="ListBullet"/>
    <w:uiPriority w:val="99"/>
    <w:semiHidden/>
    <w:rsid w:val="00F66475"/>
    <w:pPr>
      <w:numPr>
        <w:numId w:val="0"/>
      </w:numPr>
      <w:ind w:left="2836" w:hanging="567"/>
    </w:pPr>
    <w:rPr>
      <w:rFonts w:eastAsia="Arial"/>
    </w:rPr>
  </w:style>
  <w:style w:type="paragraph" w:styleId="ListBullet2">
    <w:name w:val="List Bullet 2"/>
    <w:basedOn w:val="01B2Dash"/>
    <w:uiPriority w:val="99"/>
    <w:semiHidden/>
    <w:rsid w:val="00F66475"/>
    <w:pPr>
      <w:numPr>
        <w:numId w:val="6"/>
      </w:numPr>
    </w:pPr>
  </w:style>
  <w:style w:type="paragraph" w:styleId="ListBullet4">
    <w:name w:val="List Bullet 4"/>
    <w:basedOn w:val="01B4Chevron"/>
    <w:uiPriority w:val="99"/>
    <w:semiHidden/>
    <w:rsid w:val="00F66475"/>
    <w:pPr>
      <w:numPr>
        <w:numId w:val="6"/>
      </w:numPr>
      <w:tabs>
        <w:tab w:val="num" w:pos="360"/>
      </w:tabs>
    </w:pPr>
  </w:style>
  <w:style w:type="paragraph" w:styleId="ListBullet5">
    <w:name w:val="List Bullet 5"/>
    <w:basedOn w:val="01B5Square"/>
    <w:uiPriority w:val="99"/>
    <w:semiHidden/>
    <w:rsid w:val="00F66475"/>
    <w:pPr>
      <w:numPr>
        <w:numId w:val="6"/>
      </w:numPr>
      <w:tabs>
        <w:tab w:val="num" w:pos="360"/>
      </w:tabs>
    </w:pPr>
  </w:style>
  <w:style w:type="paragraph" w:customStyle="1" w:styleId="12TableCaption">
    <w:name w:val="12 Table Caption"/>
    <w:basedOn w:val="00Body"/>
    <w:rsid w:val="00F66475"/>
    <w:pPr>
      <w:keepLines/>
      <w:spacing w:before="60" w:after="480" w:line="240" w:lineRule="auto"/>
      <w:contextualSpacing/>
    </w:pPr>
    <w:rPr>
      <w:sz w:val="18"/>
    </w:rPr>
  </w:style>
  <w:style w:type="paragraph" w:customStyle="1" w:styleId="TOC41">
    <w:name w:val="TOC 41"/>
    <w:basedOn w:val="Normal"/>
    <w:next w:val="Normal"/>
    <w:autoRedefine/>
    <w:uiPriority w:val="39"/>
    <w:unhideWhenUsed/>
    <w:rsid w:val="00F66475"/>
    <w:pPr>
      <w:spacing w:after="0"/>
      <w:ind w:left="660"/>
    </w:pPr>
    <w:rPr>
      <w:rFonts w:eastAsia="Times New Roman" w:cs="Arial"/>
      <w:sz w:val="20"/>
      <w:szCs w:val="24"/>
      <w:lang w:val="en-US"/>
    </w:rPr>
  </w:style>
  <w:style w:type="paragraph" w:customStyle="1" w:styleId="67CVHeading">
    <w:name w:val="67 CVHeading"/>
    <w:basedOn w:val="22Sub1H3"/>
    <w:next w:val="00Body"/>
    <w:rsid w:val="00F66475"/>
    <w:pPr>
      <w:outlineLvl w:val="9"/>
    </w:pPr>
  </w:style>
  <w:style w:type="character" w:customStyle="1" w:styleId="00Bold">
    <w:name w:val="00 Bold"/>
    <w:basedOn w:val="DefaultParagraphFont"/>
    <w:uiPriority w:val="1"/>
    <w:rsid w:val="00F66475"/>
    <w:rPr>
      <w:rFonts w:ascii="Arial" w:hAnsi="Arial" w:cs="Theinhardt Pan"/>
      <w:b/>
    </w:rPr>
  </w:style>
  <w:style w:type="paragraph" w:customStyle="1" w:styleId="18DividerPage">
    <w:name w:val="18 Divider Page"/>
    <w:rsid w:val="00F66475"/>
    <w:pPr>
      <w:spacing w:before="720" w:after="720" w:line="264" w:lineRule="auto"/>
      <w:outlineLvl w:val="0"/>
    </w:pPr>
    <w:rPr>
      <w:rFonts w:ascii="Georgia" w:eastAsia="Arial" w:hAnsi="Georgia" w:cs="Times New Roman"/>
      <w:b/>
      <w:kern w:val="28"/>
      <w:sz w:val="56"/>
      <w:szCs w:val="20"/>
      <w:lang w:val="en-US"/>
      <w14:numForm w14:val="lining"/>
    </w:rPr>
  </w:style>
  <w:style w:type="paragraph" w:customStyle="1" w:styleId="IndexHeading1">
    <w:name w:val="Index Heading1"/>
    <w:basedOn w:val="21MinorH2"/>
    <w:next w:val="Index1"/>
    <w:uiPriority w:val="99"/>
    <w:semiHidden/>
    <w:unhideWhenUsed/>
    <w:rsid w:val="00F66475"/>
    <w:pPr>
      <w:outlineLvl w:val="9"/>
    </w:pPr>
    <w:rPr>
      <w:bCs/>
    </w:rPr>
  </w:style>
  <w:style w:type="paragraph" w:customStyle="1" w:styleId="EnvelopeAddress1">
    <w:name w:val="Envelope Address1"/>
    <w:basedOn w:val="Normal"/>
    <w:next w:val="EnvelopeAddress"/>
    <w:uiPriority w:val="99"/>
    <w:semiHidden/>
    <w:unhideWhenUsed/>
    <w:rsid w:val="00F66475"/>
    <w:pPr>
      <w:framePr w:w="7920" w:h="1980" w:hRule="exact" w:hSpace="180" w:wrap="auto" w:hAnchor="page" w:xAlign="center" w:yAlign="bottom"/>
      <w:spacing w:after="0" w:line="240" w:lineRule="auto"/>
      <w:ind w:left="2880"/>
    </w:pPr>
    <w:rPr>
      <w:rFonts w:ascii="Arial (Body)" w:eastAsia="Times New Roman" w:hAnsi="Arial (Body)" w:cs="Times New Roman"/>
      <w:sz w:val="24"/>
      <w:szCs w:val="24"/>
      <w:lang w:val="en-US"/>
    </w:rPr>
  </w:style>
  <w:style w:type="paragraph" w:customStyle="1" w:styleId="EnvelopeReturn1">
    <w:name w:val="Envelope Return1"/>
    <w:basedOn w:val="Normal"/>
    <w:next w:val="EnvelopeReturn"/>
    <w:uiPriority w:val="99"/>
    <w:semiHidden/>
    <w:unhideWhenUsed/>
    <w:rsid w:val="00F66475"/>
    <w:pPr>
      <w:spacing w:after="0" w:line="240" w:lineRule="auto"/>
    </w:pPr>
    <w:rPr>
      <w:rFonts w:ascii="Arial (Body)" w:eastAsia="Times New Roman" w:hAnsi="Arial (Body)" w:cs="Times New Roman"/>
      <w:sz w:val="20"/>
      <w:szCs w:val="20"/>
      <w:lang w:val="en-US"/>
    </w:rPr>
  </w:style>
  <w:style w:type="paragraph" w:customStyle="1" w:styleId="TOC51">
    <w:name w:val="TOC 51"/>
    <w:basedOn w:val="Normal"/>
    <w:next w:val="Normal"/>
    <w:autoRedefine/>
    <w:uiPriority w:val="39"/>
    <w:unhideWhenUsed/>
    <w:rsid w:val="00F66475"/>
    <w:pPr>
      <w:spacing w:after="0"/>
      <w:ind w:left="880"/>
    </w:pPr>
    <w:rPr>
      <w:rFonts w:eastAsia="Times New Roman" w:cs="Arial"/>
      <w:sz w:val="20"/>
      <w:szCs w:val="24"/>
      <w:lang w:val="en-US"/>
    </w:rPr>
  </w:style>
  <w:style w:type="paragraph" w:customStyle="1" w:styleId="994Date">
    <w:name w:val="99.4 Date"/>
    <w:basedOn w:val="992Subtitle"/>
    <w:rsid w:val="00F66475"/>
    <w:rPr>
      <w:sz w:val="24"/>
    </w:rPr>
  </w:style>
  <w:style w:type="paragraph" w:styleId="BodyText">
    <w:name w:val="Body Text"/>
    <w:basedOn w:val="Normal"/>
    <w:link w:val="BodyTextChar"/>
    <w:uiPriority w:val="99"/>
    <w:semiHidden/>
    <w:unhideWhenUsed/>
    <w:rsid w:val="00F66475"/>
    <w:pPr>
      <w:spacing w:after="180"/>
    </w:pPr>
    <w:rPr>
      <w:rFonts w:ascii="Arial (Body)" w:eastAsia="Times New Roman" w:hAnsi="Arial (Body)" w:cs="Times New Roman"/>
      <w:szCs w:val="20"/>
      <w:lang w:val="en-US"/>
    </w:rPr>
  </w:style>
  <w:style w:type="character" w:customStyle="1" w:styleId="BodyTextChar">
    <w:name w:val="Body Text Char"/>
    <w:basedOn w:val="DefaultParagraphFont"/>
    <w:link w:val="BodyText"/>
    <w:uiPriority w:val="99"/>
    <w:semiHidden/>
    <w:rsid w:val="00F66475"/>
    <w:rPr>
      <w:rFonts w:ascii="Arial (Body)" w:eastAsia="Times New Roman" w:hAnsi="Arial (Body)" w:cs="Times New Roman"/>
      <w:szCs w:val="20"/>
      <w:lang w:val="en-US"/>
    </w:rPr>
  </w:style>
  <w:style w:type="paragraph" w:styleId="Bibliography">
    <w:name w:val="Bibliography"/>
    <w:basedOn w:val="Normal"/>
    <w:next w:val="Normal"/>
    <w:uiPriority w:val="37"/>
    <w:semiHidden/>
    <w:unhideWhenUsed/>
    <w:rsid w:val="00F66475"/>
    <w:pPr>
      <w:spacing w:after="180"/>
    </w:pPr>
    <w:rPr>
      <w:rFonts w:ascii="Arial (Body)" w:eastAsia="Times New Roman" w:hAnsi="Arial (Body)" w:cs="Times New Roman"/>
      <w:szCs w:val="20"/>
      <w:lang w:val="en-US"/>
    </w:rPr>
  </w:style>
  <w:style w:type="paragraph" w:customStyle="1" w:styleId="BlockText1">
    <w:name w:val="Block Text1"/>
    <w:basedOn w:val="Normal"/>
    <w:next w:val="BlockText"/>
    <w:uiPriority w:val="99"/>
    <w:semiHidden/>
    <w:unhideWhenUsed/>
    <w:rsid w:val="00F66475"/>
    <w:pPr>
      <w:pBdr>
        <w:top w:val="single" w:sz="2" w:space="10" w:color="061F79"/>
        <w:left w:val="single" w:sz="2" w:space="10" w:color="061F79"/>
        <w:bottom w:val="single" w:sz="2" w:space="10" w:color="061F79"/>
        <w:right w:val="single" w:sz="2" w:space="10" w:color="061F79"/>
      </w:pBdr>
      <w:spacing w:after="180"/>
      <w:ind w:left="1152" w:right="1152"/>
    </w:pPr>
    <w:rPr>
      <w:rFonts w:ascii="Arial (Body)" w:hAnsi="Arial (Body)"/>
      <w:i/>
      <w:iCs/>
      <w:color w:val="061F79"/>
      <w:szCs w:val="20"/>
      <w:lang w:val="en-US"/>
    </w:rPr>
  </w:style>
  <w:style w:type="paragraph" w:styleId="BodyText2">
    <w:name w:val="Body Text 2"/>
    <w:basedOn w:val="Normal"/>
    <w:link w:val="BodyText2Char"/>
    <w:uiPriority w:val="99"/>
    <w:semiHidden/>
    <w:unhideWhenUsed/>
    <w:rsid w:val="00F66475"/>
    <w:pPr>
      <w:spacing w:after="120" w:line="480" w:lineRule="auto"/>
    </w:pPr>
    <w:rPr>
      <w:rFonts w:ascii="Arial (Body)" w:eastAsia="Times New Roman" w:hAnsi="Arial (Body)" w:cs="Times New Roman"/>
      <w:szCs w:val="20"/>
      <w:lang w:val="en-US"/>
    </w:rPr>
  </w:style>
  <w:style w:type="character" w:customStyle="1" w:styleId="BodyText2Char">
    <w:name w:val="Body Text 2 Char"/>
    <w:basedOn w:val="DefaultParagraphFont"/>
    <w:link w:val="BodyText2"/>
    <w:uiPriority w:val="99"/>
    <w:semiHidden/>
    <w:rsid w:val="00F66475"/>
    <w:rPr>
      <w:rFonts w:ascii="Arial (Body)" w:eastAsia="Times New Roman" w:hAnsi="Arial (Body)" w:cs="Times New Roman"/>
      <w:szCs w:val="20"/>
      <w:lang w:val="en-US"/>
    </w:rPr>
  </w:style>
  <w:style w:type="paragraph" w:styleId="BodyText3">
    <w:name w:val="Body Text 3"/>
    <w:basedOn w:val="Normal"/>
    <w:link w:val="BodyText3Char"/>
    <w:uiPriority w:val="99"/>
    <w:semiHidden/>
    <w:unhideWhenUsed/>
    <w:rsid w:val="00F66475"/>
    <w:pPr>
      <w:spacing w:after="120"/>
    </w:pPr>
    <w:rPr>
      <w:rFonts w:ascii="Arial (Body)" w:eastAsia="Times New Roman" w:hAnsi="Arial (Body)" w:cs="Times New Roman"/>
      <w:sz w:val="16"/>
      <w:szCs w:val="16"/>
      <w:lang w:val="en-US"/>
    </w:rPr>
  </w:style>
  <w:style w:type="character" w:customStyle="1" w:styleId="BodyText3Char">
    <w:name w:val="Body Text 3 Char"/>
    <w:basedOn w:val="DefaultParagraphFont"/>
    <w:link w:val="BodyText3"/>
    <w:uiPriority w:val="99"/>
    <w:semiHidden/>
    <w:rsid w:val="00F66475"/>
    <w:rPr>
      <w:rFonts w:ascii="Arial (Body)" w:eastAsia="Times New Roman" w:hAnsi="Arial (Body)" w:cs="Times New Roman"/>
      <w:sz w:val="16"/>
      <w:szCs w:val="16"/>
      <w:lang w:val="en-US"/>
    </w:rPr>
  </w:style>
  <w:style w:type="paragraph" w:styleId="BodyTextFirstIndent">
    <w:name w:val="Body Text First Indent"/>
    <w:basedOn w:val="BodyText"/>
    <w:link w:val="BodyTextFirstIndentChar"/>
    <w:uiPriority w:val="99"/>
    <w:semiHidden/>
    <w:unhideWhenUsed/>
    <w:rsid w:val="00F66475"/>
    <w:pPr>
      <w:ind w:firstLine="360"/>
    </w:pPr>
  </w:style>
  <w:style w:type="character" w:customStyle="1" w:styleId="BodyTextFirstIndentChar">
    <w:name w:val="Body Text First Indent Char"/>
    <w:basedOn w:val="BodyTextChar"/>
    <w:link w:val="BodyTextFirstIndent"/>
    <w:uiPriority w:val="99"/>
    <w:semiHidden/>
    <w:rsid w:val="00F66475"/>
    <w:rPr>
      <w:rFonts w:ascii="Arial (Body)" w:eastAsia="Times New Roman" w:hAnsi="Arial (Body)" w:cs="Times New Roman"/>
      <w:szCs w:val="20"/>
      <w:lang w:val="en-US"/>
    </w:rPr>
  </w:style>
  <w:style w:type="paragraph" w:styleId="BodyTextIndent">
    <w:name w:val="Body Text Indent"/>
    <w:basedOn w:val="Normal"/>
    <w:link w:val="BodyTextIndentChar"/>
    <w:uiPriority w:val="99"/>
    <w:semiHidden/>
    <w:unhideWhenUsed/>
    <w:rsid w:val="00F66475"/>
    <w:pPr>
      <w:spacing w:after="120"/>
      <w:ind w:left="283"/>
    </w:pPr>
    <w:rPr>
      <w:rFonts w:ascii="Arial (Body)" w:eastAsia="Times New Roman" w:hAnsi="Arial (Body)" w:cs="Times New Roman"/>
      <w:szCs w:val="20"/>
      <w:lang w:val="en-US"/>
    </w:rPr>
  </w:style>
  <w:style w:type="character" w:customStyle="1" w:styleId="BodyTextIndentChar">
    <w:name w:val="Body Text Indent Char"/>
    <w:basedOn w:val="DefaultParagraphFont"/>
    <w:link w:val="BodyTextIndent"/>
    <w:uiPriority w:val="99"/>
    <w:semiHidden/>
    <w:rsid w:val="00F66475"/>
    <w:rPr>
      <w:rFonts w:ascii="Arial (Body)" w:eastAsia="Times New Roman" w:hAnsi="Arial (Body)" w:cs="Times New Roman"/>
      <w:szCs w:val="20"/>
      <w:lang w:val="en-US"/>
    </w:rPr>
  </w:style>
  <w:style w:type="paragraph" w:styleId="BodyTextFirstIndent2">
    <w:name w:val="Body Text First Indent 2"/>
    <w:basedOn w:val="BodyTextIndent"/>
    <w:link w:val="BodyTextFirstIndent2Char"/>
    <w:uiPriority w:val="99"/>
    <w:semiHidden/>
    <w:unhideWhenUsed/>
    <w:rsid w:val="00F66475"/>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F66475"/>
    <w:rPr>
      <w:rFonts w:ascii="Arial (Body)" w:eastAsia="Times New Roman" w:hAnsi="Arial (Body)" w:cs="Times New Roman"/>
      <w:szCs w:val="20"/>
      <w:lang w:val="en-US"/>
    </w:rPr>
  </w:style>
  <w:style w:type="paragraph" w:styleId="BodyTextIndent2">
    <w:name w:val="Body Text Indent 2"/>
    <w:basedOn w:val="Normal"/>
    <w:link w:val="BodyTextIndent2Char"/>
    <w:uiPriority w:val="99"/>
    <w:semiHidden/>
    <w:unhideWhenUsed/>
    <w:rsid w:val="00F66475"/>
    <w:pPr>
      <w:spacing w:after="120" w:line="480" w:lineRule="auto"/>
      <w:ind w:left="283"/>
    </w:pPr>
    <w:rPr>
      <w:rFonts w:ascii="Arial (Body)" w:eastAsia="Times New Roman" w:hAnsi="Arial (Body)" w:cs="Times New Roman"/>
      <w:szCs w:val="20"/>
      <w:lang w:val="en-US"/>
    </w:rPr>
  </w:style>
  <w:style w:type="character" w:customStyle="1" w:styleId="BodyTextIndent2Char">
    <w:name w:val="Body Text Indent 2 Char"/>
    <w:basedOn w:val="DefaultParagraphFont"/>
    <w:link w:val="BodyTextIndent2"/>
    <w:uiPriority w:val="99"/>
    <w:semiHidden/>
    <w:rsid w:val="00F66475"/>
    <w:rPr>
      <w:rFonts w:ascii="Arial (Body)" w:eastAsia="Times New Roman" w:hAnsi="Arial (Body)" w:cs="Times New Roman"/>
      <w:szCs w:val="20"/>
      <w:lang w:val="en-US"/>
    </w:rPr>
  </w:style>
  <w:style w:type="paragraph" w:styleId="BodyTextIndent3">
    <w:name w:val="Body Text Indent 3"/>
    <w:basedOn w:val="Normal"/>
    <w:link w:val="BodyTextIndent3Char"/>
    <w:uiPriority w:val="99"/>
    <w:semiHidden/>
    <w:unhideWhenUsed/>
    <w:rsid w:val="00F66475"/>
    <w:pPr>
      <w:spacing w:after="120"/>
      <w:ind w:left="283"/>
    </w:pPr>
    <w:rPr>
      <w:rFonts w:ascii="Arial (Body)" w:eastAsia="Times New Roman" w:hAnsi="Arial (Body)" w:cs="Times New Roman"/>
      <w:sz w:val="16"/>
      <w:szCs w:val="16"/>
      <w:lang w:val="en-US"/>
    </w:rPr>
  </w:style>
  <w:style w:type="character" w:customStyle="1" w:styleId="BodyTextIndent3Char">
    <w:name w:val="Body Text Indent 3 Char"/>
    <w:basedOn w:val="DefaultParagraphFont"/>
    <w:link w:val="BodyTextIndent3"/>
    <w:uiPriority w:val="99"/>
    <w:semiHidden/>
    <w:rsid w:val="00F66475"/>
    <w:rPr>
      <w:rFonts w:ascii="Arial (Body)" w:eastAsia="Times New Roman" w:hAnsi="Arial (Body)" w:cs="Times New Roman"/>
      <w:sz w:val="16"/>
      <w:szCs w:val="16"/>
      <w:lang w:val="en-US"/>
    </w:rPr>
  </w:style>
  <w:style w:type="character" w:styleId="BookTitle">
    <w:name w:val="Book Title"/>
    <w:basedOn w:val="DefaultParagraphFont"/>
    <w:uiPriority w:val="33"/>
    <w:rsid w:val="00F66475"/>
    <w:rPr>
      <w:b/>
      <w:bCs/>
      <w:i/>
      <w:iCs/>
      <w:spacing w:val="5"/>
    </w:rPr>
  </w:style>
  <w:style w:type="paragraph" w:styleId="Closing">
    <w:name w:val="Closing"/>
    <w:basedOn w:val="Normal"/>
    <w:link w:val="ClosingChar"/>
    <w:uiPriority w:val="99"/>
    <w:semiHidden/>
    <w:unhideWhenUsed/>
    <w:rsid w:val="00F66475"/>
    <w:pPr>
      <w:spacing w:after="0" w:line="240" w:lineRule="auto"/>
      <w:ind w:left="4252"/>
    </w:pPr>
    <w:rPr>
      <w:rFonts w:ascii="Arial (Body)" w:eastAsia="Times New Roman" w:hAnsi="Arial (Body)" w:cs="Times New Roman"/>
      <w:szCs w:val="20"/>
      <w:lang w:val="en-US"/>
    </w:rPr>
  </w:style>
  <w:style w:type="character" w:customStyle="1" w:styleId="ClosingChar">
    <w:name w:val="Closing Char"/>
    <w:basedOn w:val="DefaultParagraphFont"/>
    <w:link w:val="Closing"/>
    <w:uiPriority w:val="99"/>
    <w:semiHidden/>
    <w:rsid w:val="00F66475"/>
    <w:rPr>
      <w:rFonts w:ascii="Arial (Body)" w:eastAsia="Times New Roman" w:hAnsi="Arial (Body)" w:cs="Times New Roman"/>
      <w:szCs w:val="20"/>
      <w:lang w:val="en-US"/>
    </w:rPr>
  </w:style>
  <w:style w:type="paragraph" w:styleId="Date">
    <w:name w:val="Date"/>
    <w:basedOn w:val="Normal"/>
    <w:next w:val="Normal"/>
    <w:link w:val="DateChar"/>
    <w:uiPriority w:val="99"/>
    <w:semiHidden/>
    <w:unhideWhenUsed/>
    <w:rsid w:val="00F66475"/>
    <w:pPr>
      <w:spacing w:after="180"/>
    </w:pPr>
    <w:rPr>
      <w:rFonts w:ascii="Arial (Body)" w:eastAsia="Times New Roman" w:hAnsi="Arial (Body)" w:cs="Times New Roman"/>
      <w:szCs w:val="20"/>
      <w:lang w:val="en-US"/>
    </w:rPr>
  </w:style>
  <w:style w:type="character" w:customStyle="1" w:styleId="DateChar">
    <w:name w:val="Date Char"/>
    <w:basedOn w:val="DefaultParagraphFont"/>
    <w:link w:val="Date"/>
    <w:uiPriority w:val="99"/>
    <w:semiHidden/>
    <w:rsid w:val="00F66475"/>
    <w:rPr>
      <w:rFonts w:ascii="Arial (Body)" w:eastAsia="Times New Roman" w:hAnsi="Arial (Body)" w:cs="Times New Roman"/>
      <w:szCs w:val="20"/>
      <w:lang w:val="en-US"/>
    </w:rPr>
  </w:style>
  <w:style w:type="paragraph" w:styleId="DocumentMap">
    <w:name w:val="Document Map"/>
    <w:basedOn w:val="Normal"/>
    <w:link w:val="DocumentMapChar"/>
    <w:uiPriority w:val="99"/>
    <w:semiHidden/>
    <w:unhideWhenUsed/>
    <w:rsid w:val="00F66475"/>
    <w:pPr>
      <w:spacing w:after="0" w:line="240" w:lineRule="auto"/>
    </w:pPr>
    <w:rPr>
      <w:rFonts w:ascii="Segoe UI" w:eastAsia="Times New Roman" w:hAnsi="Segoe UI" w:cs="Segoe UI"/>
      <w:sz w:val="16"/>
      <w:szCs w:val="16"/>
      <w:lang w:val="en-US"/>
    </w:rPr>
  </w:style>
  <w:style w:type="character" w:customStyle="1" w:styleId="DocumentMapChar">
    <w:name w:val="Document Map Char"/>
    <w:basedOn w:val="DefaultParagraphFont"/>
    <w:link w:val="DocumentMap"/>
    <w:uiPriority w:val="99"/>
    <w:semiHidden/>
    <w:rsid w:val="00F66475"/>
    <w:rPr>
      <w:rFonts w:ascii="Segoe UI" w:eastAsia="Times New Roman" w:hAnsi="Segoe UI" w:cs="Segoe UI"/>
      <w:sz w:val="16"/>
      <w:szCs w:val="16"/>
      <w:lang w:val="en-US"/>
    </w:rPr>
  </w:style>
  <w:style w:type="character" w:customStyle="1" w:styleId="Hashtag">
    <w:name w:val="Hashtag"/>
    <w:basedOn w:val="DefaultParagraphFont"/>
    <w:uiPriority w:val="99"/>
    <w:semiHidden/>
    <w:unhideWhenUsed/>
    <w:rsid w:val="00F66475"/>
    <w:rPr>
      <w:color w:val="2B579A"/>
      <w:shd w:val="clear" w:color="auto" w:fill="E1DFDD"/>
    </w:rPr>
  </w:style>
  <w:style w:type="character" w:styleId="HTMLAcronym">
    <w:name w:val="HTML Acronym"/>
    <w:basedOn w:val="DefaultParagraphFont"/>
    <w:uiPriority w:val="99"/>
    <w:semiHidden/>
    <w:unhideWhenUsed/>
    <w:rsid w:val="00F66475"/>
  </w:style>
  <w:style w:type="paragraph" w:styleId="HTMLAddress">
    <w:name w:val="HTML Address"/>
    <w:basedOn w:val="Normal"/>
    <w:link w:val="HTMLAddressChar"/>
    <w:uiPriority w:val="99"/>
    <w:semiHidden/>
    <w:unhideWhenUsed/>
    <w:rsid w:val="00F66475"/>
    <w:pPr>
      <w:spacing w:after="0" w:line="240" w:lineRule="auto"/>
    </w:pPr>
    <w:rPr>
      <w:rFonts w:ascii="Arial (Body)" w:eastAsia="Times New Roman" w:hAnsi="Arial (Body)" w:cs="Times New Roman"/>
      <w:i/>
      <w:iCs/>
      <w:szCs w:val="20"/>
      <w:lang w:val="en-US"/>
    </w:rPr>
  </w:style>
  <w:style w:type="character" w:customStyle="1" w:styleId="HTMLAddressChar">
    <w:name w:val="HTML Address Char"/>
    <w:basedOn w:val="DefaultParagraphFont"/>
    <w:link w:val="HTMLAddress"/>
    <w:uiPriority w:val="99"/>
    <w:semiHidden/>
    <w:rsid w:val="00F66475"/>
    <w:rPr>
      <w:rFonts w:ascii="Arial (Body)" w:eastAsia="Times New Roman" w:hAnsi="Arial (Body)" w:cs="Times New Roman"/>
      <w:i/>
      <w:iCs/>
      <w:szCs w:val="20"/>
      <w:lang w:val="en-US"/>
    </w:rPr>
  </w:style>
  <w:style w:type="character" w:styleId="HTMLCite">
    <w:name w:val="HTML Cite"/>
    <w:basedOn w:val="DefaultParagraphFont"/>
    <w:uiPriority w:val="99"/>
    <w:semiHidden/>
    <w:unhideWhenUsed/>
    <w:rsid w:val="00F66475"/>
    <w:rPr>
      <w:i/>
      <w:iCs/>
    </w:rPr>
  </w:style>
  <w:style w:type="character" w:styleId="HTMLCode">
    <w:name w:val="HTML Code"/>
    <w:basedOn w:val="DefaultParagraphFont"/>
    <w:uiPriority w:val="99"/>
    <w:semiHidden/>
    <w:unhideWhenUsed/>
    <w:rsid w:val="00F66475"/>
    <w:rPr>
      <w:rFonts w:ascii="Consolas" w:hAnsi="Consolas"/>
      <w:sz w:val="20"/>
      <w:szCs w:val="20"/>
    </w:rPr>
  </w:style>
  <w:style w:type="character" w:styleId="HTMLDefinition">
    <w:name w:val="HTML Definition"/>
    <w:basedOn w:val="DefaultParagraphFont"/>
    <w:uiPriority w:val="99"/>
    <w:semiHidden/>
    <w:unhideWhenUsed/>
    <w:rsid w:val="00F66475"/>
    <w:rPr>
      <w:i/>
      <w:iCs/>
    </w:rPr>
  </w:style>
  <w:style w:type="character" w:styleId="HTMLKeyboard">
    <w:name w:val="HTML Keyboard"/>
    <w:basedOn w:val="DefaultParagraphFont"/>
    <w:uiPriority w:val="99"/>
    <w:semiHidden/>
    <w:unhideWhenUsed/>
    <w:rsid w:val="00F66475"/>
    <w:rPr>
      <w:rFonts w:ascii="Consolas" w:hAnsi="Consolas"/>
      <w:sz w:val="20"/>
      <w:szCs w:val="20"/>
    </w:rPr>
  </w:style>
  <w:style w:type="paragraph" w:styleId="HTMLPreformatted">
    <w:name w:val="HTML Preformatted"/>
    <w:basedOn w:val="Normal"/>
    <w:link w:val="HTMLPreformattedChar"/>
    <w:uiPriority w:val="99"/>
    <w:semiHidden/>
    <w:unhideWhenUsed/>
    <w:rsid w:val="00F66475"/>
    <w:pPr>
      <w:spacing w:after="0" w:line="240" w:lineRule="auto"/>
    </w:pPr>
    <w:rPr>
      <w:rFonts w:ascii="Consolas" w:eastAsia="Times New Roman" w:hAnsi="Consolas" w:cs="Times New Roman"/>
      <w:sz w:val="20"/>
      <w:szCs w:val="20"/>
      <w:lang w:val="en-US"/>
    </w:rPr>
  </w:style>
  <w:style w:type="character" w:customStyle="1" w:styleId="HTMLPreformattedChar">
    <w:name w:val="HTML Preformatted Char"/>
    <w:basedOn w:val="DefaultParagraphFont"/>
    <w:link w:val="HTMLPreformatted"/>
    <w:uiPriority w:val="99"/>
    <w:semiHidden/>
    <w:rsid w:val="00F66475"/>
    <w:rPr>
      <w:rFonts w:ascii="Consolas" w:eastAsia="Times New Roman" w:hAnsi="Consolas" w:cs="Times New Roman"/>
      <w:sz w:val="20"/>
      <w:szCs w:val="20"/>
      <w:lang w:val="en-US"/>
    </w:rPr>
  </w:style>
  <w:style w:type="character" w:styleId="HTMLSample">
    <w:name w:val="HTML Sample"/>
    <w:basedOn w:val="DefaultParagraphFont"/>
    <w:uiPriority w:val="99"/>
    <w:semiHidden/>
    <w:unhideWhenUsed/>
    <w:rsid w:val="00F66475"/>
    <w:rPr>
      <w:rFonts w:ascii="Consolas" w:hAnsi="Consolas"/>
      <w:sz w:val="24"/>
      <w:szCs w:val="24"/>
    </w:rPr>
  </w:style>
  <w:style w:type="character" w:styleId="HTMLTypewriter">
    <w:name w:val="HTML Typewriter"/>
    <w:basedOn w:val="DefaultParagraphFont"/>
    <w:uiPriority w:val="99"/>
    <w:semiHidden/>
    <w:unhideWhenUsed/>
    <w:rsid w:val="00F66475"/>
    <w:rPr>
      <w:rFonts w:ascii="Consolas" w:hAnsi="Consolas"/>
      <w:sz w:val="20"/>
      <w:szCs w:val="20"/>
    </w:rPr>
  </w:style>
  <w:style w:type="character" w:styleId="HTMLVariable">
    <w:name w:val="HTML Variable"/>
    <w:basedOn w:val="DefaultParagraphFont"/>
    <w:uiPriority w:val="99"/>
    <w:semiHidden/>
    <w:unhideWhenUsed/>
    <w:rsid w:val="00F66475"/>
    <w:rPr>
      <w:i/>
      <w:iCs/>
    </w:rPr>
  </w:style>
  <w:style w:type="paragraph" w:styleId="Index2">
    <w:name w:val="index 2"/>
    <w:basedOn w:val="Normal"/>
    <w:next w:val="Normal"/>
    <w:autoRedefine/>
    <w:uiPriority w:val="99"/>
    <w:semiHidden/>
    <w:unhideWhenUsed/>
    <w:rsid w:val="00F66475"/>
    <w:pPr>
      <w:spacing w:after="0" w:line="240" w:lineRule="auto"/>
      <w:ind w:left="440" w:hanging="220"/>
    </w:pPr>
    <w:rPr>
      <w:rFonts w:ascii="Arial (Body)" w:eastAsia="Times New Roman" w:hAnsi="Arial (Body)" w:cs="Times New Roman"/>
      <w:szCs w:val="20"/>
      <w:lang w:val="en-US"/>
    </w:rPr>
  </w:style>
  <w:style w:type="paragraph" w:styleId="Index3">
    <w:name w:val="index 3"/>
    <w:basedOn w:val="Normal"/>
    <w:next w:val="Normal"/>
    <w:autoRedefine/>
    <w:uiPriority w:val="99"/>
    <w:semiHidden/>
    <w:unhideWhenUsed/>
    <w:rsid w:val="00F66475"/>
    <w:pPr>
      <w:spacing w:after="0" w:line="240" w:lineRule="auto"/>
      <w:ind w:left="660" w:hanging="220"/>
    </w:pPr>
    <w:rPr>
      <w:rFonts w:ascii="Arial (Body)" w:eastAsia="Times New Roman" w:hAnsi="Arial (Body)" w:cs="Times New Roman"/>
      <w:szCs w:val="20"/>
      <w:lang w:val="en-US"/>
    </w:rPr>
  </w:style>
  <w:style w:type="paragraph" w:styleId="Index4">
    <w:name w:val="index 4"/>
    <w:basedOn w:val="Normal"/>
    <w:next w:val="Normal"/>
    <w:autoRedefine/>
    <w:uiPriority w:val="99"/>
    <w:semiHidden/>
    <w:unhideWhenUsed/>
    <w:rsid w:val="00F66475"/>
    <w:pPr>
      <w:spacing w:after="0" w:line="240" w:lineRule="auto"/>
      <w:ind w:left="880" w:hanging="220"/>
    </w:pPr>
    <w:rPr>
      <w:rFonts w:ascii="Arial (Body)" w:eastAsia="Times New Roman" w:hAnsi="Arial (Body)" w:cs="Times New Roman"/>
      <w:szCs w:val="20"/>
      <w:lang w:val="en-US"/>
    </w:rPr>
  </w:style>
  <w:style w:type="paragraph" w:styleId="Index5">
    <w:name w:val="index 5"/>
    <w:basedOn w:val="Normal"/>
    <w:next w:val="Normal"/>
    <w:autoRedefine/>
    <w:uiPriority w:val="99"/>
    <w:semiHidden/>
    <w:unhideWhenUsed/>
    <w:rsid w:val="00F66475"/>
    <w:pPr>
      <w:spacing w:after="0" w:line="240" w:lineRule="auto"/>
      <w:ind w:left="1100" w:hanging="220"/>
    </w:pPr>
    <w:rPr>
      <w:rFonts w:ascii="Arial (Body)" w:eastAsia="Times New Roman" w:hAnsi="Arial (Body)" w:cs="Times New Roman"/>
      <w:szCs w:val="20"/>
      <w:lang w:val="en-US"/>
    </w:rPr>
  </w:style>
  <w:style w:type="paragraph" w:styleId="Index6">
    <w:name w:val="index 6"/>
    <w:basedOn w:val="Normal"/>
    <w:next w:val="Normal"/>
    <w:autoRedefine/>
    <w:uiPriority w:val="99"/>
    <w:semiHidden/>
    <w:unhideWhenUsed/>
    <w:rsid w:val="00F66475"/>
    <w:pPr>
      <w:spacing w:after="0" w:line="240" w:lineRule="auto"/>
      <w:ind w:left="1320" w:hanging="220"/>
    </w:pPr>
    <w:rPr>
      <w:rFonts w:ascii="Arial (Body)" w:eastAsia="Times New Roman" w:hAnsi="Arial (Body)" w:cs="Times New Roman"/>
      <w:szCs w:val="20"/>
      <w:lang w:val="en-US"/>
    </w:rPr>
  </w:style>
  <w:style w:type="paragraph" w:styleId="Index7">
    <w:name w:val="index 7"/>
    <w:basedOn w:val="Normal"/>
    <w:next w:val="Normal"/>
    <w:autoRedefine/>
    <w:uiPriority w:val="99"/>
    <w:semiHidden/>
    <w:unhideWhenUsed/>
    <w:rsid w:val="00F66475"/>
    <w:pPr>
      <w:spacing w:after="0" w:line="240" w:lineRule="auto"/>
      <w:ind w:left="1540" w:hanging="220"/>
    </w:pPr>
    <w:rPr>
      <w:rFonts w:ascii="Arial (Body)" w:eastAsia="Times New Roman" w:hAnsi="Arial (Body)" w:cs="Times New Roman"/>
      <w:szCs w:val="20"/>
      <w:lang w:val="en-US"/>
    </w:rPr>
  </w:style>
  <w:style w:type="paragraph" w:styleId="Index8">
    <w:name w:val="index 8"/>
    <w:basedOn w:val="Normal"/>
    <w:next w:val="Normal"/>
    <w:autoRedefine/>
    <w:uiPriority w:val="99"/>
    <w:semiHidden/>
    <w:unhideWhenUsed/>
    <w:rsid w:val="00F66475"/>
    <w:pPr>
      <w:spacing w:after="0" w:line="240" w:lineRule="auto"/>
      <w:ind w:left="1760" w:hanging="220"/>
    </w:pPr>
    <w:rPr>
      <w:rFonts w:ascii="Arial (Body)" w:eastAsia="Times New Roman" w:hAnsi="Arial (Body)" w:cs="Times New Roman"/>
      <w:szCs w:val="20"/>
      <w:lang w:val="en-US"/>
    </w:rPr>
  </w:style>
  <w:style w:type="paragraph" w:styleId="Index9">
    <w:name w:val="index 9"/>
    <w:basedOn w:val="Normal"/>
    <w:next w:val="Normal"/>
    <w:autoRedefine/>
    <w:uiPriority w:val="99"/>
    <w:semiHidden/>
    <w:unhideWhenUsed/>
    <w:rsid w:val="00F66475"/>
    <w:pPr>
      <w:spacing w:after="0" w:line="240" w:lineRule="auto"/>
      <w:ind w:left="1980" w:hanging="220"/>
    </w:pPr>
    <w:rPr>
      <w:rFonts w:ascii="Arial (Body)" w:eastAsia="Times New Roman" w:hAnsi="Arial (Body)" w:cs="Times New Roman"/>
      <w:szCs w:val="20"/>
      <w:lang w:val="en-US"/>
    </w:rPr>
  </w:style>
  <w:style w:type="character" w:styleId="LineNumber">
    <w:name w:val="line number"/>
    <w:basedOn w:val="DefaultParagraphFont"/>
    <w:uiPriority w:val="99"/>
    <w:semiHidden/>
    <w:unhideWhenUsed/>
    <w:rsid w:val="00F66475"/>
  </w:style>
  <w:style w:type="paragraph" w:styleId="List">
    <w:name w:val="List"/>
    <w:basedOn w:val="Normal"/>
    <w:uiPriority w:val="99"/>
    <w:semiHidden/>
    <w:unhideWhenUsed/>
    <w:rsid w:val="00F66475"/>
    <w:pPr>
      <w:spacing w:after="180"/>
      <w:ind w:left="283" w:hanging="283"/>
      <w:contextualSpacing/>
    </w:pPr>
    <w:rPr>
      <w:rFonts w:ascii="Arial (Body)" w:eastAsia="Times New Roman" w:hAnsi="Arial (Body)" w:cs="Times New Roman"/>
      <w:szCs w:val="20"/>
      <w:lang w:val="en-US"/>
    </w:rPr>
  </w:style>
  <w:style w:type="paragraph" w:styleId="List2">
    <w:name w:val="List 2"/>
    <w:basedOn w:val="Normal"/>
    <w:uiPriority w:val="99"/>
    <w:semiHidden/>
    <w:unhideWhenUsed/>
    <w:rsid w:val="00F66475"/>
    <w:pPr>
      <w:spacing w:after="180"/>
      <w:ind w:left="566" w:hanging="283"/>
      <w:contextualSpacing/>
    </w:pPr>
    <w:rPr>
      <w:rFonts w:ascii="Arial (Body)" w:eastAsia="Times New Roman" w:hAnsi="Arial (Body)" w:cs="Times New Roman"/>
      <w:szCs w:val="20"/>
      <w:lang w:val="en-US"/>
    </w:rPr>
  </w:style>
  <w:style w:type="paragraph" w:styleId="List3">
    <w:name w:val="List 3"/>
    <w:basedOn w:val="Normal"/>
    <w:uiPriority w:val="99"/>
    <w:semiHidden/>
    <w:unhideWhenUsed/>
    <w:rsid w:val="00F66475"/>
    <w:pPr>
      <w:spacing w:after="180"/>
      <w:ind w:left="849" w:hanging="283"/>
      <w:contextualSpacing/>
    </w:pPr>
    <w:rPr>
      <w:rFonts w:ascii="Arial (Body)" w:eastAsia="Times New Roman" w:hAnsi="Arial (Body)" w:cs="Times New Roman"/>
      <w:szCs w:val="20"/>
      <w:lang w:val="en-US"/>
    </w:rPr>
  </w:style>
  <w:style w:type="paragraph" w:styleId="List4">
    <w:name w:val="List 4"/>
    <w:basedOn w:val="Normal"/>
    <w:uiPriority w:val="99"/>
    <w:semiHidden/>
    <w:unhideWhenUsed/>
    <w:rsid w:val="00F66475"/>
    <w:pPr>
      <w:spacing w:after="180"/>
      <w:ind w:left="1132" w:hanging="283"/>
      <w:contextualSpacing/>
    </w:pPr>
    <w:rPr>
      <w:rFonts w:ascii="Arial (Body)" w:eastAsia="Times New Roman" w:hAnsi="Arial (Body)" w:cs="Times New Roman"/>
      <w:szCs w:val="20"/>
      <w:lang w:val="en-US"/>
    </w:rPr>
  </w:style>
  <w:style w:type="paragraph" w:styleId="List5">
    <w:name w:val="List 5"/>
    <w:basedOn w:val="Normal"/>
    <w:uiPriority w:val="99"/>
    <w:semiHidden/>
    <w:unhideWhenUsed/>
    <w:rsid w:val="00F66475"/>
    <w:pPr>
      <w:spacing w:after="180"/>
      <w:ind w:left="1415" w:hanging="283"/>
      <w:contextualSpacing/>
    </w:pPr>
    <w:rPr>
      <w:rFonts w:ascii="Arial (Body)" w:eastAsia="Times New Roman" w:hAnsi="Arial (Body)" w:cs="Times New Roman"/>
      <w:szCs w:val="20"/>
      <w:lang w:val="en-US"/>
    </w:rPr>
  </w:style>
  <w:style w:type="paragraph" w:styleId="ListContinue">
    <w:name w:val="List Continue"/>
    <w:basedOn w:val="Normal"/>
    <w:uiPriority w:val="99"/>
    <w:semiHidden/>
    <w:unhideWhenUsed/>
    <w:rsid w:val="00F66475"/>
    <w:pPr>
      <w:spacing w:after="120"/>
      <w:ind w:left="283"/>
      <w:contextualSpacing/>
    </w:pPr>
    <w:rPr>
      <w:rFonts w:ascii="Arial (Body)" w:eastAsia="Times New Roman" w:hAnsi="Arial (Body)" w:cs="Times New Roman"/>
      <w:szCs w:val="20"/>
      <w:lang w:val="en-US"/>
    </w:rPr>
  </w:style>
  <w:style w:type="paragraph" w:styleId="ListContinue2">
    <w:name w:val="List Continue 2"/>
    <w:basedOn w:val="Normal"/>
    <w:uiPriority w:val="99"/>
    <w:semiHidden/>
    <w:unhideWhenUsed/>
    <w:rsid w:val="00F66475"/>
    <w:pPr>
      <w:spacing w:after="120"/>
      <w:ind w:left="566"/>
      <w:contextualSpacing/>
    </w:pPr>
    <w:rPr>
      <w:rFonts w:ascii="Arial (Body)" w:eastAsia="Times New Roman" w:hAnsi="Arial (Body)" w:cs="Times New Roman"/>
      <w:szCs w:val="20"/>
      <w:lang w:val="en-US"/>
    </w:rPr>
  </w:style>
  <w:style w:type="paragraph" w:styleId="ListContinue3">
    <w:name w:val="List Continue 3"/>
    <w:basedOn w:val="Normal"/>
    <w:uiPriority w:val="99"/>
    <w:semiHidden/>
    <w:unhideWhenUsed/>
    <w:rsid w:val="00F66475"/>
    <w:pPr>
      <w:spacing w:after="120"/>
      <w:ind w:left="849"/>
      <w:contextualSpacing/>
    </w:pPr>
    <w:rPr>
      <w:rFonts w:ascii="Arial (Body)" w:eastAsia="Times New Roman" w:hAnsi="Arial (Body)" w:cs="Times New Roman"/>
      <w:szCs w:val="20"/>
      <w:lang w:val="en-US"/>
    </w:rPr>
  </w:style>
  <w:style w:type="paragraph" w:styleId="ListContinue4">
    <w:name w:val="List Continue 4"/>
    <w:basedOn w:val="Normal"/>
    <w:uiPriority w:val="99"/>
    <w:semiHidden/>
    <w:unhideWhenUsed/>
    <w:rsid w:val="00F66475"/>
    <w:pPr>
      <w:spacing w:after="120"/>
      <w:ind w:left="1132"/>
      <w:contextualSpacing/>
    </w:pPr>
    <w:rPr>
      <w:rFonts w:ascii="Arial (Body)" w:eastAsia="Times New Roman" w:hAnsi="Arial (Body)" w:cs="Times New Roman"/>
      <w:szCs w:val="20"/>
      <w:lang w:val="en-US"/>
    </w:rPr>
  </w:style>
  <w:style w:type="paragraph" w:styleId="ListContinue5">
    <w:name w:val="List Continue 5"/>
    <w:basedOn w:val="Normal"/>
    <w:uiPriority w:val="99"/>
    <w:semiHidden/>
    <w:unhideWhenUsed/>
    <w:rsid w:val="00F66475"/>
    <w:pPr>
      <w:spacing w:after="120"/>
      <w:ind w:left="1415"/>
      <w:contextualSpacing/>
    </w:pPr>
    <w:rPr>
      <w:rFonts w:ascii="Arial (Body)" w:eastAsia="Times New Roman" w:hAnsi="Arial (Body)" w:cs="Times New Roman"/>
      <w:szCs w:val="20"/>
      <w:lang w:val="en-US"/>
    </w:rPr>
  </w:style>
  <w:style w:type="paragraph" w:styleId="ListNumber">
    <w:name w:val="List Number"/>
    <w:basedOn w:val="Normal"/>
    <w:uiPriority w:val="99"/>
    <w:semiHidden/>
    <w:unhideWhenUsed/>
    <w:rsid w:val="00F66475"/>
    <w:pPr>
      <w:numPr>
        <w:numId w:val="25"/>
      </w:numPr>
      <w:spacing w:after="180"/>
      <w:contextualSpacing/>
    </w:pPr>
    <w:rPr>
      <w:rFonts w:ascii="Arial (Body)" w:eastAsia="Times New Roman" w:hAnsi="Arial (Body)" w:cs="Times New Roman"/>
      <w:szCs w:val="20"/>
      <w:lang w:val="en-US"/>
    </w:rPr>
  </w:style>
  <w:style w:type="paragraph" w:styleId="ListNumber2">
    <w:name w:val="List Number 2"/>
    <w:basedOn w:val="Normal"/>
    <w:uiPriority w:val="99"/>
    <w:semiHidden/>
    <w:unhideWhenUsed/>
    <w:rsid w:val="00F66475"/>
    <w:pPr>
      <w:numPr>
        <w:numId w:val="26"/>
      </w:numPr>
      <w:spacing w:after="180"/>
      <w:contextualSpacing/>
    </w:pPr>
    <w:rPr>
      <w:rFonts w:ascii="Arial (Body)" w:eastAsia="Times New Roman" w:hAnsi="Arial (Body)" w:cs="Times New Roman"/>
      <w:szCs w:val="20"/>
      <w:lang w:val="en-US"/>
    </w:rPr>
  </w:style>
  <w:style w:type="paragraph" w:styleId="ListNumber3">
    <w:name w:val="List Number 3"/>
    <w:basedOn w:val="Normal"/>
    <w:uiPriority w:val="99"/>
    <w:semiHidden/>
    <w:unhideWhenUsed/>
    <w:rsid w:val="00F66475"/>
    <w:pPr>
      <w:numPr>
        <w:numId w:val="27"/>
      </w:numPr>
      <w:spacing w:after="180"/>
      <w:contextualSpacing/>
    </w:pPr>
    <w:rPr>
      <w:rFonts w:ascii="Arial (Body)" w:eastAsia="Times New Roman" w:hAnsi="Arial (Body)" w:cs="Times New Roman"/>
      <w:szCs w:val="20"/>
      <w:lang w:val="en-US"/>
    </w:rPr>
  </w:style>
  <w:style w:type="paragraph" w:styleId="ListNumber4">
    <w:name w:val="List Number 4"/>
    <w:basedOn w:val="Normal"/>
    <w:uiPriority w:val="99"/>
    <w:semiHidden/>
    <w:unhideWhenUsed/>
    <w:rsid w:val="00F66475"/>
    <w:pPr>
      <w:numPr>
        <w:numId w:val="28"/>
      </w:numPr>
      <w:spacing w:after="180"/>
      <w:contextualSpacing/>
    </w:pPr>
    <w:rPr>
      <w:rFonts w:ascii="Arial (Body)" w:eastAsia="Times New Roman" w:hAnsi="Arial (Body)" w:cs="Times New Roman"/>
      <w:szCs w:val="20"/>
      <w:lang w:val="en-US"/>
    </w:rPr>
  </w:style>
  <w:style w:type="paragraph" w:styleId="MacroText">
    <w:name w:val="macro"/>
    <w:link w:val="MacroTextChar"/>
    <w:uiPriority w:val="99"/>
    <w:semiHidden/>
    <w:unhideWhenUsed/>
    <w:rsid w:val="00F66475"/>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eastAsia="Times New Roman" w:hAnsi="Consolas" w:cs="Times New Roman"/>
      <w:sz w:val="20"/>
      <w:szCs w:val="20"/>
      <w:lang w:val="en-US"/>
    </w:rPr>
  </w:style>
  <w:style w:type="character" w:customStyle="1" w:styleId="MacroTextChar">
    <w:name w:val="Macro Text Char"/>
    <w:basedOn w:val="DefaultParagraphFont"/>
    <w:link w:val="MacroText"/>
    <w:uiPriority w:val="99"/>
    <w:semiHidden/>
    <w:rsid w:val="00F66475"/>
    <w:rPr>
      <w:rFonts w:ascii="Consolas" w:eastAsia="Times New Roman" w:hAnsi="Consolas" w:cs="Times New Roman"/>
      <w:sz w:val="20"/>
      <w:szCs w:val="20"/>
      <w:lang w:val="en-US"/>
    </w:rPr>
  </w:style>
  <w:style w:type="paragraph" w:customStyle="1" w:styleId="MessageHeader1">
    <w:name w:val="Message Header1"/>
    <w:basedOn w:val="Normal"/>
    <w:next w:val="MessageHeader"/>
    <w:link w:val="MessageHeaderChar"/>
    <w:uiPriority w:val="99"/>
    <w:semiHidden/>
    <w:unhideWhenUsed/>
    <w:rsid w:val="00F664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Georgia" w:eastAsia="Times New Roman" w:hAnsi="Georgia" w:cs="Times New Roman"/>
      <w:sz w:val="24"/>
      <w:szCs w:val="24"/>
      <w:lang w:val="en-US"/>
    </w:rPr>
  </w:style>
  <w:style w:type="character" w:customStyle="1" w:styleId="MessageHeaderChar">
    <w:name w:val="Message Header Char"/>
    <w:basedOn w:val="DefaultParagraphFont"/>
    <w:link w:val="MessageHeader1"/>
    <w:uiPriority w:val="99"/>
    <w:semiHidden/>
    <w:rsid w:val="00F66475"/>
    <w:rPr>
      <w:rFonts w:ascii="Georgia" w:eastAsia="Times New Roman" w:hAnsi="Georgia" w:cs="Times New Roman"/>
      <w:sz w:val="24"/>
      <w:szCs w:val="24"/>
      <w:shd w:val="pct20" w:color="auto" w:fill="auto"/>
      <w:lang w:val="en-US"/>
    </w:rPr>
  </w:style>
  <w:style w:type="paragraph" w:styleId="NormalIndent">
    <w:name w:val="Normal Indent"/>
    <w:basedOn w:val="Normal"/>
    <w:uiPriority w:val="99"/>
    <w:semiHidden/>
    <w:unhideWhenUsed/>
    <w:rsid w:val="00F66475"/>
    <w:pPr>
      <w:spacing w:after="180"/>
      <w:ind w:left="720"/>
    </w:pPr>
    <w:rPr>
      <w:rFonts w:ascii="Arial (Body)" w:eastAsia="Times New Roman" w:hAnsi="Arial (Body)" w:cs="Times New Roman"/>
      <w:szCs w:val="20"/>
      <w:lang w:val="en-US"/>
    </w:rPr>
  </w:style>
  <w:style w:type="paragraph" w:styleId="NoteHeading">
    <w:name w:val="Note Heading"/>
    <w:basedOn w:val="Normal"/>
    <w:next w:val="Normal"/>
    <w:link w:val="NoteHeadingChar"/>
    <w:uiPriority w:val="99"/>
    <w:semiHidden/>
    <w:unhideWhenUsed/>
    <w:rsid w:val="00F66475"/>
    <w:pPr>
      <w:spacing w:after="0" w:line="240" w:lineRule="auto"/>
    </w:pPr>
    <w:rPr>
      <w:rFonts w:ascii="Arial (Body)" w:eastAsia="Times New Roman" w:hAnsi="Arial (Body)" w:cs="Times New Roman"/>
      <w:szCs w:val="20"/>
      <w:lang w:val="en-US"/>
    </w:rPr>
  </w:style>
  <w:style w:type="character" w:customStyle="1" w:styleId="NoteHeadingChar">
    <w:name w:val="Note Heading Char"/>
    <w:basedOn w:val="DefaultParagraphFont"/>
    <w:link w:val="NoteHeading"/>
    <w:uiPriority w:val="99"/>
    <w:semiHidden/>
    <w:rsid w:val="00F66475"/>
    <w:rPr>
      <w:rFonts w:ascii="Arial (Body)" w:eastAsia="Times New Roman" w:hAnsi="Arial (Body)" w:cs="Times New Roman"/>
      <w:szCs w:val="20"/>
      <w:lang w:val="en-US"/>
    </w:rPr>
  </w:style>
  <w:style w:type="character" w:styleId="PageNumber">
    <w:name w:val="page number"/>
    <w:basedOn w:val="DefaultParagraphFont"/>
    <w:uiPriority w:val="99"/>
    <w:semiHidden/>
    <w:unhideWhenUsed/>
    <w:rsid w:val="00F66475"/>
  </w:style>
  <w:style w:type="paragraph" w:styleId="PlainText">
    <w:name w:val="Plain Text"/>
    <w:basedOn w:val="Normal"/>
    <w:link w:val="PlainTextChar"/>
    <w:uiPriority w:val="99"/>
    <w:semiHidden/>
    <w:unhideWhenUsed/>
    <w:rsid w:val="00F66475"/>
    <w:pPr>
      <w:spacing w:after="0" w:line="240" w:lineRule="auto"/>
    </w:pPr>
    <w:rPr>
      <w:rFonts w:ascii="Consolas" w:eastAsia="Times New Roman" w:hAnsi="Consolas" w:cs="Times New Roman"/>
      <w:sz w:val="21"/>
      <w:lang w:val="en-US"/>
    </w:rPr>
  </w:style>
  <w:style w:type="character" w:customStyle="1" w:styleId="PlainTextChar">
    <w:name w:val="Plain Text Char"/>
    <w:basedOn w:val="DefaultParagraphFont"/>
    <w:link w:val="PlainText"/>
    <w:uiPriority w:val="99"/>
    <w:semiHidden/>
    <w:rsid w:val="00F66475"/>
    <w:rPr>
      <w:rFonts w:ascii="Consolas" w:eastAsia="Times New Roman" w:hAnsi="Consolas" w:cs="Times New Roman"/>
      <w:sz w:val="21"/>
      <w:szCs w:val="21"/>
      <w:lang w:val="en-US"/>
    </w:rPr>
  </w:style>
  <w:style w:type="paragraph" w:styleId="Signature">
    <w:name w:val="Signature"/>
    <w:basedOn w:val="Normal"/>
    <w:link w:val="SignatureChar"/>
    <w:uiPriority w:val="99"/>
    <w:semiHidden/>
    <w:unhideWhenUsed/>
    <w:rsid w:val="00F66475"/>
    <w:pPr>
      <w:spacing w:after="0" w:line="240" w:lineRule="auto"/>
      <w:ind w:left="4252"/>
    </w:pPr>
    <w:rPr>
      <w:rFonts w:ascii="Arial (Body)" w:eastAsia="Times New Roman" w:hAnsi="Arial (Body)" w:cs="Times New Roman"/>
      <w:szCs w:val="20"/>
      <w:lang w:val="en-US"/>
    </w:rPr>
  </w:style>
  <w:style w:type="character" w:customStyle="1" w:styleId="SignatureChar">
    <w:name w:val="Signature Char"/>
    <w:basedOn w:val="DefaultParagraphFont"/>
    <w:link w:val="Signature"/>
    <w:uiPriority w:val="99"/>
    <w:semiHidden/>
    <w:rsid w:val="00F66475"/>
    <w:rPr>
      <w:rFonts w:ascii="Arial (Body)" w:eastAsia="Times New Roman" w:hAnsi="Arial (Body)" w:cs="Times New Roman"/>
      <w:szCs w:val="20"/>
      <w:lang w:val="en-US"/>
    </w:rPr>
  </w:style>
  <w:style w:type="character" w:customStyle="1" w:styleId="SmartHyperlink">
    <w:name w:val="Smart Hyperlink"/>
    <w:basedOn w:val="DefaultParagraphFont"/>
    <w:uiPriority w:val="99"/>
    <w:semiHidden/>
    <w:unhideWhenUsed/>
    <w:rsid w:val="00F66475"/>
    <w:rPr>
      <w:u w:val="dotted"/>
    </w:rPr>
  </w:style>
  <w:style w:type="character" w:customStyle="1" w:styleId="SmartLink">
    <w:name w:val="Smart Link"/>
    <w:basedOn w:val="DefaultParagraphFont"/>
    <w:uiPriority w:val="99"/>
    <w:semiHidden/>
    <w:unhideWhenUsed/>
    <w:rsid w:val="00F66475"/>
    <w:rPr>
      <w:color w:val="0000FF"/>
      <w:u w:val="single"/>
      <w:shd w:val="clear" w:color="auto" w:fill="F3F2F1"/>
    </w:rPr>
  </w:style>
  <w:style w:type="paragraph" w:styleId="TableofAuthorities">
    <w:name w:val="table of authorities"/>
    <w:basedOn w:val="Normal"/>
    <w:next w:val="Normal"/>
    <w:uiPriority w:val="99"/>
    <w:semiHidden/>
    <w:unhideWhenUsed/>
    <w:rsid w:val="00F66475"/>
    <w:pPr>
      <w:spacing w:after="0"/>
      <w:ind w:left="220" w:hanging="220"/>
    </w:pPr>
    <w:rPr>
      <w:rFonts w:ascii="Arial (Body)" w:eastAsia="Times New Roman" w:hAnsi="Arial (Body)" w:cs="Times New Roman"/>
      <w:szCs w:val="20"/>
      <w:lang w:val="en-US"/>
    </w:rPr>
  </w:style>
  <w:style w:type="paragraph" w:styleId="TableofFigures">
    <w:name w:val="table of figures"/>
    <w:basedOn w:val="Normal"/>
    <w:next w:val="Normal"/>
    <w:uiPriority w:val="99"/>
    <w:semiHidden/>
    <w:unhideWhenUsed/>
    <w:rsid w:val="00F66475"/>
    <w:pPr>
      <w:spacing w:after="0"/>
    </w:pPr>
    <w:rPr>
      <w:rFonts w:ascii="Arial (Body)" w:eastAsia="Times New Roman" w:hAnsi="Arial (Body)" w:cs="Times New Roman"/>
      <w:szCs w:val="20"/>
      <w:lang w:val="en-US"/>
    </w:rPr>
  </w:style>
  <w:style w:type="paragraph" w:customStyle="1" w:styleId="33contentschapter">
    <w:name w:val="33 contents chapter"/>
    <w:basedOn w:val="Normal"/>
    <w:next w:val="Normal"/>
    <w:rsid w:val="00F66475"/>
    <w:pPr>
      <w:spacing w:before="180" w:after="1000" w:line="240" w:lineRule="auto"/>
    </w:pPr>
    <w:rPr>
      <w:rFonts w:ascii="Arial" w:eastAsia="Times New Roman" w:hAnsi="Arial" w:cs="Arial"/>
      <w:sz w:val="44"/>
      <w:szCs w:val="20"/>
      <w:lang w:val="en-US"/>
    </w:rPr>
  </w:style>
  <w:style w:type="table" w:customStyle="1" w:styleId="PlainTable11">
    <w:name w:val="Plain Table 11"/>
    <w:basedOn w:val="TableNormal"/>
    <w:next w:val="PlainTable1"/>
    <w:uiPriority w:val="41"/>
    <w:rsid w:val="00F66475"/>
    <w:pPr>
      <w:spacing w:after="0" w:line="240" w:lineRule="auto"/>
    </w:pPr>
    <w:rPr>
      <w:rFonts w:eastAsia="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F66475"/>
    <w:pPr>
      <w:autoSpaceDE w:val="0"/>
      <w:autoSpaceDN w:val="0"/>
      <w:adjustRightInd w:val="0"/>
      <w:spacing w:after="0" w:line="240" w:lineRule="auto"/>
    </w:pPr>
    <w:rPr>
      <w:rFonts w:ascii="Yu Gothic Medium" w:eastAsia="Yu Gothic Medium" w:cs="Yu Gothic Medium"/>
      <w:color w:val="000000"/>
      <w:sz w:val="24"/>
      <w:szCs w:val="24"/>
      <w:lang w:val="en-US"/>
    </w:rPr>
  </w:style>
  <w:style w:type="character" w:customStyle="1" w:styleId="cf01">
    <w:name w:val="cf01"/>
    <w:basedOn w:val="DefaultParagraphFont"/>
    <w:rsid w:val="00F66475"/>
    <w:rPr>
      <w:rFonts w:ascii="Segoe UI" w:hAnsi="Segoe UI" w:cs="Segoe UI" w:hint="default"/>
      <w:sz w:val="18"/>
      <w:szCs w:val="18"/>
    </w:rPr>
  </w:style>
  <w:style w:type="paragraph" w:customStyle="1" w:styleId="pf0">
    <w:name w:val="pf0"/>
    <w:basedOn w:val="Normal"/>
    <w:rsid w:val="00F6647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Bullet">
    <w:name w:val="List Bullet"/>
    <w:basedOn w:val="Normal"/>
    <w:uiPriority w:val="99"/>
    <w:semiHidden/>
    <w:unhideWhenUsed/>
    <w:rsid w:val="00F66475"/>
    <w:pPr>
      <w:numPr>
        <w:numId w:val="31"/>
      </w:numPr>
      <w:contextualSpacing/>
    </w:pPr>
  </w:style>
  <w:style w:type="paragraph" w:styleId="EnvelopeAddress">
    <w:name w:val="envelope address"/>
    <w:basedOn w:val="Normal"/>
    <w:uiPriority w:val="99"/>
    <w:semiHidden/>
    <w:unhideWhenUsed/>
    <w:rsid w:val="00F6647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66475"/>
    <w:pPr>
      <w:spacing w:after="0" w:line="240" w:lineRule="auto"/>
    </w:pPr>
    <w:rPr>
      <w:rFonts w:asciiTheme="majorHAnsi" w:eastAsiaTheme="majorEastAsia" w:hAnsiTheme="majorHAnsi" w:cstheme="majorBidi"/>
      <w:sz w:val="20"/>
      <w:szCs w:val="20"/>
    </w:rPr>
  </w:style>
  <w:style w:type="paragraph" w:styleId="BlockText">
    <w:name w:val="Block Text"/>
    <w:basedOn w:val="Normal"/>
    <w:uiPriority w:val="99"/>
    <w:semiHidden/>
    <w:unhideWhenUsed/>
    <w:rsid w:val="00F6647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MessageHeader">
    <w:name w:val="Message Header"/>
    <w:basedOn w:val="Normal"/>
    <w:link w:val="MessageHeaderChar1"/>
    <w:uiPriority w:val="99"/>
    <w:semiHidden/>
    <w:unhideWhenUsed/>
    <w:rsid w:val="00F664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F66475"/>
    <w:rPr>
      <w:rFonts w:asciiTheme="majorHAnsi" w:eastAsiaTheme="majorEastAsia" w:hAnsiTheme="majorHAnsi" w:cstheme="majorBidi"/>
      <w:sz w:val="24"/>
      <w:szCs w:val="24"/>
      <w:shd w:val="pct20" w:color="auto" w:fill="auto"/>
    </w:rPr>
  </w:style>
  <w:style w:type="table" w:styleId="PlainTable1">
    <w:name w:val="Plain Table 1"/>
    <w:basedOn w:val="TableNormal"/>
    <w:uiPriority w:val="41"/>
    <w:rsid w:val="00F66475"/>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7">
    <w:name w:val="toc 7"/>
    <w:basedOn w:val="Normal"/>
    <w:next w:val="Normal"/>
    <w:autoRedefine/>
    <w:uiPriority w:val="39"/>
    <w:unhideWhenUsed/>
    <w:rsid w:val="00F66475"/>
    <w:pPr>
      <w:spacing w:after="0"/>
      <w:ind w:left="1320"/>
    </w:pPr>
    <w:rPr>
      <w:rFonts w:eastAsia="Times New Roman" w:cstheme="minorHAnsi"/>
      <w:sz w:val="20"/>
      <w:szCs w:val="24"/>
      <w:lang w:val="en-US"/>
    </w:rPr>
  </w:style>
  <w:style w:type="paragraph" w:styleId="TOC8">
    <w:name w:val="toc 8"/>
    <w:basedOn w:val="Normal"/>
    <w:next w:val="Normal"/>
    <w:autoRedefine/>
    <w:uiPriority w:val="39"/>
    <w:unhideWhenUsed/>
    <w:rsid w:val="00F66475"/>
    <w:pPr>
      <w:spacing w:after="0"/>
      <w:ind w:left="1540"/>
    </w:pPr>
    <w:rPr>
      <w:rFonts w:eastAsia="Times New Roman" w:cstheme="minorHAnsi"/>
      <w:sz w:val="20"/>
      <w:szCs w:val="24"/>
      <w:lang w:val="en-US"/>
    </w:rPr>
  </w:style>
  <w:style w:type="paragraph" w:styleId="TOC9">
    <w:name w:val="toc 9"/>
    <w:basedOn w:val="Normal"/>
    <w:next w:val="Normal"/>
    <w:autoRedefine/>
    <w:uiPriority w:val="39"/>
    <w:unhideWhenUsed/>
    <w:rsid w:val="00F66475"/>
    <w:pPr>
      <w:spacing w:after="0"/>
      <w:ind w:left="1760"/>
    </w:pPr>
    <w:rPr>
      <w:rFonts w:eastAsia="Times New Roman" w:cstheme="minorHAnsi"/>
      <w:sz w:val="20"/>
      <w:szCs w:val="24"/>
      <w:lang w:val="en-US"/>
    </w:rPr>
  </w:style>
  <w:style w:type="paragraph" w:styleId="TOC6">
    <w:name w:val="toc 6"/>
    <w:basedOn w:val="Normal"/>
    <w:next w:val="Normal"/>
    <w:autoRedefine/>
    <w:uiPriority w:val="39"/>
    <w:unhideWhenUsed/>
    <w:rsid w:val="00F66475"/>
    <w:pPr>
      <w:spacing w:after="0"/>
      <w:ind w:left="1100"/>
    </w:pPr>
    <w:rPr>
      <w:rFonts w:eastAsia="Times New Roman" w:cstheme="minorHAnsi"/>
      <w:sz w:val="20"/>
      <w:szCs w:val="24"/>
      <w:lang w:val="en-US"/>
    </w:rPr>
  </w:style>
  <w:style w:type="paragraph" w:styleId="TOC4">
    <w:name w:val="toc 4"/>
    <w:basedOn w:val="Normal"/>
    <w:next w:val="Normal"/>
    <w:autoRedefine/>
    <w:uiPriority w:val="39"/>
    <w:unhideWhenUsed/>
    <w:rsid w:val="00F66475"/>
    <w:pPr>
      <w:spacing w:after="0"/>
      <w:ind w:left="660"/>
    </w:pPr>
    <w:rPr>
      <w:rFonts w:eastAsia="Times New Roman" w:cstheme="minorHAnsi"/>
      <w:sz w:val="20"/>
      <w:szCs w:val="24"/>
      <w:lang w:val="en-US"/>
    </w:rPr>
  </w:style>
  <w:style w:type="paragraph" w:styleId="IndexHeading">
    <w:name w:val="index heading"/>
    <w:basedOn w:val="21MinorH2"/>
    <w:next w:val="Index1"/>
    <w:uiPriority w:val="99"/>
    <w:semiHidden/>
    <w:unhideWhenUsed/>
    <w:rsid w:val="00F66475"/>
    <w:pPr>
      <w:outlineLvl w:val="9"/>
    </w:pPr>
    <w:rPr>
      <w:rFonts w:eastAsiaTheme="majorEastAsia" w:cstheme="majorBidi"/>
      <w:bCs/>
    </w:rPr>
  </w:style>
  <w:style w:type="paragraph" w:styleId="TOC5">
    <w:name w:val="toc 5"/>
    <w:basedOn w:val="Normal"/>
    <w:next w:val="Normal"/>
    <w:autoRedefine/>
    <w:uiPriority w:val="39"/>
    <w:unhideWhenUsed/>
    <w:rsid w:val="00F66475"/>
    <w:pPr>
      <w:spacing w:after="0"/>
      <w:ind w:left="880"/>
    </w:pPr>
    <w:rPr>
      <w:rFonts w:eastAsia="Times New Roman" w:cstheme="minorHAnsi"/>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emo.com.au/-/media/files/electricity/nem/national-electricity-market-fact-sheet.pdf" TargetMode="External"/><Relationship Id="rId13" Type="http://schemas.openxmlformats.org/officeDocument/2006/relationships/image" Target="media/image6.sv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energy.gov.au/news-media/news/capacity-mechanism-high-level-design-paper-released" TargetMode="External"/><Relationship Id="rId7" Type="http://schemas.openxmlformats.org/officeDocument/2006/relationships/hyperlink" Target="https://www.pinsentmasons.com/out-law/analysis/contracts-for-difference-industry-cleantech" TargetMode="External"/><Relationship Id="rId2" Type="http://schemas.openxmlformats.org/officeDocument/2006/relationships/hyperlink" Target="https://www.cleanenergyregulator.gov.au/Infohub/Markets/Pages/qcmr/june-quarter-2023/Large-scale-generation-certificates-(LGCs).aspx" TargetMode="External"/><Relationship Id="rId1" Type="http://schemas.openxmlformats.org/officeDocument/2006/relationships/hyperlink" Target="https://aemo.com.au/en/energy-systems/major-publications/integrated-system-plan-isp/2022-integrated-system-plan-isp" TargetMode="External"/><Relationship Id="rId6" Type="http://schemas.openxmlformats.org/officeDocument/2006/relationships/hyperlink" Target="https://oia.pmc.gov.au/resources/guidance-assessing-impacts/regulatory-burden-measurement-framework" TargetMode="External"/><Relationship Id="rId5" Type="http://schemas.openxmlformats.org/officeDocument/2006/relationships/hyperlink" Target="https://consult.dcceew.gov.au/capacity-investment-scheme-public-consultation-paper" TargetMode="External"/><Relationship Id="rId4" Type="http://schemas.openxmlformats.org/officeDocument/2006/relationships/hyperlink" Target="https://www.energy.gov.au/government-priorities/energy-and-climate-change-ministerial-council/meetings-and-communiqu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8783</Words>
  <Characters>50068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2024-05-10T01:50:00Z</dcterms:created>
  <dcterms:modified xsi:type="dcterms:W3CDTF">2024-05-10T01:50:00Z</dcterms:modified>
  <cp:category/>
</cp:coreProperties>
</file>