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67DB3" w14:textId="77777777" w:rsidR="00133A45" w:rsidRDefault="000E29BE" w:rsidP="000E29BE">
      <w:pPr>
        <w:spacing w:after="720"/>
        <w:sectPr w:rsidR="00133A45" w:rsidSect="000E29BE">
          <w:headerReference w:type="even" r:id="rId8"/>
          <w:headerReference w:type="default" r:id="rId9"/>
          <w:footerReference w:type="even" r:id="rId10"/>
          <w:footerReference w:type="default" r:id="rId11"/>
          <w:headerReference w:type="first" r:id="rId12"/>
          <w:footerReference w:type="first" r:id="rId13"/>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3D8D78A7" wp14:editId="775A7D26">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61510754" w14:textId="78762F24" w:rsidR="00B041CB" w:rsidRPr="00B041CB" w:rsidRDefault="00B074F9" w:rsidP="000E29BE">
      <w:pPr>
        <w:pStyle w:val="Heading1"/>
        <w:ind w:left="567"/>
      </w:pPr>
      <w:r>
        <w:t>Final</w:t>
      </w:r>
      <w:r w:rsidR="00271A50" w:rsidRPr="00A730AC">
        <w:t xml:space="preserve"> Impact Analysis for Improving Pedestrian Safety</w:t>
      </w:r>
      <w:r w:rsidR="00966828">
        <w:t>—</w:t>
      </w:r>
      <w:r w:rsidR="00271A50" w:rsidRPr="00A730AC">
        <w:t>Acoustic</w:t>
      </w:r>
      <w:r w:rsidR="00271A50">
        <w:t xml:space="preserve"> </w:t>
      </w:r>
      <w:r w:rsidR="00271A50" w:rsidRPr="00A730AC">
        <w:t xml:space="preserve">Vehicle Alerting Systems for </w:t>
      </w:r>
      <w:r w:rsidR="001D601A">
        <w:t>Quiet Road Transport</w:t>
      </w:r>
      <w:r w:rsidR="00271A50" w:rsidRPr="00A730AC">
        <w:t xml:space="preserve"> Vehicle</w:t>
      </w:r>
      <w:r w:rsidR="00271A50">
        <w:t>s</w:t>
      </w:r>
    </w:p>
    <w:p w14:paraId="7C931068" w14:textId="5AE4F009" w:rsidR="00B041CB" w:rsidRPr="00B041CB" w:rsidRDefault="002E46E1">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Dece</w:t>
      </w:r>
      <w:r w:rsidR="001D601A">
        <w:rPr>
          <w:rFonts w:eastAsia="Calibri" w:cs="Times New Roman"/>
          <w:b/>
          <w:color w:val="081E3E"/>
          <w:kern w:val="12"/>
          <w:sz w:val="20"/>
          <w:szCs w:val="20"/>
        </w:rPr>
        <w:t>m</w:t>
      </w:r>
      <w:r w:rsidR="00AA2B7A" w:rsidRPr="35E123EC">
        <w:rPr>
          <w:rFonts w:eastAsia="Calibri" w:cs="Times New Roman"/>
          <w:b/>
          <w:color w:val="081E3E"/>
          <w:kern w:val="12"/>
          <w:sz w:val="20"/>
          <w:szCs w:val="20"/>
        </w:rPr>
        <w:t xml:space="preserve">ber </w:t>
      </w:r>
      <w:r w:rsidR="00B041CB" w:rsidRPr="35E123EC">
        <w:rPr>
          <w:rFonts w:eastAsia="Calibri" w:cs="Times New Roman"/>
          <w:b/>
          <w:color w:val="081E3E"/>
          <w:kern w:val="12"/>
          <w:sz w:val="20"/>
          <w:szCs w:val="20"/>
        </w:rPr>
        <w:t>202</w:t>
      </w:r>
      <w:r w:rsidR="00D85DEB" w:rsidRPr="35E123EC">
        <w:rPr>
          <w:rFonts w:eastAsia="Calibri" w:cs="Times New Roman"/>
          <w:b/>
          <w:color w:val="081E3E"/>
          <w:kern w:val="12"/>
          <w:sz w:val="20"/>
          <w:szCs w:val="20"/>
        </w:rPr>
        <w:t>3</w:t>
      </w:r>
    </w:p>
    <w:p w14:paraId="30E95F64" w14:textId="77777777" w:rsidR="009C1ECD" w:rsidRDefault="009C1ECD" w:rsidP="009C1ECD">
      <w:pPr>
        <w:jc w:val="right"/>
        <w:rPr>
          <w:rFonts w:eastAsia="Calibri" w:cs="Times New Roman"/>
          <w:color w:val="000000"/>
          <w:kern w:val="12"/>
          <w:sz w:val="20"/>
          <w:szCs w:val="20"/>
        </w:rPr>
      </w:pPr>
    </w:p>
    <w:p w14:paraId="03FD51AE"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833253A" w14:textId="01CC8C08" w:rsidR="00271A50" w:rsidRPr="00930D6A" w:rsidRDefault="00271A50" w:rsidP="00271A50">
      <w:r w:rsidRPr="00C20920">
        <w:lastRenderedPageBreak/>
        <w:t>© Commonwealth of Australia 2023</w:t>
      </w:r>
      <w:r w:rsidRPr="00C20920">
        <w:br/>
      </w:r>
      <w:r w:rsidR="002E46E1">
        <w:t>Dec</w:t>
      </w:r>
      <w:r w:rsidR="001D601A" w:rsidRPr="00C20920">
        <w:t>em</w:t>
      </w:r>
      <w:r w:rsidR="00AA2B7A" w:rsidRPr="00C20920">
        <w:t>ber</w:t>
      </w:r>
      <w:r>
        <w:t xml:space="preserve"> 2023 </w:t>
      </w:r>
      <w:r w:rsidRPr="00B102DA">
        <w:t>/ INFRASTRUCTURE 202</w:t>
      </w:r>
      <w:r>
        <w:t>3</w:t>
      </w:r>
    </w:p>
    <w:p w14:paraId="4D27F192" w14:textId="77777777" w:rsidR="00271A50" w:rsidRPr="00930D6A" w:rsidRDefault="00271A50" w:rsidP="00271A50">
      <w:pPr>
        <w:pStyle w:val="Heading2notshowing"/>
      </w:pPr>
      <w:r w:rsidRPr="00930D6A">
        <w:t>Ownership of intellectual property rights in this publication</w:t>
      </w:r>
    </w:p>
    <w:p w14:paraId="106B3D2B" w14:textId="77777777" w:rsidR="00271A50" w:rsidRPr="00930D6A" w:rsidRDefault="00271A50" w:rsidP="00271A50">
      <w:r w:rsidRPr="00930D6A">
        <w:t>Unless otherwise noted, copyright (and any other intellectual property rights, if any) in this publication is owned by the Commonwealth of Australia (referred to below as the Commonwealth).</w:t>
      </w:r>
    </w:p>
    <w:p w14:paraId="7D1646E6" w14:textId="77777777" w:rsidR="00271A50" w:rsidRPr="00930D6A" w:rsidRDefault="00271A50" w:rsidP="00271A50">
      <w:pPr>
        <w:pStyle w:val="Heading2notshowing"/>
      </w:pPr>
      <w:r w:rsidRPr="00930D6A">
        <w:t>Disclaimer</w:t>
      </w:r>
    </w:p>
    <w:p w14:paraId="5AAAF32B" w14:textId="77777777" w:rsidR="00271A50" w:rsidRPr="00930D6A" w:rsidRDefault="00271A50" w:rsidP="00271A50">
      <w:r w:rsidRPr="00930D6A">
        <w:t>The material contained in this publication is made available on the understanding that the Commonwealth is not providing professional advice, and that users exercise their own skill and care with respect to its use, and seek independent advice if necessary.</w:t>
      </w:r>
    </w:p>
    <w:p w14:paraId="6B3F9E26" w14:textId="77777777" w:rsidR="00271A50" w:rsidRPr="00930D6A" w:rsidRDefault="00271A50" w:rsidP="00271A50">
      <w:r w:rsidRPr="00930D6A">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2A2F65E" w14:textId="77777777" w:rsidR="00271A50" w:rsidRPr="00930D6A" w:rsidRDefault="00271A50" w:rsidP="00271A50">
      <w:pPr>
        <w:pStyle w:val="Heading2notshowing"/>
      </w:pPr>
      <w:r w:rsidRPr="00930D6A">
        <w:t>Use of the Coat of Arms</w:t>
      </w:r>
    </w:p>
    <w:p w14:paraId="40D2309E" w14:textId="66615520" w:rsidR="00271A50" w:rsidRPr="00930D6A" w:rsidRDefault="00271A50" w:rsidP="00271A50">
      <w:r w:rsidRPr="00930D6A">
        <w:t xml:space="preserve">The Department of the Prime Minister and Cabinet sets the terms under which the Coat of Arms is used. Please refer to the Commonwealth Coat of Arms - Information and Guidelines publication available at </w:t>
      </w:r>
      <w:hyperlink r:id="rId15" w:tooltip="Department of Prime Minister and Cabinet website" w:history="1">
        <w:r w:rsidRPr="00930D6A">
          <w:rPr>
            <w:rStyle w:val="Hyperlink"/>
          </w:rPr>
          <w:t>http://www.pmc.gov.au</w:t>
        </w:r>
      </w:hyperlink>
      <w:r w:rsidRPr="00930D6A">
        <w:t>.</w:t>
      </w:r>
    </w:p>
    <w:p w14:paraId="5A9FE747" w14:textId="77777777" w:rsidR="00271A50" w:rsidRPr="00930D6A" w:rsidRDefault="00271A50" w:rsidP="00271A50">
      <w:pPr>
        <w:pStyle w:val="Heading2notshowing"/>
      </w:pPr>
      <w:r w:rsidRPr="00930D6A">
        <w:t>Creative Commons licence</w:t>
      </w:r>
    </w:p>
    <w:p w14:paraId="43788362" w14:textId="77777777" w:rsidR="00271A50" w:rsidRPr="00930D6A" w:rsidRDefault="00271A50" w:rsidP="00271A50">
      <w:r w:rsidRPr="00930D6A">
        <w:t>With the exception of (a) the Coat of Arms; and (b) the Department of Infrastructure, Transport, Regional Development, Communications and the Arts photos and graphics, copyright in this publication is licensed under a Creative Commons Attribution 4.0 Australia Licence.</w:t>
      </w:r>
    </w:p>
    <w:p w14:paraId="0155125C" w14:textId="77777777" w:rsidR="00271A50" w:rsidRPr="00930D6A" w:rsidRDefault="00271A50" w:rsidP="00271A50">
      <w:r w:rsidRPr="00930D6A">
        <w:t>Creative Commons Attribution 4.0 Australia Licence is a standard form licence agreement that allows you to copy, communicate and adapt this publication provided that you attribute the work to the Commonwealth and abide by the other licence terms.</w:t>
      </w:r>
    </w:p>
    <w:p w14:paraId="37ADF909" w14:textId="3F0BA9AE" w:rsidR="00271A50" w:rsidRPr="00930D6A" w:rsidRDefault="00271A50" w:rsidP="00271A50">
      <w:r w:rsidRPr="00930D6A">
        <w:t xml:space="preserve">Further information on the licence terms is available from </w:t>
      </w:r>
      <w:hyperlink r:id="rId16" w:tooltip="Creative Commons website" w:history="1">
        <w:r w:rsidRPr="00930D6A">
          <w:rPr>
            <w:rStyle w:val="Hyperlink"/>
          </w:rPr>
          <w:t>https://creativecommons.org/licenses/by/4.0/</w:t>
        </w:r>
      </w:hyperlink>
    </w:p>
    <w:p w14:paraId="2837AF28" w14:textId="77777777" w:rsidR="00271A50" w:rsidRPr="00930D6A" w:rsidRDefault="00271A50" w:rsidP="00271A50">
      <w:r w:rsidRPr="00930D6A">
        <w:t>This publication should be attributed in the following way: © Commonwealth of Australia 202</w:t>
      </w:r>
      <w:r>
        <w:t>3</w:t>
      </w:r>
    </w:p>
    <w:p w14:paraId="7B474B26" w14:textId="77777777" w:rsidR="00271A50" w:rsidRPr="00930D6A" w:rsidRDefault="00271A50" w:rsidP="00271A50">
      <w:pPr>
        <w:pStyle w:val="Heading2notshowing"/>
      </w:pPr>
      <w:r w:rsidRPr="00930D6A">
        <w:t>Contact us</w:t>
      </w:r>
    </w:p>
    <w:p w14:paraId="791AE4CA" w14:textId="77777777" w:rsidR="00271A50" w:rsidRPr="00930D6A" w:rsidRDefault="00271A50" w:rsidP="00271A50">
      <w:r w:rsidRPr="00930D6A">
        <w:t xml:space="preserve">This publication is available </w:t>
      </w:r>
      <w:r w:rsidRPr="0005046A">
        <w:t>in PDF and Word</w:t>
      </w:r>
      <w:r w:rsidRPr="00930D6A">
        <w:t xml:space="preserve"> format. All other rights are reserved, including in relation to any departmental logos or trademarks which may exist. For enquiries regarding the licence and any use of this publication, please contact:</w:t>
      </w:r>
    </w:p>
    <w:p w14:paraId="17C8207B" w14:textId="77777777" w:rsidR="00271A50" w:rsidRPr="00930D6A" w:rsidRDefault="00271A50" w:rsidP="00FC0C6C">
      <w:r w:rsidRPr="00930D6A">
        <w:t>Director – Internal Comms and Creative Services</w:t>
      </w:r>
      <w:r w:rsidR="00FC0C6C">
        <w:br/>
      </w:r>
      <w:r w:rsidRPr="00930D6A">
        <w:t>Communication Branch</w:t>
      </w:r>
      <w:r w:rsidR="00FC0C6C">
        <w:br/>
      </w:r>
      <w:r w:rsidRPr="00930D6A">
        <w:t>Department of Infrastructure, Transport, Regional Development, Communications and the Arts</w:t>
      </w:r>
      <w:r w:rsidR="00FC0C6C">
        <w:br/>
      </w:r>
      <w:r w:rsidRPr="00930D6A">
        <w:t>GPO Box 594</w:t>
      </w:r>
      <w:r w:rsidR="00FC0C6C">
        <w:br/>
      </w:r>
      <w:r w:rsidRPr="00930D6A">
        <w:t>Canberra ACT 2601</w:t>
      </w:r>
      <w:r w:rsidR="00FC0C6C">
        <w:br/>
      </w:r>
      <w:r w:rsidRPr="00930D6A">
        <w:t>Australia</w:t>
      </w:r>
    </w:p>
    <w:p w14:paraId="7392D557" w14:textId="733663EB" w:rsidR="009C1ECD" w:rsidRDefault="00271A50" w:rsidP="00271A50">
      <w:r w:rsidRPr="00930D6A">
        <w:t xml:space="preserve">Email: </w:t>
      </w:r>
      <w:hyperlink r:id="rId17" w:tooltip="Email the Publishing team at the Department of Infrastructure, Transport, Regional Development and Communications" w:history="1">
        <w:r w:rsidRPr="00930D6A">
          <w:rPr>
            <w:rStyle w:val="Hyperlink"/>
          </w:rPr>
          <w:t>publishing@infrastructure.gov.au</w:t>
        </w:r>
      </w:hyperlink>
      <w:r w:rsidRPr="00930D6A">
        <w:t xml:space="preserve"> | Website: </w:t>
      </w:r>
      <w:hyperlink r:id="rId18" w:tooltip="Department of Infrastructure, Transport, Regional Development and Communications website" w:history="1">
        <w:r w:rsidRPr="00930D6A">
          <w:rPr>
            <w:rStyle w:val="Hyperlink"/>
          </w:rPr>
          <w:t>www.infrastructure.gov.au</w:t>
        </w:r>
      </w:hyperlink>
      <w:r w:rsidR="009C1ECD">
        <w:br w:type="page"/>
      </w:r>
    </w:p>
    <w:p w14:paraId="630F4F75"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294ADDFC" w14:textId="290CE8C1" w:rsidR="00691792"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53795385" w:history="1">
        <w:r w:rsidR="00691792" w:rsidRPr="00A5242F">
          <w:rPr>
            <w:rStyle w:val="Hyperlink"/>
            <w:noProof/>
          </w:rPr>
          <w:t>Executive Summary</w:t>
        </w:r>
        <w:r w:rsidR="00691792">
          <w:rPr>
            <w:noProof/>
            <w:webHidden/>
          </w:rPr>
          <w:tab/>
        </w:r>
        <w:r w:rsidR="00691792">
          <w:rPr>
            <w:noProof/>
            <w:webHidden/>
          </w:rPr>
          <w:fldChar w:fldCharType="begin"/>
        </w:r>
        <w:r w:rsidR="00691792">
          <w:rPr>
            <w:noProof/>
            <w:webHidden/>
          </w:rPr>
          <w:instrText xml:space="preserve"> PAGEREF _Toc153795385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3832D753" w14:textId="5AE54045" w:rsidR="00691792" w:rsidRDefault="00263819">
      <w:pPr>
        <w:pStyle w:val="TOC2"/>
        <w:rPr>
          <w:rFonts w:asciiTheme="minorHAnsi" w:eastAsiaTheme="minorEastAsia" w:hAnsiTheme="minorHAnsi"/>
          <w:noProof/>
          <w:sz w:val="22"/>
          <w:lang w:eastAsia="en-AU"/>
        </w:rPr>
      </w:pPr>
      <w:hyperlink w:anchor="_Toc153795386" w:history="1">
        <w:r w:rsidR="00691792" w:rsidRPr="00A5242F">
          <w:rPr>
            <w:rStyle w:val="Hyperlink"/>
            <w:noProof/>
          </w:rPr>
          <w:t>Pedestrian collisions</w:t>
        </w:r>
        <w:r w:rsidR="00691792">
          <w:rPr>
            <w:noProof/>
            <w:webHidden/>
          </w:rPr>
          <w:tab/>
        </w:r>
        <w:r w:rsidR="00691792">
          <w:rPr>
            <w:noProof/>
            <w:webHidden/>
          </w:rPr>
          <w:fldChar w:fldCharType="begin"/>
        </w:r>
        <w:r w:rsidR="00691792">
          <w:rPr>
            <w:noProof/>
            <w:webHidden/>
          </w:rPr>
          <w:instrText xml:space="preserve"> PAGEREF _Toc153795386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117B6FA2" w14:textId="05E03D8D" w:rsidR="00691792" w:rsidRDefault="00263819">
      <w:pPr>
        <w:pStyle w:val="TOC2"/>
        <w:rPr>
          <w:rFonts w:asciiTheme="minorHAnsi" w:eastAsiaTheme="minorEastAsia" w:hAnsiTheme="minorHAnsi"/>
          <w:noProof/>
          <w:sz w:val="22"/>
          <w:lang w:eastAsia="en-AU"/>
        </w:rPr>
      </w:pPr>
      <w:hyperlink w:anchor="_Toc153795387" w:history="1">
        <w:r w:rsidR="00691792" w:rsidRPr="00A5242F">
          <w:rPr>
            <w:rStyle w:val="Hyperlink"/>
            <w:noProof/>
          </w:rPr>
          <w:t>Acoustic Vehicle Alerting Systems</w:t>
        </w:r>
        <w:r w:rsidR="00691792">
          <w:rPr>
            <w:noProof/>
            <w:webHidden/>
          </w:rPr>
          <w:tab/>
        </w:r>
        <w:r w:rsidR="00691792">
          <w:rPr>
            <w:noProof/>
            <w:webHidden/>
          </w:rPr>
          <w:fldChar w:fldCharType="begin"/>
        </w:r>
        <w:r w:rsidR="00691792">
          <w:rPr>
            <w:noProof/>
            <w:webHidden/>
          </w:rPr>
          <w:instrText xml:space="preserve"> PAGEREF _Toc153795387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47766395" w14:textId="21FA8F80" w:rsidR="00691792" w:rsidRDefault="00263819">
      <w:pPr>
        <w:pStyle w:val="TOC2"/>
        <w:rPr>
          <w:rFonts w:asciiTheme="minorHAnsi" w:eastAsiaTheme="minorEastAsia" w:hAnsiTheme="minorHAnsi"/>
          <w:noProof/>
          <w:sz w:val="22"/>
          <w:lang w:eastAsia="en-AU"/>
        </w:rPr>
      </w:pPr>
      <w:hyperlink w:anchor="_Toc153795388" w:history="1">
        <w:r w:rsidR="00691792" w:rsidRPr="00A5242F">
          <w:rPr>
            <w:rStyle w:val="Hyperlink"/>
            <w:noProof/>
          </w:rPr>
          <w:t>Public comment</w:t>
        </w:r>
        <w:r w:rsidR="00691792">
          <w:rPr>
            <w:noProof/>
            <w:webHidden/>
          </w:rPr>
          <w:tab/>
        </w:r>
        <w:r w:rsidR="00691792">
          <w:rPr>
            <w:noProof/>
            <w:webHidden/>
          </w:rPr>
          <w:fldChar w:fldCharType="begin"/>
        </w:r>
        <w:r w:rsidR="00691792">
          <w:rPr>
            <w:noProof/>
            <w:webHidden/>
          </w:rPr>
          <w:instrText xml:space="preserve"> PAGEREF _Toc153795388 \h </w:instrText>
        </w:r>
        <w:r w:rsidR="00691792">
          <w:rPr>
            <w:noProof/>
            <w:webHidden/>
          </w:rPr>
        </w:r>
        <w:r w:rsidR="00691792">
          <w:rPr>
            <w:noProof/>
            <w:webHidden/>
          </w:rPr>
          <w:fldChar w:fldCharType="separate"/>
        </w:r>
        <w:r w:rsidR="00691792">
          <w:rPr>
            <w:noProof/>
            <w:webHidden/>
          </w:rPr>
          <w:t>7</w:t>
        </w:r>
        <w:r w:rsidR="00691792">
          <w:rPr>
            <w:noProof/>
            <w:webHidden/>
          </w:rPr>
          <w:fldChar w:fldCharType="end"/>
        </w:r>
      </w:hyperlink>
    </w:p>
    <w:p w14:paraId="23D71AC8" w14:textId="51F3EF28" w:rsidR="00691792" w:rsidRDefault="00263819">
      <w:pPr>
        <w:pStyle w:val="TOC2"/>
        <w:rPr>
          <w:rFonts w:asciiTheme="minorHAnsi" w:eastAsiaTheme="minorEastAsia" w:hAnsiTheme="minorHAnsi"/>
          <w:noProof/>
          <w:sz w:val="22"/>
          <w:lang w:eastAsia="en-AU"/>
        </w:rPr>
      </w:pPr>
      <w:hyperlink w:anchor="_Toc153795389" w:history="1">
        <w:r w:rsidR="00691792" w:rsidRPr="00A5242F">
          <w:rPr>
            <w:rStyle w:val="Hyperlink"/>
            <w:noProof/>
          </w:rPr>
          <w:t>Cost-benefit analysis</w:t>
        </w:r>
        <w:r w:rsidR="00691792">
          <w:rPr>
            <w:noProof/>
            <w:webHidden/>
          </w:rPr>
          <w:tab/>
        </w:r>
        <w:r w:rsidR="00691792">
          <w:rPr>
            <w:noProof/>
            <w:webHidden/>
          </w:rPr>
          <w:fldChar w:fldCharType="begin"/>
        </w:r>
        <w:r w:rsidR="00691792">
          <w:rPr>
            <w:noProof/>
            <w:webHidden/>
          </w:rPr>
          <w:instrText xml:space="preserve"> PAGEREF _Toc153795389 \h </w:instrText>
        </w:r>
        <w:r w:rsidR="00691792">
          <w:rPr>
            <w:noProof/>
            <w:webHidden/>
          </w:rPr>
        </w:r>
        <w:r w:rsidR="00691792">
          <w:rPr>
            <w:noProof/>
            <w:webHidden/>
          </w:rPr>
          <w:fldChar w:fldCharType="separate"/>
        </w:r>
        <w:r w:rsidR="00691792">
          <w:rPr>
            <w:noProof/>
            <w:webHidden/>
          </w:rPr>
          <w:t>7</w:t>
        </w:r>
        <w:r w:rsidR="00691792">
          <w:rPr>
            <w:noProof/>
            <w:webHidden/>
          </w:rPr>
          <w:fldChar w:fldCharType="end"/>
        </w:r>
      </w:hyperlink>
    </w:p>
    <w:p w14:paraId="0E2B215B" w14:textId="05633401" w:rsidR="00691792" w:rsidRDefault="00263819">
      <w:pPr>
        <w:pStyle w:val="TOC2"/>
        <w:rPr>
          <w:rFonts w:asciiTheme="minorHAnsi" w:eastAsiaTheme="minorEastAsia" w:hAnsiTheme="minorHAnsi"/>
          <w:noProof/>
          <w:sz w:val="22"/>
          <w:lang w:eastAsia="en-AU"/>
        </w:rPr>
      </w:pPr>
      <w:hyperlink w:anchor="_Toc153795390" w:history="1">
        <w:r w:rsidR="00691792" w:rsidRPr="00A5242F">
          <w:rPr>
            <w:rStyle w:val="Hyperlink"/>
            <w:noProof/>
          </w:rPr>
          <w:t>Recommended Option</w:t>
        </w:r>
        <w:r w:rsidR="00691792">
          <w:rPr>
            <w:noProof/>
            <w:webHidden/>
          </w:rPr>
          <w:tab/>
        </w:r>
        <w:r w:rsidR="00691792">
          <w:rPr>
            <w:noProof/>
            <w:webHidden/>
          </w:rPr>
          <w:fldChar w:fldCharType="begin"/>
        </w:r>
        <w:r w:rsidR="00691792">
          <w:rPr>
            <w:noProof/>
            <w:webHidden/>
          </w:rPr>
          <w:instrText xml:space="preserve"> PAGEREF _Toc153795390 \h </w:instrText>
        </w:r>
        <w:r w:rsidR="00691792">
          <w:rPr>
            <w:noProof/>
            <w:webHidden/>
          </w:rPr>
        </w:r>
        <w:r w:rsidR="00691792">
          <w:rPr>
            <w:noProof/>
            <w:webHidden/>
          </w:rPr>
          <w:fldChar w:fldCharType="separate"/>
        </w:r>
        <w:r w:rsidR="00691792">
          <w:rPr>
            <w:noProof/>
            <w:webHidden/>
          </w:rPr>
          <w:t>8</w:t>
        </w:r>
        <w:r w:rsidR="00691792">
          <w:rPr>
            <w:noProof/>
            <w:webHidden/>
          </w:rPr>
          <w:fldChar w:fldCharType="end"/>
        </w:r>
      </w:hyperlink>
    </w:p>
    <w:p w14:paraId="27AB6A77" w14:textId="6FF3AC8E" w:rsidR="00691792" w:rsidRDefault="00263819">
      <w:pPr>
        <w:pStyle w:val="TOC1"/>
        <w:rPr>
          <w:rFonts w:asciiTheme="minorHAnsi" w:eastAsiaTheme="minorEastAsia" w:hAnsiTheme="minorHAnsi"/>
          <w:b w:val="0"/>
          <w:noProof/>
          <w:color w:val="auto"/>
          <w:u w:val="none"/>
          <w:lang w:eastAsia="en-AU"/>
        </w:rPr>
      </w:pPr>
      <w:hyperlink w:anchor="_Toc153795391" w:history="1">
        <w:r w:rsidR="00691792" w:rsidRPr="00A5242F">
          <w:rPr>
            <w:rStyle w:val="Hyperlink"/>
            <w:noProof/>
          </w:rPr>
          <w:t>1. What is the problem you are trying to solve and what data is available?</w:t>
        </w:r>
        <w:r w:rsidR="00691792">
          <w:rPr>
            <w:noProof/>
            <w:webHidden/>
          </w:rPr>
          <w:tab/>
        </w:r>
        <w:r w:rsidR="00691792">
          <w:rPr>
            <w:noProof/>
            <w:webHidden/>
          </w:rPr>
          <w:fldChar w:fldCharType="begin"/>
        </w:r>
        <w:r w:rsidR="00691792">
          <w:rPr>
            <w:noProof/>
            <w:webHidden/>
          </w:rPr>
          <w:instrText xml:space="preserve"> PAGEREF _Toc153795391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762018DD" w14:textId="707122F6" w:rsidR="00691792" w:rsidRDefault="00263819">
      <w:pPr>
        <w:pStyle w:val="TOC2"/>
        <w:rPr>
          <w:rFonts w:asciiTheme="minorHAnsi" w:eastAsiaTheme="minorEastAsia" w:hAnsiTheme="minorHAnsi"/>
          <w:noProof/>
          <w:sz w:val="22"/>
          <w:lang w:eastAsia="en-AU"/>
        </w:rPr>
      </w:pPr>
      <w:hyperlink w:anchor="_Toc153795392" w:history="1">
        <w:r w:rsidR="00691792" w:rsidRPr="00A5242F">
          <w:rPr>
            <w:rStyle w:val="Hyperlink"/>
            <w:noProof/>
          </w:rPr>
          <w:t>1.1 Road Crashes in Australia impose a significant cost on the community</w:t>
        </w:r>
        <w:r w:rsidR="00691792">
          <w:rPr>
            <w:noProof/>
            <w:webHidden/>
          </w:rPr>
          <w:tab/>
        </w:r>
        <w:r w:rsidR="00691792">
          <w:rPr>
            <w:noProof/>
            <w:webHidden/>
          </w:rPr>
          <w:fldChar w:fldCharType="begin"/>
        </w:r>
        <w:r w:rsidR="00691792">
          <w:rPr>
            <w:noProof/>
            <w:webHidden/>
          </w:rPr>
          <w:instrText xml:space="preserve"> PAGEREF _Toc153795392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4866DAFC" w14:textId="6D4B906B" w:rsidR="00691792" w:rsidRDefault="00263819">
      <w:pPr>
        <w:pStyle w:val="TOC3"/>
        <w:rPr>
          <w:rFonts w:asciiTheme="minorHAnsi" w:eastAsiaTheme="minorEastAsia" w:hAnsiTheme="minorHAnsi"/>
          <w:noProof/>
          <w:sz w:val="22"/>
          <w:lang w:eastAsia="en-AU"/>
        </w:rPr>
      </w:pPr>
      <w:hyperlink w:anchor="_Toc153795393" w:history="1">
        <w:r w:rsidR="00691792" w:rsidRPr="00A5242F">
          <w:rPr>
            <w:rStyle w:val="Hyperlink"/>
            <w:noProof/>
          </w:rPr>
          <w:t>1.1.1 Road trauma involving pedestrians is not improving</w:t>
        </w:r>
        <w:r w:rsidR="00691792">
          <w:rPr>
            <w:noProof/>
            <w:webHidden/>
          </w:rPr>
          <w:tab/>
        </w:r>
        <w:r w:rsidR="00691792">
          <w:rPr>
            <w:noProof/>
            <w:webHidden/>
          </w:rPr>
          <w:fldChar w:fldCharType="begin"/>
        </w:r>
        <w:r w:rsidR="00691792">
          <w:rPr>
            <w:noProof/>
            <w:webHidden/>
          </w:rPr>
          <w:instrText xml:space="preserve"> PAGEREF _Toc153795393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2CEBC366" w14:textId="57DB9A5F" w:rsidR="00691792" w:rsidRDefault="00263819">
      <w:pPr>
        <w:pStyle w:val="TOC2"/>
        <w:rPr>
          <w:rFonts w:asciiTheme="minorHAnsi" w:eastAsiaTheme="minorEastAsia" w:hAnsiTheme="minorHAnsi"/>
          <w:noProof/>
          <w:sz w:val="22"/>
          <w:lang w:eastAsia="en-AU"/>
        </w:rPr>
      </w:pPr>
      <w:hyperlink w:anchor="_Toc153795394" w:history="1">
        <w:r w:rsidR="00691792" w:rsidRPr="00A5242F">
          <w:rPr>
            <w:rStyle w:val="Hyperlink"/>
            <w:noProof/>
          </w:rPr>
          <w:t>1.2 Quiet Road Transport Vehicles are more likely to collide with pedestrians</w:t>
        </w:r>
        <w:r w:rsidR="00691792">
          <w:rPr>
            <w:noProof/>
            <w:webHidden/>
          </w:rPr>
          <w:tab/>
        </w:r>
        <w:r w:rsidR="00691792">
          <w:rPr>
            <w:noProof/>
            <w:webHidden/>
          </w:rPr>
          <w:fldChar w:fldCharType="begin"/>
        </w:r>
        <w:r w:rsidR="00691792">
          <w:rPr>
            <w:noProof/>
            <w:webHidden/>
          </w:rPr>
          <w:instrText xml:space="preserve"> PAGEREF _Toc153795394 \h </w:instrText>
        </w:r>
        <w:r w:rsidR="00691792">
          <w:rPr>
            <w:noProof/>
            <w:webHidden/>
          </w:rPr>
        </w:r>
        <w:r w:rsidR="00691792">
          <w:rPr>
            <w:noProof/>
            <w:webHidden/>
          </w:rPr>
          <w:fldChar w:fldCharType="separate"/>
        </w:r>
        <w:r w:rsidR="00691792">
          <w:rPr>
            <w:noProof/>
            <w:webHidden/>
          </w:rPr>
          <w:t>11</w:t>
        </w:r>
        <w:r w:rsidR="00691792">
          <w:rPr>
            <w:noProof/>
            <w:webHidden/>
          </w:rPr>
          <w:fldChar w:fldCharType="end"/>
        </w:r>
      </w:hyperlink>
    </w:p>
    <w:p w14:paraId="6BB3EF54" w14:textId="3034C0A3" w:rsidR="00691792" w:rsidRDefault="00263819">
      <w:pPr>
        <w:pStyle w:val="TOC3"/>
        <w:rPr>
          <w:rFonts w:asciiTheme="minorHAnsi" w:eastAsiaTheme="minorEastAsia" w:hAnsiTheme="minorHAnsi"/>
          <w:noProof/>
          <w:sz w:val="22"/>
          <w:lang w:eastAsia="en-AU"/>
        </w:rPr>
      </w:pPr>
      <w:hyperlink w:anchor="_Toc153795395" w:history="1">
        <w:r w:rsidR="00691792" w:rsidRPr="00A5242F">
          <w:rPr>
            <w:rStyle w:val="Hyperlink"/>
            <w:noProof/>
          </w:rPr>
          <w:t>1.2.1 Safety Risks are Greater for the Blind and Low Vision Community</w:t>
        </w:r>
        <w:r w:rsidR="00691792">
          <w:rPr>
            <w:noProof/>
            <w:webHidden/>
          </w:rPr>
          <w:tab/>
        </w:r>
        <w:r w:rsidR="00691792">
          <w:rPr>
            <w:noProof/>
            <w:webHidden/>
          </w:rPr>
          <w:fldChar w:fldCharType="begin"/>
        </w:r>
        <w:r w:rsidR="00691792">
          <w:rPr>
            <w:noProof/>
            <w:webHidden/>
          </w:rPr>
          <w:instrText xml:space="preserve"> PAGEREF _Toc153795395 \h </w:instrText>
        </w:r>
        <w:r w:rsidR="00691792">
          <w:rPr>
            <w:noProof/>
            <w:webHidden/>
          </w:rPr>
        </w:r>
        <w:r w:rsidR="00691792">
          <w:rPr>
            <w:noProof/>
            <w:webHidden/>
          </w:rPr>
          <w:fldChar w:fldCharType="separate"/>
        </w:r>
        <w:r w:rsidR="00691792">
          <w:rPr>
            <w:noProof/>
            <w:webHidden/>
          </w:rPr>
          <w:t>12</w:t>
        </w:r>
        <w:r w:rsidR="00691792">
          <w:rPr>
            <w:noProof/>
            <w:webHidden/>
          </w:rPr>
          <w:fldChar w:fldCharType="end"/>
        </w:r>
      </w:hyperlink>
    </w:p>
    <w:p w14:paraId="70F14A18" w14:textId="7C90F796" w:rsidR="00691792" w:rsidRDefault="00263819">
      <w:pPr>
        <w:pStyle w:val="TOC3"/>
        <w:rPr>
          <w:rFonts w:asciiTheme="minorHAnsi" w:eastAsiaTheme="minorEastAsia" w:hAnsiTheme="minorHAnsi"/>
          <w:noProof/>
          <w:sz w:val="22"/>
          <w:lang w:eastAsia="en-AU"/>
        </w:rPr>
      </w:pPr>
      <w:hyperlink w:anchor="_Toc153795396" w:history="1">
        <w:r w:rsidR="00691792" w:rsidRPr="00A5242F">
          <w:rPr>
            <w:rStyle w:val="Hyperlink"/>
            <w:noProof/>
          </w:rPr>
          <w:t>1.2.2 Distracted Pedestrians are also Emerging as a Concern</w:t>
        </w:r>
        <w:r w:rsidR="00691792">
          <w:rPr>
            <w:noProof/>
            <w:webHidden/>
          </w:rPr>
          <w:tab/>
        </w:r>
        <w:r w:rsidR="00691792">
          <w:rPr>
            <w:noProof/>
            <w:webHidden/>
          </w:rPr>
          <w:fldChar w:fldCharType="begin"/>
        </w:r>
        <w:r w:rsidR="00691792">
          <w:rPr>
            <w:noProof/>
            <w:webHidden/>
          </w:rPr>
          <w:instrText xml:space="preserve"> PAGEREF _Toc153795396 \h </w:instrText>
        </w:r>
        <w:r w:rsidR="00691792">
          <w:rPr>
            <w:noProof/>
            <w:webHidden/>
          </w:rPr>
        </w:r>
        <w:r w:rsidR="00691792">
          <w:rPr>
            <w:noProof/>
            <w:webHidden/>
          </w:rPr>
          <w:fldChar w:fldCharType="separate"/>
        </w:r>
        <w:r w:rsidR="00691792">
          <w:rPr>
            <w:noProof/>
            <w:webHidden/>
          </w:rPr>
          <w:t>14</w:t>
        </w:r>
        <w:r w:rsidR="00691792">
          <w:rPr>
            <w:noProof/>
            <w:webHidden/>
          </w:rPr>
          <w:fldChar w:fldCharType="end"/>
        </w:r>
      </w:hyperlink>
    </w:p>
    <w:p w14:paraId="73B4802A" w14:textId="3D36CB3E" w:rsidR="00691792" w:rsidRDefault="00263819">
      <w:pPr>
        <w:pStyle w:val="TOC1"/>
        <w:rPr>
          <w:rFonts w:asciiTheme="minorHAnsi" w:eastAsiaTheme="minorEastAsia" w:hAnsiTheme="minorHAnsi"/>
          <w:b w:val="0"/>
          <w:noProof/>
          <w:color w:val="auto"/>
          <w:u w:val="none"/>
          <w:lang w:eastAsia="en-AU"/>
        </w:rPr>
      </w:pPr>
      <w:hyperlink w:anchor="_Toc153795397" w:history="1">
        <w:r w:rsidR="00691792" w:rsidRPr="00A5242F">
          <w:rPr>
            <w:rStyle w:val="Hyperlink"/>
            <w:noProof/>
          </w:rPr>
          <w:t>2. What are the objectives, why is government intervention needed to achieve them, and how will success be measured?</w:t>
        </w:r>
        <w:r w:rsidR="00691792">
          <w:rPr>
            <w:noProof/>
            <w:webHidden/>
          </w:rPr>
          <w:tab/>
        </w:r>
        <w:r w:rsidR="00691792">
          <w:rPr>
            <w:noProof/>
            <w:webHidden/>
          </w:rPr>
          <w:fldChar w:fldCharType="begin"/>
        </w:r>
        <w:r w:rsidR="00691792">
          <w:rPr>
            <w:noProof/>
            <w:webHidden/>
          </w:rPr>
          <w:instrText xml:space="preserve"> PAGEREF _Toc153795397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6EA5B86D" w14:textId="235F0842" w:rsidR="00691792" w:rsidRDefault="00263819">
      <w:pPr>
        <w:pStyle w:val="TOC2"/>
        <w:rPr>
          <w:rFonts w:asciiTheme="minorHAnsi" w:eastAsiaTheme="minorEastAsia" w:hAnsiTheme="minorHAnsi"/>
          <w:noProof/>
          <w:sz w:val="22"/>
          <w:lang w:eastAsia="en-AU"/>
        </w:rPr>
      </w:pPr>
      <w:hyperlink w:anchor="_Toc153795398" w:history="1">
        <w:r w:rsidR="00691792" w:rsidRPr="00A5242F">
          <w:rPr>
            <w:rStyle w:val="Hyperlink"/>
            <w:noProof/>
          </w:rPr>
          <w:t>2.1 Objectives of Government Action</w:t>
        </w:r>
        <w:r w:rsidR="00691792">
          <w:rPr>
            <w:noProof/>
            <w:webHidden/>
          </w:rPr>
          <w:tab/>
        </w:r>
        <w:r w:rsidR="00691792">
          <w:rPr>
            <w:noProof/>
            <w:webHidden/>
          </w:rPr>
          <w:fldChar w:fldCharType="begin"/>
        </w:r>
        <w:r w:rsidR="00691792">
          <w:rPr>
            <w:noProof/>
            <w:webHidden/>
          </w:rPr>
          <w:instrText xml:space="preserve"> PAGEREF _Toc153795398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66A12076" w14:textId="75482E46" w:rsidR="00691792" w:rsidRDefault="00263819">
      <w:pPr>
        <w:pStyle w:val="TOC2"/>
        <w:rPr>
          <w:rFonts w:asciiTheme="minorHAnsi" w:eastAsiaTheme="minorEastAsia" w:hAnsiTheme="minorHAnsi"/>
          <w:noProof/>
          <w:sz w:val="22"/>
          <w:lang w:eastAsia="en-AU"/>
        </w:rPr>
      </w:pPr>
      <w:hyperlink w:anchor="_Toc153795399" w:history="1">
        <w:r w:rsidR="00691792" w:rsidRPr="00A5242F">
          <w:rPr>
            <w:rStyle w:val="Hyperlink"/>
            <w:noProof/>
          </w:rPr>
          <w:t>2.2 Government intervention needed to achieve these objectives</w:t>
        </w:r>
        <w:r w:rsidR="00691792">
          <w:rPr>
            <w:noProof/>
            <w:webHidden/>
          </w:rPr>
          <w:tab/>
        </w:r>
        <w:r w:rsidR="00691792">
          <w:rPr>
            <w:noProof/>
            <w:webHidden/>
          </w:rPr>
          <w:fldChar w:fldCharType="begin"/>
        </w:r>
        <w:r w:rsidR="00691792">
          <w:rPr>
            <w:noProof/>
            <w:webHidden/>
          </w:rPr>
          <w:instrText xml:space="preserve"> PAGEREF _Toc153795399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4E673A3D" w14:textId="4C1D24B9" w:rsidR="00691792" w:rsidRDefault="00263819">
      <w:pPr>
        <w:pStyle w:val="TOC3"/>
        <w:rPr>
          <w:rFonts w:asciiTheme="minorHAnsi" w:eastAsiaTheme="minorEastAsia" w:hAnsiTheme="minorHAnsi"/>
          <w:noProof/>
          <w:sz w:val="22"/>
          <w:lang w:eastAsia="en-AU"/>
        </w:rPr>
      </w:pPr>
      <w:hyperlink w:anchor="_Toc153795400" w:history="1">
        <w:r w:rsidR="00691792" w:rsidRPr="00A5242F">
          <w:rPr>
            <w:rStyle w:val="Hyperlink"/>
            <w:noProof/>
          </w:rPr>
          <w:t>2.2.1 Acoustic Vehicle Alerting Systems (AVAS) is mandated in other markets to improve the audibility of QRTVs</w:t>
        </w:r>
        <w:r w:rsidR="00691792">
          <w:rPr>
            <w:noProof/>
            <w:webHidden/>
          </w:rPr>
          <w:tab/>
        </w:r>
        <w:r w:rsidR="00691792">
          <w:rPr>
            <w:noProof/>
            <w:webHidden/>
          </w:rPr>
          <w:fldChar w:fldCharType="begin"/>
        </w:r>
        <w:r w:rsidR="00691792">
          <w:rPr>
            <w:noProof/>
            <w:webHidden/>
          </w:rPr>
          <w:instrText xml:space="preserve"> PAGEREF _Toc153795400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69321B29" w14:textId="2E2CD841" w:rsidR="00691792" w:rsidRDefault="00263819">
      <w:pPr>
        <w:pStyle w:val="TOC3"/>
        <w:rPr>
          <w:rFonts w:asciiTheme="minorHAnsi" w:eastAsiaTheme="minorEastAsia" w:hAnsiTheme="minorHAnsi"/>
          <w:noProof/>
          <w:sz w:val="22"/>
          <w:lang w:eastAsia="en-AU"/>
        </w:rPr>
      </w:pPr>
      <w:hyperlink w:anchor="_Toc153795401" w:history="1">
        <w:r w:rsidR="00691792" w:rsidRPr="00A5242F">
          <w:rPr>
            <w:rStyle w:val="Hyperlink"/>
            <w:noProof/>
          </w:rPr>
          <w:t>2.2.2 An Australian mandate is also required to address these risks</w:t>
        </w:r>
        <w:r w:rsidR="00691792">
          <w:rPr>
            <w:noProof/>
            <w:webHidden/>
          </w:rPr>
          <w:tab/>
        </w:r>
        <w:r w:rsidR="00691792">
          <w:rPr>
            <w:noProof/>
            <w:webHidden/>
          </w:rPr>
          <w:fldChar w:fldCharType="begin"/>
        </w:r>
        <w:r w:rsidR="00691792">
          <w:rPr>
            <w:noProof/>
            <w:webHidden/>
          </w:rPr>
          <w:instrText xml:space="preserve"> PAGEREF _Toc153795401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4248EE67" w14:textId="78AA9BA6" w:rsidR="00691792" w:rsidRDefault="00263819">
      <w:pPr>
        <w:pStyle w:val="TOC2"/>
        <w:rPr>
          <w:rFonts w:asciiTheme="minorHAnsi" w:eastAsiaTheme="minorEastAsia" w:hAnsiTheme="minorHAnsi"/>
          <w:noProof/>
          <w:sz w:val="22"/>
          <w:lang w:eastAsia="en-AU"/>
        </w:rPr>
      </w:pPr>
      <w:hyperlink w:anchor="_Toc153795402" w:history="1">
        <w:r w:rsidR="00691792" w:rsidRPr="00A5242F">
          <w:rPr>
            <w:rStyle w:val="Hyperlink"/>
            <w:noProof/>
          </w:rPr>
          <w:t>2.3 How will success in achieving these objectives be measured?</w:t>
        </w:r>
        <w:r w:rsidR="00691792">
          <w:rPr>
            <w:noProof/>
            <w:webHidden/>
          </w:rPr>
          <w:tab/>
        </w:r>
        <w:r w:rsidR="00691792">
          <w:rPr>
            <w:noProof/>
            <w:webHidden/>
          </w:rPr>
          <w:fldChar w:fldCharType="begin"/>
        </w:r>
        <w:r w:rsidR="00691792">
          <w:rPr>
            <w:noProof/>
            <w:webHidden/>
          </w:rPr>
          <w:instrText xml:space="preserve"> PAGEREF _Toc153795402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02EEBE96" w14:textId="6483FD93" w:rsidR="00691792" w:rsidRDefault="00263819">
      <w:pPr>
        <w:pStyle w:val="TOC1"/>
        <w:rPr>
          <w:rFonts w:asciiTheme="minorHAnsi" w:eastAsiaTheme="minorEastAsia" w:hAnsiTheme="minorHAnsi"/>
          <w:b w:val="0"/>
          <w:noProof/>
          <w:color w:val="auto"/>
          <w:u w:val="none"/>
          <w:lang w:eastAsia="en-AU"/>
        </w:rPr>
      </w:pPr>
      <w:hyperlink w:anchor="_Toc153795403" w:history="1">
        <w:r w:rsidR="00691792" w:rsidRPr="00A5242F">
          <w:rPr>
            <w:rStyle w:val="Hyperlink"/>
            <w:noProof/>
          </w:rPr>
          <w:t>3. What policy options are being considered?</w:t>
        </w:r>
        <w:r w:rsidR="00691792">
          <w:rPr>
            <w:noProof/>
            <w:webHidden/>
          </w:rPr>
          <w:tab/>
        </w:r>
        <w:r w:rsidR="00691792">
          <w:rPr>
            <w:noProof/>
            <w:webHidden/>
          </w:rPr>
          <w:fldChar w:fldCharType="begin"/>
        </w:r>
        <w:r w:rsidR="00691792">
          <w:rPr>
            <w:noProof/>
            <w:webHidden/>
          </w:rPr>
          <w:instrText xml:space="preserve"> PAGEREF _Toc153795403 \h </w:instrText>
        </w:r>
        <w:r w:rsidR="00691792">
          <w:rPr>
            <w:noProof/>
            <w:webHidden/>
          </w:rPr>
        </w:r>
        <w:r w:rsidR="00691792">
          <w:rPr>
            <w:noProof/>
            <w:webHidden/>
          </w:rPr>
          <w:fldChar w:fldCharType="separate"/>
        </w:r>
        <w:r w:rsidR="00691792">
          <w:rPr>
            <w:noProof/>
            <w:webHidden/>
          </w:rPr>
          <w:t>18</w:t>
        </w:r>
        <w:r w:rsidR="00691792">
          <w:rPr>
            <w:noProof/>
            <w:webHidden/>
          </w:rPr>
          <w:fldChar w:fldCharType="end"/>
        </w:r>
      </w:hyperlink>
    </w:p>
    <w:p w14:paraId="1C1239D1" w14:textId="6E843AA5" w:rsidR="00691792" w:rsidRDefault="00263819">
      <w:pPr>
        <w:pStyle w:val="TOC2"/>
        <w:rPr>
          <w:rFonts w:asciiTheme="minorHAnsi" w:eastAsiaTheme="minorEastAsia" w:hAnsiTheme="minorHAnsi"/>
          <w:noProof/>
          <w:sz w:val="22"/>
          <w:lang w:eastAsia="en-AU"/>
        </w:rPr>
      </w:pPr>
      <w:hyperlink w:anchor="_Toc153795404" w:history="1">
        <w:r w:rsidR="00691792" w:rsidRPr="00A5242F">
          <w:rPr>
            <w:rStyle w:val="Hyperlink"/>
            <w:noProof/>
          </w:rPr>
          <w:t>3.1 Option 1: Business as Usual</w:t>
        </w:r>
        <w:r w:rsidR="00691792">
          <w:rPr>
            <w:noProof/>
            <w:webHidden/>
          </w:rPr>
          <w:tab/>
        </w:r>
        <w:r w:rsidR="00691792">
          <w:rPr>
            <w:noProof/>
            <w:webHidden/>
          </w:rPr>
          <w:fldChar w:fldCharType="begin"/>
        </w:r>
        <w:r w:rsidR="00691792">
          <w:rPr>
            <w:noProof/>
            <w:webHidden/>
          </w:rPr>
          <w:instrText xml:space="preserve"> PAGEREF _Toc153795404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0240B8AF" w14:textId="5C9D1412" w:rsidR="00691792" w:rsidRDefault="00263819">
      <w:pPr>
        <w:pStyle w:val="TOC2"/>
        <w:rPr>
          <w:rFonts w:asciiTheme="minorHAnsi" w:eastAsiaTheme="minorEastAsia" w:hAnsiTheme="minorHAnsi"/>
          <w:noProof/>
          <w:sz w:val="22"/>
          <w:lang w:eastAsia="en-AU"/>
        </w:rPr>
      </w:pPr>
      <w:hyperlink w:anchor="_Toc153795405" w:history="1">
        <w:r w:rsidR="00691792" w:rsidRPr="00A5242F">
          <w:rPr>
            <w:rStyle w:val="Hyperlink"/>
            <w:noProof/>
          </w:rPr>
          <w:t>3.2 Option 2: Mandatory Standards for Light Vehicles</w:t>
        </w:r>
        <w:r w:rsidR="00691792">
          <w:rPr>
            <w:noProof/>
            <w:webHidden/>
          </w:rPr>
          <w:tab/>
        </w:r>
        <w:r w:rsidR="00691792">
          <w:rPr>
            <w:noProof/>
            <w:webHidden/>
          </w:rPr>
          <w:fldChar w:fldCharType="begin"/>
        </w:r>
        <w:r w:rsidR="00691792">
          <w:rPr>
            <w:noProof/>
            <w:webHidden/>
          </w:rPr>
          <w:instrText xml:space="preserve"> PAGEREF _Toc153795405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07F9CD12" w14:textId="4ECC1937" w:rsidR="00691792" w:rsidRDefault="00263819">
      <w:pPr>
        <w:pStyle w:val="TOC3"/>
        <w:rPr>
          <w:rFonts w:asciiTheme="minorHAnsi" w:eastAsiaTheme="minorEastAsia" w:hAnsiTheme="minorHAnsi"/>
          <w:noProof/>
          <w:sz w:val="22"/>
          <w:lang w:eastAsia="en-AU"/>
        </w:rPr>
      </w:pPr>
      <w:hyperlink w:anchor="_Toc153795406" w:history="1">
        <w:r w:rsidR="00691792" w:rsidRPr="00A5242F">
          <w:rPr>
            <w:rStyle w:val="Hyperlink"/>
            <w:noProof/>
          </w:rPr>
          <w:t>3.2.1 Background</w:t>
        </w:r>
        <w:r w:rsidR="00691792">
          <w:rPr>
            <w:noProof/>
            <w:webHidden/>
          </w:rPr>
          <w:tab/>
        </w:r>
        <w:r w:rsidR="00691792">
          <w:rPr>
            <w:noProof/>
            <w:webHidden/>
          </w:rPr>
          <w:fldChar w:fldCharType="begin"/>
        </w:r>
        <w:r w:rsidR="00691792">
          <w:rPr>
            <w:noProof/>
            <w:webHidden/>
          </w:rPr>
          <w:instrText xml:space="preserve"> PAGEREF _Toc153795406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153CE790" w14:textId="7EFDFAC5" w:rsidR="00691792" w:rsidRDefault="00263819">
      <w:pPr>
        <w:pStyle w:val="TOC3"/>
        <w:rPr>
          <w:rFonts w:asciiTheme="minorHAnsi" w:eastAsiaTheme="minorEastAsia" w:hAnsiTheme="minorHAnsi"/>
          <w:noProof/>
          <w:sz w:val="22"/>
          <w:lang w:eastAsia="en-AU"/>
        </w:rPr>
      </w:pPr>
      <w:hyperlink w:anchor="_Toc153795407" w:history="1">
        <w:r w:rsidR="00691792" w:rsidRPr="00A5242F">
          <w:rPr>
            <w:rStyle w:val="Hyperlink"/>
            <w:noProof/>
          </w:rPr>
          <w:t>3.2.2 Proposed Scope</w:t>
        </w:r>
        <w:r w:rsidR="00691792">
          <w:rPr>
            <w:noProof/>
            <w:webHidden/>
          </w:rPr>
          <w:tab/>
        </w:r>
        <w:r w:rsidR="00691792">
          <w:rPr>
            <w:noProof/>
            <w:webHidden/>
          </w:rPr>
          <w:fldChar w:fldCharType="begin"/>
        </w:r>
        <w:r w:rsidR="00691792">
          <w:rPr>
            <w:noProof/>
            <w:webHidden/>
          </w:rPr>
          <w:instrText xml:space="preserve"> PAGEREF _Toc153795407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5C8C3660" w14:textId="1BB4E936" w:rsidR="00691792" w:rsidRDefault="00263819">
      <w:pPr>
        <w:pStyle w:val="TOC3"/>
        <w:rPr>
          <w:rFonts w:asciiTheme="minorHAnsi" w:eastAsiaTheme="minorEastAsia" w:hAnsiTheme="minorHAnsi"/>
          <w:noProof/>
          <w:sz w:val="22"/>
          <w:lang w:eastAsia="en-AU"/>
        </w:rPr>
      </w:pPr>
      <w:hyperlink w:anchor="_Toc153795408" w:history="1">
        <w:r w:rsidR="00691792" w:rsidRPr="00A5242F">
          <w:rPr>
            <w:rStyle w:val="Hyperlink"/>
            <w:noProof/>
          </w:rPr>
          <w:t>3.2.3 Implementation Timing</w:t>
        </w:r>
        <w:r w:rsidR="00691792">
          <w:rPr>
            <w:noProof/>
            <w:webHidden/>
          </w:rPr>
          <w:tab/>
        </w:r>
        <w:r w:rsidR="00691792">
          <w:rPr>
            <w:noProof/>
            <w:webHidden/>
          </w:rPr>
          <w:fldChar w:fldCharType="begin"/>
        </w:r>
        <w:r w:rsidR="00691792">
          <w:rPr>
            <w:noProof/>
            <w:webHidden/>
          </w:rPr>
          <w:instrText xml:space="preserve"> PAGEREF _Toc153795408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0A0EDEE0" w14:textId="617666D7" w:rsidR="00691792" w:rsidRDefault="00263819">
      <w:pPr>
        <w:pStyle w:val="TOC2"/>
        <w:rPr>
          <w:rFonts w:asciiTheme="minorHAnsi" w:eastAsiaTheme="minorEastAsia" w:hAnsiTheme="minorHAnsi"/>
          <w:noProof/>
          <w:sz w:val="22"/>
          <w:lang w:eastAsia="en-AU"/>
        </w:rPr>
      </w:pPr>
      <w:hyperlink w:anchor="_Toc153795409" w:history="1">
        <w:r w:rsidR="00691792" w:rsidRPr="00A5242F">
          <w:rPr>
            <w:rStyle w:val="Hyperlink"/>
            <w:noProof/>
          </w:rPr>
          <w:t>3.3 Option 3: Mandatory Standards for Light and Heavy Vehicles</w:t>
        </w:r>
        <w:r w:rsidR="00691792">
          <w:rPr>
            <w:noProof/>
            <w:webHidden/>
          </w:rPr>
          <w:tab/>
        </w:r>
        <w:r w:rsidR="00691792">
          <w:rPr>
            <w:noProof/>
            <w:webHidden/>
          </w:rPr>
          <w:fldChar w:fldCharType="begin"/>
        </w:r>
        <w:r w:rsidR="00691792">
          <w:rPr>
            <w:noProof/>
            <w:webHidden/>
          </w:rPr>
          <w:instrText xml:space="preserve"> PAGEREF _Toc153795409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7788F902" w14:textId="7B8603B5" w:rsidR="00691792" w:rsidRDefault="00263819">
      <w:pPr>
        <w:pStyle w:val="TOC3"/>
        <w:rPr>
          <w:rFonts w:asciiTheme="minorHAnsi" w:eastAsiaTheme="minorEastAsia" w:hAnsiTheme="minorHAnsi"/>
          <w:noProof/>
          <w:sz w:val="22"/>
          <w:lang w:eastAsia="en-AU"/>
        </w:rPr>
      </w:pPr>
      <w:hyperlink w:anchor="_Toc153795410" w:history="1">
        <w:r w:rsidR="00691792" w:rsidRPr="00A5242F">
          <w:rPr>
            <w:rStyle w:val="Hyperlink"/>
            <w:noProof/>
          </w:rPr>
          <w:t>3.3.1 Proposed Scope</w:t>
        </w:r>
        <w:r w:rsidR="00691792">
          <w:rPr>
            <w:noProof/>
            <w:webHidden/>
          </w:rPr>
          <w:tab/>
        </w:r>
        <w:r w:rsidR="00691792">
          <w:rPr>
            <w:noProof/>
            <w:webHidden/>
          </w:rPr>
          <w:fldChar w:fldCharType="begin"/>
        </w:r>
        <w:r w:rsidR="00691792">
          <w:rPr>
            <w:noProof/>
            <w:webHidden/>
          </w:rPr>
          <w:instrText xml:space="preserve"> PAGEREF _Toc153795410 \h </w:instrText>
        </w:r>
        <w:r w:rsidR="00691792">
          <w:rPr>
            <w:noProof/>
            <w:webHidden/>
          </w:rPr>
        </w:r>
        <w:r w:rsidR="00691792">
          <w:rPr>
            <w:noProof/>
            <w:webHidden/>
          </w:rPr>
          <w:fldChar w:fldCharType="separate"/>
        </w:r>
        <w:r w:rsidR="00691792">
          <w:rPr>
            <w:noProof/>
            <w:webHidden/>
          </w:rPr>
          <w:t>21</w:t>
        </w:r>
        <w:r w:rsidR="00691792">
          <w:rPr>
            <w:noProof/>
            <w:webHidden/>
          </w:rPr>
          <w:fldChar w:fldCharType="end"/>
        </w:r>
      </w:hyperlink>
    </w:p>
    <w:p w14:paraId="5CC5C66C" w14:textId="778619B1" w:rsidR="00691792" w:rsidRDefault="00263819">
      <w:pPr>
        <w:pStyle w:val="TOC3"/>
        <w:rPr>
          <w:rFonts w:asciiTheme="minorHAnsi" w:eastAsiaTheme="minorEastAsia" w:hAnsiTheme="minorHAnsi"/>
          <w:noProof/>
          <w:sz w:val="22"/>
          <w:lang w:eastAsia="en-AU"/>
        </w:rPr>
      </w:pPr>
      <w:hyperlink w:anchor="_Toc153795411" w:history="1">
        <w:r w:rsidR="00691792" w:rsidRPr="00A5242F">
          <w:rPr>
            <w:rStyle w:val="Hyperlink"/>
            <w:noProof/>
          </w:rPr>
          <w:t>3.3.2 Implementation Timing</w:t>
        </w:r>
        <w:r w:rsidR="00691792">
          <w:rPr>
            <w:noProof/>
            <w:webHidden/>
          </w:rPr>
          <w:tab/>
        </w:r>
        <w:r w:rsidR="00691792">
          <w:rPr>
            <w:noProof/>
            <w:webHidden/>
          </w:rPr>
          <w:fldChar w:fldCharType="begin"/>
        </w:r>
        <w:r w:rsidR="00691792">
          <w:rPr>
            <w:noProof/>
            <w:webHidden/>
          </w:rPr>
          <w:instrText xml:space="preserve"> PAGEREF _Toc153795411 \h </w:instrText>
        </w:r>
        <w:r w:rsidR="00691792">
          <w:rPr>
            <w:noProof/>
            <w:webHidden/>
          </w:rPr>
        </w:r>
        <w:r w:rsidR="00691792">
          <w:rPr>
            <w:noProof/>
            <w:webHidden/>
          </w:rPr>
          <w:fldChar w:fldCharType="separate"/>
        </w:r>
        <w:r w:rsidR="00691792">
          <w:rPr>
            <w:noProof/>
            <w:webHidden/>
          </w:rPr>
          <w:t>21</w:t>
        </w:r>
        <w:r w:rsidR="00691792">
          <w:rPr>
            <w:noProof/>
            <w:webHidden/>
          </w:rPr>
          <w:fldChar w:fldCharType="end"/>
        </w:r>
      </w:hyperlink>
    </w:p>
    <w:p w14:paraId="2A5A1173" w14:textId="2D60EB98" w:rsidR="00691792" w:rsidRDefault="00263819">
      <w:pPr>
        <w:pStyle w:val="TOC1"/>
        <w:rPr>
          <w:rFonts w:asciiTheme="minorHAnsi" w:eastAsiaTheme="minorEastAsia" w:hAnsiTheme="minorHAnsi"/>
          <w:b w:val="0"/>
          <w:noProof/>
          <w:color w:val="auto"/>
          <w:u w:val="none"/>
          <w:lang w:eastAsia="en-AU"/>
        </w:rPr>
      </w:pPr>
      <w:hyperlink w:anchor="_Toc153795412" w:history="1">
        <w:r w:rsidR="00691792" w:rsidRPr="00A5242F">
          <w:rPr>
            <w:rStyle w:val="Hyperlink"/>
            <w:noProof/>
          </w:rPr>
          <w:t>4. What is the likely net benefits of each option?</w:t>
        </w:r>
        <w:r w:rsidR="00691792">
          <w:rPr>
            <w:noProof/>
            <w:webHidden/>
          </w:rPr>
          <w:tab/>
        </w:r>
        <w:r w:rsidR="00691792">
          <w:rPr>
            <w:noProof/>
            <w:webHidden/>
          </w:rPr>
          <w:fldChar w:fldCharType="begin"/>
        </w:r>
        <w:r w:rsidR="00691792">
          <w:rPr>
            <w:noProof/>
            <w:webHidden/>
          </w:rPr>
          <w:instrText xml:space="preserve"> PAGEREF _Toc153795412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5C5C380D" w14:textId="4A31D94F" w:rsidR="00691792" w:rsidRDefault="00263819">
      <w:pPr>
        <w:pStyle w:val="TOC2"/>
        <w:rPr>
          <w:rFonts w:asciiTheme="minorHAnsi" w:eastAsiaTheme="minorEastAsia" w:hAnsiTheme="minorHAnsi"/>
          <w:noProof/>
          <w:sz w:val="22"/>
          <w:lang w:eastAsia="en-AU"/>
        </w:rPr>
      </w:pPr>
      <w:hyperlink w:anchor="_Toc153795413" w:history="1">
        <w:r w:rsidR="00691792" w:rsidRPr="00A5242F">
          <w:rPr>
            <w:rStyle w:val="Hyperlink"/>
            <w:noProof/>
          </w:rPr>
          <w:t>4.1 Benefits</w:t>
        </w:r>
        <w:r w:rsidR="00691792">
          <w:rPr>
            <w:noProof/>
            <w:webHidden/>
          </w:rPr>
          <w:tab/>
        </w:r>
        <w:r w:rsidR="00691792">
          <w:rPr>
            <w:noProof/>
            <w:webHidden/>
          </w:rPr>
          <w:fldChar w:fldCharType="begin"/>
        </w:r>
        <w:r w:rsidR="00691792">
          <w:rPr>
            <w:noProof/>
            <w:webHidden/>
          </w:rPr>
          <w:instrText xml:space="preserve"> PAGEREF _Toc153795413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58DF2B4E" w14:textId="5F122FD0" w:rsidR="00691792" w:rsidRDefault="00263819">
      <w:pPr>
        <w:pStyle w:val="TOC3"/>
        <w:rPr>
          <w:rFonts w:asciiTheme="minorHAnsi" w:eastAsiaTheme="minorEastAsia" w:hAnsiTheme="minorHAnsi"/>
          <w:noProof/>
          <w:sz w:val="22"/>
          <w:lang w:eastAsia="en-AU"/>
        </w:rPr>
      </w:pPr>
      <w:hyperlink w:anchor="_Toc153795414" w:history="1">
        <w:r w:rsidR="00691792" w:rsidRPr="00A5242F">
          <w:rPr>
            <w:rStyle w:val="Hyperlink"/>
            <w:noProof/>
          </w:rPr>
          <w:t>4.1.1 Fitment Rate</w:t>
        </w:r>
        <w:r w:rsidR="00691792">
          <w:rPr>
            <w:noProof/>
            <w:webHidden/>
          </w:rPr>
          <w:tab/>
        </w:r>
        <w:r w:rsidR="00691792">
          <w:rPr>
            <w:noProof/>
            <w:webHidden/>
          </w:rPr>
          <w:fldChar w:fldCharType="begin"/>
        </w:r>
        <w:r w:rsidR="00691792">
          <w:rPr>
            <w:noProof/>
            <w:webHidden/>
          </w:rPr>
          <w:instrText xml:space="preserve"> PAGEREF _Toc153795414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048D2E59" w14:textId="5AEC3A9D" w:rsidR="00691792" w:rsidRDefault="00263819">
      <w:pPr>
        <w:pStyle w:val="TOC3"/>
        <w:rPr>
          <w:rFonts w:asciiTheme="minorHAnsi" w:eastAsiaTheme="minorEastAsia" w:hAnsiTheme="minorHAnsi"/>
          <w:noProof/>
          <w:sz w:val="22"/>
          <w:lang w:eastAsia="en-AU"/>
        </w:rPr>
      </w:pPr>
      <w:hyperlink w:anchor="_Toc153795415" w:history="1">
        <w:r w:rsidR="00691792" w:rsidRPr="00A5242F">
          <w:rPr>
            <w:rStyle w:val="Hyperlink"/>
            <w:noProof/>
          </w:rPr>
          <w:t>4.1.2 Effectiveness</w:t>
        </w:r>
        <w:r w:rsidR="00691792">
          <w:rPr>
            <w:noProof/>
            <w:webHidden/>
          </w:rPr>
          <w:tab/>
        </w:r>
        <w:r w:rsidR="00691792">
          <w:rPr>
            <w:noProof/>
            <w:webHidden/>
          </w:rPr>
          <w:fldChar w:fldCharType="begin"/>
        </w:r>
        <w:r w:rsidR="00691792">
          <w:rPr>
            <w:noProof/>
            <w:webHidden/>
          </w:rPr>
          <w:instrText xml:space="preserve"> PAGEREF _Toc153795415 \h </w:instrText>
        </w:r>
        <w:r w:rsidR="00691792">
          <w:rPr>
            <w:noProof/>
            <w:webHidden/>
          </w:rPr>
        </w:r>
        <w:r w:rsidR="00691792">
          <w:rPr>
            <w:noProof/>
            <w:webHidden/>
          </w:rPr>
          <w:fldChar w:fldCharType="separate"/>
        </w:r>
        <w:r w:rsidR="00691792">
          <w:rPr>
            <w:noProof/>
            <w:webHidden/>
          </w:rPr>
          <w:t>24</w:t>
        </w:r>
        <w:r w:rsidR="00691792">
          <w:rPr>
            <w:noProof/>
            <w:webHidden/>
          </w:rPr>
          <w:fldChar w:fldCharType="end"/>
        </w:r>
      </w:hyperlink>
    </w:p>
    <w:p w14:paraId="3737CC19" w14:textId="08D02801" w:rsidR="00691792" w:rsidRDefault="00263819">
      <w:pPr>
        <w:pStyle w:val="TOC3"/>
        <w:rPr>
          <w:rFonts w:asciiTheme="minorHAnsi" w:eastAsiaTheme="minorEastAsia" w:hAnsiTheme="minorHAnsi"/>
          <w:noProof/>
          <w:sz w:val="22"/>
          <w:lang w:eastAsia="en-AU"/>
        </w:rPr>
      </w:pPr>
      <w:hyperlink w:anchor="_Toc153795416" w:history="1">
        <w:r w:rsidR="00691792" w:rsidRPr="00A5242F">
          <w:rPr>
            <w:rStyle w:val="Hyperlink"/>
            <w:noProof/>
          </w:rPr>
          <w:t>4.1.3 Reduction in Trauma</w:t>
        </w:r>
        <w:r w:rsidR="00691792">
          <w:rPr>
            <w:noProof/>
            <w:webHidden/>
          </w:rPr>
          <w:tab/>
        </w:r>
        <w:r w:rsidR="00691792">
          <w:rPr>
            <w:noProof/>
            <w:webHidden/>
          </w:rPr>
          <w:fldChar w:fldCharType="begin"/>
        </w:r>
        <w:r w:rsidR="00691792">
          <w:rPr>
            <w:noProof/>
            <w:webHidden/>
          </w:rPr>
          <w:instrText xml:space="preserve"> PAGEREF _Toc153795416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729DA4A9" w14:textId="780C08B9" w:rsidR="00691792" w:rsidRDefault="00263819">
      <w:pPr>
        <w:pStyle w:val="TOC2"/>
        <w:rPr>
          <w:rFonts w:asciiTheme="minorHAnsi" w:eastAsiaTheme="minorEastAsia" w:hAnsiTheme="minorHAnsi"/>
          <w:noProof/>
          <w:sz w:val="22"/>
          <w:lang w:eastAsia="en-AU"/>
        </w:rPr>
      </w:pPr>
      <w:hyperlink w:anchor="_Toc153795417" w:history="1">
        <w:r w:rsidR="00691792" w:rsidRPr="00A5242F">
          <w:rPr>
            <w:rStyle w:val="Hyperlink"/>
            <w:noProof/>
          </w:rPr>
          <w:t>4.2 Costs</w:t>
        </w:r>
        <w:r w:rsidR="00691792">
          <w:rPr>
            <w:noProof/>
            <w:webHidden/>
          </w:rPr>
          <w:tab/>
        </w:r>
        <w:r w:rsidR="00691792">
          <w:rPr>
            <w:noProof/>
            <w:webHidden/>
          </w:rPr>
          <w:fldChar w:fldCharType="begin"/>
        </w:r>
        <w:r w:rsidR="00691792">
          <w:rPr>
            <w:noProof/>
            <w:webHidden/>
          </w:rPr>
          <w:instrText xml:space="preserve"> PAGEREF _Toc153795417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24C2CF79" w14:textId="05F9662E" w:rsidR="00691792" w:rsidRDefault="00263819">
      <w:pPr>
        <w:pStyle w:val="TOC3"/>
        <w:rPr>
          <w:rFonts w:asciiTheme="minorHAnsi" w:eastAsiaTheme="minorEastAsia" w:hAnsiTheme="minorHAnsi"/>
          <w:noProof/>
          <w:sz w:val="22"/>
          <w:lang w:eastAsia="en-AU"/>
        </w:rPr>
      </w:pPr>
      <w:hyperlink w:anchor="_Toc153795418" w:history="1">
        <w:r w:rsidR="00691792" w:rsidRPr="00A5242F">
          <w:rPr>
            <w:rStyle w:val="Hyperlink"/>
            <w:noProof/>
          </w:rPr>
          <w:t>4.2.1 System Development Costs</w:t>
        </w:r>
        <w:r w:rsidR="00691792">
          <w:rPr>
            <w:noProof/>
            <w:webHidden/>
          </w:rPr>
          <w:tab/>
        </w:r>
        <w:r w:rsidR="00691792">
          <w:rPr>
            <w:noProof/>
            <w:webHidden/>
          </w:rPr>
          <w:fldChar w:fldCharType="begin"/>
        </w:r>
        <w:r w:rsidR="00691792">
          <w:rPr>
            <w:noProof/>
            <w:webHidden/>
          </w:rPr>
          <w:instrText xml:space="preserve"> PAGEREF _Toc153795418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609E13F8" w14:textId="6AB02B7A" w:rsidR="00691792" w:rsidRDefault="00263819">
      <w:pPr>
        <w:pStyle w:val="TOC3"/>
        <w:rPr>
          <w:rFonts w:asciiTheme="minorHAnsi" w:eastAsiaTheme="minorEastAsia" w:hAnsiTheme="minorHAnsi"/>
          <w:noProof/>
          <w:sz w:val="22"/>
          <w:lang w:eastAsia="en-AU"/>
        </w:rPr>
      </w:pPr>
      <w:hyperlink w:anchor="_Toc153795419" w:history="1">
        <w:r w:rsidR="00691792" w:rsidRPr="00A5242F">
          <w:rPr>
            <w:rStyle w:val="Hyperlink"/>
            <w:noProof/>
          </w:rPr>
          <w:t>4.2.2 Fitment Costs</w:t>
        </w:r>
        <w:r w:rsidR="00691792">
          <w:rPr>
            <w:noProof/>
            <w:webHidden/>
          </w:rPr>
          <w:tab/>
        </w:r>
        <w:r w:rsidR="00691792">
          <w:rPr>
            <w:noProof/>
            <w:webHidden/>
          </w:rPr>
          <w:fldChar w:fldCharType="begin"/>
        </w:r>
        <w:r w:rsidR="00691792">
          <w:rPr>
            <w:noProof/>
            <w:webHidden/>
          </w:rPr>
          <w:instrText xml:space="preserve"> PAGEREF _Toc153795419 \h </w:instrText>
        </w:r>
        <w:r w:rsidR="00691792">
          <w:rPr>
            <w:noProof/>
            <w:webHidden/>
          </w:rPr>
        </w:r>
        <w:r w:rsidR="00691792">
          <w:rPr>
            <w:noProof/>
            <w:webHidden/>
          </w:rPr>
          <w:fldChar w:fldCharType="separate"/>
        </w:r>
        <w:r w:rsidR="00691792">
          <w:rPr>
            <w:noProof/>
            <w:webHidden/>
          </w:rPr>
          <w:t>26</w:t>
        </w:r>
        <w:r w:rsidR="00691792">
          <w:rPr>
            <w:noProof/>
            <w:webHidden/>
          </w:rPr>
          <w:fldChar w:fldCharType="end"/>
        </w:r>
      </w:hyperlink>
    </w:p>
    <w:p w14:paraId="2B710815" w14:textId="4A8BC9FA" w:rsidR="00691792" w:rsidRDefault="00263819">
      <w:pPr>
        <w:pStyle w:val="TOC3"/>
        <w:rPr>
          <w:rFonts w:asciiTheme="minorHAnsi" w:eastAsiaTheme="minorEastAsia" w:hAnsiTheme="minorHAnsi"/>
          <w:noProof/>
          <w:sz w:val="22"/>
          <w:lang w:eastAsia="en-AU"/>
        </w:rPr>
      </w:pPr>
      <w:hyperlink w:anchor="_Toc153795420" w:history="1">
        <w:r w:rsidR="00691792" w:rsidRPr="00A5242F">
          <w:rPr>
            <w:rStyle w:val="Hyperlink"/>
            <w:noProof/>
          </w:rPr>
          <w:t>4.2.3 Government Costs</w:t>
        </w:r>
        <w:r w:rsidR="00691792">
          <w:rPr>
            <w:noProof/>
            <w:webHidden/>
          </w:rPr>
          <w:tab/>
        </w:r>
        <w:r w:rsidR="00691792">
          <w:rPr>
            <w:noProof/>
            <w:webHidden/>
          </w:rPr>
          <w:fldChar w:fldCharType="begin"/>
        </w:r>
        <w:r w:rsidR="00691792">
          <w:rPr>
            <w:noProof/>
            <w:webHidden/>
          </w:rPr>
          <w:instrText xml:space="preserve"> PAGEREF _Toc153795420 \h </w:instrText>
        </w:r>
        <w:r w:rsidR="00691792">
          <w:rPr>
            <w:noProof/>
            <w:webHidden/>
          </w:rPr>
        </w:r>
        <w:r w:rsidR="00691792">
          <w:rPr>
            <w:noProof/>
            <w:webHidden/>
          </w:rPr>
          <w:fldChar w:fldCharType="separate"/>
        </w:r>
        <w:r w:rsidR="00691792">
          <w:rPr>
            <w:noProof/>
            <w:webHidden/>
          </w:rPr>
          <w:t>26</w:t>
        </w:r>
        <w:r w:rsidR="00691792">
          <w:rPr>
            <w:noProof/>
            <w:webHidden/>
          </w:rPr>
          <w:fldChar w:fldCharType="end"/>
        </w:r>
      </w:hyperlink>
    </w:p>
    <w:p w14:paraId="2A4FD231" w14:textId="215DD3F4" w:rsidR="00691792" w:rsidRDefault="00263819">
      <w:pPr>
        <w:pStyle w:val="TOC2"/>
        <w:rPr>
          <w:rFonts w:asciiTheme="minorHAnsi" w:eastAsiaTheme="minorEastAsia" w:hAnsiTheme="minorHAnsi"/>
          <w:noProof/>
          <w:sz w:val="22"/>
          <w:lang w:eastAsia="en-AU"/>
        </w:rPr>
      </w:pPr>
      <w:hyperlink w:anchor="_Toc153795421" w:history="1">
        <w:r w:rsidR="00691792" w:rsidRPr="00A5242F">
          <w:rPr>
            <w:rStyle w:val="Hyperlink"/>
            <w:noProof/>
          </w:rPr>
          <w:t>4.3 Benefit-Cost Analysis Results</w:t>
        </w:r>
        <w:r w:rsidR="00691792">
          <w:rPr>
            <w:noProof/>
            <w:webHidden/>
          </w:rPr>
          <w:tab/>
        </w:r>
        <w:r w:rsidR="00691792">
          <w:rPr>
            <w:noProof/>
            <w:webHidden/>
          </w:rPr>
          <w:fldChar w:fldCharType="begin"/>
        </w:r>
        <w:r w:rsidR="00691792">
          <w:rPr>
            <w:noProof/>
            <w:webHidden/>
          </w:rPr>
          <w:instrText xml:space="preserve"> PAGEREF _Toc153795421 \h </w:instrText>
        </w:r>
        <w:r w:rsidR="00691792">
          <w:rPr>
            <w:noProof/>
            <w:webHidden/>
          </w:rPr>
        </w:r>
        <w:r w:rsidR="00691792">
          <w:rPr>
            <w:noProof/>
            <w:webHidden/>
          </w:rPr>
          <w:fldChar w:fldCharType="separate"/>
        </w:r>
        <w:r w:rsidR="00691792">
          <w:rPr>
            <w:noProof/>
            <w:webHidden/>
          </w:rPr>
          <w:t>27</w:t>
        </w:r>
        <w:r w:rsidR="00691792">
          <w:rPr>
            <w:noProof/>
            <w:webHidden/>
          </w:rPr>
          <w:fldChar w:fldCharType="end"/>
        </w:r>
      </w:hyperlink>
    </w:p>
    <w:p w14:paraId="533F5CFE" w14:textId="16550866" w:rsidR="00691792" w:rsidRDefault="00263819">
      <w:pPr>
        <w:pStyle w:val="TOC3"/>
        <w:rPr>
          <w:rFonts w:asciiTheme="minorHAnsi" w:eastAsiaTheme="minorEastAsia" w:hAnsiTheme="minorHAnsi"/>
          <w:noProof/>
          <w:sz w:val="22"/>
          <w:lang w:eastAsia="en-AU"/>
        </w:rPr>
      </w:pPr>
      <w:hyperlink w:anchor="_Toc153795422" w:history="1">
        <w:r w:rsidR="00691792" w:rsidRPr="00A5242F">
          <w:rPr>
            <w:rStyle w:val="Hyperlink"/>
            <w:noProof/>
          </w:rPr>
          <w:t>4.3.1 Sensitivity Analysis</w:t>
        </w:r>
        <w:r w:rsidR="00691792">
          <w:rPr>
            <w:noProof/>
            <w:webHidden/>
          </w:rPr>
          <w:tab/>
        </w:r>
        <w:r w:rsidR="00691792">
          <w:rPr>
            <w:noProof/>
            <w:webHidden/>
          </w:rPr>
          <w:fldChar w:fldCharType="begin"/>
        </w:r>
        <w:r w:rsidR="00691792">
          <w:rPr>
            <w:noProof/>
            <w:webHidden/>
          </w:rPr>
          <w:instrText xml:space="preserve"> PAGEREF _Toc153795422 \h </w:instrText>
        </w:r>
        <w:r w:rsidR="00691792">
          <w:rPr>
            <w:noProof/>
            <w:webHidden/>
          </w:rPr>
        </w:r>
        <w:r w:rsidR="00691792">
          <w:rPr>
            <w:noProof/>
            <w:webHidden/>
          </w:rPr>
          <w:fldChar w:fldCharType="separate"/>
        </w:r>
        <w:r w:rsidR="00691792">
          <w:rPr>
            <w:noProof/>
            <w:webHidden/>
          </w:rPr>
          <w:t>28</w:t>
        </w:r>
        <w:r w:rsidR="00691792">
          <w:rPr>
            <w:noProof/>
            <w:webHidden/>
          </w:rPr>
          <w:fldChar w:fldCharType="end"/>
        </w:r>
      </w:hyperlink>
    </w:p>
    <w:p w14:paraId="40DF6925" w14:textId="7F2049F2" w:rsidR="00691792" w:rsidRDefault="00263819">
      <w:pPr>
        <w:pStyle w:val="TOC2"/>
        <w:rPr>
          <w:rFonts w:asciiTheme="minorHAnsi" w:eastAsiaTheme="minorEastAsia" w:hAnsiTheme="minorHAnsi"/>
          <w:noProof/>
          <w:sz w:val="22"/>
          <w:lang w:eastAsia="en-AU"/>
        </w:rPr>
      </w:pPr>
      <w:hyperlink w:anchor="_Toc153795423" w:history="1">
        <w:r w:rsidR="00691792" w:rsidRPr="00A5242F">
          <w:rPr>
            <w:rStyle w:val="Hyperlink"/>
            <w:noProof/>
          </w:rPr>
          <w:t>4.4 Analysis of impacts</w:t>
        </w:r>
        <w:r w:rsidR="00691792">
          <w:rPr>
            <w:noProof/>
            <w:webHidden/>
          </w:rPr>
          <w:tab/>
        </w:r>
        <w:r w:rsidR="00691792">
          <w:rPr>
            <w:noProof/>
            <w:webHidden/>
          </w:rPr>
          <w:fldChar w:fldCharType="begin"/>
        </w:r>
        <w:r w:rsidR="00691792">
          <w:rPr>
            <w:noProof/>
            <w:webHidden/>
          </w:rPr>
          <w:instrText xml:space="preserve"> PAGEREF _Toc153795423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55D1875B" w14:textId="4565E4FF" w:rsidR="00691792" w:rsidRDefault="00263819">
      <w:pPr>
        <w:pStyle w:val="TOC3"/>
        <w:rPr>
          <w:rFonts w:asciiTheme="minorHAnsi" w:eastAsiaTheme="minorEastAsia" w:hAnsiTheme="minorHAnsi"/>
          <w:noProof/>
          <w:sz w:val="22"/>
          <w:lang w:eastAsia="en-AU"/>
        </w:rPr>
      </w:pPr>
      <w:hyperlink w:anchor="_Toc153795424" w:history="1">
        <w:r w:rsidR="00691792" w:rsidRPr="00A5242F">
          <w:rPr>
            <w:rStyle w:val="Hyperlink"/>
            <w:noProof/>
          </w:rPr>
          <w:t>4.4.1 Business</w:t>
        </w:r>
        <w:r w:rsidR="00691792">
          <w:rPr>
            <w:noProof/>
            <w:webHidden/>
          </w:rPr>
          <w:tab/>
        </w:r>
        <w:r w:rsidR="00691792">
          <w:rPr>
            <w:noProof/>
            <w:webHidden/>
          </w:rPr>
          <w:fldChar w:fldCharType="begin"/>
        </w:r>
        <w:r w:rsidR="00691792">
          <w:rPr>
            <w:noProof/>
            <w:webHidden/>
          </w:rPr>
          <w:instrText xml:space="preserve"> PAGEREF _Toc153795424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6242A2DF" w14:textId="0D5866D8" w:rsidR="00691792" w:rsidRDefault="00263819">
      <w:pPr>
        <w:pStyle w:val="TOC3"/>
        <w:rPr>
          <w:rFonts w:asciiTheme="minorHAnsi" w:eastAsiaTheme="minorEastAsia" w:hAnsiTheme="minorHAnsi"/>
          <w:noProof/>
          <w:sz w:val="22"/>
          <w:lang w:eastAsia="en-AU"/>
        </w:rPr>
      </w:pPr>
      <w:hyperlink w:anchor="_Toc153795425" w:history="1">
        <w:r w:rsidR="00691792" w:rsidRPr="00A5242F">
          <w:rPr>
            <w:rStyle w:val="Hyperlink"/>
            <w:noProof/>
          </w:rPr>
          <w:t>4.4.2 Consumers</w:t>
        </w:r>
        <w:r w:rsidR="00691792">
          <w:rPr>
            <w:noProof/>
            <w:webHidden/>
          </w:rPr>
          <w:tab/>
        </w:r>
        <w:r w:rsidR="00691792">
          <w:rPr>
            <w:noProof/>
            <w:webHidden/>
          </w:rPr>
          <w:fldChar w:fldCharType="begin"/>
        </w:r>
        <w:r w:rsidR="00691792">
          <w:rPr>
            <w:noProof/>
            <w:webHidden/>
          </w:rPr>
          <w:instrText xml:space="preserve"> PAGEREF _Toc153795425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316F25AC" w14:textId="4141A11C" w:rsidR="00691792" w:rsidRDefault="00263819">
      <w:pPr>
        <w:pStyle w:val="TOC3"/>
        <w:rPr>
          <w:rFonts w:asciiTheme="minorHAnsi" w:eastAsiaTheme="minorEastAsia" w:hAnsiTheme="minorHAnsi"/>
          <w:noProof/>
          <w:sz w:val="22"/>
          <w:lang w:eastAsia="en-AU"/>
        </w:rPr>
      </w:pPr>
      <w:hyperlink w:anchor="_Toc153795426" w:history="1">
        <w:r w:rsidR="00691792" w:rsidRPr="00A5242F">
          <w:rPr>
            <w:rStyle w:val="Hyperlink"/>
            <w:noProof/>
          </w:rPr>
          <w:t>4.4.3 Governments</w:t>
        </w:r>
        <w:r w:rsidR="00691792">
          <w:rPr>
            <w:noProof/>
            <w:webHidden/>
          </w:rPr>
          <w:tab/>
        </w:r>
        <w:r w:rsidR="00691792">
          <w:rPr>
            <w:noProof/>
            <w:webHidden/>
          </w:rPr>
          <w:fldChar w:fldCharType="begin"/>
        </w:r>
        <w:r w:rsidR="00691792">
          <w:rPr>
            <w:noProof/>
            <w:webHidden/>
          </w:rPr>
          <w:instrText xml:space="preserve"> PAGEREF _Toc153795426 \h </w:instrText>
        </w:r>
        <w:r w:rsidR="00691792">
          <w:rPr>
            <w:noProof/>
            <w:webHidden/>
          </w:rPr>
        </w:r>
        <w:r w:rsidR="00691792">
          <w:rPr>
            <w:noProof/>
            <w:webHidden/>
          </w:rPr>
          <w:fldChar w:fldCharType="separate"/>
        </w:r>
        <w:r w:rsidR="00691792">
          <w:rPr>
            <w:noProof/>
            <w:webHidden/>
          </w:rPr>
          <w:t>30</w:t>
        </w:r>
        <w:r w:rsidR="00691792">
          <w:rPr>
            <w:noProof/>
            <w:webHidden/>
          </w:rPr>
          <w:fldChar w:fldCharType="end"/>
        </w:r>
      </w:hyperlink>
    </w:p>
    <w:p w14:paraId="1004F71A" w14:textId="3C2BB427" w:rsidR="00691792" w:rsidRDefault="00263819">
      <w:pPr>
        <w:pStyle w:val="TOC2"/>
        <w:rPr>
          <w:rFonts w:asciiTheme="minorHAnsi" w:eastAsiaTheme="minorEastAsia" w:hAnsiTheme="minorHAnsi"/>
          <w:noProof/>
          <w:sz w:val="22"/>
          <w:lang w:eastAsia="en-AU"/>
        </w:rPr>
      </w:pPr>
      <w:hyperlink w:anchor="_Toc153795427" w:history="1">
        <w:r w:rsidR="00691792" w:rsidRPr="00A5242F">
          <w:rPr>
            <w:rStyle w:val="Hyperlink"/>
            <w:noProof/>
          </w:rPr>
          <w:t>4.5 Regulatory Burden and Cost Offsets</w:t>
        </w:r>
        <w:r w:rsidR="00691792">
          <w:rPr>
            <w:noProof/>
            <w:webHidden/>
          </w:rPr>
          <w:tab/>
        </w:r>
        <w:r w:rsidR="00691792">
          <w:rPr>
            <w:noProof/>
            <w:webHidden/>
          </w:rPr>
          <w:fldChar w:fldCharType="begin"/>
        </w:r>
        <w:r w:rsidR="00691792">
          <w:rPr>
            <w:noProof/>
            <w:webHidden/>
          </w:rPr>
          <w:instrText xml:space="preserve"> PAGEREF _Toc153795427 \h </w:instrText>
        </w:r>
        <w:r w:rsidR="00691792">
          <w:rPr>
            <w:noProof/>
            <w:webHidden/>
          </w:rPr>
        </w:r>
        <w:r w:rsidR="00691792">
          <w:rPr>
            <w:noProof/>
            <w:webHidden/>
          </w:rPr>
          <w:fldChar w:fldCharType="separate"/>
        </w:r>
        <w:r w:rsidR="00691792">
          <w:rPr>
            <w:noProof/>
            <w:webHidden/>
          </w:rPr>
          <w:t>30</w:t>
        </w:r>
        <w:r w:rsidR="00691792">
          <w:rPr>
            <w:noProof/>
            <w:webHidden/>
          </w:rPr>
          <w:fldChar w:fldCharType="end"/>
        </w:r>
      </w:hyperlink>
    </w:p>
    <w:p w14:paraId="29885C17" w14:textId="7CC0965B" w:rsidR="00691792" w:rsidRDefault="00263819">
      <w:pPr>
        <w:pStyle w:val="TOC1"/>
        <w:rPr>
          <w:rFonts w:asciiTheme="minorHAnsi" w:eastAsiaTheme="minorEastAsia" w:hAnsiTheme="minorHAnsi"/>
          <w:b w:val="0"/>
          <w:noProof/>
          <w:color w:val="auto"/>
          <w:u w:val="none"/>
          <w:lang w:eastAsia="en-AU"/>
        </w:rPr>
      </w:pPr>
      <w:hyperlink w:anchor="_Toc153795428" w:history="1">
        <w:r w:rsidR="00691792" w:rsidRPr="00A5242F">
          <w:rPr>
            <w:rStyle w:val="Hyperlink"/>
            <w:noProof/>
          </w:rPr>
          <w:t>5. Consultation</w:t>
        </w:r>
        <w:r w:rsidR="00691792">
          <w:rPr>
            <w:noProof/>
            <w:webHidden/>
          </w:rPr>
          <w:tab/>
        </w:r>
        <w:r w:rsidR="00691792">
          <w:rPr>
            <w:noProof/>
            <w:webHidden/>
          </w:rPr>
          <w:fldChar w:fldCharType="begin"/>
        </w:r>
        <w:r w:rsidR="00691792">
          <w:rPr>
            <w:noProof/>
            <w:webHidden/>
          </w:rPr>
          <w:instrText xml:space="preserve"> PAGEREF _Toc153795428 \h </w:instrText>
        </w:r>
        <w:r w:rsidR="00691792">
          <w:rPr>
            <w:noProof/>
            <w:webHidden/>
          </w:rPr>
        </w:r>
        <w:r w:rsidR="00691792">
          <w:rPr>
            <w:noProof/>
            <w:webHidden/>
          </w:rPr>
          <w:fldChar w:fldCharType="separate"/>
        </w:r>
        <w:r w:rsidR="00691792">
          <w:rPr>
            <w:noProof/>
            <w:webHidden/>
          </w:rPr>
          <w:t>32</w:t>
        </w:r>
        <w:r w:rsidR="00691792">
          <w:rPr>
            <w:noProof/>
            <w:webHidden/>
          </w:rPr>
          <w:fldChar w:fldCharType="end"/>
        </w:r>
      </w:hyperlink>
    </w:p>
    <w:p w14:paraId="6F41A84F" w14:textId="549B8133" w:rsidR="00691792" w:rsidRDefault="00263819">
      <w:pPr>
        <w:pStyle w:val="TOC2"/>
        <w:rPr>
          <w:rFonts w:asciiTheme="minorHAnsi" w:eastAsiaTheme="minorEastAsia" w:hAnsiTheme="minorHAnsi"/>
          <w:noProof/>
          <w:sz w:val="22"/>
          <w:lang w:eastAsia="en-AU"/>
        </w:rPr>
      </w:pPr>
      <w:hyperlink w:anchor="_Toc153795429" w:history="1">
        <w:r w:rsidR="00691792" w:rsidRPr="00A5242F">
          <w:rPr>
            <w:rStyle w:val="Hyperlink"/>
            <w:noProof/>
          </w:rPr>
          <w:t>5.1 Previous Consultation</w:t>
        </w:r>
        <w:r w:rsidR="00691792">
          <w:rPr>
            <w:noProof/>
            <w:webHidden/>
          </w:rPr>
          <w:tab/>
        </w:r>
        <w:r w:rsidR="00691792">
          <w:rPr>
            <w:noProof/>
            <w:webHidden/>
          </w:rPr>
          <w:fldChar w:fldCharType="begin"/>
        </w:r>
        <w:r w:rsidR="00691792">
          <w:rPr>
            <w:noProof/>
            <w:webHidden/>
          </w:rPr>
          <w:instrText xml:space="preserve"> PAGEREF _Toc153795429 \h </w:instrText>
        </w:r>
        <w:r w:rsidR="00691792">
          <w:rPr>
            <w:noProof/>
            <w:webHidden/>
          </w:rPr>
        </w:r>
        <w:r w:rsidR="00691792">
          <w:rPr>
            <w:noProof/>
            <w:webHidden/>
          </w:rPr>
          <w:fldChar w:fldCharType="separate"/>
        </w:r>
        <w:r w:rsidR="00691792">
          <w:rPr>
            <w:noProof/>
            <w:webHidden/>
          </w:rPr>
          <w:t>33</w:t>
        </w:r>
        <w:r w:rsidR="00691792">
          <w:rPr>
            <w:noProof/>
            <w:webHidden/>
          </w:rPr>
          <w:fldChar w:fldCharType="end"/>
        </w:r>
      </w:hyperlink>
    </w:p>
    <w:p w14:paraId="44E2C341" w14:textId="19A2A130" w:rsidR="00691792" w:rsidRDefault="00263819">
      <w:pPr>
        <w:pStyle w:val="TOC2"/>
        <w:rPr>
          <w:rFonts w:asciiTheme="minorHAnsi" w:eastAsiaTheme="minorEastAsia" w:hAnsiTheme="minorHAnsi"/>
          <w:noProof/>
          <w:sz w:val="22"/>
          <w:lang w:eastAsia="en-AU"/>
        </w:rPr>
      </w:pPr>
      <w:hyperlink w:anchor="_Toc153795430" w:history="1">
        <w:r w:rsidR="00691792" w:rsidRPr="00A5242F">
          <w:rPr>
            <w:rStyle w:val="Hyperlink"/>
            <w:noProof/>
          </w:rPr>
          <w:t>5.2 How was public feedback incorporated</w:t>
        </w:r>
        <w:r w:rsidR="00691792">
          <w:rPr>
            <w:noProof/>
            <w:webHidden/>
          </w:rPr>
          <w:tab/>
        </w:r>
        <w:r w:rsidR="00691792">
          <w:rPr>
            <w:noProof/>
            <w:webHidden/>
          </w:rPr>
          <w:fldChar w:fldCharType="begin"/>
        </w:r>
        <w:r w:rsidR="00691792">
          <w:rPr>
            <w:noProof/>
            <w:webHidden/>
          </w:rPr>
          <w:instrText xml:space="preserve"> PAGEREF _Toc153795430 \h </w:instrText>
        </w:r>
        <w:r w:rsidR="00691792">
          <w:rPr>
            <w:noProof/>
            <w:webHidden/>
          </w:rPr>
        </w:r>
        <w:r w:rsidR="00691792">
          <w:rPr>
            <w:noProof/>
            <w:webHidden/>
          </w:rPr>
          <w:fldChar w:fldCharType="separate"/>
        </w:r>
        <w:r w:rsidR="00691792">
          <w:rPr>
            <w:noProof/>
            <w:webHidden/>
          </w:rPr>
          <w:t>33</w:t>
        </w:r>
        <w:r w:rsidR="00691792">
          <w:rPr>
            <w:noProof/>
            <w:webHidden/>
          </w:rPr>
          <w:fldChar w:fldCharType="end"/>
        </w:r>
      </w:hyperlink>
    </w:p>
    <w:p w14:paraId="4A696576" w14:textId="33832C0E" w:rsidR="00691792" w:rsidRDefault="00263819">
      <w:pPr>
        <w:pStyle w:val="TOC1"/>
        <w:rPr>
          <w:rFonts w:asciiTheme="minorHAnsi" w:eastAsiaTheme="minorEastAsia" w:hAnsiTheme="minorHAnsi"/>
          <w:b w:val="0"/>
          <w:noProof/>
          <w:color w:val="auto"/>
          <w:u w:val="none"/>
          <w:lang w:eastAsia="en-AU"/>
        </w:rPr>
      </w:pPr>
      <w:hyperlink w:anchor="_Toc153795431" w:history="1">
        <w:r w:rsidR="00691792" w:rsidRPr="00A5242F">
          <w:rPr>
            <w:rStyle w:val="Hyperlink"/>
            <w:noProof/>
          </w:rPr>
          <w:t>6. What is the best option from those that have been considered, and how will it be implemented?</w:t>
        </w:r>
        <w:r w:rsidR="00691792">
          <w:rPr>
            <w:noProof/>
            <w:webHidden/>
          </w:rPr>
          <w:tab/>
        </w:r>
        <w:r w:rsidR="00691792">
          <w:rPr>
            <w:noProof/>
            <w:webHidden/>
          </w:rPr>
          <w:fldChar w:fldCharType="begin"/>
        </w:r>
        <w:r w:rsidR="00691792">
          <w:rPr>
            <w:noProof/>
            <w:webHidden/>
          </w:rPr>
          <w:instrText xml:space="preserve"> PAGEREF _Toc153795431 \h </w:instrText>
        </w:r>
        <w:r w:rsidR="00691792">
          <w:rPr>
            <w:noProof/>
            <w:webHidden/>
          </w:rPr>
        </w:r>
        <w:r w:rsidR="00691792">
          <w:rPr>
            <w:noProof/>
            <w:webHidden/>
          </w:rPr>
          <w:fldChar w:fldCharType="separate"/>
        </w:r>
        <w:r w:rsidR="00691792">
          <w:rPr>
            <w:noProof/>
            <w:webHidden/>
          </w:rPr>
          <w:t>35</w:t>
        </w:r>
        <w:r w:rsidR="00691792">
          <w:rPr>
            <w:noProof/>
            <w:webHidden/>
          </w:rPr>
          <w:fldChar w:fldCharType="end"/>
        </w:r>
      </w:hyperlink>
    </w:p>
    <w:p w14:paraId="48663955" w14:textId="57A6C867" w:rsidR="00691792" w:rsidRDefault="00263819">
      <w:pPr>
        <w:pStyle w:val="TOC2"/>
        <w:rPr>
          <w:rFonts w:asciiTheme="minorHAnsi" w:eastAsiaTheme="minorEastAsia" w:hAnsiTheme="minorHAnsi"/>
          <w:noProof/>
          <w:sz w:val="22"/>
          <w:lang w:eastAsia="en-AU"/>
        </w:rPr>
      </w:pPr>
      <w:hyperlink w:anchor="_Toc153795432" w:history="1">
        <w:r w:rsidR="00691792" w:rsidRPr="00A5242F">
          <w:rPr>
            <w:rStyle w:val="Hyperlink"/>
            <w:noProof/>
          </w:rPr>
          <w:t>6.1</w:t>
        </w:r>
        <w:r w:rsidR="00691792">
          <w:rPr>
            <w:rFonts w:asciiTheme="minorHAnsi" w:eastAsiaTheme="minorEastAsia" w:hAnsiTheme="minorHAnsi"/>
            <w:noProof/>
            <w:sz w:val="22"/>
            <w:lang w:eastAsia="en-AU"/>
          </w:rPr>
          <w:tab/>
        </w:r>
        <w:r w:rsidR="00691792" w:rsidRPr="00A5242F">
          <w:rPr>
            <w:rStyle w:val="Hyperlink"/>
            <w:noProof/>
          </w:rPr>
          <w:t>Best option considered</w:t>
        </w:r>
        <w:r w:rsidR="00691792">
          <w:rPr>
            <w:noProof/>
            <w:webHidden/>
          </w:rPr>
          <w:tab/>
        </w:r>
        <w:r w:rsidR="00691792">
          <w:rPr>
            <w:noProof/>
            <w:webHidden/>
          </w:rPr>
          <w:fldChar w:fldCharType="begin"/>
        </w:r>
        <w:r w:rsidR="00691792">
          <w:rPr>
            <w:noProof/>
            <w:webHidden/>
          </w:rPr>
          <w:instrText xml:space="preserve"> PAGEREF _Toc153795432 \h </w:instrText>
        </w:r>
        <w:r w:rsidR="00691792">
          <w:rPr>
            <w:noProof/>
            <w:webHidden/>
          </w:rPr>
        </w:r>
        <w:r w:rsidR="00691792">
          <w:rPr>
            <w:noProof/>
            <w:webHidden/>
          </w:rPr>
          <w:fldChar w:fldCharType="separate"/>
        </w:r>
        <w:r w:rsidR="00691792">
          <w:rPr>
            <w:noProof/>
            <w:webHidden/>
          </w:rPr>
          <w:t>35</w:t>
        </w:r>
        <w:r w:rsidR="00691792">
          <w:rPr>
            <w:noProof/>
            <w:webHidden/>
          </w:rPr>
          <w:fldChar w:fldCharType="end"/>
        </w:r>
      </w:hyperlink>
    </w:p>
    <w:p w14:paraId="14B24713" w14:textId="50A10C6A" w:rsidR="00691792" w:rsidRDefault="00263819">
      <w:pPr>
        <w:pStyle w:val="TOC2"/>
        <w:rPr>
          <w:rFonts w:asciiTheme="minorHAnsi" w:eastAsiaTheme="minorEastAsia" w:hAnsiTheme="minorHAnsi"/>
          <w:noProof/>
          <w:sz w:val="22"/>
          <w:lang w:eastAsia="en-AU"/>
        </w:rPr>
      </w:pPr>
      <w:hyperlink w:anchor="_Toc153795433" w:history="1">
        <w:r w:rsidR="00691792" w:rsidRPr="00A5242F">
          <w:rPr>
            <w:rStyle w:val="Hyperlink"/>
            <w:noProof/>
          </w:rPr>
          <w:t>6.2</w:t>
        </w:r>
        <w:r w:rsidR="00691792">
          <w:rPr>
            <w:rFonts w:asciiTheme="minorHAnsi" w:eastAsiaTheme="minorEastAsia" w:hAnsiTheme="minorHAnsi"/>
            <w:noProof/>
            <w:sz w:val="22"/>
            <w:lang w:eastAsia="en-AU"/>
          </w:rPr>
          <w:tab/>
        </w:r>
        <w:r w:rsidR="00691792" w:rsidRPr="00A5242F">
          <w:rPr>
            <w:rStyle w:val="Hyperlink"/>
            <w:noProof/>
          </w:rPr>
          <w:t>Implementation of the preferred option</w:t>
        </w:r>
        <w:r w:rsidR="00691792">
          <w:rPr>
            <w:noProof/>
            <w:webHidden/>
          </w:rPr>
          <w:tab/>
        </w:r>
        <w:r w:rsidR="00691792">
          <w:rPr>
            <w:noProof/>
            <w:webHidden/>
          </w:rPr>
          <w:fldChar w:fldCharType="begin"/>
        </w:r>
        <w:r w:rsidR="00691792">
          <w:rPr>
            <w:noProof/>
            <w:webHidden/>
          </w:rPr>
          <w:instrText xml:space="preserve"> PAGEREF _Toc153795433 \h </w:instrText>
        </w:r>
        <w:r w:rsidR="00691792">
          <w:rPr>
            <w:noProof/>
            <w:webHidden/>
          </w:rPr>
        </w:r>
        <w:r w:rsidR="00691792">
          <w:rPr>
            <w:noProof/>
            <w:webHidden/>
          </w:rPr>
          <w:fldChar w:fldCharType="separate"/>
        </w:r>
        <w:r w:rsidR="00691792">
          <w:rPr>
            <w:noProof/>
            <w:webHidden/>
          </w:rPr>
          <w:t>36</w:t>
        </w:r>
        <w:r w:rsidR="00691792">
          <w:rPr>
            <w:noProof/>
            <w:webHidden/>
          </w:rPr>
          <w:fldChar w:fldCharType="end"/>
        </w:r>
      </w:hyperlink>
    </w:p>
    <w:p w14:paraId="165D6B89" w14:textId="139EFA9E" w:rsidR="00691792" w:rsidRDefault="00263819">
      <w:pPr>
        <w:pStyle w:val="TOC1"/>
        <w:rPr>
          <w:rFonts w:asciiTheme="minorHAnsi" w:eastAsiaTheme="minorEastAsia" w:hAnsiTheme="minorHAnsi"/>
          <w:b w:val="0"/>
          <w:noProof/>
          <w:color w:val="auto"/>
          <w:u w:val="none"/>
          <w:lang w:eastAsia="en-AU"/>
        </w:rPr>
      </w:pPr>
      <w:hyperlink w:anchor="_Toc153795434" w:history="1">
        <w:r w:rsidR="00691792" w:rsidRPr="00A5242F">
          <w:rPr>
            <w:rStyle w:val="Hyperlink"/>
            <w:noProof/>
          </w:rPr>
          <w:t>7. How will implementation be evaluated against the success metrics?</w:t>
        </w:r>
        <w:r w:rsidR="00691792">
          <w:rPr>
            <w:noProof/>
            <w:webHidden/>
          </w:rPr>
          <w:tab/>
        </w:r>
        <w:r w:rsidR="00691792">
          <w:rPr>
            <w:noProof/>
            <w:webHidden/>
          </w:rPr>
          <w:fldChar w:fldCharType="begin"/>
        </w:r>
        <w:r w:rsidR="00691792">
          <w:rPr>
            <w:noProof/>
            <w:webHidden/>
          </w:rPr>
          <w:instrText xml:space="preserve"> PAGEREF _Toc153795434 \h </w:instrText>
        </w:r>
        <w:r w:rsidR="00691792">
          <w:rPr>
            <w:noProof/>
            <w:webHidden/>
          </w:rPr>
        </w:r>
        <w:r w:rsidR="00691792">
          <w:rPr>
            <w:noProof/>
            <w:webHidden/>
          </w:rPr>
          <w:fldChar w:fldCharType="separate"/>
        </w:r>
        <w:r w:rsidR="00691792">
          <w:rPr>
            <w:noProof/>
            <w:webHidden/>
          </w:rPr>
          <w:t>38</w:t>
        </w:r>
        <w:r w:rsidR="00691792">
          <w:rPr>
            <w:noProof/>
            <w:webHidden/>
          </w:rPr>
          <w:fldChar w:fldCharType="end"/>
        </w:r>
      </w:hyperlink>
    </w:p>
    <w:p w14:paraId="18F33320" w14:textId="33678F1E" w:rsidR="00691792" w:rsidRDefault="00263819">
      <w:pPr>
        <w:pStyle w:val="TOC1"/>
        <w:rPr>
          <w:rFonts w:asciiTheme="minorHAnsi" w:eastAsiaTheme="minorEastAsia" w:hAnsiTheme="minorHAnsi"/>
          <w:b w:val="0"/>
          <w:noProof/>
          <w:color w:val="auto"/>
          <w:u w:val="none"/>
          <w:lang w:eastAsia="en-AU"/>
        </w:rPr>
      </w:pPr>
      <w:hyperlink w:anchor="_Toc153795435" w:history="1">
        <w:r w:rsidR="00691792" w:rsidRPr="00A5242F">
          <w:rPr>
            <w:rStyle w:val="Hyperlink"/>
            <w:noProof/>
          </w:rPr>
          <w:t>References</w:t>
        </w:r>
        <w:r w:rsidR="00691792">
          <w:rPr>
            <w:noProof/>
            <w:webHidden/>
          </w:rPr>
          <w:tab/>
        </w:r>
        <w:r w:rsidR="00691792">
          <w:rPr>
            <w:noProof/>
            <w:webHidden/>
          </w:rPr>
          <w:fldChar w:fldCharType="begin"/>
        </w:r>
        <w:r w:rsidR="00691792">
          <w:rPr>
            <w:noProof/>
            <w:webHidden/>
          </w:rPr>
          <w:instrText xml:space="preserve"> PAGEREF _Toc153795435 \h </w:instrText>
        </w:r>
        <w:r w:rsidR="00691792">
          <w:rPr>
            <w:noProof/>
            <w:webHidden/>
          </w:rPr>
        </w:r>
        <w:r w:rsidR="00691792">
          <w:rPr>
            <w:noProof/>
            <w:webHidden/>
          </w:rPr>
          <w:fldChar w:fldCharType="separate"/>
        </w:r>
        <w:r w:rsidR="00691792">
          <w:rPr>
            <w:noProof/>
            <w:webHidden/>
          </w:rPr>
          <w:t>39</w:t>
        </w:r>
        <w:r w:rsidR="00691792">
          <w:rPr>
            <w:noProof/>
            <w:webHidden/>
          </w:rPr>
          <w:fldChar w:fldCharType="end"/>
        </w:r>
      </w:hyperlink>
    </w:p>
    <w:p w14:paraId="44FD099F" w14:textId="5667C90D" w:rsidR="00691792" w:rsidRDefault="00263819">
      <w:pPr>
        <w:pStyle w:val="TOC1"/>
        <w:rPr>
          <w:rFonts w:asciiTheme="minorHAnsi" w:eastAsiaTheme="minorEastAsia" w:hAnsiTheme="minorHAnsi"/>
          <w:b w:val="0"/>
          <w:noProof/>
          <w:color w:val="auto"/>
          <w:u w:val="none"/>
          <w:lang w:eastAsia="en-AU"/>
        </w:rPr>
      </w:pPr>
      <w:hyperlink w:anchor="_Toc153795436" w:history="1">
        <w:r w:rsidR="00691792" w:rsidRPr="00A5242F">
          <w:rPr>
            <w:rStyle w:val="Hyperlink"/>
            <w:noProof/>
          </w:rPr>
          <w:t>Appendix A—Summary of Submissions</w:t>
        </w:r>
        <w:r w:rsidR="00691792">
          <w:rPr>
            <w:noProof/>
            <w:webHidden/>
          </w:rPr>
          <w:tab/>
        </w:r>
        <w:r w:rsidR="00691792">
          <w:rPr>
            <w:noProof/>
            <w:webHidden/>
          </w:rPr>
          <w:fldChar w:fldCharType="begin"/>
        </w:r>
        <w:r w:rsidR="00691792">
          <w:rPr>
            <w:noProof/>
            <w:webHidden/>
          </w:rPr>
          <w:instrText xml:space="preserve"> PAGEREF _Toc153795436 \h </w:instrText>
        </w:r>
        <w:r w:rsidR="00691792">
          <w:rPr>
            <w:noProof/>
            <w:webHidden/>
          </w:rPr>
        </w:r>
        <w:r w:rsidR="00691792">
          <w:rPr>
            <w:noProof/>
            <w:webHidden/>
          </w:rPr>
          <w:fldChar w:fldCharType="separate"/>
        </w:r>
        <w:r w:rsidR="00691792">
          <w:rPr>
            <w:noProof/>
            <w:webHidden/>
          </w:rPr>
          <w:t>41</w:t>
        </w:r>
        <w:r w:rsidR="00691792">
          <w:rPr>
            <w:noProof/>
            <w:webHidden/>
          </w:rPr>
          <w:fldChar w:fldCharType="end"/>
        </w:r>
      </w:hyperlink>
    </w:p>
    <w:p w14:paraId="3A66FF0A" w14:textId="0C5F0C3B" w:rsidR="00691792" w:rsidRDefault="00263819">
      <w:pPr>
        <w:pStyle w:val="TOC1"/>
        <w:rPr>
          <w:rFonts w:asciiTheme="minorHAnsi" w:eastAsiaTheme="minorEastAsia" w:hAnsiTheme="minorHAnsi"/>
          <w:b w:val="0"/>
          <w:noProof/>
          <w:color w:val="auto"/>
          <w:u w:val="none"/>
          <w:lang w:eastAsia="en-AU"/>
        </w:rPr>
      </w:pPr>
      <w:hyperlink w:anchor="_Toc153795437" w:history="1">
        <w:r w:rsidR="00691792" w:rsidRPr="00A5242F">
          <w:rPr>
            <w:rStyle w:val="Hyperlink"/>
            <w:noProof/>
          </w:rPr>
          <w:t>Appendix B—Government Actions to Address Road Trauma</w:t>
        </w:r>
        <w:r w:rsidR="00691792">
          <w:rPr>
            <w:noProof/>
            <w:webHidden/>
          </w:rPr>
          <w:tab/>
        </w:r>
        <w:r w:rsidR="00691792">
          <w:rPr>
            <w:noProof/>
            <w:webHidden/>
          </w:rPr>
          <w:fldChar w:fldCharType="begin"/>
        </w:r>
        <w:r w:rsidR="00691792">
          <w:rPr>
            <w:noProof/>
            <w:webHidden/>
          </w:rPr>
          <w:instrText xml:space="preserve"> PAGEREF _Toc153795437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1C52FA27" w14:textId="7B70BEEB" w:rsidR="00691792" w:rsidRDefault="00263819">
      <w:pPr>
        <w:pStyle w:val="TOC2"/>
        <w:rPr>
          <w:rFonts w:asciiTheme="minorHAnsi" w:eastAsiaTheme="minorEastAsia" w:hAnsiTheme="minorHAnsi"/>
          <w:noProof/>
          <w:sz w:val="22"/>
          <w:lang w:eastAsia="en-AU"/>
        </w:rPr>
      </w:pPr>
      <w:hyperlink w:anchor="_Toc153795438" w:history="1">
        <w:r w:rsidR="00691792" w:rsidRPr="00A5242F">
          <w:rPr>
            <w:rStyle w:val="Hyperlink"/>
            <w:noProof/>
          </w:rPr>
          <w:t>National Vehicle Standards</w:t>
        </w:r>
        <w:r w:rsidR="00691792">
          <w:rPr>
            <w:noProof/>
            <w:webHidden/>
          </w:rPr>
          <w:tab/>
        </w:r>
        <w:r w:rsidR="00691792">
          <w:rPr>
            <w:noProof/>
            <w:webHidden/>
          </w:rPr>
          <w:fldChar w:fldCharType="begin"/>
        </w:r>
        <w:r w:rsidR="00691792">
          <w:rPr>
            <w:noProof/>
            <w:webHidden/>
          </w:rPr>
          <w:instrText xml:space="preserve"> PAGEREF _Toc153795438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365363A4" w14:textId="017FFBE4" w:rsidR="00691792" w:rsidRDefault="00263819">
      <w:pPr>
        <w:pStyle w:val="TOC2"/>
        <w:rPr>
          <w:rFonts w:asciiTheme="minorHAnsi" w:eastAsiaTheme="minorEastAsia" w:hAnsiTheme="minorHAnsi"/>
          <w:noProof/>
          <w:sz w:val="22"/>
          <w:lang w:eastAsia="en-AU"/>
        </w:rPr>
      </w:pPr>
      <w:hyperlink w:anchor="_Toc153795439" w:history="1">
        <w:r w:rsidR="00691792" w:rsidRPr="00A5242F">
          <w:rPr>
            <w:rStyle w:val="Hyperlink"/>
            <w:noProof/>
          </w:rPr>
          <w:t>National Road Safety Strategy 2021-30</w:t>
        </w:r>
        <w:r w:rsidR="00691792">
          <w:rPr>
            <w:noProof/>
            <w:webHidden/>
          </w:rPr>
          <w:tab/>
        </w:r>
        <w:r w:rsidR="00691792">
          <w:rPr>
            <w:noProof/>
            <w:webHidden/>
          </w:rPr>
          <w:fldChar w:fldCharType="begin"/>
        </w:r>
        <w:r w:rsidR="00691792">
          <w:rPr>
            <w:noProof/>
            <w:webHidden/>
          </w:rPr>
          <w:instrText xml:space="preserve"> PAGEREF _Toc153795439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38224A45" w14:textId="6B6D873F" w:rsidR="00691792" w:rsidRDefault="00263819">
      <w:pPr>
        <w:pStyle w:val="TOC2"/>
        <w:rPr>
          <w:rFonts w:asciiTheme="minorHAnsi" w:eastAsiaTheme="minorEastAsia" w:hAnsiTheme="minorHAnsi"/>
          <w:noProof/>
          <w:sz w:val="22"/>
          <w:lang w:eastAsia="en-AU"/>
        </w:rPr>
      </w:pPr>
      <w:hyperlink w:anchor="_Toc153795440" w:history="1">
        <w:r w:rsidR="00691792" w:rsidRPr="00A5242F">
          <w:rPr>
            <w:rStyle w:val="Hyperlink"/>
            <w:noProof/>
          </w:rPr>
          <w:t>State and Territory Government Action</w:t>
        </w:r>
        <w:r w:rsidR="00691792">
          <w:rPr>
            <w:noProof/>
            <w:webHidden/>
          </w:rPr>
          <w:tab/>
        </w:r>
        <w:r w:rsidR="00691792">
          <w:rPr>
            <w:noProof/>
            <w:webHidden/>
          </w:rPr>
          <w:fldChar w:fldCharType="begin"/>
        </w:r>
        <w:r w:rsidR="00691792">
          <w:rPr>
            <w:noProof/>
            <w:webHidden/>
          </w:rPr>
          <w:instrText xml:space="preserve"> PAGEREF _Toc153795440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1687FBAE" w14:textId="48EE020F" w:rsidR="00691792" w:rsidRDefault="00263819">
      <w:pPr>
        <w:pStyle w:val="TOC2"/>
        <w:rPr>
          <w:rFonts w:asciiTheme="minorHAnsi" w:eastAsiaTheme="minorEastAsia" w:hAnsiTheme="minorHAnsi"/>
          <w:noProof/>
          <w:sz w:val="22"/>
          <w:lang w:eastAsia="en-AU"/>
        </w:rPr>
      </w:pPr>
      <w:hyperlink w:anchor="_Toc153795441" w:history="1">
        <w:r w:rsidR="00691792" w:rsidRPr="00A5242F">
          <w:rPr>
            <w:rStyle w:val="Hyperlink"/>
            <w:noProof/>
          </w:rPr>
          <w:t>Australasian New Car Assessment Program</w:t>
        </w:r>
        <w:r w:rsidR="00691792">
          <w:rPr>
            <w:noProof/>
            <w:webHidden/>
          </w:rPr>
          <w:tab/>
        </w:r>
        <w:r w:rsidR="00691792">
          <w:rPr>
            <w:noProof/>
            <w:webHidden/>
          </w:rPr>
          <w:fldChar w:fldCharType="begin"/>
        </w:r>
        <w:r w:rsidR="00691792">
          <w:rPr>
            <w:noProof/>
            <w:webHidden/>
          </w:rPr>
          <w:instrText xml:space="preserve"> PAGEREF _Toc153795441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79CF080A" w14:textId="789D4724" w:rsidR="00691792" w:rsidRDefault="00263819">
      <w:pPr>
        <w:pStyle w:val="TOC2"/>
        <w:rPr>
          <w:rFonts w:asciiTheme="minorHAnsi" w:eastAsiaTheme="minorEastAsia" w:hAnsiTheme="minorHAnsi"/>
          <w:noProof/>
          <w:sz w:val="22"/>
          <w:lang w:eastAsia="en-AU"/>
        </w:rPr>
      </w:pPr>
      <w:hyperlink w:anchor="_Toc153795442" w:history="1">
        <w:r w:rsidR="00691792" w:rsidRPr="00A5242F">
          <w:rPr>
            <w:rStyle w:val="Hyperlink"/>
            <w:noProof/>
          </w:rPr>
          <w:t>National Funding for Road Safety Initiatives</w:t>
        </w:r>
        <w:r w:rsidR="00691792">
          <w:rPr>
            <w:noProof/>
            <w:webHidden/>
          </w:rPr>
          <w:tab/>
        </w:r>
        <w:r w:rsidR="00691792">
          <w:rPr>
            <w:noProof/>
            <w:webHidden/>
          </w:rPr>
          <w:fldChar w:fldCharType="begin"/>
        </w:r>
        <w:r w:rsidR="00691792">
          <w:rPr>
            <w:noProof/>
            <w:webHidden/>
          </w:rPr>
          <w:instrText xml:space="preserve"> PAGEREF _Toc153795442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167472ED" w14:textId="1462D014" w:rsidR="00691792" w:rsidRDefault="00263819">
      <w:pPr>
        <w:pStyle w:val="TOC1"/>
        <w:rPr>
          <w:rFonts w:asciiTheme="minorHAnsi" w:eastAsiaTheme="minorEastAsia" w:hAnsiTheme="minorHAnsi"/>
          <w:b w:val="0"/>
          <w:noProof/>
          <w:color w:val="auto"/>
          <w:u w:val="none"/>
          <w:lang w:eastAsia="en-AU"/>
        </w:rPr>
      </w:pPr>
      <w:hyperlink w:anchor="_Toc153795443" w:history="1">
        <w:r w:rsidR="00691792" w:rsidRPr="00A5242F">
          <w:rPr>
            <w:rStyle w:val="Hyperlink"/>
            <w:noProof/>
          </w:rPr>
          <w:t>Appendix C—UN Regulation 138/01 Requirements</w:t>
        </w:r>
        <w:r w:rsidR="00691792">
          <w:rPr>
            <w:noProof/>
            <w:webHidden/>
          </w:rPr>
          <w:tab/>
        </w:r>
        <w:r w:rsidR="00691792">
          <w:rPr>
            <w:noProof/>
            <w:webHidden/>
          </w:rPr>
          <w:fldChar w:fldCharType="begin"/>
        </w:r>
        <w:r w:rsidR="00691792">
          <w:rPr>
            <w:noProof/>
            <w:webHidden/>
          </w:rPr>
          <w:instrText xml:space="preserve"> PAGEREF _Toc153795443 \h </w:instrText>
        </w:r>
        <w:r w:rsidR="00691792">
          <w:rPr>
            <w:noProof/>
            <w:webHidden/>
          </w:rPr>
        </w:r>
        <w:r w:rsidR="00691792">
          <w:rPr>
            <w:noProof/>
            <w:webHidden/>
          </w:rPr>
          <w:fldChar w:fldCharType="separate"/>
        </w:r>
        <w:r w:rsidR="00691792">
          <w:rPr>
            <w:noProof/>
            <w:webHidden/>
          </w:rPr>
          <w:t>49</w:t>
        </w:r>
        <w:r w:rsidR="00691792">
          <w:rPr>
            <w:noProof/>
            <w:webHidden/>
          </w:rPr>
          <w:fldChar w:fldCharType="end"/>
        </w:r>
      </w:hyperlink>
    </w:p>
    <w:p w14:paraId="0C69BB5A" w14:textId="0B7E869C" w:rsidR="00691792" w:rsidRDefault="00263819">
      <w:pPr>
        <w:pStyle w:val="TOC1"/>
        <w:rPr>
          <w:rFonts w:asciiTheme="minorHAnsi" w:eastAsiaTheme="minorEastAsia" w:hAnsiTheme="minorHAnsi"/>
          <w:b w:val="0"/>
          <w:noProof/>
          <w:color w:val="auto"/>
          <w:u w:val="none"/>
          <w:lang w:eastAsia="en-AU"/>
        </w:rPr>
      </w:pPr>
      <w:hyperlink w:anchor="_Toc153795444" w:history="1">
        <w:r w:rsidR="00691792" w:rsidRPr="00A5242F">
          <w:rPr>
            <w:rStyle w:val="Hyperlink"/>
            <w:noProof/>
          </w:rPr>
          <w:t>Appendix D—Benefit Cost Analysis</w:t>
        </w:r>
        <w:r w:rsidR="00691792">
          <w:rPr>
            <w:noProof/>
            <w:webHidden/>
          </w:rPr>
          <w:tab/>
        </w:r>
        <w:r w:rsidR="00691792">
          <w:rPr>
            <w:noProof/>
            <w:webHidden/>
          </w:rPr>
          <w:fldChar w:fldCharType="begin"/>
        </w:r>
        <w:r w:rsidR="00691792">
          <w:rPr>
            <w:noProof/>
            <w:webHidden/>
          </w:rPr>
          <w:instrText xml:space="preserve"> PAGEREF _Toc153795444 \h </w:instrText>
        </w:r>
        <w:r w:rsidR="00691792">
          <w:rPr>
            <w:noProof/>
            <w:webHidden/>
          </w:rPr>
        </w:r>
        <w:r w:rsidR="00691792">
          <w:rPr>
            <w:noProof/>
            <w:webHidden/>
          </w:rPr>
          <w:fldChar w:fldCharType="separate"/>
        </w:r>
        <w:r w:rsidR="00691792">
          <w:rPr>
            <w:noProof/>
            <w:webHidden/>
          </w:rPr>
          <w:t>51</w:t>
        </w:r>
        <w:r w:rsidR="00691792">
          <w:rPr>
            <w:noProof/>
            <w:webHidden/>
          </w:rPr>
          <w:fldChar w:fldCharType="end"/>
        </w:r>
      </w:hyperlink>
    </w:p>
    <w:p w14:paraId="4F452996" w14:textId="47B48BDE" w:rsidR="00691792" w:rsidRDefault="00263819">
      <w:pPr>
        <w:pStyle w:val="TOC1"/>
        <w:rPr>
          <w:rFonts w:asciiTheme="minorHAnsi" w:eastAsiaTheme="minorEastAsia" w:hAnsiTheme="minorHAnsi"/>
          <w:b w:val="0"/>
          <w:noProof/>
          <w:color w:val="auto"/>
          <w:u w:val="none"/>
          <w:lang w:eastAsia="en-AU"/>
        </w:rPr>
      </w:pPr>
      <w:hyperlink w:anchor="_Toc153795445" w:history="1">
        <w:r w:rsidR="00691792" w:rsidRPr="00A5242F">
          <w:rPr>
            <w:rStyle w:val="Hyperlink"/>
            <w:noProof/>
          </w:rPr>
          <w:t>Appendix E—Acronyms and Abbreviations</w:t>
        </w:r>
        <w:r w:rsidR="00691792">
          <w:rPr>
            <w:noProof/>
            <w:webHidden/>
          </w:rPr>
          <w:tab/>
        </w:r>
        <w:r w:rsidR="00691792">
          <w:rPr>
            <w:noProof/>
            <w:webHidden/>
          </w:rPr>
          <w:fldChar w:fldCharType="begin"/>
        </w:r>
        <w:r w:rsidR="00691792">
          <w:rPr>
            <w:noProof/>
            <w:webHidden/>
          </w:rPr>
          <w:instrText xml:space="preserve"> PAGEREF _Toc153795445 \h </w:instrText>
        </w:r>
        <w:r w:rsidR="00691792">
          <w:rPr>
            <w:noProof/>
            <w:webHidden/>
          </w:rPr>
        </w:r>
        <w:r w:rsidR="00691792">
          <w:rPr>
            <w:noProof/>
            <w:webHidden/>
          </w:rPr>
          <w:fldChar w:fldCharType="separate"/>
        </w:r>
        <w:r w:rsidR="00691792">
          <w:rPr>
            <w:noProof/>
            <w:webHidden/>
          </w:rPr>
          <w:t>62</w:t>
        </w:r>
        <w:r w:rsidR="00691792">
          <w:rPr>
            <w:noProof/>
            <w:webHidden/>
          </w:rPr>
          <w:fldChar w:fldCharType="end"/>
        </w:r>
      </w:hyperlink>
    </w:p>
    <w:p w14:paraId="2B593AAE" w14:textId="11810CCB" w:rsidR="00691792" w:rsidRDefault="00263819">
      <w:pPr>
        <w:pStyle w:val="TOC1"/>
        <w:rPr>
          <w:rFonts w:asciiTheme="minorHAnsi" w:eastAsiaTheme="minorEastAsia" w:hAnsiTheme="minorHAnsi"/>
          <w:b w:val="0"/>
          <w:noProof/>
          <w:color w:val="auto"/>
          <w:u w:val="none"/>
          <w:lang w:eastAsia="en-AU"/>
        </w:rPr>
      </w:pPr>
      <w:hyperlink w:anchor="_Toc153795446" w:history="1">
        <w:r w:rsidR="00691792" w:rsidRPr="00A5242F">
          <w:rPr>
            <w:rStyle w:val="Hyperlink"/>
            <w:noProof/>
          </w:rPr>
          <w:t>Appendix F—Glossary of Terms</w:t>
        </w:r>
        <w:r w:rsidR="00691792">
          <w:rPr>
            <w:noProof/>
            <w:webHidden/>
          </w:rPr>
          <w:tab/>
        </w:r>
        <w:r w:rsidR="00691792">
          <w:rPr>
            <w:noProof/>
            <w:webHidden/>
          </w:rPr>
          <w:fldChar w:fldCharType="begin"/>
        </w:r>
        <w:r w:rsidR="00691792">
          <w:rPr>
            <w:noProof/>
            <w:webHidden/>
          </w:rPr>
          <w:instrText xml:space="preserve"> PAGEREF _Toc153795446 \h </w:instrText>
        </w:r>
        <w:r w:rsidR="00691792">
          <w:rPr>
            <w:noProof/>
            <w:webHidden/>
          </w:rPr>
        </w:r>
        <w:r w:rsidR="00691792">
          <w:rPr>
            <w:noProof/>
            <w:webHidden/>
          </w:rPr>
          <w:fldChar w:fldCharType="separate"/>
        </w:r>
        <w:r w:rsidR="00691792">
          <w:rPr>
            <w:noProof/>
            <w:webHidden/>
          </w:rPr>
          <w:t>63</w:t>
        </w:r>
        <w:r w:rsidR="00691792">
          <w:rPr>
            <w:noProof/>
            <w:webHidden/>
          </w:rPr>
          <w:fldChar w:fldCharType="end"/>
        </w:r>
      </w:hyperlink>
    </w:p>
    <w:p w14:paraId="5EB71B9A" w14:textId="4E45EE09"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1AAD80F" w14:textId="77777777" w:rsidR="00670726" w:rsidRPr="00796AB4" w:rsidRDefault="00670726" w:rsidP="00796AB4">
      <w:pPr>
        <w:pStyle w:val="Heading2notshowing"/>
        <w:rPr>
          <w:sz w:val="44"/>
          <w:szCs w:val="44"/>
        </w:rPr>
      </w:pPr>
      <w:r w:rsidRPr="00796AB4">
        <w:rPr>
          <w:sz w:val="44"/>
          <w:szCs w:val="44"/>
        </w:rPr>
        <w:t>List of figures and tables</w:t>
      </w:r>
    </w:p>
    <w:p w14:paraId="3CE2B4C5" w14:textId="0184CEAC" w:rsidR="00497670" w:rsidRDefault="009E5B72">
      <w:pPr>
        <w:pStyle w:val="TableofFigure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3795476" w:history="1">
        <w:r w:rsidR="00497670" w:rsidRPr="00045AD1">
          <w:rPr>
            <w:rStyle w:val="Hyperlink"/>
            <w:noProof/>
          </w:rPr>
          <w:t>Table A: Summary of benefits, costs, lives saved and injuries avoided for each option considered over 35 years (Likely Case – over 15 years of regulation, plus an additional 20 years in service for vehicles supplied during the regulated period)</w:t>
        </w:r>
        <w:r w:rsidR="00497670">
          <w:rPr>
            <w:noProof/>
            <w:webHidden/>
          </w:rPr>
          <w:tab/>
        </w:r>
        <w:r w:rsidR="00497670">
          <w:rPr>
            <w:noProof/>
            <w:webHidden/>
          </w:rPr>
          <w:fldChar w:fldCharType="begin"/>
        </w:r>
        <w:r w:rsidR="00497670">
          <w:rPr>
            <w:noProof/>
            <w:webHidden/>
          </w:rPr>
          <w:instrText xml:space="preserve"> PAGEREF _Toc153795476 \h </w:instrText>
        </w:r>
        <w:r w:rsidR="00497670">
          <w:rPr>
            <w:noProof/>
            <w:webHidden/>
          </w:rPr>
        </w:r>
        <w:r w:rsidR="00497670">
          <w:rPr>
            <w:noProof/>
            <w:webHidden/>
          </w:rPr>
          <w:fldChar w:fldCharType="separate"/>
        </w:r>
        <w:r w:rsidR="00497670">
          <w:rPr>
            <w:noProof/>
            <w:webHidden/>
          </w:rPr>
          <w:t>8</w:t>
        </w:r>
        <w:r w:rsidR="00497670">
          <w:rPr>
            <w:noProof/>
            <w:webHidden/>
          </w:rPr>
          <w:fldChar w:fldCharType="end"/>
        </w:r>
      </w:hyperlink>
    </w:p>
    <w:p w14:paraId="603DC893" w14:textId="2616A0BA" w:rsidR="00497670" w:rsidRDefault="00263819">
      <w:pPr>
        <w:pStyle w:val="TableofFigures"/>
        <w:rPr>
          <w:rFonts w:eastAsiaTheme="minorEastAsia"/>
          <w:noProof/>
          <w:color w:val="auto"/>
          <w:kern w:val="0"/>
          <w:szCs w:val="22"/>
          <w:lang w:eastAsia="en-AU"/>
        </w:rPr>
      </w:pPr>
      <w:hyperlink w:anchor="_Toc153795477" w:history="1">
        <w:r w:rsidR="00497670" w:rsidRPr="00045AD1">
          <w:rPr>
            <w:rStyle w:val="Hyperlink"/>
            <w:noProof/>
          </w:rPr>
          <w:t>Figure 1: Pedestrian fatalities 2013 - 2022 (BITRE, 2023)</w:t>
        </w:r>
        <w:r w:rsidR="00497670">
          <w:rPr>
            <w:noProof/>
            <w:webHidden/>
          </w:rPr>
          <w:tab/>
        </w:r>
        <w:r w:rsidR="00497670">
          <w:rPr>
            <w:noProof/>
            <w:webHidden/>
          </w:rPr>
          <w:fldChar w:fldCharType="begin"/>
        </w:r>
        <w:r w:rsidR="00497670">
          <w:rPr>
            <w:noProof/>
            <w:webHidden/>
          </w:rPr>
          <w:instrText xml:space="preserve"> PAGEREF _Toc153795477 \h </w:instrText>
        </w:r>
        <w:r w:rsidR="00497670">
          <w:rPr>
            <w:noProof/>
            <w:webHidden/>
          </w:rPr>
        </w:r>
        <w:r w:rsidR="00497670">
          <w:rPr>
            <w:noProof/>
            <w:webHidden/>
          </w:rPr>
          <w:fldChar w:fldCharType="separate"/>
        </w:r>
        <w:r w:rsidR="00497670">
          <w:rPr>
            <w:noProof/>
            <w:webHidden/>
          </w:rPr>
          <w:t>11</w:t>
        </w:r>
        <w:r w:rsidR="00497670">
          <w:rPr>
            <w:noProof/>
            <w:webHidden/>
          </w:rPr>
          <w:fldChar w:fldCharType="end"/>
        </w:r>
      </w:hyperlink>
    </w:p>
    <w:p w14:paraId="3D449588" w14:textId="42B2A5BC" w:rsidR="00497670" w:rsidRDefault="00263819">
      <w:pPr>
        <w:pStyle w:val="TableofFigures"/>
        <w:rPr>
          <w:rFonts w:eastAsiaTheme="minorEastAsia"/>
          <w:noProof/>
          <w:color w:val="auto"/>
          <w:kern w:val="0"/>
          <w:szCs w:val="22"/>
          <w:lang w:eastAsia="en-AU"/>
        </w:rPr>
      </w:pPr>
      <w:hyperlink w:anchor="_Toc153795478" w:history="1">
        <w:r w:rsidR="00497670" w:rsidRPr="00045AD1">
          <w:rPr>
            <w:rStyle w:val="Hyperlink"/>
            <w:noProof/>
          </w:rPr>
          <w:t>Figure 2: New electric vehicle sales in Australia (Electric Vehicle Council, 2023)</w:t>
        </w:r>
        <w:r w:rsidR="00497670">
          <w:rPr>
            <w:noProof/>
            <w:webHidden/>
          </w:rPr>
          <w:tab/>
        </w:r>
        <w:r w:rsidR="00497670">
          <w:rPr>
            <w:noProof/>
            <w:webHidden/>
          </w:rPr>
          <w:fldChar w:fldCharType="begin"/>
        </w:r>
        <w:r w:rsidR="00497670">
          <w:rPr>
            <w:noProof/>
            <w:webHidden/>
          </w:rPr>
          <w:instrText xml:space="preserve"> PAGEREF _Toc153795478 \h </w:instrText>
        </w:r>
        <w:r w:rsidR="00497670">
          <w:rPr>
            <w:noProof/>
            <w:webHidden/>
          </w:rPr>
        </w:r>
        <w:r w:rsidR="00497670">
          <w:rPr>
            <w:noProof/>
            <w:webHidden/>
          </w:rPr>
          <w:fldChar w:fldCharType="separate"/>
        </w:r>
        <w:r w:rsidR="00497670">
          <w:rPr>
            <w:noProof/>
            <w:webHidden/>
          </w:rPr>
          <w:t>12</w:t>
        </w:r>
        <w:r w:rsidR="00497670">
          <w:rPr>
            <w:noProof/>
            <w:webHidden/>
          </w:rPr>
          <w:fldChar w:fldCharType="end"/>
        </w:r>
      </w:hyperlink>
    </w:p>
    <w:p w14:paraId="0B294BFD" w14:textId="3BDA5274" w:rsidR="00497670" w:rsidRDefault="00263819">
      <w:pPr>
        <w:pStyle w:val="TableofFigures"/>
        <w:rPr>
          <w:rFonts w:eastAsiaTheme="minorEastAsia"/>
          <w:noProof/>
          <w:color w:val="auto"/>
          <w:kern w:val="0"/>
          <w:szCs w:val="22"/>
          <w:lang w:eastAsia="en-AU"/>
        </w:rPr>
      </w:pPr>
      <w:hyperlink w:anchor="_Toc153795479" w:history="1">
        <w:r w:rsidR="00497670" w:rsidRPr="00045AD1">
          <w:rPr>
            <w:rStyle w:val="Hyperlink"/>
            <w:noProof/>
          </w:rPr>
          <w:t>Figure 3: Collisions, and near collisions, with QRTVs relative to vision loss (Liu et al, 2018)</w:t>
        </w:r>
        <w:r w:rsidR="00497670">
          <w:rPr>
            <w:noProof/>
            <w:webHidden/>
          </w:rPr>
          <w:tab/>
        </w:r>
        <w:r w:rsidR="00497670">
          <w:rPr>
            <w:noProof/>
            <w:webHidden/>
          </w:rPr>
          <w:fldChar w:fldCharType="begin"/>
        </w:r>
        <w:r w:rsidR="00497670">
          <w:rPr>
            <w:noProof/>
            <w:webHidden/>
          </w:rPr>
          <w:instrText xml:space="preserve"> PAGEREF _Toc153795479 \h </w:instrText>
        </w:r>
        <w:r w:rsidR="00497670">
          <w:rPr>
            <w:noProof/>
            <w:webHidden/>
          </w:rPr>
        </w:r>
        <w:r w:rsidR="00497670">
          <w:rPr>
            <w:noProof/>
            <w:webHidden/>
          </w:rPr>
          <w:fldChar w:fldCharType="separate"/>
        </w:r>
        <w:r w:rsidR="00497670">
          <w:rPr>
            <w:noProof/>
            <w:webHidden/>
          </w:rPr>
          <w:t>13</w:t>
        </w:r>
        <w:r w:rsidR="00497670">
          <w:rPr>
            <w:noProof/>
            <w:webHidden/>
          </w:rPr>
          <w:fldChar w:fldCharType="end"/>
        </w:r>
      </w:hyperlink>
    </w:p>
    <w:p w14:paraId="4A54EA9F" w14:textId="1AC11147" w:rsidR="00497670" w:rsidRDefault="00263819">
      <w:pPr>
        <w:pStyle w:val="TableofFigures"/>
        <w:rPr>
          <w:rFonts w:eastAsiaTheme="minorEastAsia"/>
          <w:noProof/>
          <w:color w:val="auto"/>
          <w:kern w:val="0"/>
          <w:szCs w:val="22"/>
          <w:lang w:eastAsia="en-AU"/>
        </w:rPr>
      </w:pPr>
      <w:hyperlink w:anchor="_Toc153795480" w:history="1">
        <w:r w:rsidR="00497670" w:rsidRPr="00045AD1">
          <w:rPr>
            <w:rStyle w:val="Hyperlink"/>
            <w:noProof/>
          </w:rPr>
          <w:t>Figure 4: Degree of reduced confidence as a pedestrian from the presences of QRTVs, relative to vision loss (Liu et al, 2018)</w:t>
        </w:r>
        <w:r w:rsidR="00497670">
          <w:rPr>
            <w:noProof/>
            <w:webHidden/>
          </w:rPr>
          <w:tab/>
        </w:r>
        <w:r w:rsidR="00497670">
          <w:rPr>
            <w:noProof/>
            <w:webHidden/>
          </w:rPr>
          <w:fldChar w:fldCharType="begin"/>
        </w:r>
        <w:r w:rsidR="00497670">
          <w:rPr>
            <w:noProof/>
            <w:webHidden/>
          </w:rPr>
          <w:instrText xml:space="preserve"> PAGEREF _Toc153795480 \h </w:instrText>
        </w:r>
        <w:r w:rsidR="00497670">
          <w:rPr>
            <w:noProof/>
            <w:webHidden/>
          </w:rPr>
        </w:r>
        <w:r w:rsidR="00497670">
          <w:rPr>
            <w:noProof/>
            <w:webHidden/>
          </w:rPr>
          <w:fldChar w:fldCharType="separate"/>
        </w:r>
        <w:r w:rsidR="00497670">
          <w:rPr>
            <w:noProof/>
            <w:webHidden/>
          </w:rPr>
          <w:t>14</w:t>
        </w:r>
        <w:r w:rsidR="00497670">
          <w:rPr>
            <w:noProof/>
            <w:webHidden/>
          </w:rPr>
          <w:fldChar w:fldCharType="end"/>
        </w:r>
      </w:hyperlink>
    </w:p>
    <w:p w14:paraId="36B9BB11" w14:textId="7C988C5B" w:rsidR="00497670" w:rsidRDefault="00263819">
      <w:pPr>
        <w:pStyle w:val="TableofFigures"/>
        <w:rPr>
          <w:rFonts w:eastAsiaTheme="minorEastAsia"/>
          <w:noProof/>
          <w:color w:val="auto"/>
          <w:kern w:val="0"/>
          <w:szCs w:val="22"/>
          <w:lang w:eastAsia="en-AU"/>
        </w:rPr>
      </w:pPr>
      <w:hyperlink w:anchor="_Toc153795481" w:history="1">
        <w:r w:rsidR="00497670" w:rsidRPr="00045AD1">
          <w:rPr>
            <w:rStyle w:val="Hyperlink"/>
            <w:noProof/>
          </w:rPr>
          <w:t>Figure 5: Proposed implementation dates for Options 3a and 3b</w:t>
        </w:r>
        <w:r w:rsidR="00497670">
          <w:rPr>
            <w:noProof/>
            <w:webHidden/>
          </w:rPr>
          <w:tab/>
        </w:r>
        <w:r w:rsidR="00497670">
          <w:rPr>
            <w:noProof/>
            <w:webHidden/>
          </w:rPr>
          <w:fldChar w:fldCharType="begin"/>
        </w:r>
        <w:r w:rsidR="00497670">
          <w:rPr>
            <w:noProof/>
            <w:webHidden/>
          </w:rPr>
          <w:instrText xml:space="preserve"> PAGEREF _Toc153795481 \h </w:instrText>
        </w:r>
        <w:r w:rsidR="00497670">
          <w:rPr>
            <w:noProof/>
            <w:webHidden/>
          </w:rPr>
        </w:r>
        <w:r w:rsidR="00497670">
          <w:rPr>
            <w:noProof/>
            <w:webHidden/>
          </w:rPr>
          <w:fldChar w:fldCharType="separate"/>
        </w:r>
        <w:r w:rsidR="00497670">
          <w:rPr>
            <w:noProof/>
            <w:webHidden/>
          </w:rPr>
          <w:t>22</w:t>
        </w:r>
        <w:r w:rsidR="00497670">
          <w:rPr>
            <w:noProof/>
            <w:webHidden/>
          </w:rPr>
          <w:fldChar w:fldCharType="end"/>
        </w:r>
      </w:hyperlink>
    </w:p>
    <w:p w14:paraId="0E4A44D5" w14:textId="56176ABB" w:rsidR="00497670" w:rsidRDefault="00263819">
      <w:pPr>
        <w:pStyle w:val="TableofFigures"/>
        <w:rPr>
          <w:rFonts w:eastAsiaTheme="minorEastAsia"/>
          <w:noProof/>
          <w:color w:val="auto"/>
          <w:kern w:val="0"/>
          <w:szCs w:val="22"/>
          <w:lang w:eastAsia="en-AU"/>
        </w:rPr>
      </w:pPr>
      <w:hyperlink w:anchor="_Toc153795482" w:history="1">
        <w:r w:rsidR="00497670" w:rsidRPr="00045AD1">
          <w:rPr>
            <w:rStyle w:val="Hyperlink"/>
            <w:noProof/>
          </w:rPr>
          <w:t>Figure 6: Expected fitment rate under Option 2, 3a and 3b (mandatory standards) relative to Option 1 (business as usual)</w:t>
        </w:r>
        <w:r w:rsidR="00497670">
          <w:rPr>
            <w:noProof/>
            <w:webHidden/>
          </w:rPr>
          <w:tab/>
        </w:r>
        <w:r w:rsidR="00497670">
          <w:rPr>
            <w:noProof/>
            <w:webHidden/>
          </w:rPr>
          <w:fldChar w:fldCharType="begin"/>
        </w:r>
        <w:r w:rsidR="00497670">
          <w:rPr>
            <w:noProof/>
            <w:webHidden/>
          </w:rPr>
          <w:instrText xml:space="preserve"> PAGEREF _Toc153795482 \h </w:instrText>
        </w:r>
        <w:r w:rsidR="00497670">
          <w:rPr>
            <w:noProof/>
            <w:webHidden/>
          </w:rPr>
        </w:r>
        <w:r w:rsidR="00497670">
          <w:rPr>
            <w:noProof/>
            <w:webHidden/>
          </w:rPr>
          <w:fldChar w:fldCharType="separate"/>
        </w:r>
        <w:r w:rsidR="00497670">
          <w:rPr>
            <w:noProof/>
            <w:webHidden/>
          </w:rPr>
          <w:t>24</w:t>
        </w:r>
        <w:r w:rsidR="00497670">
          <w:rPr>
            <w:noProof/>
            <w:webHidden/>
          </w:rPr>
          <w:fldChar w:fldCharType="end"/>
        </w:r>
      </w:hyperlink>
    </w:p>
    <w:p w14:paraId="523F680F" w14:textId="4A66C5EC" w:rsidR="00497670" w:rsidRDefault="00263819">
      <w:pPr>
        <w:pStyle w:val="TableofFigures"/>
        <w:rPr>
          <w:rFonts w:eastAsiaTheme="minorEastAsia"/>
          <w:noProof/>
          <w:color w:val="auto"/>
          <w:kern w:val="0"/>
          <w:szCs w:val="22"/>
          <w:lang w:eastAsia="en-AU"/>
        </w:rPr>
      </w:pPr>
      <w:hyperlink w:anchor="_Toc153795483" w:history="1">
        <w:r w:rsidR="00497670" w:rsidRPr="00045AD1">
          <w:rPr>
            <w:rStyle w:val="Hyperlink"/>
            <w:noProof/>
          </w:rPr>
          <w:t>Table 1: Summary of benefits, costs, lives saved and injuries avoided for Option 1, 2, 3a and 3b (Likely Case)</w:t>
        </w:r>
        <w:r w:rsidR="00497670">
          <w:rPr>
            <w:noProof/>
            <w:webHidden/>
          </w:rPr>
          <w:tab/>
        </w:r>
        <w:r w:rsidR="00497670">
          <w:rPr>
            <w:noProof/>
            <w:webHidden/>
          </w:rPr>
          <w:fldChar w:fldCharType="begin"/>
        </w:r>
        <w:r w:rsidR="00497670">
          <w:rPr>
            <w:noProof/>
            <w:webHidden/>
          </w:rPr>
          <w:instrText xml:space="preserve"> PAGEREF _Toc153795483 \h </w:instrText>
        </w:r>
        <w:r w:rsidR="00497670">
          <w:rPr>
            <w:noProof/>
            <w:webHidden/>
          </w:rPr>
        </w:r>
        <w:r w:rsidR="00497670">
          <w:rPr>
            <w:noProof/>
            <w:webHidden/>
          </w:rPr>
          <w:fldChar w:fldCharType="separate"/>
        </w:r>
        <w:r w:rsidR="00497670">
          <w:rPr>
            <w:noProof/>
            <w:webHidden/>
          </w:rPr>
          <w:t>27</w:t>
        </w:r>
        <w:r w:rsidR="00497670">
          <w:rPr>
            <w:noProof/>
            <w:webHidden/>
          </w:rPr>
          <w:fldChar w:fldCharType="end"/>
        </w:r>
      </w:hyperlink>
    </w:p>
    <w:p w14:paraId="6587E8A1" w14:textId="7E3DF09E" w:rsidR="00497670" w:rsidRDefault="00263819">
      <w:pPr>
        <w:pStyle w:val="TableofFigures"/>
        <w:rPr>
          <w:rFonts w:eastAsiaTheme="minorEastAsia"/>
          <w:noProof/>
          <w:color w:val="auto"/>
          <w:kern w:val="0"/>
          <w:szCs w:val="22"/>
          <w:lang w:eastAsia="en-AU"/>
        </w:rPr>
      </w:pPr>
      <w:hyperlink w:anchor="_Toc153795484" w:history="1">
        <w:r w:rsidR="00497670" w:rsidRPr="00045AD1">
          <w:rPr>
            <w:rStyle w:val="Hyperlink"/>
            <w:noProof/>
          </w:rPr>
          <w:t>Table 2: Sensitivity analysis – changes to the real discount rate</w:t>
        </w:r>
        <w:r w:rsidR="00497670">
          <w:rPr>
            <w:noProof/>
            <w:webHidden/>
          </w:rPr>
          <w:tab/>
        </w:r>
        <w:r w:rsidR="00497670">
          <w:rPr>
            <w:noProof/>
            <w:webHidden/>
          </w:rPr>
          <w:fldChar w:fldCharType="begin"/>
        </w:r>
        <w:r w:rsidR="00497670">
          <w:rPr>
            <w:noProof/>
            <w:webHidden/>
          </w:rPr>
          <w:instrText xml:space="preserve"> PAGEREF _Toc153795484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29F458E2" w14:textId="52675D6C" w:rsidR="00497670" w:rsidRDefault="00263819">
      <w:pPr>
        <w:pStyle w:val="TableofFigures"/>
        <w:rPr>
          <w:rFonts w:eastAsiaTheme="minorEastAsia"/>
          <w:noProof/>
          <w:color w:val="auto"/>
          <w:kern w:val="0"/>
          <w:szCs w:val="22"/>
          <w:lang w:eastAsia="en-AU"/>
        </w:rPr>
      </w:pPr>
      <w:hyperlink w:anchor="_Toc153795485" w:history="1">
        <w:r w:rsidR="00497670" w:rsidRPr="00045AD1">
          <w:rPr>
            <w:rStyle w:val="Hyperlink"/>
            <w:noProof/>
          </w:rPr>
          <w:t>Table 3: Sensitivity analysis - changes to business as usual fitment rate</w:t>
        </w:r>
        <w:r w:rsidR="00497670">
          <w:rPr>
            <w:noProof/>
            <w:webHidden/>
          </w:rPr>
          <w:tab/>
        </w:r>
        <w:r w:rsidR="00497670">
          <w:rPr>
            <w:noProof/>
            <w:webHidden/>
          </w:rPr>
          <w:fldChar w:fldCharType="begin"/>
        </w:r>
        <w:r w:rsidR="00497670">
          <w:rPr>
            <w:noProof/>
            <w:webHidden/>
          </w:rPr>
          <w:instrText xml:space="preserve"> PAGEREF _Toc153795485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1E029B43" w14:textId="5EEE2BED" w:rsidR="00497670" w:rsidRDefault="00263819">
      <w:pPr>
        <w:pStyle w:val="TableofFigures"/>
        <w:rPr>
          <w:rFonts w:eastAsiaTheme="minorEastAsia"/>
          <w:noProof/>
          <w:color w:val="auto"/>
          <w:kern w:val="0"/>
          <w:szCs w:val="22"/>
          <w:lang w:eastAsia="en-AU"/>
        </w:rPr>
      </w:pPr>
      <w:hyperlink w:anchor="_Toc153795486" w:history="1">
        <w:r w:rsidR="00497670" w:rsidRPr="00045AD1">
          <w:rPr>
            <w:rStyle w:val="Hyperlink"/>
            <w:noProof/>
          </w:rPr>
          <w:t>Table 4: Sensitivity analysis - changes to fitment costs</w:t>
        </w:r>
        <w:r w:rsidR="00497670">
          <w:rPr>
            <w:noProof/>
            <w:webHidden/>
          </w:rPr>
          <w:tab/>
        </w:r>
        <w:r w:rsidR="00497670">
          <w:rPr>
            <w:noProof/>
            <w:webHidden/>
          </w:rPr>
          <w:fldChar w:fldCharType="begin"/>
        </w:r>
        <w:r w:rsidR="00497670">
          <w:rPr>
            <w:noProof/>
            <w:webHidden/>
          </w:rPr>
          <w:instrText xml:space="preserve"> PAGEREF _Toc153795486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650B25EA" w14:textId="0FB119FE" w:rsidR="00497670" w:rsidRDefault="00263819">
      <w:pPr>
        <w:pStyle w:val="TableofFigures"/>
        <w:rPr>
          <w:rFonts w:eastAsiaTheme="minorEastAsia"/>
          <w:noProof/>
          <w:color w:val="auto"/>
          <w:kern w:val="0"/>
          <w:szCs w:val="22"/>
          <w:lang w:eastAsia="en-AU"/>
        </w:rPr>
      </w:pPr>
      <w:hyperlink w:anchor="_Toc153795487" w:history="1">
        <w:r w:rsidR="00497670" w:rsidRPr="00045AD1">
          <w:rPr>
            <w:rStyle w:val="Hyperlink"/>
            <w:noProof/>
          </w:rPr>
          <w:t>Table 5: Average annual regulatory costs for Options 2, 3a and 3b</w:t>
        </w:r>
        <w:r w:rsidR="00497670">
          <w:rPr>
            <w:noProof/>
            <w:webHidden/>
          </w:rPr>
          <w:tab/>
        </w:r>
        <w:r w:rsidR="00497670">
          <w:rPr>
            <w:noProof/>
            <w:webHidden/>
          </w:rPr>
          <w:fldChar w:fldCharType="begin"/>
        </w:r>
        <w:r w:rsidR="00497670">
          <w:rPr>
            <w:noProof/>
            <w:webHidden/>
          </w:rPr>
          <w:instrText xml:space="preserve"> PAGEREF _Toc153795487 \h </w:instrText>
        </w:r>
        <w:r w:rsidR="00497670">
          <w:rPr>
            <w:noProof/>
            <w:webHidden/>
          </w:rPr>
        </w:r>
        <w:r w:rsidR="00497670">
          <w:rPr>
            <w:noProof/>
            <w:webHidden/>
          </w:rPr>
          <w:fldChar w:fldCharType="separate"/>
        </w:r>
        <w:r w:rsidR="00497670">
          <w:rPr>
            <w:noProof/>
            <w:webHidden/>
          </w:rPr>
          <w:t>31</w:t>
        </w:r>
        <w:r w:rsidR="00497670">
          <w:rPr>
            <w:noProof/>
            <w:webHidden/>
          </w:rPr>
          <w:fldChar w:fldCharType="end"/>
        </w:r>
      </w:hyperlink>
    </w:p>
    <w:p w14:paraId="77BA7445" w14:textId="0C251A02" w:rsidR="00497670" w:rsidRDefault="00263819">
      <w:pPr>
        <w:pStyle w:val="TableofFigures"/>
        <w:rPr>
          <w:rFonts w:eastAsiaTheme="minorEastAsia"/>
          <w:noProof/>
          <w:color w:val="auto"/>
          <w:kern w:val="0"/>
          <w:szCs w:val="22"/>
          <w:lang w:eastAsia="en-AU"/>
        </w:rPr>
      </w:pPr>
      <w:hyperlink w:anchor="_Toc153795488" w:history="1">
        <w:r w:rsidR="00497670" w:rsidRPr="00045AD1">
          <w:rPr>
            <w:rStyle w:val="Hyperlink"/>
            <w:noProof/>
          </w:rPr>
          <w:t>Table 6: Implementation timeline</w:t>
        </w:r>
        <w:r w:rsidR="00497670">
          <w:rPr>
            <w:noProof/>
            <w:webHidden/>
          </w:rPr>
          <w:tab/>
        </w:r>
        <w:r w:rsidR="00497670">
          <w:rPr>
            <w:noProof/>
            <w:webHidden/>
          </w:rPr>
          <w:fldChar w:fldCharType="begin"/>
        </w:r>
        <w:r w:rsidR="00497670">
          <w:rPr>
            <w:noProof/>
            <w:webHidden/>
          </w:rPr>
          <w:instrText xml:space="preserve"> PAGEREF _Toc153795488 \h </w:instrText>
        </w:r>
        <w:r w:rsidR="00497670">
          <w:rPr>
            <w:noProof/>
            <w:webHidden/>
          </w:rPr>
        </w:r>
        <w:r w:rsidR="00497670">
          <w:rPr>
            <w:noProof/>
            <w:webHidden/>
          </w:rPr>
          <w:fldChar w:fldCharType="separate"/>
        </w:r>
        <w:r w:rsidR="00497670">
          <w:rPr>
            <w:noProof/>
            <w:webHidden/>
          </w:rPr>
          <w:t>36</w:t>
        </w:r>
        <w:r w:rsidR="00497670">
          <w:rPr>
            <w:noProof/>
            <w:webHidden/>
          </w:rPr>
          <w:fldChar w:fldCharType="end"/>
        </w:r>
      </w:hyperlink>
    </w:p>
    <w:p w14:paraId="470B7B58" w14:textId="62417F9F" w:rsidR="00497670" w:rsidRDefault="00263819">
      <w:pPr>
        <w:pStyle w:val="TableofFigures"/>
        <w:rPr>
          <w:rFonts w:eastAsiaTheme="minorEastAsia"/>
          <w:noProof/>
          <w:color w:val="auto"/>
          <w:kern w:val="0"/>
          <w:szCs w:val="22"/>
          <w:lang w:eastAsia="en-AU"/>
        </w:rPr>
      </w:pPr>
      <w:hyperlink w:anchor="_Toc153795489" w:history="1">
        <w:r w:rsidR="00497670" w:rsidRPr="00045AD1">
          <w:rPr>
            <w:rStyle w:val="Hyperlink"/>
            <w:noProof/>
          </w:rPr>
          <w:t>Table 6: Possible Implementation risks and proposed controls</w:t>
        </w:r>
        <w:r w:rsidR="00497670">
          <w:rPr>
            <w:noProof/>
            <w:webHidden/>
          </w:rPr>
          <w:tab/>
        </w:r>
        <w:r w:rsidR="00497670">
          <w:rPr>
            <w:noProof/>
            <w:webHidden/>
          </w:rPr>
          <w:fldChar w:fldCharType="begin"/>
        </w:r>
        <w:r w:rsidR="00497670">
          <w:rPr>
            <w:noProof/>
            <w:webHidden/>
          </w:rPr>
          <w:instrText xml:space="preserve"> PAGEREF _Toc153795489 \h </w:instrText>
        </w:r>
        <w:r w:rsidR="00497670">
          <w:rPr>
            <w:noProof/>
            <w:webHidden/>
          </w:rPr>
        </w:r>
        <w:r w:rsidR="00497670">
          <w:rPr>
            <w:noProof/>
            <w:webHidden/>
          </w:rPr>
          <w:fldChar w:fldCharType="separate"/>
        </w:r>
        <w:r w:rsidR="00497670">
          <w:rPr>
            <w:noProof/>
            <w:webHidden/>
          </w:rPr>
          <w:t>37</w:t>
        </w:r>
        <w:r w:rsidR="00497670">
          <w:rPr>
            <w:noProof/>
            <w:webHidden/>
          </w:rPr>
          <w:fldChar w:fldCharType="end"/>
        </w:r>
      </w:hyperlink>
    </w:p>
    <w:p w14:paraId="1E87B79C" w14:textId="4F4641E7" w:rsidR="00497670" w:rsidRDefault="00263819">
      <w:pPr>
        <w:pStyle w:val="TableofFigures"/>
        <w:rPr>
          <w:rFonts w:eastAsiaTheme="minorEastAsia"/>
          <w:noProof/>
          <w:color w:val="auto"/>
          <w:kern w:val="0"/>
          <w:szCs w:val="22"/>
          <w:lang w:eastAsia="en-AU"/>
        </w:rPr>
      </w:pPr>
      <w:hyperlink w:anchor="_Toc153795490" w:history="1">
        <w:r w:rsidR="00497670" w:rsidRPr="00045AD1">
          <w:rPr>
            <w:rStyle w:val="Hyperlink"/>
            <w:noProof/>
          </w:rPr>
          <w:t>Table 7: Minimum sound level requirements for AVAS in db(A)</w:t>
        </w:r>
        <w:r w:rsidR="00497670">
          <w:rPr>
            <w:noProof/>
            <w:webHidden/>
          </w:rPr>
          <w:tab/>
        </w:r>
        <w:r w:rsidR="00497670">
          <w:rPr>
            <w:noProof/>
            <w:webHidden/>
          </w:rPr>
          <w:fldChar w:fldCharType="begin"/>
        </w:r>
        <w:r w:rsidR="00497670">
          <w:rPr>
            <w:noProof/>
            <w:webHidden/>
          </w:rPr>
          <w:instrText xml:space="preserve"> PAGEREF _Toc153795490 \h </w:instrText>
        </w:r>
        <w:r w:rsidR="00497670">
          <w:rPr>
            <w:noProof/>
            <w:webHidden/>
          </w:rPr>
        </w:r>
        <w:r w:rsidR="00497670">
          <w:rPr>
            <w:noProof/>
            <w:webHidden/>
          </w:rPr>
          <w:fldChar w:fldCharType="separate"/>
        </w:r>
        <w:r w:rsidR="00497670">
          <w:rPr>
            <w:noProof/>
            <w:webHidden/>
          </w:rPr>
          <w:t>49</w:t>
        </w:r>
        <w:r w:rsidR="00497670">
          <w:rPr>
            <w:noProof/>
            <w:webHidden/>
          </w:rPr>
          <w:fldChar w:fldCharType="end"/>
        </w:r>
      </w:hyperlink>
    </w:p>
    <w:p w14:paraId="579BB0F0" w14:textId="4AA02EAD" w:rsidR="00497670" w:rsidRDefault="00263819">
      <w:pPr>
        <w:pStyle w:val="TableofFigures"/>
        <w:rPr>
          <w:rFonts w:eastAsiaTheme="minorEastAsia"/>
          <w:noProof/>
          <w:color w:val="auto"/>
          <w:kern w:val="0"/>
          <w:szCs w:val="22"/>
          <w:lang w:eastAsia="en-AU"/>
        </w:rPr>
      </w:pPr>
      <w:hyperlink w:anchor="_Toc153795491" w:history="1">
        <w:r w:rsidR="00497670" w:rsidRPr="00045AD1">
          <w:rPr>
            <w:rStyle w:val="Hyperlink"/>
            <w:noProof/>
          </w:rPr>
          <w:t>Figure 7: New light vehicle registrations in Australia, 1969 to 2019</w:t>
        </w:r>
        <w:r w:rsidR="00497670">
          <w:rPr>
            <w:noProof/>
            <w:webHidden/>
          </w:rPr>
          <w:tab/>
        </w:r>
        <w:r w:rsidR="00497670">
          <w:rPr>
            <w:noProof/>
            <w:webHidden/>
          </w:rPr>
          <w:fldChar w:fldCharType="begin"/>
        </w:r>
        <w:r w:rsidR="00497670">
          <w:rPr>
            <w:noProof/>
            <w:webHidden/>
          </w:rPr>
          <w:instrText xml:space="preserve"> PAGEREF _Toc153795491 \h </w:instrText>
        </w:r>
        <w:r w:rsidR="00497670">
          <w:rPr>
            <w:noProof/>
            <w:webHidden/>
          </w:rPr>
        </w:r>
        <w:r w:rsidR="00497670">
          <w:rPr>
            <w:noProof/>
            <w:webHidden/>
          </w:rPr>
          <w:fldChar w:fldCharType="separate"/>
        </w:r>
        <w:r w:rsidR="00497670">
          <w:rPr>
            <w:noProof/>
            <w:webHidden/>
          </w:rPr>
          <w:t>51</w:t>
        </w:r>
        <w:r w:rsidR="00497670">
          <w:rPr>
            <w:noProof/>
            <w:webHidden/>
          </w:rPr>
          <w:fldChar w:fldCharType="end"/>
        </w:r>
      </w:hyperlink>
    </w:p>
    <w:p w14:paraId="0ADFDC27" w14:textId="2A59D5A8" w:rsidR="00497670" w:rsidRDefault="00263819">
      <w:pPr>
        <w:pStyle w:val="TableofFigures"/>
        <w:rPr>
          <w:rFonts w:eastAsiaTheme="minorEastAsia"/>
          <w:noProof/>
          <w:color w:val="auto"/>
          <w:kern w:val="0"/>
          <w:szCs w:val="22"/>
          <w:lang w:eastAsia="en-AU"/>
        </w:rPr>
      </w:pPr>
      <w:hyperlink w:anchor="_Toc153795492" w:history="1">
        <w:r w:rsidR="00497670" w:rsidRPr="00045AD1">
          <w:rPr>
            <w:rStyle w:val="Hyperlink"/>
            <w:noProof/>
          </w:rPr>
          <w:t>Figure 8: Pedestrian crash frequency by age of vehicle</w:t>
        </w:r>
        <w:r w:rsidR="00497670">
          <w:rPr>
            <w:noProof/>
            <w:webHidden/>
          </w:rPr>
          <w:tab/>
        </w:r>
        <w:r w:rsidR="00497670">
          <w:rPr>
            <w:noProof/>
            <w:webHidden/>
          </w:rPr>
          <w:fldChar w:fldCharType="begin"/>
        </w:r>
        <w:r w:rsidR="00497670">
          <w:rPr>
            <w:noProof/>
            <w:webHidden/>
          </w:rPr>
          <w:instrText xml:space="preserve"> PAGEREF _Toc153795492 \h </w:instrText>
        </w:r>
        <w:r w:rsidR="00497670">
          <w:rPr>
            <w:noProof/>
            <w:webHidden/>
          </w:rPr>
        </w:r>
        <w:r w:rsidR="00497670">
          <w:rPr>
            <w:noProof/>
            <w:webHidden/>
          </w:rPr>
          <w:fldChar w:fldCharType="separate"/>
        </w:r>
        <w:r w:rsidR="00497670">
          <w:rPr>
            <w:noProof/>
            <w:webHidden/>
          </w:rPr>
          <w:t>52</w:t>
        </w:r>
        <w:r w:rsidR="00497670">
          <w:rPr>
            <w:noProof/>
            <w:webHidden/>
          </w:rPr>
          <w:fldChar w:fldCharType="end"/>
        </w:r>
      </w:hyperlink>
    </w:p>
    <w:p w14:paraId="490D8C66" w14:textId="11A00039" w:rsidR="00497670" w:rsidRDefault="00263819">
      <w:pPr>
        <w:pStyle w:val="TableofFigures"/>
        <w:rPr>
          <w:rFonts w:eastAsiaTheme="minorEastAsia"/>
          <w:noProof/>
          <w:color w:val="auto"/>
          <w:kern w:val="0"/>
          <w:szCs w:val="22"/>
          <w:lang w:eastAsia="en-AU"/>
        </w:rPr>
      </w:pPr>
      <w:hyperlink w:anchor="_Toc153795493" w:history="1">
        <w:r w:rsidR="00497670" w:rsidRPr="00045AD1">
          <w:rPr>
            <w:rStyle w:val="Hyperlink"/>
            <w:noProof/>
          </w:rPr>
          <w:t>Figure 9: Casualty crash likelihood with vehicle age</w:t>
        </w:r>
        <w:r w:rsidR="00497670">
          <w:rPr>
            <w:noProof/>
            <w:webHidden/>
          </w:rPr>
          <w:tab/>
        </w:r>
        <w:r w:rsidR="00497670">
          <w:rPr>
            <w:noProof/>
            <w:webHidden/>
          </w:rPr>
          <w:fldChar w:fldCharType="begin"/>
        </w:r>
        <w:r w:rsidR="00497670">
          <w:rPr>
            <w:noProof/>
            <w:webHidden/>
          </w:rPr>
          <w:instrText xml:space="preserve"> PAGEREF _Toc153795493 \h </w:instrText>
        </w:r>
        <w:r w:rsidR="00497670">
          <w:rPr>
            <w:noProof/>
            <w:webHidden/>
          </w:rPr>
        </w:r>
        <w:r w:rsidR="00497670">
          <w:rPr>
            <w:noProof/>
            <w:webHidden/>
          </w:rPr>
          <w:fldChar w:fldCharType="separate"/>
        </w:r>
        <w:r w:rsidR="00497670">
          <w:rPr>
            <w:noProof/>
            <w:webHidden/>
          </w:rPr>
          <w:t>52</w:t>
        </w:r>
        <w:r w:rsidR="00497670">
          <w:rPr>
            <w:noProof/>
            <w:webHidden/>
          </w:rPr>
          <w:fldChar w:fldCharType="end"/>
        </w:r>
      </w:hyperlink>
    </w:p>
    <w:p w14:paraId="27D002CB" w14:textId="15662436" w:rsidR="00497670" w:rsidRDefault="00263819">
      <w:pPr>
        <w:pStyle w:val="TableofFigures"/>
        <w:rPr>
          <w:rFonts w:eastAsiaTheme="minorEastAsia"/>
          <w:noProof/>
          <w:color w:val="auto"/>
          <w:kern w:val="0"/>
          <w:szCs w:val="22"/>
          <w:lang w:eastAsia="en-AU"/>
        </w:rPr>
      </w:pPr>
      <w:hyperlink w:anchor="_Toc153795494" w:history="1">
        <w:r w:rsidR="00497670" w:rsidRPr="00045AD1">
          <w:rPr>
            <w:rStyle w:val="Hyperlink"/>
            <w:noProof/>
          </w:rPr>
          <w:t>Figure 10: Projected New QRTV sales by year</w:t>
        </w:r>
        <w:r w:rsidR="00497670">
          <w:rPr>
            <w:noProof/>
            <w:webHidden/>
          </w:rPr>
          <w:tab/>
        </w:r>
        <w:r w:rsidR="00497670">
          <w:rPr>
            <w:noProof/>
            <w:webHidden/>
          </w:rPr>
          <w:fldChar w:fldCharType="begin"/>
        </w:r>
        <w:r w:rsidR="00497670">
          <w:rPr>
            <w:noProof/>
            <w:webHidden/>
          </w:rPr>
          <w:instrText xml:space="preserve"> PAGEREF _Toc153795494 \h </w:instrText>
        </w:r>
        <w:r w:rsidR="00497670">
          <w:rPr>
            <w:noProof/>
            <w:webHidden/>
          </w:rPr>
        </w:r>
        <w:r w:rsidR="00497670">
          <w:rPr>
            <w:noProof/>
            <w:webHidden/>
          </w:rPr>
          <w:fldChar w:fldCharType="separate"/>
        </w:r>
        <w:r w:rsidR="00497670">
          <w:rPr>
            <w:noProof/>
            <w:webHidden/>
          </w:rPr>
          <w:t>53</w:t>
        </w:r>
        <w:r w:rsidR="00497670">
          <w:rPr>
            <w:noProof/>
            <w:webHidden/>
          </w:rPr>
          <w:fldChar w:fldCharType="end"/>
        </w:r>
      </w:hyperlink>
    </w:p>
    <w:p w14:paraId="7207E223" w14:textId="1B442940" w:rsidR="00497670" w:rsidRDefault="00263819">
      <w:pPr>
        <w:pStyle w:val="TableofFigures"/>
        <w:rPr>
          <w:rFonts w:eastAsiaTheme="minorEastAsia"/>
          <w:noProof/>
          <w:color w:val="auto"/>
          <w:kern w:val="0"/>
          <w:szCs w:val="22"/>
          <w:lang w:eastAsia="en-AU"/>
        </w:rPr>
      </w:pPr>
      <w:hyperlink w:anchor="_Toc153795495" w:history="1">
        <w:r w:rsidR="00497670" w:rsidRPr="00045AD1">
          <w:rPr>
            <w:rStyle w:val="Hyperlink"/>
            <w:noProof/>
          </w:rPr>
          <w:t>Figure 11: Projected AVAS fitment rate under Option 1, 2 ,3a and 3b</w:t>
        </w:r>
        <w:r w:rsidR="00497670">
          <w:rPr>
            <w:noProof/>
            <w:webHidden/>
          </w:rPr>
          <w:tab/>
        </w:r>
        <w:r w:rsidR="00497670">
          <w:rPr>
            <w:noProof/>
            <w:webHidden/>
          </w:rPr>
          <w:fldChar w:fldCharType="begin"/>
        </w:r>
        <w:r w:rsidR="00497670">
          <w:rPr>
            <w:noProof/>
            <w:webHidden/>
          </w:rPr>
          <w:instrText xml:space="preserve"> PAGEREF _Toc153795495 \h </w:instrText>
        </w:r>
        <w:r w:rsidR="00497670">
          <w:rPr>
            <w:noProof/>
            <w:webHidden/>
          </w:rPr>
        </w:r>
        <w:r w:rsidR="00497670">
          <w:rPr>
            <w:noProof/>
            <w:webHidden/>
          </w:rPr>
          <w:fldChar w:fldCharType="separate"/>
        </w:r>
        <w:r w:rsidR="00497670">
          <w:rPr>
            <w:noProof/>
            <w:webHidden/>
          </w:rPr>
          <w:t>54</w:t>
        </w:r>
        <w:r w:rsidR="00497670">
          <w:rPr>
            <w:noProof/>
            <w:webHidden/>
          </w:rPr>
          <w:fldChar w:fldCharType="end"/>
        </w:r>
      </w:hyperlink>
    </w:p>
    <w:p w14:paraId="337B41FD" w14:textId="19B3CF44" w:rsidR="00497670" w:rsidRDefault="00263819">
      <w:pPr>
        <w:pStyle w:val="TableofFigures"/>
        <w:rPr>
          <w:rFonts w:eastAsiaTheme="minorEastAsia"/>
          <w:noProof/>
          <w:color w:val="auto"/>
          <w:kern w:val="0"/>
          <w:szCs w:val="22"/>
          <w:lang w:eastAsia="en-AU"/>
        </w:rPr>
      </w:pPr>
      <w:hyperlink w:anchor="_Toc153795496" w:history="1">
        <w:r w:rsidR="00497670" w:rsidRPr="00045AD1">
          <w:rPr>
            <w:rStyle w:val="Hyperlink"/>
            <w:noProof/>
          </w:rPr>
          <w:t>Table 8: Increase in fitment of AVAS due to Option 2, 3a and 3b</w:t>
        </w:r>
        <w:r w:rsidR="00497670">
          <w:rPr>
            <w:noProof/>
            <w:webHidden/>
          </w:rPr>
          <w:tab/>
        </w:r>
        <w:r w:rsidR="00497670">
          <w:rPr>
            <w:noProof/>
            <w:webHidden/>
          </w:rPr>
          <w:fldChar w:fldCharType="begin"/>
        </w:r>
        <w:r w:rsidR="00497670">
          <w:rPr>
            <w:noProof/>
            <w:webHidden/>
          </w:rPr>
          <w:instrText xml:space="preserve"> PAGEREF _Toc153795496 \h </w:instrText>
        </w:r>
        <w:r w:rsidR="00497670">
          <w:rPr>
            <w:noProof/>
            <w:webHidden/>
          </w:rPr>
        </w:r>
        <w:r w:rsidR="00497670">
          <w:rPr>
            <w:noProof/>
            <w:webHidden/>
          </w:rPr>
          <w:fldChar w:fldCharType="separate"/>
        </w:r>
        <w:r w:rsidR="00497670">
          <w:rPr>
            <w:noProof/>
            <w:webHidden/>
          </w:rPr>
          <w:t>54</w:t>
        </w:r>
        <w:r w:rsidR="00497670">
          <w:rPr>
            <w:noProof/>
            <w:webHidden/>
          </w:rPr>
          <w:fldChar w:fldCharType="end"/>
        </w:r>
      </w:hyperlink>
    </w:p>
    <w:p w14:paraId="1A9F68B2" w14:textId="01C374F6" w:rsidR="00497670" w:rsidRDefault="00263819">
      <w:pPr>
        <w:pStyle w:val="TableofFigures"/>
        <w:rPr>
          <w:rFonts w:eastAsiaTheme="minorEastAsia"/>
          <w:noProof/>
          <w:color w:val="auto"/>
          <w:kern w:val="0"/>
          <w:szCs w:val="22"/>
          <w:lang w:eastAsia="en-AU"/>
        </w:rPr>
      </w:pPr>
      <w:hyperlink w:anchor="_Toc153795497" w:history="1">
        <w:r w:rsidR="00497670" w:rsidRPr="00045AD1">
          <w:rPr>
            <w:rStyle w:val="Hyperlink"/>
            <w:noProof/>
          </w:rPr>
          <w:t>Table 9: Additional fitment cost for Option 2, 3a and 3b</w:t>
        </w:r>
        <w:r w:rsidR="00497670">
          <w:rPr>
            <w:noProof/>
            <w:webHidden/>
          </w:rPr>
          <w:tab/>
        </w:r>
        <w:r w:rsidR="00497670">
          <w:rPr>
            <w:noProof/>
            <w:webHidden/>
          </w:rPr>
          <w:fldChar w:fldCharType="begin"/>
        </w:r>
        <w:r w:rsidR="00497670">
          <w:rPr>
            <w:noProof/>
            <w:webHidden/>
          </w:rPr>
          <w:instrText xml:space="preserve"> PAGEREF _Toc153795497 \h </w:instrText>
        </w:r>
        <w:r w:rsidR="00497670">
          <w:rPr>
            <w:noProof/>
            <w:webHidden/>
          </w:rPr>
        </w:r>
        <w:r w:rsidR="00497670">
          <w:rPr>
            <w:noProof/>
            <w:webHidden/>
          </w:rPr>
          <w:fldChar w:fldCharType="separate"/>
        </w:r>
        <w:r w:rsidR="00497670">
          <w:rPr>
            <w:noProof/>
            <w:webHidden/>
          </w:rPr>
          <w:t>56</w:t>
        </w:r>
        <w:r w:rsidR="00497670">
          <w:rPr>
            <w:noProof/>
            <w:webHidden/>
          </w:rPr>
          <w:fldChar w:fldCharType="end"/>
        </w:r>
      </w:hyperlink>
    </w:p>
    <w:p w14:paraId="708029B6" w14:textId="550450A1" w:rsidR="00497670" w:rsidRDefault="00263819">
      <w:pPr>
        <w:pStyle w:val="TableofFigures"/>
        <w:rPr>
          <w:rFonts w:eastAsiaTheme="minorEastAsia"/>
          <w:noProof/>
          <w:color w:val="auto"/>
          <w:kern w:val="0"/>
          <w:szCs w:val="22"/>
          <w:lang w:eastAsia="en-AU"/>
        </w:rPr>
      </w:pPr>
      <w:hyperlink w:anchor="_Toc153795498" w:history="1">
        <w:r w:rsidR="00497670" w:rsidRPr="00045AD1">
          <w:rPr>
            <w:rStyle w:val="Hyperlink"/>
            <w:noProof/>
          </w:rPr>
          <w:t>Table 10: Expected reduction in casualty crashes under Option 2</w:t>
        </w:r>
        <w:r w:rsidR="00497670">
          <w:rPr>
            <w:noProof/>
            <w:webHidden/>
          </w:rPr>
          <w:tab/>
        </w:r>
        <w:r w:rsidR="00497670">
          <w:rPr>
            <w:noProof/>
            <w:webHidden/>
          </w:rPr>
          <w:fldChar w:fldCharType="begin"/>
        </w:r>
        <w:r w:rsidR="00497670">
          <w:rPr>
            <w:noProof/>
            <w:webHidden/>
          </w:rPr>
          <w:instrText xml:space="preserve"> PAGEREF _Toc153795498 \h </w:instrText>
        </w:r>
        <w:r w:rsidR="00497670">
          <w:rPr>
            <w:noProof/>
            <w:webHidden/>
          </w:rPr>
        </w:r>
        <w:r w:rsidR="00497670">
          <w:rPr>
            <w:noProof/>
            <w:webHidden/>
          </w:rPr>
          <w:fldChar w:fldCharType="separate"/>
        </w:r>
        <w:r w:rsidR="00497670">
          <w:rPr>
            <w:noProof/>
            <w:webHidden/>
          </w:rPr>
          <w:t>57</w:t>
        </w:r>
        <w:r w:rsidR="00497670">
          <w:rPr>
            <w:noProof/>
            <w:webHidden/>
          </w:rPr>
          <w:fldChar w:fldCharType="end"/>
        </w:r>
      </w:hyperlink>
    </w:p>
    <w:p w14:paraId="7FCD1C08" w14:textId="15D3E643" w:rsidR="00497670" w:rsidRDefault="00263819">
      <w:pPr>
        <w:pStyle w:val="TableofFigures"/>
        <w:rPr>
          <w:rFonts w:eastAsiaTheme="minorEastAsia"/>
          <w:noProof/>
          <w:color w:val="auto"/>
          <w:kern w:val="0"/>
          <w:szCs w:val="22"/>
          <w:lang w:eastAsia="en-AU"/>
        </w:rPr>
      </w:pPr>
      <w:hyperlink w:anchor="_Toc153795499" w:history="1">
        <w:r w:rsidR="00497670" w:rsidRPr="00045AD1">
          <w:rPr>
            <w:rStyle w:val="Hyperlink"/>
            <w:noProof/>
          </w:rPr>
          <w:t>Table 11: Expected reduction in casualty crashes under Option 3a</w:t>
        </w:r>
        <w:r w:rsidR="00497670">
          <w:rPr>
            <w:noProof/>
            <w:webHidden/>
          </w:rPr>
          <w:tab/>
        </w:r>
        <w:r w:rsidR="00497670">
          <w:rPr>
            <w:noProof/>
            <w:webHidden/>
          </w:rPr>
          <w:fldChar w:fldCharType="begin"/>
        </w:r>
        <w:r w:rsidR="00497670">
          <w:rPr>
            <w:noProof/>
            <w:webHidden/>
          </w:rPr>
          <w:instrText xml:space="preserve"> PAGEREF _Toc153795499 \h </w:instrText>
        </w:r>
        <w:r w:rsidR="00497670">
          <w:rPr>
            <w:noProof/>
            <w:webHidden/>
          </w:rPr>
        </w:r>
        <w:r w:rsidR="00497670">
          <w:rPr>
            <w:noProof/>
            <w:webHidden/>
          </w:rPr>
          <w:fldChar w:fldCharType="separate"/>
        </w:r>
        <w:r w:rsidR="00497670">
          <w:rPr>
            <w:noProof/>
            <w:webHidden/>
          </w:rPr>
          <w:t>58</w:t>
        </w:r>
        <w:r w:rsidR="00497670">
          <w:rPr>
            <w:noProof/>
            <w:webHidden/>
          </w:rPr>
          <w:fldChar w:fldCharType="end"/>
        </w:r>
      </w:hyperlink>
    </w:p>
    <w:p w14:paraId="7AB954EA" w14:textId="66A6430B" w:rsidR="00497670" w:rsidRDefault="00263819">
      <w:pPr>
        <w:pStyle w:val="TableofFigures"/>
        <w:rPr>
          <w:rFonts w:eastAsiaTheme="minorEastAsia"/>
          <w:noProof/>
          <w:color w:val="auto"/>
          <w:kern w:val="0"/>
          <w:szCs w:val="22"/>
          <w:lang w:eastAsia="en-AU"/>
        </w:rPr>
      </w:pPr>
      <w:hyperlink w:anchor="_Toc153795500" w:history="1">
        <w:r w:rsidR="00497670" w:rsidRPr="00045AD1">
          <w:rPr>
            <w:rStyle w:val="Hyperlink"/>
            <w:noProof/>
          </w:rPr>
          <w:t>Table 12: Expected reduction in casualty crashes under Option 3a</w:t>
        </w:r>
        <w:r w:rsidR="00497670">
          <w:rPr>
            <w:noProof/>
            <w:webHidden/>
          </w:rPr>
          <w:tab/>
        </w:r>
        <w:r w:rsidR="00497670">
          <w:rPr>
            <w:noProof/>
            <w:webHidden/>
          </w:rPr>
          <w:fldChar w:fldCharType="begin"/>
        </w:r>
        <w:r w:rsidR="00497670">
          <w:rPr>
            <w:noProof/>
            <w:webHidden/>
          </w:rPr>
          <w:instrText xml:space="preserve"> PAGEREF _Toc153795500 \h </w:instrText>
        </w:r>
        <w:r w:rsidR="00497670">
          <w:rPr>
            <w:noProof/>
            <w:webHidden/>
          </w:rPr>
        </w:r>
        <w:r w:rsidR="00497670">
          <w:rPr>
            <w:noProof/>
            <w:webHidden/>
          </w:rPr>
          <w:fldChar w:fldCharType="separate"/>
        </w:r>
        <w:r w:rsidR="00497670">
          <w:rPr>
            <w:noProof/>
            <w:webHidden/>
          </w:rPr>
          <w:t>59</w:t>
        </w:r>
        <w:r w:rsidR="00497670">
          <w:rPr>
            <w:noProof/>
            <w:webHidden/>
          </w:rPr>
          <w:fldChar w:fldCharType="end"/>
        </w:r>
      </w:hyperlink>
    </w:p>
    <w:p w14:paraId="32FB9882" w14:textId="160EDF9E" w:rsidR="00497670" w:rsidRDefault="00263819">
      <w:pPr>
        <w:pStyle w:val="TableofFigures"/>
        <w:rPr>
          <w:rFonts w:eastAsiaTheme="minorEastAsia"/>
          <w:noProof/>
          <w:color w:val="auto"/>
          <w:kern w:val="0"/>
          <w:szCs w:val="22"/>
          <w:lang w:eastAsia="en-AU"/>
        </w:rPr>
      </w:pPr>
      <w:hyperlink w:anchor="_Toc153795501" w:history="1">
        <w:r w:rsidR="00497670" w:rsidRPr="00045AD1">
          <w:rPr>
            <w:rStyle w:val="Hyperlink"/>
            <w:noProof/>
          </w:rPr>
          <w:t>Table 13: Expected reduction in fatal and serious and minor injury crashes under Option 2, 3a and 3b</w:t>
        </w:r>
        <w:r w:rsidR="00497670">
          <w:rPr>
            <w:noProof/>
            <w:webHidden/>
          </w:rPr>
          <w:tab/>
        </w:r>
        <w:r w:rsidR="00497670">
          <w:rPr>
            <w:noProof/>
            <w:webHidden/>
          </w:rPr>
          <w:fldChar w:fldCharType="begin"/>
        </w:r>
        <w:r w:rsidR="00497670">
          <w:rPr>
            <w:noProof/>
            <w:webHidden/>
          </w:rPr>
          <w:instrText xml:space="preserve"> PAGEREF _Toc153795501 \h </w:instrText>
        </w:r>
        <w:r w:rsidR="00497670">
          <w:rPr>
            <w:noProof/>
            <w:webHidden/>
          </w:rPr>
        </w:r>
        <w:r w:rsidR="00497670">
          <w:rPr>
            <w:noProof/>
            <w:webHidden/>
          </w:rPr>
          <w:fldChar w:fldCharType="separate"/>
        </w:r>
        <w:r w:rsidR="00497670">
          <w:rPr>
            <w:noProof/>
            <w:webHidden/>
          </w:rPr>
          <w:t>60</w:t>
        </w:r>
        <w:r w:rsidR="00497670">
          <w:rPr>
            <w:noProof/>
            <w:webHidden/>
          </w:rPr>
          <w:fldChar w:fldCharType="end"/>
        </w:r>
      </w:hyperlink>
    </w:p>
    <w:p w14:paraId="791684AC" w14:textId="02D22271" w:rsidR="00497670" w:rsidRDefault="00263819">
      <w:pPr>
        <w:pStyle w:val="TableofFigures"/>
        <w:rPr>
          <w:rFonts w:eastAsiaTheme="minorEastAsia"/>
          <w:noProof/>
          <w:color w:val="auto"/>
          <w:kern w:val="0"/>
          <w:szCs w:val="22"/>
          <w:lang w:eastAsia="en-AU"/>
        </w:rPr>
      </w:pPr>
      <w:hyperlink w:anchor="_Toc153795502" w:history="1">
        <w:r w:rsidR="00497670" w:rsidRPr="00045AD1">
          <w:rPr>
            <w:rStyle w:val="Hyperlink"/>
            <w:noProof/>
          </w:rPr>
          <w:t>Table 14: Summary of benefit-cost analysis for Option 2 relative to Option 1</w:t>
        </w:r>
        <w:r w:rsidR="00497670">
          <w:rPr>
            <w:noProof/>
            <w:webHidden/>
          </w:rPr>
          <w:tab/>
        </w:r>
        <w:r w:rsidR="00497670">
          <w:rPr>
            <w:noProof/>
            <w:webHidden/>
          </w:rPr>
          <w:fldChar w:fldCharType="begin"/>
        </w:r>
        <w:r w:rsidR="00497670">
          <w:rPr>
            <w:noProof/>
            <w:webHidden/>
          </w:rPr>
          <w:instrText xml:space="preserve"> PAGEREF _Toc153795502 \h </w:instrText>
        </w:r>
        <w:r w:rsidR="00497670">
          <w:rPr>
            <w:noProof/>
            <w:webHidden/>
          </w:rPr>
        </w:r>
        <w:r w:rsidR="00497670">
          <w:rPr>
            <w:noProof/>
            <w:webHidden/>
          </w:rPr>
          <w:fldChar w:fldCharType="separate"/>
        </w:r>
        <w:r w:rsidR="00497670">
          <w:rPr>
            <w:noProof/>
            <w:webHidden/>
          </w:rPr>
          <w:t>61</w:t>
        </w:r>
        <w:r w:rsidR="00497670">
          <w:rPr>
            <w:noProof/>
            <w:webHidden/>
          </w:rPr>
          <w:fldChar w:fldCharType="end"/>
        </w:r>
      </w:hyperlink>
    </w:p>
    <w:p w14:paraId="5DD9B67A" w14:textId="3C195A20" w:rsidR="00796AB4" w:rsidRDefault="009E5B72" w:rsidP="008163A2">
      <w:pPr>
        <w:tabs>
          <w:tab w:val="left" w:leader="dot" w:pos="9072"/>
        </w:tabs>
        <w:sectPr w:rsidR="00796AB4" w:rsidSect="000E29BE">
          <w:footerReference w:type="default" r:id="rId19"/>
          <w:type w:val="continuous"/>
          <w:pgSz w:w="11906" w:h="16838"/>
          <w:pgMar w:top="1276" w:right="991" w:bottom="1276" w:left="1440" w:header="567" w:footer="0" w:gutter="0"/>
          <w:cols w:space="708"/>
          <w:titlePg/>
          <w:docGrid w:linePitch="360"/>
        </w:sectPr>
      </w:pPr>
      <w:r>
        <w:fldChar w:fldCharType="end"/>
      </w:r>
    </w:p>
    <w:p w14:paraId="043A4B1A" w14:textId="77777777" w:rsidR="00271A50" w:rsidRPr="00930D6A" w:rsidRDefault="00271A50" w:rsidP="00271A50">
      <w:pPr>
        <w:pStyle w:val="Heading2"/>
      </w:pPr>
      <w:bookmarkStart w:id="1" w:name="_Toc128476442"/>
      <w:bookmarkStart w:id="2" w:name="_Toc151556378"/>
      <w:bookmarkStart w:id="3" w:name="_Toc153795385"/>
      <w:r w:rsidRPr="00930D6A">
        <w:lastRenderedPageBreak/>
        <w:t>Executive Summary</w:t>
      </w:r>
      <w:bookmarkEnd w:id="1"/>
      <w:bookmarkEnd w:id="2"/>
      <w:bookmarkEnd w:id="3"/>
    </w:p>
    <w:p w14:paraId="4B5FE3AF" w14:textId="77777777" w:rsidR="00901AD7" w:rsidRPr="00901AD7" w:rsidRDefault="00901AD7" w:rsidP="00901AD7">
      <w:pPr>
        <w:pStyle w:val="Heading3"/>
      </w:pPr>
      <w:bookmarkStart w:id="4" w:name="_Toc151556379"/>
      <w:bookmarkStart w:id="5" w:name="_Toc153795386"/>
      <w:r w:rsidRPr="00901AD7">
        <w:t>Pedestrian collisions</w:t>
      </w:r>
      <w:bookmarkEnd w:id="4"/>
      <w:bookmarkEnd w:id="5"/>
    </w:p>
    <w:p w14:paraId="38AE961A" w14:textId="015D7E53" w:rsidR="00271A50" w:rsidRPr="00B26BBD" w:rsidRDefault="00271A50" w:rsidP="00271A50">
      <w:pPr>
        <w:pStyle w:val="Introduction"/>
        <w:rPr>
          <w:rFonts w:ascii="Calibri" w:hAnsi="Calibri"/>
          <w:color w:val="auto"/>
          <w:kern w:val="0"/>
          <w:sz w:val="22"/>
          <w:szCs w:val="22"/>
          <w:lang w:val="en-AU"/>
        </w:rPr>
      </w:pPr>
      <w:r w:rsidRPr="00B26BBD">
        <w:rPr>
          <w:rFonts w:ascii="Calibri" w:hAnsi="Calibri"/>
          <w:color w:val="auto"/>
          <w:kern w:val="0"/>
          <w:sz w:val="22"/>
          <w:szCs w:val="22"/>
          <w:lang w:val="en-AU"/>
        </w:rPr>
        <w:t xml:space="preserve">On average, over 160 pedestrians die on Australian roads every </w:t>
      </w:r>
      <w:r w:rsidR="008163A2">
        <w:rPr>
          <w:rFonts w:ascii="Calibri" w:hAnsi="Calibri"/>
          <w:color w:val="auto"/>
          <w:kern w:val="0"/>
          <w:sz w:val="22"/>
          <w:szCs w:val="22"/>
          <w:lang w:val="en-AU"/>
        </w:rPr>
        <w:t>year.</w:t>
      </w:r>
      <w:r w:rsidR="00653988" w:rsidRPr="00A12393">
        <w:rPr>
          <w:vertAlign w:val="superscript"/>
        </w:rPr>
        <w:footnoteReference w:id="2"/>
      </w:r>
      <w:r w:rsidRPr="00B26BBD">
        <w:rPr>
          <w:rFonts w:ascii="Calibri" w:hAnsi="Calibri"/>
          <w:color w:val="auto"/>
          <w:kern w:val="0"/>
          <w:sz w:val="22"/>
          <w:szCs w:val="22"/>
          <w:lang w:val="en-AU"/>
        </w:rPr>
        <w:t xml:space="preserve"> Thousands more are injured.</w:t>
      </w:r>
    </w:p>
    <w:p w14:paraId="1CC14202" w14:textId="77777777" w:rsidR="00271A50" w:rsidRPr="00930D6A" w:rsidRDefault="00271A50" w:rsidP="00271A50">
      <w:r w:rsidRPr="00930D6A">
        <w:t xml:space="preserve">The impact of </w:t>
      </w:r>
      <w:r>
        <w:t>pedestrian road crashes</w:t>
      </w:r>
      <w:r w:rsidRPr="00930D6A">
        <w:t xml:space="preserve"> is significant, costing the Australian community over $1.2 billion each year. For those involved in these crashes and their families, there is an immeasurable personal cost.</w:t>
      </w:r>
    </w:p>
    <w:p w14:paraId="3D0E030B" w14:textId="3465612D" w:rsidR="00271A50" w:rsidRPr="00930D6A" w:rsidRDefault="00271A50" w:rsidP="00271A50">
      <w:r w:rsidRPr="00930D6A">
        <w:t xml:space="preserve">This </w:t>
      </w:r>
      <w:r>
        <w:t>Impact Analysis</w:t>
      </w:r>
      <w:r w:rsidRPr="00930D6A">
        <w:t xml:space="preserve"> focuses on a specific pedestrian safety problem relating to </w:t>
      </w:r>
      <w:r w:rsidR="005207EA">
        <w:t>quiet road transport</w:t>
      </w:r>
      <w:r w:rsidRPr="00930D6A">
        <w:t xml:space="preserve"> vehicles</w:t>
      </w:r>
      <w:r w:rsidR="005207EA">
        <w:t xml:space="preserve"> (QRTV</w:t>
      </w:r>
      <w:r w:rsidR="00AB7B59">
        <w:t>s</w:t>
      </w:r>
      <w:r w:rsidR="005207EA">
        <w:t>)</w:t>
      </w:r>
      <w:r w:rsidRPr="00930D6A">
        <w:rPr>
          <w:rStyle w:val="FootnoteReference"/>
        </w:rPr>
        <w:footnoteReference w:id="3"/>
      </w:r>
      <w:r w:rsidRPr="00930D6A">
        <w:t xml:space="preserve">. </w:t>
      </w:r>
      <w:r w:rsidR="005207EA">
        <w:t xml:space="preserve">These vehicles </w:t>
      </w:r>
      <w:r w:rsidRPr="00930D6A">
        <w:t xml:space="preserve">are typically very quiet at low speeds, when tyre and wind noise is negligible, </w:t>
      </w:r>
      <w:r w:rsidR="005207EA">
        <w:t>which</w:t>
      </w:r>
      <w:r>
        <w:t xml:space="preserve"> can </w:t>
      </w:r>
      <w:r w:rsidR="005207EA">
        <w:t>make it</w:t>
      </w:r>
      <w:r>
        <w:t xml:space="preserve"> difficult for pedestrians</w:t>
      </w:r>
      <w:r w:rsidR="005207EA">
        <w:t>, particularly those with low vision</w:t>
      </w:r>
      <w:r>
        <w:t xml:space="preserve"> to hear these vehicles, increasing the risk of a collision.</w:t>
      </w:r>
      <w:r w:rsidR="004D4146">
        <w:t xml:space="preserve"> QRTV</w:t>
      </w:r>
      <w:r w:rsidR="00AB7B59">
        <w:t>s</w:t>
      </w:r>
      <w:r w:rsidR="004D4146">
        <w:t xml:space="preserve"> </w:t>
      </w:r>
      <w:r w:rsidR="008163A2">
        <w:t xml:space="preserve">mainly </w:t>
      </w:r>
      <w:r w:rsidR="004D4146">
        <w:t>co</w:t>
      </w:r>
      <w:r w:rsidR="008163A2">
        <w:t>mprise</w:t>
      </w:r>
      <w:r w:rsidR="004D4146">
        <w:t xml:space="preserve"> electric and hybrid vehicles, </w:t>
      </w:r>
      <w:r w:rsidR="008163A2">
        <w:t>which a</w:t>
      </w:r>
      <w:r w:rsidR="00773CB1">
        <w:t>re</w:t>
      </w:r>
      <w:r w:rsidR="008163A2">
        <w:t xml:space="preserve"> growing in number, </w:t>
      </w:r>
      <w:r w:rsidR="004D4146">
        <w:t>as Australia continues to decarbonise its road transport sector</w:t>
      </w:r>
      <w:r w:rsidR="008163A2">
        <w:t>.</w:t>
      </w:r>
    </w:p>
    <w:p w14:paraId="5D979F4D" w14:textId="77777777" w:rsidR="008F6E0C" w:rsidRDefault="00271A50" w:rsidP="006A7C83">
      <w:pPr>
        <w:spacing w:before="120"/>
      </w:pPr>
      <w:r w:rsidRPr="005207EA">
        <w:t>This is a particular issue for the blind and</w:t>
      </w:r>
      <w:r w:rsidR="00AA2B7A" w:rsidRPr="005207EA">
        <w:t xml:space="preserve"> low vision community</w:t>
      </w:r>
      <w:r w:rsidRPr="005207EA">
        <w:t xml:space="preserve">, given their reliance on sound to negotiate the road network independently. A </w:t>
      </w:r>
      <w:r w:rsidR="00C93FE4" w:rsidRPr="005207EA">
        <w:t xml:space="preserve">2018 </w:t>
      </w:r>
      <w:r w:rsidRPr="005207EA">
        <w:t>survey by the Monash University Accident Research Centre (MUARC)</w:t>
      </w:r>
      <w:r w:rsidR="007D7FE5" w:rsidRPr="005207EA">
        <w:t>, commissioned by Vision Australia,</w:t>
      </w:r>
      <w:r w:rsidRPr="005207EA">
        <w:t xml:space="preserve"> found that people in this community had an increased feeling of vulnerability on roads due to electric vehicles, with 35</w:t>
      </w:r>
      <w:r w:rsidR="00AA2B7A" w:rsidRPr="005207EA">
        <w:t>%</w:t>
      </w:r>
      <w:r w:rsidRPr="005207EA">
        <w:t xml:space="preserve"> of those who </w:t>
      </w:r>
      <w:r w:rsidR="00C5114B" w:rsidRPr="005207EA">
        <w:t xml:space="preserve">responded to </w:t>
      </w:r>
      <w:r w:rsidRPr="005207EA">
        <w:t>the survey reporting that they had experienced either a collision or near-collision with an electric vehicle.</w:t>
      </w:r>
      <w:r w:rsidR="00B403CC" w:rsidRPr="005207EA">
        <w:t xml:space="preserve"> </w:t>
      </w:r>
      <w:r w:rsidR="007D7FE5" w:rsidRPr="005207EA">
        <w:t xml:space="preserve">A follow-up survey by </w:t>
      </w:r>
      <w:r w:rsidR="0012076E" w:rsidRPr="005207EA">
        <w:t xml:space="preserve">Vision Australia in 2023 </w:t>
      </w:r>
      <w:r w:rsidR="00C5114B" w:rsidRPr="005207EA">
        <w:t xml:space="preserve">found that the proportion of respondents </w:t>
      </w:r>
      <w:r w:rsidR="007B49E8" w:rsidRPr="005207EA">
        <w:t>who had experienced a collision or near-collision with an electric vehicle had risen to over 50</w:t>
      </w:r>
      <w:r w:rsidR="00AA2B7A" w:rsidRPr="005207EA">
        <w:t>%</w:t>
      </w:r>
      <w:r w:rsidR="007D7D5F" w:rsidRPr="005207EA">
        <w:t>.</w:t>
      </w:r>
    </w:p>
    <w:p w14:paraId="1CC732CD" w14:textId="77777777" w:rsidR="00901AD7" w:rsidRDefault="00901AD7" w:rsidP="00901AD7">
      <w:pPr>
        <w:pStyle w:val="Heading3"/>
      </w:pPr>
      <w:bookmarkStart w:id="6" w:name="_Toc151556380"/>
      <w:bookmarkStart w:id="7" w:name="_Toc153795387"/>
      <w:r>
        <w:t>Acoustic Vehicle Alerting Systems</w:t>
      </w:r>
      <w:bookmarkEnd w:id="6"/>
      <w:bookmarkEnd w:id="7"/>
      <w:r>
        <w:t xml:space="preserve"> </w:t>
      </w:r>
    </w:p>
    <w:p w14:paraId="20F4B68B" w14:textId="77777777" w:rsidR="00271A50" w:rsidRPr="00930D6A" w:rsidRDefault="004322C0" w:rsidP="00764B23">
      <w:pPr>
        <w:spacing w:before="120"/>
      </w:pPr>
      <w:r>
        <w:t>Over the past 10 or so years t</w:t>
      </w:r>
      <w:r w:rsidR="00A14999">
        <w:t>here has been global action to address the pedestrian safety conce</w:t>
      </w:r>
      <w:r>
        <w:t>rns of quiet electric vehicles.</w:t>
      </w:r>
      <w:r w:rsidR="002A1D85">
        <w:t xml:space="preserve"> Most major vehicle markets, </w:t>
      </w:r>
      <w:r w:rsidR="00271A50" w:rsidRPr="00930D6A">
        <w:t xml:space="preserve">including the </w:t>
      </w:r>
      <w:r w:rsidR="00271A50">
        <w:t>European Union</w:t>
      </w:r>
      <w:r w:rsidR="00271A50" w:rsidRPr="00930D6A">
        <w:t>,</w:t>
      </w:r>
      <w:r w:rsidR="00271A50">
        <w:t xml:space="preserve"> United Kingdom,</w:t>
      </w:r>
      <w:r w:rsidR="00271A50" w:rsidRPr="00930D6A">
        <w:t xml:space="preserve"> Japan, Korea, China and the U</w:t>
      </w:r>
      <w:r w:rsidR="00271A50">
        <w:t xml:space="preserve">nited </w:t>
      </w:r>
      <w:r w:rsidR="00271A50" w:rsidRPr="00930D6A">
        <w:t>S</w:t>
      </w:r>
      <w:r w:rsidR="00271A50">
        <w:t>tates</w:t>
      </w:r>
      <w:r w:rsidR="00271A50" w:rsidRPr="00930D6A">
        <w:t xml:space="preserve">, have </w:t>
      </w:r>
      <w:r w:rsidR="003D27FC">
        <w:t xml:space="preserve">already </w:t>
      </w:r>
      <w:r w:rsidR="00271A50" w:rsidRPr="00930D6A">
        <w:t xml:space="preserve">mandated the fitment of Acoustic Vehicle Alerting Systems (AVAS) to </w:t>
      </w:r>
      <w:r w:rsidR="00271A50">
        <w:t xml:space="preserve">their </w:t>
      </w:r>
      <w:r w:rsidR="00271A50" w:rsidRPr="00930D6A">
        <w:t>electric vehicles. These systems are designed to emit a sound external to the vehicle</w:t>
      </w:r>
      <w:r w:rsidR="00BB0B07">
        <w:t>, when the vehicle is travelling at low speeds,</w:t>
      </w:r>
      <w:r w:rsidR="00271A50" w:rsidRPr="00930D6A">
        <w:t xml:space="preserve"> that must be able to be detected by pedestrians.</w:t>
      </w:r>
    </w:p>
    <w:p w14:paraId="670BC4B1" w14:textId="77777777" w:rsidR="00271A50" w:rsidRPr="00930D6A" w:rsidRDefault="00271A50" w:rsidP="00271A50">
      <w:r w:rsidRPr="00930D6A">
        <w:t>The United Nations (UN) World Forum for the Harmonization of Vehicle Regulations</w:t>
      </w:r>
      <w:r>
        <w:t xml:space="preserve"> (WP.29)</w:t>
      </w:r>
      <w:r w:rsidRPr="00930D6A">
        <w:t xml:space="preserve"> has established an international </w:t>
      </w:r>
      <w:r>
        <w:t xml:space="preserve">vehicle </w:t>
      </w:r>
      <w:r w:rsidRPr="00930D6A">
        <w:t>regulation for AVAS, known as UN</w:t>
      </w:r>
      <w:r>
        <w:t> </w:t>
      </w:r>
      <w:r w:rsidRPr="00930D6A">
        <w:t>Regulation 138/01 – Uniform Provisions Concerning the Approval of Quiet Road Transport Vehicles with Regard to their Reduced Audibility (UN R138/01).</w:t>
      </w:r>
    </w:p>
    <w:p w14:paraId="49859E1B" w14:textId="77777777" w:rsidR="009C5E51" w:rsidRDefault="00271A50" w:rsidP="00271A50">
      <w:r w:rsidRPr="00930D6A">
        <w:t xml:space="preserve">The Australian Government has a strong history of </w:t>
      </w:r>
      <w:r w:rsidR="00E956C9" w:rsidRPr="00930D6A">
        <w:t>acting</w:t>
      </w:r>
      <w:r w:rsidRPr="00930D6A">
        <w:t xml:space="preserve"> to improve road safety. One of its key actions is setting mandatory national vehicle standards, known as the Australian Design Rules (ADRs), under the </w:t>
      </w:r>
      <w:r w:rsidRPr="35E123EC">
        <w:rPr>
          <w:i/>
        </w:rPr>
        <w:t>Road Vehicle Standards Act 2018</w:t>
      </w:r>
      <w:r w:rsidRPr="00930D6A">
        <w:t xml:space="preserve"> (RVSA). Where possible, the ADRs are harmonised with international vehicle regulations, as developed through the UN.</w:t>
      </w:r>
    </w:p>
    <w:p w14:paraId="260F498D" w14:textId="77777777" w:rsidR="007A09B7" w:rsidRDefault="00901AD7" w:rsidP="007843CE">
      <w:pPr>
        <w:pStyle w:val="Heading3"/>
      </w:pPr>
      <w:bookmarkStart w:id="8" w:name="_Toc151556381"/>
      <w:bookmarkStart w:id="9" w:name="_Toc153795388"/>
      <w:r>
        <w:lastRenderedPageBreak/>
        <w:t>Public comment</w:t>
      </w:r>
      <w:bookmarkEnd w:id="8"/>
      <w:bookmarkEnd w:id="9"/>
    </w:p>
    <w:p w14:paraId="33857499" w14:textId="52E0166B" w:rsidR="000F4F36" w:rsidRDefault="00FA27D4" w:rsidP="00CC14A8">
      <w:pPr>
        <w:keepNext/>
        <w:keepLines/>
      </w:pPr>
      <w:r>
        <w:t xml:space="preserve">On </w:t>
      </w:r>
      <w:r w:rsidR="000F4F36" w:rsidRPr="00BB7B92">
        <w:t>28 March 2023</w:t>
      </w:r>
      <w:r w:rsidR="000F4F36" w:rsidRPr="0003567F">
        <w:t>, the Government released a draft Impact Analysis for public consultation that explored the potential costs and</w:t>
      </w:r>
      <w:r w:rsidR="000F4F36">
        <w:t xml:space="preserve"> benefits of mandating </w:t>
      </w:r>
      <w:bookmarkStart w:id="10" w:name="_Hlk151044310"/>
      <w:r w:rsidR="007F3BEA">
        <w:t xml:space="preserve">UN R138/01 </w:t>
      </w:r>
      <w:bookmarkEnd w:id="10"/>
      <w:r w:rsidR="007F3BEA">
        <w:t>as a new ADR</w:t>
      </w:r>
      <w:r w:rsidR="00022239">
        <w:t>, phased in from 2025 to 2026</w:t>
      </w:r>
      <w:r w:rsidR="007F3BEA">
        <w:t>.</w:t>
      </w:r>
      <w:r w:rsidR="003031A8">
        <w:t xml:space="preserve"> While </w:t>
      </w:r>
      <w:r w:rsidR="003031A8" w:rsidRPr="003031A8">
        <w:t>UN</w:t>
      </w:r>
      <w:r w:rsidR="003031A8">
        <w:t> </w:t>
      </w:r>
      <w:r w:rsidR="003031A8" w:rsidRPr="003031A8">
        <w:t xml:space="preserve">R138/01 applies to all light and heavy vehicles with an electric powertrain, the </w:t>
      </w:r>
      <w:r w:rsidR="009B50F1">
        <w:t xml:space="preserve">draft </w:t>
      </w:r>
      <w:r w:rsidR="003031A8" w:rsidRPr="003031A8">
        <w:t>propose</w:t>
      </w:r>
      <w:r w:rsidR="009B50F1">
        <w:t>d</w:t>
      </w:r>
      <w:r w:rsidR="003031A8" w:rsidRPr="003031A8">
        <w:t xml:space="preserve"> that a new ADR would apply only to </w:t>
      </w:r>
      <w:r w:rsidR="00A056E3">
        <w:t xml:space="preserve">new </w:t>
      </w:r>
      <w:r w:rsidR="003031A8" w:rsidRPr="003031A8">
        <w:t xml:space="preserve">light vehicles. This </w:t>
      </w:r>
      <w:r w:rsidR="007427F5">
        <w:t>was</w:t>
      </w:r>
      <w:r w:rsidR="003031A8" w:rsidRPr="003031A8">
        <w:t xml:space="preserve"> due to insufficient data </w:t>
      </w:r>
      <w:r w:rsidR="0059250F">
        <w:t xml:space="preserve">being </w:t>
      </w:r>
      <w:r w:rsidR="003031A8" w:rsidRPr="003031A8">
        <w:t xml:space="preserve">available to determine the likely benefits and costs of mandating AVAS for </w:t>
      </w:r>
      <w:r w:rsidR="001D601A">
        <w:t xml:space="preserve">quiet </w:t>
      </w:r>
      <w:r w:rsidR="003031A8" w:rsidRPr="003031A8">
        <w:t>heavy vehicles in Australia.</w:t>
      </w:r>
    </w:p>
    <w:p w14:paraId="21D6EB46" w14:textId="08F34E9C" w:rsidR="00651DB3" w:rsidRDefault="00FA27D4">
      <w:r>
        <w:t xml:space="preserve">Public consultation closed on </w:t>
      </w:r>
      <w:r w:rsidRPr="00BB7B92">
        <w:t xml:space="preserve">26 May </w:t>
      </w:r>
      <w:r>
        <w:t xml:space="preserve">2023 and the </w:t>
      </w:r>
      <w:r w:rsidR="00191E53" w:rsidRPr="00C967BC">
        <w:t xml:space="preserve">Government </w:t>
      </w:r>
      <w:r w:rsidR="00191E53">
        <w:t xml:space="preserve">received </w:t>
      </w:r>
      <w:r w:rsidR="00191E53" w:rsidRPr="00DA0412">
        <w:t>39</w:t>
      </w:r>
      <w:r w:rsidR="00191E53">
        <w:t>2</w:t>
      </w:r>
      <w:r w:rsidR="00191E53" w:rsidRPr="00DA0412">
        <w:t xml:space="preserve"> submissions from </w:t>
      </w:r>
      <w:r w:rsidR="00191E53">
        <w:t>governments, organisations, and individuals, with strong representation from the blind and low vision community</w:t>
      </w:r>
      <w:r w:rsidR="009614E6">
        <w:t xml:space="preserve">. </w:t>
      </w:r>
      <w:r w:rsidR="00C967BC">
        <w:t xml:space="preserve">Submissions from governments and organisations, including the light and heavy vehicle industry, were </w:t>
      </w:r>
      <w:r w:rsidR="007D1ED2">
        <w:t>strongl</w:t>
      </w:r>
      <w:r w:rsidR="00C967BC">
        <w:t>y supportive of mandating AVAS in Australia.</w:t>
      </w:r>
      <w:r w:rsidR="00CA7867">
        <w:t xml:space="preserve"> </w:t>
      </w:r>
      <w:r w:rsidR="00C967BC">
        <w:t>Submissions from individuals were more mixed, with around 60</w:t>
      </w:r>
      <w:r w:rsidR="00A056E3">
        <w:t>%</w:t>
      </w:r>
      <w:r w:rsidR="00C967BC">
        <w:t>supporting AVAS, and 40</w:t>
      </w:r>
      <w:r w:rsidR="00A056E3">
        <w:t>%</w:t>
      </w:r>
      <w:r w:rsidR="00C967BC">
        <w:t xml:space="preserve"> not supporting it</w:t>
      </w:r>
      <w:r w:rsidR="00441D18">
        <w:t xml:space="preserve"> due to concerns about possible noise pollution impacts.</w:t>
      </w:r>
    </w:p>
    <w:p w14:paraId="4D0CA02A" w14:textId="254B8C5F" w:rsidR="005C7A3C" w:rsidRDefault="004D4146" w:rsidP="00AA2B7A">
      <w:r>
        <w:t xml:space="preserve">Two </w:t>
      </w:r>
      <w:r w:rsidR="00B90967">
        <w:t>key themes</w:t>
      </w:r>
      <w:r w:rsidR="005C7A3C">
        <w:t xml:space="preserve"> </w:t>
      </w:r>
      <w:r w:rsidR="00A2569D">
        <w:t>emerged from</w:t>
      </w:r>
      <w:r w:rsidR="005C7A3C">
        <w:t xml:space="preserve"> the </w:t>
      </w:r>
      <w:r w:rsidR="00A2569D">
        <w:t xml:space="preserve">public </w:t>
      </w:r>
      <w:r w:rsidR="005C7A3C">
        <w:t xml:space="preserve">consultation </w:t>
      </w:r>
      <w:r w:rsidR="00A2569D">
        <w:t xml:space="preserve">process to </w:t>
      </w:r>
      <w:r w:rsidR="00901AD7">
        <w:t>a</w:t>
      </w:r>
      <w:r w:rsidR="00A2569D">
        <w:t>ffect</w:t>
      </w:r>
      <w:r w:rsidR="005E5294">
        <w:t xml:space="preserve"> this </w:t>
      </w:r>
      <w:r w:rsidR="00A2569D">
        <w:t>I</w:t>
      </w:r>
      <w:r w:rsidR="005E5294">
        <w:t xml:space="preserve">mpact </w:t>
      </w:r>
      <w:r w:rsidR="00A2569D">
        <w:t>A</w:t>
      </w:r>
      <w:r w:rsidR="005E5294">
        <w:t>nalysis</w:t>
      </w:r>
      <w:r w:rsidR="00651DB3">
        <w:t>. First, s</w:t>
      </w:r>
      <w:r w:rsidR="003E55DE">
        <w:t xml:space="preserve">takeholder submissions and </w:t>
      </w:r>
      <w:r w:rsidR="00187712">
        <w:t>subsequent</w:t>
      </w:r>
      <w:r w:rsidR="003E55DE">
        <w:t xml:space="preserve"> stakeholder engagement found strong support for the </w:t>
      </w:r>
      <w:r w:rsidR="00823AD4">
        <w:t>inclusion of AVAS for</w:t>
      </w:r>
      <w:r w:rsidR="003E55DE">
        <w:t xml:space="preserve"> </w:t>
      </w:r>
      <w:r w:rsidR="00A056E3">
        <w:t xml:space="preserve">new </w:t>
      </w:r>
      <w:r w:rsidR="00823AD4">
        <w:t>heavy vehicles.</w:t>
      </w:r>
      <w:r w:rsidR="00651DB3">
        <w:t xml:space="preserve"> </w:t>
      </w:r>
      <w:r w:rsidR="00A2569D" w:rsidRPr="00266BBD">
        <w:t>S</w:t>
      </w:r>
      <w:r w:rsidR="009C5E51" w:rsidRPr="00266BBD">
        <w:t>econdly, s</w:t>
      </w:r>
      <w:r w:rsidR="005E5294" w:rsidRPr="00266BBD">
        <w:t xml:space="preserve">ome submissions </w:t>
      </w:r>
      <w:r w:rsidR="00651DB3" w:rsidRPr="00266BBD">
        <w:t xml:space="preserve">also </w:t>
      </w:r>
      <w:r w:rsidR="005E5294" w:rsidRPr="00266BBD">
        <w:t xml:space="preserve">highlighted that several cost variables required </w:t>
      </w:r>
      <w:r w:rsidR="00B3418F" w:rsidRPr="00266BBD">
        <w:t>updating</w:t>
      </w:r>
      <w:r w:rsidR="005E5294" w:rsidRPr="00266BBD">
        <w:t xml:space="preserve"> to better represent the </w:t>
      </w:r>
      <w:r w:rsidR="00DC0449" w:rsidRPr="00266BBD">
        <w:t>experience in other markets that have mandated AVAS</w:t>
      </w:r>
      <w:r w:rsidR="005E5294" w:rsidRPr="00DD1647">
        <w:t>.</w:t>
      </w:r>
      <w:r w:rsidR="005E5294">
        <w:t xml:space="preserve"> As a </w:t>
      </w:r>
      <w:r w:rsidR="00DA1562">
        <w:t>result,</w:t>
      </w:r>
      <w:r w:rsidR="005E5294">
        <w:t xml:space="preserve"> </w:t>
      </w:r>
      <w:r w:rsidR="00C34F25">
        <w:t xml:space="preserve">this </w:t>
      </w:r>
      <w:r w:rsidR="00A2569D">
        <w:t>I</w:t>
      </w:r>
      <w:r w:rsidR="00C34F25">
        <w:t xml:space="preserve">mpact </w:t>
      </w:r>
      <w:r w:rsidR="00A2569D">
        <w:t>A</w:t>
      </w:r>
      <w:r w:rsidR="00C34F25">
        <w:t>nalysis includes</w:t>
      </w:r>
      <w:r w:rsidR="005E5294">
        <w:t xml:space="preserve"> </w:t>
      </w:r>
      <w:r w:rsidR="00DA1562">
        <w:t>updated manufacturing and vehicle collision related costs to reflect these changes.</w:t>
      </w:r>
    </w:p>
    <w:p w14:paraId="78694CE3" w14:textId="77777777" w:rsidR="00DA1562" w:rsidRPr="00901AD7" w:rsidRDefault="00DA1562" w:rsidP="00901AD7">
      <w:pPr>
        <w:pStyle w:val="Heading3"/>
      </w:pPr>
      <w:bookmarkStart w:id="11" w:name="_Toc151556382"/>
      <w:bookmarkStart w:id="12" w:name="_Toc153795389"/>
      <w:r w:rsidRPr="00901AD7">
        <w:t>Cost-benefit analysis</w:t>
      </w:r>
      <w:bookmarkEnd w:id="11"/>
      <w:bookmarkEnd w:id="12"/>
    </w:p>
    <w:p w14:paraId="7AB7944D" w14:textId="1FB1A6C2" w:rsidR="00EE3D53" w:rsidRDefault="00EE3D53" w:rsidP="00EE3D53">
      <w:r w:rsidRPr="00DD1647">
        <w:t>The department engaged MUARC</w:t>
      </w:r>
      <w:r w:rsidR="00C56EF7" w:rsidRPr="00584764">
        <w:t xml:space="preserve"> to conduct analysis</w:t>
      </w:r>
      <w:r w:rsidRPr="003E1F73">
        <w:t xml:space="preserve"> </w:t>
      </w:r>
      <w:r w:rsidR="00A2569D" w:rsidRPr="003E1F73">
        <w:t>that</w:t>
      </w:r>
      <w:r w:rsidRPr="003E1F73">
        <w:t xml:space="preserve"> </w:t>
      </w:r>
      <w:r w:rsidR="00A2569D" w:rsidRPr="003E1F73">
        <w:t>indicated</w:t>
      </w:r>
      <w:r w:rsidRPr="003E1F73">
        <w:t xml:space="preserve"> 36.8</w:t>
      </w:r>
      <w:r w:rsidR="005E7228">
        <w:t>%</w:t>
      </w:r>
      <w:r w:rsidR="00DC0449" w:rsidRPr="003E1F73">
        <w:t xml:space="preserve"> </w:t>
      </w:r>
      <w:r w:rsidRPr="003E1F73">
        <w:t xml:space="preserve">of </w:t>
      </w:r>
      <w:r w:rsidR="00BF6EF4">
        <w:t xml:space="preserve">light vehicle </w:t>
      </w:r>
      <w:r w:rsidR="00A2569D" w:rsidRPr="00266BBD">
        <w:t>collisions</w:t>
      </w:r>
      <w:r w:rsidRPr="00266BBD">
        <w:t xml:space="preserve"> invol</w:t>
      </w:r>
      <w:r w:rsidR="00DC0449" w:rsidRPr="00266BBD">
        <w:t xml:space="preserve">ving pedestrians occurred in </w:t>
      </w:r>
      <w:r w:rsidRPr="00266BBD">
        <w:t>conditions applicable to AVAS</w:t>
      </w:r>
      <w:r w:rsidR="00DC0449" w:rsidRPr="00266BBD">
        <w:t xml:space="preserve"> </w:t>
      </w:r>
      <w:r w:rsidR="004D4146">
        <w:t xml:space="preserve">for light vehicles </w:t>
      </w:r>
      <w:r w:rsidR="00DC0449" w:rsidRPr="00266BBD">
        <w:t>(i.e. where vehicles are likely to be travelling at 20</w:t>
      </w:r>
      <w:r w:rsidR="005E7228">
        <w:t> km/h</w:t>
      </w:r>
      <w:r w:rsidR="00DC0449" w:rsidRPr="00266BBD">
        <w:t xml:space="preserve"> or less</w:t>
      </w:r>
      <w:r w:rsidR="0059250F">
        <w:t>)</w:t>
      </w:r>
      <w:r w:rsidRPr="00266BBD">
        <w:t>.</w:t>
      </w:r>
      <w:r w:rsidRPr="00DD1647">
        <w:t xml:space="preserve"> </w:t>
      </w:r>
      <w:r w:rsidR="00DC0449" w:rsidRPr="00584764">
        <w:t>M</w:t>
      </w:r>
      <w:r w:rsidR="00DC0449" w:rsidRPr="003E1F73">
        <w:t>UARC</w:t>
      </w:r>
      <w:r w:rsidR="00DC0449">
        <w:t xml:space="preserve"> also found that mandating the fitment </w:t>
      </w:r>
      <w:r w:rsidR="005E7228">
        <w:t xml:space="preserve">of </w:t>
      </w:r>
      <w:r w:rsidR="00DC0449">
        <w:t xml:space="preserve">AVAS to electric vehicles could reduce the likelihood of an electric vehicle being involved in a </w:t>
      </w:r>
      <w:r w:rsidR="00441D18">
        <w:t>collision</w:t>
      </w:r>
      <w:r w:rsidR="00DC0449">
        <w:t xml:space="preserve"> with a vulnerable road user by 17.7</w:t>
      </w:r>
      <w:r w:rsidR="005E7228">
        <w:t>%</w:t>
      </w:r>
      <w:r>
        <w:t xml:space="preserve">. This is projected to lead to </w:t>
      </w:r>
      <w:r w:rsidR="00F407F3">
        <w:t xml:space="preserve">avoid at least 65 </w:t>
      </w:r>
      <w:r>
        <w:t xml:space="preserve">fatalities and </w:t>
      </w:r>
      <w:r w:rsidR="00F407F3">
        <w:t>over 5,000 non</w:t>
      </w:r>
      <w:r w:rsidR="00B137BA">
        <w:noBreakHyphen/>
      </w:r>
      <w:r w:rsidR="00F407F3">
        <w:t xml:space="preserve">fatal </w:t>
      </w:r>
      <w:r>
        <w:t>trauma incidents over a 35-year period.</w:t>
      </w:r>
    </w:p>
    <w:p w14:paraId="6FC14747" w14:textId="18A2E619" w:rsidR="00EE3D53" w:rsidRDefault="00EE3D53" w:rsidP="00EE3D53">
      <w:r>
        <w:t xml:space="preserve">The cost-benefit analysis indicates that fitment rates would reach 100% </w:t>
      </w:r>
      <w:r w:rsidR="000E42BF">
        <w:t xml:space="preserve">by 2027 </w:t>
      </w:r>
      <w:r>
        <w:t>with government invention while the business as usual approach would likely not exceed 84%</w:t>
      </w:r>
      <w:r w:rsidR="00EF4537">
        <w:t xml:space="preserve"> by the 2060s</w:t>
      </w:r>
      <w:r>
        <w:t xml:space="preserve">. </w:t>
      </w:r>
      <w:r w:rsidR="004E1F55">
        <w:t>These results underscore the importance of government intervention.</w:t>
      </w:r>
    </w:p>
    <w:p w14:paraId="64D871FE" w14:textId="0A38518B" w:rsidR="00EE3D53" w:rsidRDefault="00EE3D53" w:rsidP="00EE3D53">
      <w:r>
        <w:t xml:space="preserve">There would be costs associated with implementation for manufacturers, although most vehicle </w:t>
      </w:r>
      <w:r w:rsidR="005207EA">
        <w:t>manufacturers supplying vehicles to Australia</w:t>
      </w:r>
      <w:r w:rsidR="00C6095C">
        <w:t xml:space="preserve"> </w:t>
      </w:r>
      <w:r>
        <w:t>al</w:t>
      </w:r>
      <w:r w:rsidR="005207EA">
        <w:t>so supply vehicles to markets</w:t>
      </w:r>
      <w:r>
        <w:t xml:space="preserve"> where AVAS is already mandated</w:t>
      </w:r>
      <w:r w:rsidR="00C145B8">
        <w:t>,</w:t>
      </w:r>
      <w:r w:rsidR="00FF0A7A">
        <w:t xml:space="preserve"> and will be familiar with the steps required to test and fit the technology to Australian models</w:t>
      </w:r>
      <w:r>
        <w:t xml:space="preserve">. There </w:t>
      </w:r>
      <w:r w:rsidR="005207EA">
        <w:t>are</w:t>
      </w:r>
      <w:r>
        <w:t xml:space="preserve"> few direct benefits for business, </w:t>
      </w:r>
      <w:r w:rsidR="00C6095C">
        <w:t>but</w:t>
      </w:r>
      <w:r>
        <w:t xml:space="preserve"> </w:t>
      </w:r>
      <w:r w:rsidR="00EF4537">
        <w:t>employers</w:t>
      </w:r>
      <w:r w:rsidR="005207EA">
        <w:t xml:space="preserve"> </w:t>
      </w:r>
      <w:r>
        <w:t>would indirect</w:t>
      </w:r>
      <w:r w:rsidR="005207EA">
        <w:t>ly</w:t>
      </w:r>
      <w:r>
        <w:t xml:space="preserve"> benefit </w:t>
      </w:r>
      <w:r w:rsidR="005207EA">
        <w:t>from reduced employee absences due to road t</w:t>
      </w:r>
      <w:r w:rsidR="002239AC">
        <w:t>rauma.</w:t>
      </w:r>
      <w:r w:rsidR="00EF4537">
        <w:t xml:space="preserve"> </w:t>
      </w:r>
      <w:r>
        <w:t xml:space="preserve">AVAS </w:t>
      </w:r>
      <w:r w:rsidR="00EF4537">
        <w:t>component</w:t>
      </w:r>
      <w:r>
        <w:t xml:space="preserve"> manufacturers</w:t>
      </w:r>
      <w:r w:rsidR="002239AC">
        <w:t xml:space="preserve"> </w:t>
      </w:r>
      <w:r w:rsidR="00EF4537">
        <w:t xml:space="preserve">and suppliers </w:t>
      </w:r>
      <w:r w:rsidR="002239AC">
        <w:t>would also benefit from increased demand</w:t>
      </w:r>
      <w:r w:rsidR="00EF4537">
        <w:t>.</w:t>
      </w:r>
    </w:p>
    <w:p w14:paraId="5E99F935" w14:textId="6B9566EA" w:rsidR="00EE3D53" w:rsidRDefault="00EE3D53" w:rsidP="00EE3D53">
      <w:r>
        <w:t xml:space="preserve">Consumers and road users would receive a direct net benefit from these changes through reduced </w:t>
      </w:r>
      <w:r w:rsidR="002239AC">
        <w:t xml:space="preserve">risk of </w:t>
      </w:r>
      <w:r>
        <w:t xml:space="preserve">collision with </w:t>
      </w:r>
      <w:r w:rsidR="002239AC">
        <w:t>QRTV</w:t>
      </w:r>
      <w:r>
        <w:t xml:space="preserve">s. This would be more significant for the blind and low vision community, and other vulnerable </w:t>
      </w:r>
      <w:r w:rsidR="00C6095C">
        <w:t>road users</w:t>
      </w:r>
      <w:r>
        <w:t>. While some manufacturers may pass on fitment costs to consumers,</w:t>
      </w:r>
      <w:r w:rsidR="00EF4537">
        <w:t xml:space="preserve"> </w:t>
      </w:r>
      <w:r w:rsidR="000E42BF">
        <w:t>fitment costs for new technologies tend to d</w:t>
      </w:r>
      <w:r w:rsidR="00BF6EF4">
        <w:t>ecrease</w:t>
      </w:r>
      <w:r w:rsidR="000E42BF">
        <w:t xml:space="preserve"> as the technology becomes commonplace</w:t>
      </w:r>
      <w:r w:rsidR="00EF4537">
        <w:t>.</w:t>
      </w:r>
      <w:r>
        <w:t xml:space="preserve"> </w:t>
      </w:r>
    </w:p>
    <w:p w14:paraId="53FA6196" w14:textId="14851A98" w:rsidR="00C91CC2" w:rsidRDefault="00EE3D53" w:rsidP="00271A50">
      <w:pPr>
        <w:rPr>
          <w:highlight w:val="yellow"/>
        </w:rPr>
      </w:pPr>
      <w:r>
        <w:t xml:space="preserve">For government, indirect benefits stem from </w:t>
      </w:r>
      <w:r w:rsidR="00C6095C">
        <w:t>a reduction in road trauma</w:t>
      </w:r>
      <w:r>
        <w:t xml:space="preserve"> which would have otherwise </w:t>
      </w:r>
      <w:r w:rsidR="002239AC">
        <w:t>been borne by</w:t>
      </w:r>
      <w:r>
        <w:t xml:space="preserve"> the public health system. The proposed changes also support the </w:t>
      </w:r>
      <w:r w:rsidR="005E7228">
        <w:t>G</w:t>
      </w:r>
      <w:r>
        <w:t>overnment’s commitment to promoting human rights for people with a disability</w:t>
      </w:r>
      <w:r w:rsidRPr="00DD1647">
        <w:t xml:space="preserve">. </w:t>
      </w:r>
      <w:r w:rsidR="00DC0449" w:rsidRPr="00584764">
        <w:t xml:space="preserve">The </w:t>
      </w:r>
      <w:r w:rsidR="00DC0449" w:rsidRPr="00266BBD">
        <w:t>a</w:t>
      </w:r>
      <w:r w:rsidRPr="00266BBD">
        <w:t xml:space="preserve">verage annual regulatory cost </w:t>
      </w:r>
      <w:r w:rsidR="00DC0449" w:rsidRPr="00266BBD">
        <w:t xml:space="preserve">of mandating AVAS was </w:t>
      </w:r>
      <w:r w:rsidRPr="00266BBD">
        <w:t xml:space="preserve">estimated to be </w:t>
      </w:r>
      <w:r w:rsidR="00DD1647">
        <w:t xml:space="preserve">between </w:t>
      </w:r>
      <w:r w:rsidRPr="00266BBD">
        <w:t>$1</w:t>
      </w:r>
      <w:r w:rsidR="004A3914">
        <w:t>6.8</w:t>
      </w:r>
      <w:r w:rsidR="00DD1647">
        <w:t xml:space="preserve"> and $</w:t>
      </w:r>
      <w:r w:rsidR="0029734A">
        <w:t>18.4</w:t>
      </w:r>
      <w:r w:rsidRPr="00266BBD">
        <w:t xml:space="preserve"> million</w:t>
      </w:r>
      <w:r w:rsidR="00241D99">
        <w:t xml:space="preserve"> (depending on the option adopted)</w:t>
      </w:r>
      <w:r w:rsidR="005A3B0A" w:rsidRPr="00266BBD">
        <w:t>.</w:t>
      </w:r>
    </w:p>
    <w:p w14:paraId="477E9095" w14:textId="4E5B8A33" w:rsidR="001974BD" w:rsidRPr="00713506" w:rsidRDefault="001974BD" w:rsidP="001974BD">
      <w:pPr>
        <w:pStyle w:val="Tablefigureheading"/>
      </w:pPr>
      <w:bookmarkStart w:id="13" w:name="_Toc153795476"/>
      <w:r w:rsidRPr="00713506">
        <w:lastRenderedPageBreak/>
        <w:t xml:space="preserve">Table </w:t>
      </w:r>
      <w:r>
        <w:t>A</w:t>
      </w:r>
      <w:r w:rsidRPr="00713506">
        <w:t>: Summary of benefits, costs, lives saved and injuries avoided for</w:t>
      </w:r>
      <w:r w:rsidR="007971EC">
        <w:t xml:space="preserve"> each</w:t>
      </w:r>
      <w:r w:rsidRPr="00713506">
        <w:t xml:space="preserve"> </w:t>
      </w:r>
      <w:r w:rsidR="007971EC">
        <w:t>option considered</w:t>
      </w:r>
      <w:r w:rsidR="001D601A">
        <w:t xml:space="preserve"> over 35 years (</w:t>
      </w:r>
      <w:r w:rsidR="001D601A" w:rsidRPr="00713506">
        <w:t>Likely Case</w:t>
      </w:r>
      <w:r w:rsidR="001D601A">
        <w:t xml:space="preserve"> – over 15 years of regulation, plus an additional 20 years in service for vehicles supplied during the regulated period)</w:t>
      </w:r>
      <w:bookmarkEnd w:id="13"/>
      <w:r w:rsidR="001D601A">
        <w:t xml:space="preserve"> </w:t>
      </w:r>
    </w:p>
    <w:tbl>
      <w:tblPr>
        <w:tblStyle w:val="DefaultTable1"/>
        <w:tblW w:w="5134" w:type="pct"/>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606"/>
        <w:gridCol w:w="945"/>
        <w:gridCol w:w="994"/>
        <w:gridCol w:w="990"/>
        <w:gridCol w:w="1267"/>
        <w:gridCol w:w="880"/>
        <w:gridCol w:w="899"/>
        <w:gridCol w:w="924"/>
        <w:gridCol w:w="1224"/>
      </w:tblGrid>
      <w:tr w:rsidR="0047406A" w:rsidRPr="00713506" w14:paraId="3583EF6C" w14:textId="77777777" w:rsidTr="00F4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595959" w:themeColor="text1" w:themeTint="A6"/>
            </w:tcBorders>
            <w:shd w:val="clear" w:color="auto" w:fill="081E3E"/>
          </w:tcPr>
          <w:p w14:paraId="5D7D7CD8" w14:textId="77777777" w:rsidR="001974BD" w:rsidRPr="00F44781" w:rsidRDefault="001974BD" w:rsidP="00BC60B2">
            <w:pPr>
              <w:pStyle w:val="Tablerowcolumnheading"/>
              <w:keepNext/>
              <w:rPr>
                <w:b/>
              </w:rPr>
            </w:pPr>
            <w:bookmarkStart w:id="14" w:name="_Hlk151036492"/>
            <w:r w:rsidRPr="35E123EC">
              <w:t>Case</w:t>
            </w:r>
          </w:p>
        </w:tc>
        <w:tc>
          <w:tcPr>
            <w:tcW w:w="485" w:type="pct"/>
            <w:tcBorders>
              <w:bottom w:val="single" w:sz="4" w:space="0" w:color="595959" w:themeColor="text1" w:themeTint="A6"/>
            </w:tcBorders>
            <w:shd w:val="clear" w:color="auto" w:fill="081E3E"/>
          </w:tcPr>
          <w:p w14:paraId="322B46B5" w14:textId="77777777" w:rsidR="001974BD" w:rsidRPr="00F44781" w:rsidRDefault="001974BD" w:rsidP="00BC60B2">
            <w:pPr>
              <w:pStyle w:val="Tablerowcolumnheadingcentred"/>
              <w:keepNext/>
              <w:tabs>
                <w:tab w:val="left" w:pos="825"/>
              </w:tab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511" w:type="pct"/>
            <w:tcBorders>
              <w:bottom w:val="single" w:sz="4" w:space="0" w:color="595959" w:themeColor="text1" w:themeTint="A6"/>
            </w:tcBorders>
            <w:shd w:val="clear" w:color="auto" w:fill="081E3E"/>
          </w:tcPr>
          <w:p w14:paraId="4144583C"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509" w:type="pct"/>
            <w:tcBorders>
              <w:bottom w:val="single" w:sz="4" w:space="0" w:color="595959" w:themeColor="text1" w:themeTint="A6"/>
            </w:tcBorders>
            <w:shd w:val="clear" w:color="auto" w:fill="081E3E"/>
          </w:tcPr>
          <w:p w14:paraId="75F9BE66"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651" w:type="pct"/>
            <w:tcBorders>
              <w:bottom w:val="single" w:sz="4" w:space="0" w:color="595959" w:themeColor="text1" w:themeTint="A6"/>
            </w:tcBorders>
            <w:shd w:val="clear" w:color="auto" w:fill="081E3E"/>
          </w:tcPr>
          <w:p w14:paraId="090A4FA3"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452" w:type="pct"/>
            <w:tcBorders>
              <w:bottom w:val="single" w:sz="4" w:space="0" w:color="595959" w:themeColor="text1" w:themeTint="A6"/>
            </w:tcBorders>
            <w:shd w:val="clear" w:color="auto" w:fill="081E3E"/>
          </w:tcPr>
          <w:p w14:paraId="6B9DC800"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462" w:type="pct"/>
            <w:tcBorders>
              <w:bottom w:val="single" w:sz="4" w:space="0" w:color="595959" w:themeColor="text1" w:themeTint="A6"/>
            </w:tcBorders>
            <w:shd w:val="clear" w:color="auto" w:fill="081E3E"/>
          </w:tcPr>
          <w:p w14:paraId="1F0E9326"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475" w:type="pct"/>
            <w:tcBorders>
              <w:bottom w:val="single" w:sz="4" w:space="0" w:color="595959" w:themeColor="text1" w:themeTint="A6"/>
            </w:tcBorders>
            <w:shd w:val="clear" w:color="auto" w:fill="081E3E"/>
          </w:tcPr>
          <w:p w14:paraId="0D2FE90E"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629" w:type="pct"/>
            <w:tcBorders>
              <w:bottom w:val="single" w:sz="4" w:space="0" w:color="595959" w:themeColor="text1" w:themeTint="A6"/>
            </w:tcBorders>
            <w:shd w:val="clear" w:color="auto" w:fill="081E3E"/>
          </w:tcPr>
          <w:p w14:paraId="020C862C"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F407F3" w:rsidRPr="00713506" w14:paraId="3B3B5B80" w14:textId="77777777" w:rsidTr="00BC60B2">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4BB3B5"/>
            </w:tcBorders>
          </w:tcPr>
          <w:p w14:paraId="588CE053" w14:textId="77777777" w:rsidR="002239AC" w:rsidRDefault="001974BD" w:rsidP="00BC60B2">
            <w:pPr>
              <w:pStyle w:val="Tabletext"/>
              <w:keepNext/>
              <w:rPr>
                <w:b w:val="0"/>
              </w:rPr>
            </w:pPr>
            <w:r w:rsidRPr="00713506">
              <w:t>Option 1</w:t>
            </w:r>
          </w:p>
          <w:p w14:paraId="2184C6E0" w14:textId="28BB447E" w:rsidR="001974BD" w:rsidRPr="00713506" w:rsidRDefault="002239AC" w:rsidP="00BC60B2">
            <w:pPr>
              <w:pStyle w:val="Tabletext"/>
              <w:keepNext/>
            </w:pPr>
            <w:r>
              <w:t>(Business as usual)</w:t>
            </w:r>
          </w:p>
        </w:tc>
        <w:tc>
          <w:tcPr>
            <w:tcW w:w="485" w:type="pct"/>
            <w:tcBorders>
              <w:bottom w:val="single" w:sz="4" w:space="0" w:color="4BB3B5"/>
            </w:tcBorders>
          </w:tcPr>
          <w:p w14:paraId="7DCE322C"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11" w:type="pct"/>
            <w:tcBorders>
              <w:bottom w:val="single" w:sz="4" w:space="0" w:color="4BB3B5"/>
            </w:tcBorders>
          </w:tcPr>
          <w:p w14:paraId="6A67C807"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09" w:type="pct"/>
            <w:tcBorders>
              <w:bottom w:val="single" w:sz="4" w:space="0" w:color="4BB3B5"/>
            </w:tcBorders>
          </w:tcPr>
          <w:p w14:paraId="2A71B319"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51" w:type="pct"/>
            <w:tcBorders>
              <w:bottom w:val="single" w:sz="4" w:space="0" w:color="4BB3B5"/>
            </w:tcBorders>
          </w:tcPr>
          <w:p w14:paraId="66F097E7"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52" w:type="pct"/>
            <w:tcBorders>
              <w:bottom w:val="single" w:sz="4" w:space="0" w:color="4BB3B5"/>
            </w:tcBorders>
          </w:tcPr>
          <w:p w14:paraId="3700603F"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62" w:type="pct"/>
            <w:tcBorders>
              <w:bottom w:val="single" w:sz="4" w:space="0" w:color="4BB3B5"/>
            </w:tcBorders>
          </w:tcPr>
          <w:p w14:paraId="247916DF"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75" w:type="pct"/>
            <w:tcBorders>
              <w:bottom w:val="single" w:sz="4" w:space="0" w:color="4BB3B5"/>
            </w:tcBorders>
          </w:tcPr>
          <w:p w14:paraId="546F3583"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29" w:type="pct"/>
            <w:tcBorders>
              <w:bottom w:val="single" w:sz="4" w:space="0" w:color="4BB3B5"/>
            </w:tcBorders>
          </w:tcPr>
          <w:p w14:paraId="4964CDE3" w14:textId="28D1B20D" w:rsidR="001974BD" w:rsidRPr="00713506" w:rsidRDefault="00F407F3"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w:t>
            </w:r>
          </w:p>
        </w:tc>
      </w:tr>
      <w:tr w:rsidR="00F407F3" w:rsidRPr="00713506" w14:paraId="6D89093F" w14:textId="77777777" w:rsidTr="00BC6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5B58C6B6" w14:textId="77777777" w:rsidR="002239AC" w:rsidRDefault="001974BD" w:rsidP="00BC60B2">
            <w:pPr>
              <w:pStyle w:val="Tabletext"/>
              <w:keepNext/>
              <w:rPr>
                <w:b w:val="0"/>
              </w:rPr>
            </w:pPr>
            <w:r w:rsidRPr="00713506">
              <w:t>Option 2</w:t>
            </w:r>
          </w:p>
          <w:p w14:paraId="6F3215C3" w14:textId="02D8C27C" w:rsidR="001974BD" w:rsidRPr="00713506" w:rsidRDefault="002239AC" w:rsidP="00BC60B2">
            <w:pPr>
              <w:pStyle w:val="Tabletext"/>
              <w:keepNext/>
            </w:pPr>
            <w:r>
              <w:t>(</w:t>
            </w:r>
            <w:r w:rsidR="00F407F3">
              <w:t>L</w:t>
            </w:r>
            <w:r>
              <w:t>ight vehicles from Jan 2025)</w:t>
            </w:r>
          </w:p>
        </w:tc>
        <w:tc>
          <w:tcPr>
            <w:tcW w:w="485" w:type="pct"/>
            <w:tcBorders>
              <w:top w:val="single" w:sz="4" w:space="0" w:color="4BB3B5"/>
              <w:bottom w:val="single" w:sz="4" w:space="0" w:color="4BB3B5"/>
            </w:tcBorders>
          </w:tcPr>
          <w:p w14:paraId="6F79D8FE" w14:textId="0762BD4B" w:rsidR="001974BD" w:rsidRPr="00713506" w:rsidRDefault="007971EC"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372.8</w:t>
            </w:r>
          </w:p>
        </w:tc>
        <w:tc>
          <w:tcPr>
            <w:tcW w:w="511" w:type="pct"/>
            <w:tcBorders>
              <w:top w:val="single" w:sz="4" w:space="0" w:color="4BB3B5"/>
              <w:bottom w:val="single" w:sz="4" w:space="0" w:color="4BB3B5"/>
            </w:tcBorders>
          </w:tcPr>
          <w:p w14:paraId="30866B8E" w14:textId="6E0E9B9C" w:rsidR="001974BD" w:rsidRPr="00713506" w:rsidRDefault="007971EC"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20</w:t>
            </w:r>
            <w:r w:rsidR="00065CC5">
              <w:t>1</w:t>
            </w:r>
            <w:r>
              <w:t>.</w:t>
            </w:r>
            <w:r w:rsidR="00065CC5">
              <w:t>2</w:t>
            </w:r>
          </w:p>
        </w:tc>
        <w:tc>
          <w:tcPr>
            <w:tcW w:w="509" w:type="pct"/>
            <w:tcBorders>
              <w:top w:val="single" w:sz="4" w:space="0" w:color="4BB3B5"/>
              <w:bottom w:val="single" w:sz="4" w:space="0" w:color="4BB3B5"/>
            </w:tcBorders>
          </w:tcPr>
          <w:p w14:paraId="2FD8F3FD" w14:textId="08B923DC"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1</w:t>
            </w:r>
            <w:r w:rsidR="00241D99">
              <w:t>7</w:t>
            </w:r>
            <w:r w:rsidR="00065CC5">
              <w:t>1.1</w:t>
            </w:r>
          </w:p>
        </w:tc>
        <w:tc>
          <w:tcPr>
            <w:tcW w:w="651" w:type="pct"/>
            <w:tcBorders>
              <w:top w:val="single" w:sz="4" w:space="0" w:color="4BB3B5"/>
              <w:bottom w:val="single" w:sz="4" w:space="0" w:color="4BB3B5"/>
            </w:tcBorders>
          </w:tcPr>
          <w:p w14:paraId="3114FCBD" w14:textId="65576B19"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0D30B19C" w14:textId="5AB3A483"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2.1</w:t>
            </w:r>
            <w:r w:rsidR="00065CC5">
              <w:t>7</w:t>
            </w:r>
          </w:p>
        </w:tc>
        <w:tc>
          <w:tcPr>
            <w:tcW w:w="462" w:type="pct"/>
            <w:tcBorders>
              <w:top w:val="single" w:sz="4" w:space="0" w:color="4BB3B5"/>
              <w:bottom w:val="single" w:sz="4" w:space="0" w:color="4BB3B5"/>
            </w:tcBorders>
          </w:tcPr>
          <w:p w14:paraId="201A6412" w14:textId="7E3FBE9E"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65</w:t>
            </w:r>
          </w:p>
        </w:tc>
        <w:tc>
          <w:tcPr>
            <w:tcW w:w="475" w:type="pct"/>
            <w:tcBorders>
              <w:top w:val="single" w:sz="4" w:space="0" w:color="4BB3B5"/>
              <w:bottom w:val="single" w:sz="4" w:space="0" w:color="4BB3B5"/>
            </w:tcBorders>
          </w:tcPr>
          <w:p w14:paraId="2F7DDB6F" w14:textId="6E80A97C" w:rsidR="001974BD" w:rsidRPr="00713506" w:rsidRDefault="00420C31"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2,585</w:t>
            </w:r>
          </w:p>
        </w:tc>
        <w:tc>
          <w:tcPr>
            <w:tcW w:w="629" w:type="pct"/>
            <w:tcBorders>
              <w:top w:val="single" w:sz="4" w:space="0" w:color="4BB3B5"/>
              <w:bottom w:val="single" w:sz="4" w:space="0" w:color="4BB3B5"/>
            </w:tcBorders>
          </w:tcPr>
          <w:p w14:paraId="0A580373" w14:textId="783E6B9F" w:rsidR="001974BD" w:rsidRPr="00713506" w:rsidRDefault="00420C31"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2,863</w:t>
            </w:r>
          </w:p>
        </w:tc>
      </w:tr>
      <w:tr w:rsidR="00F407F3" w:rsidRPr="00713506" w14:paraId="5C705248" w14:textId="77777777" w:rsidTr="00BC60B2">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3BABF362" w14:textId="77777777" w:rsidR="001974BD" w:rsidRDefault="001974BD" w:rsidP="00BC60B2">
            <w:pPr>
              <w:pStyle w:val="Tabletext"/>
              <w:keepNext/>
              <w:rPr>
                <w:b w:val="0"/>
              </w:rPr>
            </w:pPr>
            <w:r>
              <w:t>Option 3</w:t>
            </w:r>
            <w:r w:rsidR="002239AC">
              <w:t>a</w:t>
            </w:r>
          </w:p>
          <w:p w14:paraId="3D34B81D" w14:textId="41F249C3" w:rsidR="002239AC" w:rsidRPr="00713506" w:rsidRDefault="002239AC" w:rsidP="00BC60B2">
            <w:pPr>
              <w:pStyle w:val="Tabletext"/>
              <w:keepNext/>
            </w:pPr>
            <w:r>
              <w:t>(</w:t>
            </w:r>
            <w:r w:rsidR="00F407F3">
              <w:t>L</w:t>
            </w:r>
            <w:r>
              <w:t>ight vehicles from Ja</w:t>
            </w:r>
            <w:r w:rsidR="00F407F3">
              <w:t>n</w:t>
            </w:r>
            <w:r>
              <w:t xml:space="preserve"> 2025</w:t>
            </w:r>
            <w:r w:rsidR="007971EC">
              <w:t>,</w:t>
            </w:r>
            <w:r>
              <w:t xml:space="preserve"> heavy vehicles from Nov</w:t>
            </w:r>
            <w:r w:rsidR="00F407F3">
              <w:t xml:space="preserve"> </w:t>
            </w:r>
            <w:r>
              <w:t>2025)</w:t>
            </w:r>
          </w:p>
        </w:tc>
        <w:tc>
          <w:tcPr>
            <w:tcW w:w="485" w:type="pct"/>
            <w:tcBorders>
              <w:top w:val="single" w:sz="4" w:space="0" w:color="4BB3B5"/>
              <w:bottom w:val="single" w:sz="4" w:space="0" w:color="4BB3B5"/>
            </w:tcBorders>
          </w:tcPr>
          <w:p w14:paraId="2A87FEB0" w14:textId="0DB3A21C"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389.3</w:t>
            </w:r>
          </w:p>
        </w:tc>
        <w:tc>
          <w:tcPr>
            <w:tcW w:w="511" w:type="pct"/>
            <w:tcBorders>
              <w:top w:val="single" w:sz="4" w:space="0" w:color="4BB3B5"/>
              <w:bottom w:val="single" w:sz="4" w:space="0" w:color="4BB3B5"/>
            </w:tcBorders>
          </w:tcPr>
          <w:p w14:paraId="3E426AB9" w14:textId="0A900896"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21</w:t>
            </w:r>
            <w:r w:rsidR="00065CC5">
              <w:t>0</w:t>
            </w:r>
            <w:r>
              <w:t>.</w:t>
            </w:r>
            <w:r w:rsidR="00065CC5">
              <w:t>3</w:t>
            </w:r>
          </w:p>
        </w:tc>
        <w:tc>
          <w:tcPr>
            <w:tcW w:w="509" w:type="pct"/>
            <w:tcBorders>
              <w:top w:val="single" w:sz="4" w:space="0" w:color="4BB3B5"/>
              <w:bottom w:val="single" w:sz="4" w:space="0" w:color="4BB3B5"/>
            </w:tcBorders>
          </w:tcPr>
          <w:p w14:paraId="15050B4F" w14:textId="35AAD56D"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17</w:t>
            </w:r>
            <w:r w:rsidR="00065CC5">
              <w:t>8.5</w:t>
            </w:r>
          </w:p>
        </w:tc>
        <w:tc>
          <w:tcPr>
            <w:tcW w:w="651" w:type="pct"/>
            <w:tcBorders>
              <w:top w:val="single" w:sz="4" w:space="0" w:color="4BB3B5"/>
              <w:bottom w:val="single" w:sz="4" w:space="0" w:color="4BB3B5"/>
            </w:tcBorders>
          </w:tcPr>
          <w:p w14:paraId="7D8F8FD7" w14:textId="75CA9946"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0.5</w:t>
            </w:r>
          </w:p>
        </w:tc>
        <w:tc>
          <w:tcPr>
            <w:tcW w:w="452" w:type="pct"/>
            <w:tcBorders>
              <w:top w:val="single" w:sz="4" w:space="0" w:color="4BB3B5"/>
              <w:bottom w:val="single" w:sz="4" w:space="0" w:color="4BB3B5"/>
            </w:tcBorders>
          </w:tcPr>
          <w:p w14:paraId="078E2983" w14:textId="268773E9"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2.1</w:t>
            </w:r>
            <w:r w:rsidR="00065CC5">
              <w:t>8</w:t>
            </w:r>
          </w:p>
        </w:tc>
        <w:tc>
          <w:tcPr>
            <w:tcW w:w="462" w:type="pct"/>
            <w:tcBorders>
              <w:top w:val="single" w:sz="4" w:space="0" w:color="4BB3B5"/>
              <w:bottom w:val="single" w:sz="4" w:space="0" w:color="4BB3B5"/>
            </w:tcBorders>
          </w:tcPr>
          <w:p w14:paraId="73DB4A8C" w14:textId="357685CA"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68</w:t>
            </w:r>
          </w:p>
        </w:tc>
        <w:tc>
          <w:tcPr>
            <w:tcW w:w="475" w:type="pct"/>
            <w:tcBorders>
              <w:top w:val="single" w:sz="4" w:space="0" w:color="4BB3B5"/>
              <w:bottom w:val="single" w:sz="4" w:space="0" w:color="4BB3B5"/>
            </w:tcBorders>
          </w:tcPr>
          <w:p w14:paraId="3EC7D365" w14:textId="1EF76F8D"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2,701</w:t>
            </w:r>
          </w:p>
        </w:tc>
        <w:tc>
          <w:tcPr>
            <w:tcW w:w="629" w:type="pct"/>
            <w:tcBorders>
              <w:top w:val="single" w:sz="4" w:space="0" w:color="4BB3B5"/>
              <w:bottom w:val="single" w:sz="4" w:space="0" w:color="4BB3B5"/>
            </w:tcBorders>
          </w:tcPr>
          <w:p w14:paraId="1305B152" w14:textId="157F2D8C"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2,991</w:t>
            </w:r>
          </w:p>
        </w:tc>
      </w:tr>
      <w:tr w:rsidR="00F407F3" w:rsidRPr="00713506" w14:paraId="472DE9C2" w14:textId="77777777" w:rsidTr="00BC6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444D88DA" w14:textId="4ABFBA01" w:rsidR="002239AC" w:rsidRDefault="002239AC" w:rsidP="00BC60B2">
            <w:pPr>
              <w:pStyle w:val="Tabletext"/>
              <w:keepNext/>
            </w:pPr>
            <w:r>
              <w:t>Option 3b</w:t>
            </w:r>
            <w:r>
              <w:br/>
              <w:t>(light and heavy vehicles from Nov 2025)</w:t>
            </w:r>
          </w:p>
        </w:tc>
        <w:tc>
          <w:tcPr>
            <w:tcW w:w="485" w:type="pct"/>
            <w:tcBorders>
              <w:top w:val="single" w:sz="4" w:space="0" w:color="4BB3B5"/>
              <w:bottom w:val="single" w:sz="4" w:space="0" w:color="4BB3B5"/>
            </w:tcBorders>
          </w:tcPr>
          <w:p w14:paraId="6D87FECA" w14:textId="18A60E3E"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377.3</w:t>
            </w:r>
          </w:p>
        </w:tc>
        <w:tc>
          <w:tcPr>
            <w:tcW w:w="511" w:type="pct"/>
            <w:tcBorders>
              <w:top w:val="single" w:sz="4" w:space="0" w:color="4BB3B5"/>
              <w:bottom w:val="single" w:sz="4" w:space="0" w:color="4BB3B5"/>
            </w:tcBorders>
          </w:tcPr>
          <w:p w14:paraId="1546854B" w14:textId="4DFB22E3"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20</w:t>
            </w:r>
            <w:r w:rsidR="00065CC5">
              <w:t>8.4</w:t>
            </w:r>
          </w:p>
        </w:tc>
        <w:tc>
          <w:tcPr>
            <w:tcW w:w="509" w:type="pct"/>
            <w:tcBorders>
              <w:top w:val="single" w:sz="4" w:space="0" w:color="4BB3B5"/>
              <w:bottom w:val="single" w:sz="4" w:space="0" w:color="4BB3B5"/>
            </w:tcBorders>
          </w:tcPr>
          <w:p w14:paraId="4D74561A" w14:textId="367649EA"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16</w:t>
            </w:r>
            <w:r w:rsidR="00065CC5">
              <w:t>8.4</w:t>
            </w:r>
          </w:p>
        </w:tc>
        <w:tc>
          <w:tcPr>
            <w:tcW w:w="651" w:type="pct"/>
            <w:tcBorders>
              <w:top w:val="single" w:sz="4" w:space="0" w:color="4BB3B5"/>
              <w:bottom w:val="single" w:sz="4" w:space="0" w:color="4BB3B5"/>
            </w:tcBorders>
          </w:tcPr>
          <w:p w14:paraId="031804B5" w14:textId="4B4DC2C5"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4B793E63" w14:textId="72FE5B9D"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2.2</w:t>
            </w:r>
            <w:r w:rsidR="00065CC5">
              <w:t>3</w:t>
            </w:r>
          </w:p>
        </w:tc>
        <w:tc>
          <w:tcPr>
            <w:tcW w:w="462" w:type="pct"/>
            <w:tcBorders>
              <w:top w:val="single" w:sz="4" w:space="0" w:color="4BB3B5"/>
              <w:bottom w:val="single" w:sz="4" w:space="0" w:color="4BB3B5"/>
            </w:tcBorders>
          </w:tcPr>
          <w:p w14:paraId="055B435F" w14:textId="1BBAFA70"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68</w:t>
            </w:r>
          </w:p>
        </w:tc>
        <w:tc>
          <w:tcPr>
            <w:tcW w:w="475" w:type="pct"/>
            <w:tcBorders>
              <w:top w:val="single" w:sz="4" w:space="0" w:color="4BB3B5"/>
              <w:bottom w:val="single" w:sz="4" w:space="0" w:color="4BB3B5"/>
            </w:tcBorders>
          </w:tcPr>
          <w:p w14:paraId="1934511B" w14:textId="5AC897C3"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2,675</w:t>
            </w:r>
          </w:p>
        </w:tc>
        <w:tc>
          <w:tcPr>
            <w:tcW w:w="629" w:type="pct"/>
            <w:tcBorders>
              <w:top w:val="single" w:sz="4" w:space="0" w:color="4BB3B5"/>
              <w:bottom w:val="single" w:sz="4" w:space="0" w:color="4BB3B5"/>
            </w:tcBorders>
          </w:tcPr>
          <w:p w14:paraId="07183820" w14:textId="6457D83A"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2,962</w:t>
            </w:r>
          </w:p>
        </w:tc>
      </w:tr>
      <w:bookmarkEnd w:id="14"/>
    </w:tbl>
    <w:p w14:paraId="5C117689" w14:textId="77777777" w:rsidR="001974BD" w:rsidRPr="00AA2B7A" w:rsidRDefault="001974BD" w:rsidP="00271A50">
      <w:pPr>
        <w:rPr>
          <w:highlight w:val="yellow"/>
        </w:rPr>
      </w:pPr>
    </w:p>
    <w:p w14:paraId="24FD5291" w14:textId="77777777" w:rsidR="00E956C9" w:rsidRPr="00901AD7" w:rsidRDefault="00E956C9" w:rsidP="00901AD7">
      <w:pPr>
        <w:pStyle w:val="Heading3"/>
      </w:pPr>
      <w:bookmarkStart w:id="15" w:name="_Toc151556383"/>
      <w:bookmarkStart w:id="16" w:name="_Toc153795390"/>
      <w:r w:rsidRPr="00901AD7">
        <w:t>Recommended Option</w:t>
      </w:r>
      <w:bookmarkEnd w:id="15"/>
      <w:bookmarkEnd w:id="16"/>
    </w:p>
    <w:p w14:paraId="255554A0" w14:textId="77777777" w:rsidR="00E956C9" w:rsidRDefault="00E956C9" w:rsidP="00E956C9">
      <w:pPr>
        <w:spacing w:line="259" w:lineRule="auto"/>
      </w:pPr>
      <w:r>
        <w:t xml:space="preserve">There are three options for the introduction of AVAS that would result in </w:t>
      </w:r>
      <w:r w:rsidR="00C2710A">
        <w:t>different</w:t>
      </w:r>
      <w:r>
        <w:t xml:space="preserve"> </w:t>
      </w:r>
      <w:r w:rsidR="00C2710A">
        <w:t>adoption rates.</w:t>
      </w:r>
    </w:p>
    <w:p w14:paraId="559C50B2" w14:textId="77777777" w:rsidR="00E956C9" w:rsidRDefault="00E956C9" w:rsidP="00C20920">
      <w:pPr>
        <w:pStyle w:val="ListParagraph"/>
        <w:numPr>
          <w:ilvl w:val="0"/>
          <w:numId w:val="16"/>
        </w:numPr>
        <w:spacing w:line="259" w:lineRule="auto"/>
      </w:pPr>
      <w:r>
        <w:t>Option 1 relies on the business as usual approach where the market determines the introduction of these systems.</w:t>
      </w:r>
    </w:p>
    <w:p w14:paraId="68D09CF2" w14:textId="71399BFB" w:rsidR="00E956C9" w:rsidRDefault="00E956C9" w:rsidP="00C20920">
      <w:pPr>
        <w:pStyle w:val="ListParagraph"/>
        <w:numPr>
          <w:ilvl w:val="0"/>
          <w:numId w:val="16"/>
        </w:numPr>
        <w:spacing w:line="259" w:lineRule="auto"/>
      </w:pPr>
      <w:r>
        <w:t xml:space="preserve">Option 2 </w:t>
      </w:r>
      <w:r w:rsidRPr="00D34F67">
        <w:t>mandate</w:t>
      </w:r>
      <w:r w:rsidR="001D601A">
        <w:t>s</w:t>
      </w:r>
      <w:r w:rsidRPr="00D34F67">
        <w:t xml:space="preserve"> the fitment of AVAS</w:t>
      </w:r>
      <w:r w:rsidR="001D601A">
        <w:t xml:space="preserve"> </w:t>
      </w:r>
      <w:r w:rsidRPr="00D34F67">
        <w:t xml:space="preserve">to new light </w:t>
      </w:r>
      <w:r w:rsidR="001D601A">
        <w:t>QRTVs</w:t>
      </w:r>
      <w:r w:rsidR="00441D18">
        <w:t xml:space="preserve"> (up to 3.5 tonnes gross vehicle mass)</w:t>
      </w:r>
      <w:r w:rsidR="001D601A">
        <w:t xml:space="preserve"> from January 2025.</w:t>
      </w:r>
    </w:p>
    <w:p w14:paraId="0ECA2CFF" w14:textId="4A21E425" w:rsidR="00420C31" w:rsidRDefault="00E956C9" w:rsidP="00C20920">
      <w:pPr>
        <w:pStyle w:val="ListParagraph"/>
        <w:numPr>
          <w:ilvl w:val="0"/>
          <w:numId w:val="16"/>
        </w:numPr>
        <w:spacing w:line="259" w:lineRule="auto"/>
      </w:pPr>
      <w:r>
        <w:t xml:space="preserve">Option 3 is </w:t>
      </w:r>
      <w:r w:rsidR="00BA0604">
        <w:t>effectiv</w:t>
      </w:r>
      <w:r w:rsidR="00824A55">
        <w:t>e</w:t>
      </w:r>
      <w:r w:rsidR="00BA0604">
        <w:t>ly</w:t>
      </w:r>
      <w:r>
        <w:t xml:space="preserve"> </w:t>
      </w:r>
      <w:r w:rsidR="00824A55">
        <w:t xml:space="preserve">the same as </w:t>
      </w:r>
      <w:r>
        <w:t xml:space="preserve">Option 2 </w:t>
      </w:r>
      <w:r w:rsidR="00824A55">
        <w:t>but also mandates</w:t>
      </w:r>
      <w:r>
        <w:t xml:space="preserve"> the fitment of AVAS </w:t>
      </w:r>
      <w:r w:rsidR="00824A55">
        <w:t>to</w:t>
      </w:r>
      <w:r>
        <w:t xml:space="preserve"> heavy </w:t>
      </w:r>
      <w:r w:rsidR="001D601A">
        <w:t>QRTVs</w:t>
      </w:r>
      <w:r w:rsidR="00F407F3">
        <w:t xml:space="preserve"> from November 2025</w:t>
      </w:r>
      <w:r>
        <w:t>.</w:t>
      </w:r>
      <w:r w:rsidR="001D601A">
        <w:t xml:space="preserve"> Two timeframes for Option 3 were evaluated</w:t>
      </w:r>
      <w:r w:rsidR="00420C31">
        <w:t>:</w:t>
      </w:r>
      <w:r w:rsidR="001D601A">
        <w:t xml:space="preserve"> </w:t>
      </w:r>
    </w:p>
    <w:p w14:paraId="2621D96A" w14:textId="6C9BEDD7" w:rsidR="00E956C9" w:rsidRDefault="00420C31" w:rsidP="00C20920">
      <w:pPr>
        <w:pStyle w:val="ListParagraph"/>
        <w:numPr>
          <w:ilvl w:val="1"/>
          <w:numId w:val="16"/>
        </w:numPr>
        <w:spacing w:line="259" w:lineRule="auto"/>
      </w:pPr>
      <w:r>
        <w:t>3a</w:t>
      </w:r>
      <w:r w:rsidR="001D601A">
        <w:t xml:space="preserve"> </w:t>
      </w:r>
      <w:r w:rsidR="00F407F3">
        <w:t xml:space="preserve">- </w:t>
      </w:r>
      <w:r w:rsidR="001D601A">
        <w:t xml:space="preserve">mandating AVAS for light vehicles from January 2025 and heavy vehicles from November 2025, and </w:t>
      </w:r>
    </w:p>
    <w:p w14:paraId="35002FF7" w14:textId="113A31F1" w:rsidR="00F407F3" w:rsidRDefault="00F407F3" w:rsidP="00C20920">
      <w:pPr>
        <w:pStyle w:val="ListParagraph"/>
        <w:numPr>
          <w:ilvl w:val="1"/>
          <w:numId w:val="16"/>
        </w:numPr>
        <w:spacing w:line="259" w:lineRule="auto"/>
      </w:pPr>
      <w:r>
        <w:t>3b - mandating AVAS for light vehicles and heavy vehicles from November 2025</w:t>
      </w:r>
      <w:r w:rsidR="00E61337">
        <w:t>.</w:t>
      </w:r>
    </w:p>
    <w:p w14:paraId="7B9E87C1" w14:textId="1EE1829F" w:rsidR="00DC0449" w:rsidRDefault="00BA0604" w:rsidP="00E956C9">
      <w:pPr>
        <w:spacing w:line="259" w:lineRule="auto"/>
      </w:pPr>
      <w:r>
        <w:t>The impact analysis</w:t>
      </w:r>
      <w:r w:rsidR="00420C31">
        <w:t>,</w:t>
      </w:r>
      <w:r w:rsidR="00F407F3">
        <w:t xml:space="preserve"> </w:t>
      </w:r>
      <w:r w:rsidR="00420C31">
        <w:t>released for public consultation in March 2023</w:t>
      </w:r>
      <w:r w:rsidR="0059250F">
        <w:t>,</w:t>
      </w:r>
      <w:r w:rsidR="00E956C9">
        <w:t xml:space="preserve"> found there were substantial benefits f</w:t>
      </w:r>
      <w:r w:rsidR="00420C31">
        <w:t xml:space="preserve">rom </w:t>
      </w:r>
      <w:r w:rsidR="00E956C9">
        <w:t xml:space="preserve">mandating AVAS </w:t>
      </w:r>
      <w:r>
        <w:t xml:space="preserve">for light vehicles </w:t>
      </w:r>
      <w:r w:rsidR="00E956C9">
        <w:t xml:space="preserve">over the business as usual approach. </w:t>
      </w:r>
      <w:r w:rsidR="00420C31">
        <w:t>In response to feedback received during the</w:t>
      </w:r>
      <w:r w:rsidR="00C2710A">
        <w:t xml:space="preserve"> public consultation,</w:t>
      </w:r>
      <w:r w:rsidR="00420C31">
        <w:t xml:space="preserve"> which strongly supported mandating AVAS for heavy vehicles as well as light vehicles, a third option mandating AVAS for heavy vehicles</w:t>
      </w:r>
      <w:r w:rsidR="0059250F">
        <w:t xml:space="preserve"> in addition to</w:t>
      </w:r>
      <w:r w:rsidR="00420C31">
        <w:t xml:space="preserve"> light vehicles</w:t>
      </w:r>
      <w:r w:rsidR="0059250F">
        <w:t>,</w:t>
      </w:r>
      <w:r w:rsidR="00420C31">
        <w:t xml:space="preserve"> was evaluated. </w:t>
      </w:r>
      <w:r w:rsidR="00C145B8">
        <w:t>Options 3a and 3b both include fitment of AVAS</w:t>
      </w:r>
      <w:r w:rsidR="00BC60B2">
        <w:t xml:space="preserve"> to light and heavy vehicles (consistent with the adoption of UN R138/01), with the key difference being implementation timing between the two categories of vehicle. </w:t>
      </w:r>
      <w:r w:rsidR="00FA0277">
        <w:t>O</w:t>
      </w:r>
      <w:r w:rsidR="00420C31">
        <w:t>ur analysis found that Option 3a was likely to have the greatest net benefit</w:t>
      </w:r>
      <w:r w:rsidR="00FA0277">
        <w:t xml:space="preserve"> and safety outcomes.</w:t>
      </w:r>
      <w:r w:rsidR="00420C31">
        <w:t xml:space="preserve"> </w:t>
      </w:r>
      <w:r w:rsidR="00FA0277">
        <w:t xml:space="preserve">However, as this option would allow less than 12 months for light vehicle manufacturers to update and recertify vehicles that do not currently comply, </w:t>
      </w:r>
      <w:r w:rsidR="00420C31">
        <w:t xml:space="preserve">this Impact Analysis recommends implementing </w:t>
      </w:r>
      <w:r w:rsidR="00E956C9">
        <w:t>Option 3</w:t>
      </w:r>
      <w:r w:rsidR="00FA0277">
        <w:t>b</w:t>
      </w:r>
      <w:r w:rsidR="00E956C9">
        <w:t xml:space="preserve"> </w:t>
      </w:r>
      <w:r w:rsidR="00C6095C">
        <w:t xml:space="preserve">to </w:t>
      </w:r>
      <w:r w:rsidR="00FA0277">
        <w:t xml:space="preserve">allow sufficient time for </w:t>
      </w:r>
      <w:r w:rsidR="00F407F3">
        <w:t xml:space="preserve">safety benefits and </w:t>
      </w:r>
      <w:r w:rsidR="00DC0449">
        <w:t>minimise</w:t>
      </w:r>
      <w:r w:rsidR="00C6095C">
        <w:t xml:space="preserve"> road</w:t>
      </w:r>
      <w:r w:rsidR="00E956C9">
        <w:t xml:space="preserve"> trauma</w:t>
      </w:r>
      <w:r w:rsidR="00C6095C">
        <w:t xml:space="preserve"> for vulnerable road users, especially for the</w:t>
      </w:r>
      <w:r w:rsidR="00E956C9">
        <w:t xml:space="preserve"> blind and </w:t>
      </w:r>
      <w:r w:rsidR="00C6095C">
        <w:t xml:space="preserve">low vision </w:t>
      </w:r>
      <w:r w:rsidR="00E956C9">
        <w:t>community</w:t>
      </w:r>
      <w:r w:rsidR="00FA0277" w:rsidRPr="00FA0277">
        <w:t xml:space="preserve"> </w:t>
      </w:r>
      <w:r w:rsidR="00FA0277">
        <w:t>without unduly disrupting the supply of new, safer and cleaner vehicles to customers currently experiencing prolonged waiting times</w:t>
      </w:r>
      <w:r w:rsidR="00E956C9">
        <w:t>.</w:t>
      </w:r>
    </w:p>
    <w:p w14:paraId="0BCAE590" w14:textId="4DBE528E" w:rsidR="00120C22" w:rsidRDefault="00260605" w:rsidP="00BC60B2">
      <w:pPr>
        <w:keepNext/>
        <w:keepLines/>
        <w:spacing w:line="259" w:lineRule="auto"/>
      </w:pPr>
      <w:r w:rsidRPr="0047406A">
        <w:rPr>
          <w:rFonts w:eastAsia="SimSun" w:cs="Times New Roman"/>
          <w:b/>
          <w:color w:val="595C6E"/>
          <w:kern w:val="12"/>
          <w:sz w:val="32"/>
          <w:szCs w:val="32"/>
        </w:rPr>
        <w:lastRenderedPageBreak/>
        <w:t>The Impact Analysis Process</w:t>
      </w:r>
    </w:p>
    <w:p w14:paraId="01D56EE7" w14:textId="22E83E50" w:rsidR="00260605" w:rsidRPr="00260605" w:rsidRDefault="00260605" w:rsidP="00BC60B2">
      <w:pPr>
        <w:keepNext/>
        <w:keepLines/>
      </w:pPr>
      <w:r w:rsidRPr="00260605">
        <w:t xml:space="preserve">This Final IA has been written in accordance with the Australian Government IA requirements. In the subsequent nine chapters, the seven assessment questions set out in the </w:t>
      </w:r>
      <w:r w:rsidRPr="35E123EC">
        <w:rPr>
          <w:i/>
        </w:rPr>
        <w:t xml:space="preserve">Australian Government Guide to </w:t>
      </w:r>
      <w:r w:rsidR="000E42BF">
        <w:rPr>
          <w:i/>
        </w:rPr>
        <w:t>Policy</w:t>
      </w:r>
      <w:r w:rsidR="000E42BF" w:rsidRPr="35E123EC">
        <w:rPr>
          <w:i/>
        </w:rPr>
        <w:t xml:space="preserve"> </w:t>
      </w:r>
      <w:r w:rsidRPr="35E123EC">
        <w:rPr>
          <w:i/>
        </w:rPr>
        <w:t>Impact Analysis (202</w:t>
      </w:r>
      <w:r w:rsidR="000E42BF">
        <w:rPr>
          <w:i/>
        </w:rPr>
        <w:t>3</w:t>
      </w:r>
      <w:r w:rsidRPr="35E123EC">
        <w:rPr>
          <w:i/>
        </w:rPr>
        <w:t>)</w:t>
      </w:r>
      <w:r w:rsidRPr="00260605">
        <w:t xml:space="preserve"> have been addressed. In addition, measurement of regulatory burden and cost offsets are considered. The seven IA questions addressed are:</w:t>
      </w:r>
    </w:p>
    <w:p w14:paraId="740C401F" w14:textId="7A5A94D9" w:rsidR="00260605" w:rsidRPr="00260605" w:rsidRDefault="00260605" w:rsidP="00C20920">
      <w:pPr>
        <w:numPr>
          <w:ilvl w:val="0"/>
          <w:numId w:val="18"/>
        </w:numPr>
        <w:spacing w:after="0"/>
        <w:rPr>
          <w:lang w:val="x-none"/>
        </w:rPr>
      </w:pPr>
      <w:r w:rsidRPr="00260605">
        <w:rPr>
          <w:lang w:val="x-none"/>
        </w:rPr>
        <w:t>What is the problem you are trying to solve</w:t>
      </w:r>
      <w:r w:rsidR="000E42BF">
        <w:t xml:space="preserve"> and what data is available</w:t>
      </w:r>
      <w:r w:rsidRPr="00260605">
        <w:rPr>
          <w:lang w:val="x-none"/>
        </w:rPr>
        <w:t>?</w:t>
      </w:r>
    </w:p>
    <w:p w14:paraId="1504EBEA" w14:textId="1478CA46" w:rsidR="00260605" w:rsidRPr="00260605" w:rsidRDefault="00260605" w:rsidP="00C20920">
      <w:pPr>
        <w:pStyle w:val="ListNumbered1"/>
      </w:pPr>
      <w:r w:rsidRPr="00260605">
        <w:t>W</w:t>
      </w:r>
      <w:r w:rsidR="000E42BF">
        <w:t>hat are the objective, w</w:t>
      </w:r>
      <w:r w:rsidRPr="00260605">
        <w:t>hy is government action needed</w:t>
      </w:r>
      <w:r w:rsidR="000E42BF">
        <w:t xml:space="preserve"> to achieve them, and how will success be measured</w:t>
      </w:r>
      <w:r w:rsidRPr="00260605">
        <w:t>?</w:t>
      </w:r>
    </w:p>
    <w:p w14:paraId="78DB23C8" w14:textId="77777777" w:rsidR="00260605" w:rsidRPr="00260605" w:rsidRDefault="00260605" w:rsidP="004014E5">
      <w:pPr>
        <w:pStyle w:val="ListNumbered1"/>
      </w:pPr>
      <w:r w:rsidRPr="00260605">
        <w:t>What policy options are you considering?</w:t>
      </w:r>
    </w:p>
    <w:p w14:paraId="09F89D34" w14:textId="77777777" w:rsidR="00260605" w:rsidRPr="00260605" w:rsidRDefault="00260605">
      <w:pPr>
        <w:pStyle w:val="ListNumbered1"/>
      </w:pPr>
      <w:r w:rsidRPr="00260605">
        <w:t>What is the likely net benefit of each option?</w:t>
      </w:r>
    </w:p>
    <w:p w14:paraId="21B39CF3" w14:textId="77777777" w:rsidR="00260605" w:rsidRPr="00260605" w:rsidRDefault="00260605">
      <w:pPr>
        <w:pStyle w:val="ListNumbered1"/>
      </w:pPr>
      <w:r w:rsidRPr="00260605">
        <w:t>Who did you consult and how did you incorporate their feedback?</w:t>
      </w:r>
    </w:p>
    <w:p w14:paraId="0298CD94" w14:textId="7918D2C9" w:rsidR="00260605" w:rsidRPr="00260605" w:rsidRDefault="00260605">
      <w:pPr>
        <w:pStyle w:val="ListNumbered1"/>
      </w:pPr>
      <w:r w:rsidRPr="00260605">
        <w:t>What is the best option from those you have considered</w:t>
      </w:r>
      <w:r w:rsidR="000E42BF">
        <w:rPr>
          <w:lang w:val="en-AU"/>
        </w:rPr>
        <w:t xml:space="preserve"> and how will it be implemented</w:t>
      </w:r>
      <w:r w:rsidRPr="00260605">
        <w:t>?</w:t>
      </w:r>
    </w:p>
    <w:p w14:paraId="3B135C31" w14:textId="1268996D" w:rsidR="00260605" w:rsidRPr="00260605" w:rsidRDefault="00260605">
      <w:pPr>
        <w:pStyle w:val="ListNumbered1"/>
      </w:pPr>
      <w:r w:rsidRPr="00260605">
        <w:t>How will you implement and evaluate your chosen option</w:t>
      </w:r>
      <w:r w:rsidR="000E42BF">
        <w:rPr>
          <w:lang w:val="en-AU"/>
        </w:rPr>
        <w:t xml:space="preserve"> against success metrics</w:t>
      </w:r>
      <w:r w:rsidRPr="00260605">
        <w:t>?</w:t>
      </w:r>
    </w:p>
    <w:p w14:paraId="70C48AD5" w14:textId="301D1EB0" w:rsidR="00396EA7" w:rsidRDefault="00260605" w:rsidP="00260605">
      <w:r w:rsidRPr="00260605">
        <w:t>In line with the principles for Australian Government policy makers, the regulatory costs imposed on business, the community and individuals associated with each viable option were quantified. It is anticipated that regulatory savings from further alignment with international standards will offset the additional costs of implementing the recommended option</w:t>
      </w:r>
    </w:p>
    <w:p w14:paraId="3F0F05B7" w14:textId="77777777" w:rsidR="00E52101" w:rsidRDefault="00E52101" w:rsidP="0003567F"/>
    <w:p w14:paraId="3E5B0C88" w14:textId="77777777" w:rsidR="00271A50" w:rsidRPr="00875B09" w:rsidRDefault="00271A50" w:rsidP="00271A50">
      <w:r w:rsidRPr="00930D6A">
        <w:br w:type="page"/>
      </w:r>
    </w:p>
    <w:p w14:paraId="45FC8915" w14:textId="5B70CFA9" w:rsidR="00271A50" w:rsidRDefault="00271A50" w:rsidP="007843CE">
      <w:pPr>
        <w:pStyle w:val="Heading2"/>
      </w:pPr>
      <w:bookmarkStart w:id="17" w:name="_Ref90475467"/>
      <w:bookmarkStart w:id="18" w:name="_Toc128476443"/>
      <w:bookmarkStart w:id="19" w:name="_Toc151556384"/>
      <w:bookmarkStart w:id="20" w:name="_Toc153795391"/>
      <w:r>
        <w:lastRenderedPageBreak/>
        <w:t xml:space="preserve">1. </w:t>
      </w:r>
      <w:r w:rsidRPr="00930D6A">
        <w:t xml:space="preserve">What is the </w:t>
      </w:r>
      <w:r w:rsidR="008F0628">
        <w:t>problem you are trying to solve and what data is available</w:t>
      </w:r>
      <w:r w:rsidRPr="00930D6A">
        <w:t>?</w:t>
      </w:r>
      <w:bookmarkEnd w:id="17"/>
      <w:bookmarkEnd w:id="18"/>
      <w:bookmarkEnd w:id="19"/>
      <w:bookmarkEnd w:id="20"/>
    </w:p>
    <w:p w14:paraId="37DB3182" w14:textId="38A41556" w:rsidR="00271A50" w:rsidRPr="00930D6A" w:rsidRDefault="00271A50" w:rsidP="007843CE">
      <w:pPr>
        <w:pStyle w:val="Heading3"/>
      </w:pPr>
      <w:bookmarkStart w:id="21" w:name="_Toc128476444"/>
      <w:bookmarkStart w:id="22" w:name="_Toc151556385"/>
      <w:bookmarkStart w:id="23" w:name="_Toc153795392"/>
      <w:r>
        <w:t xml:space="preserve">1.1 </w:t>
      </w:r>
      <w:r w:rsidRPr="00930D6A">
        <w:t xml:space="preserve">Road </w:t>
      </w:r>
      <w:r>
        <w:t>Crashes</w:t>
      </w:r>
      <w:r w:rsidRPr="00930D6A">
        <w:t xml:space="preserve"> in Australia</w:t>
      </w:r>
      <w:bookmarkEnd w:id="21"/>
      <w:bookmarkEnd w:id="22"/>
      <w:r w:rsidR="00321477">
        <w:t xml:space="preserve"> impose a significant cost on the community</w:t>
      </w:r>
      <w:bookmarkEnd w:id="23"/>
    </w:p>
    <w:p w14:paraId="6F072177" w14:textId="77777777" w:rsidR="00271A50" w:rsidRPr="00930D6A" w:rsidRDefault="00271A50" w:rsidP="00271A50">
      <w:r w:rsidRPr="00930D6A">
        <w:t xml:space="preserve">The impact of road </w:t>
      </w:r>
      <w:r>
        <w:t xml:space="preserve">crashes </w:t>
      </w:r>
      <w:r w:rsidRPr="00930D6A">
        <w:t>on society is significant, costing the Australian community over $</w:t>
      </w:r>
      <w:r w:rsidR="00492811">
        <w:t>30</w:t>
      </w:r>
      <w:r w:rsidRPr="00930D6A">
        <w:t> billion per year in healthcare</w:t>
      </w:r>
      <w:r>
        <w:t>,</w:t>
      </w:r>
      <w:r w:rsidRPr="00930D6A">
        <w:t xml:space="preserve"> lost productivity, and property expenses</w:t>
      </w:r>
      <w:r w:rsidR="0050346F">
        <w:t xml:space="preserve"> (NRSS 2021-2030)</w:t>
      </w:r>
      <w:r w:rsidRPr="00930D6A">
        <w:t>. This translates to an average cost of over $1,100 levied upon every person in Australia. For those individuals and families involved</w:t>
      </w:r>
      <w:r>
        <w:t xml:space="preserve"> in these crashes</w:t>
      </w:r>
      <w:r w:rsidRPr="00930D6A">
        <w:t>, there is an immeasurable personal cost.</w:t>
      </w:r>
    </w:p>
    <w:p w14:paraId="7F9BB8E1" w14:textId="0DD65A11" w:rsidR="00271A50" w:rsidRPr="00930D6A" w:rsidRDefault="00063D48" w:rsidP="007843CE">
      <w:pPr>
        <w:pStyle w:val="Heading4"/>
      </w:pPr>
      <w:bookmarkStart w:id="24" w:name="_Toc153795393"/>
      <w:r>
        <w:t xml:space="preserve">1.1.1 </w:t>
      </w:r>
      <w:r w:rsidR="00321477">
        <w:t>Road trauma involving p</w:t>
      </w:r>
      <w:r w:rsidR="00271A50" w:rsidRPr="00930D6A">
        <w:t>edestrian</w:t>
      </w:r>
      <w:r w:rsidR="00321477">
        <w:t>s is not improving</w:t>
      </w:r>
      <w:bookmarkEnd w:id="24"/>
    </w:p>
    <w:p w14:paraId="14108A40" w14:textId="77777777" w:rsidR="00271A50" w:rsidRDefault="00271A50" w:rsidP="00271A50">
      <w:r w:rsidRPr="00930D6A">
        <w:t>Pedestrians comprise the largest single road user group, as almost everyone is a pedestrian at some point of their travel journey. Most Australians regularly walk for leisure, to go to work, school or local shops and to access other modes of transport. Pedestrians are considered particularly vulnerable because they have little or no protection if struck by a road vehicle.</w:t>
      </w:r>
    </w:p>
    <w:p w14:paraId="59946C20" w14:textId="367A67AC" w:rsidR="00271A50" w:rsidRDefault="00271A50" w:rsidP="00271A50">
      <w:r w:rsidRPr="00930D6A">
        <w:t>Pedestrians travel low kilometres relative to other road user groups, yet comprise 13</w:t>
      </w:r>
      <w:r w:rsidR="00BC60B2">
        <w:t>%</w:t>
      </w:r>
      <w:r w:rsidRPr="00930D6A">
        <w:t xml:space="preserve"> of all road fatalities in Australia, amounting to over 160 deaths annually</w:t>
      </w:r>
      <w:r w:rsidR="00030BE5">
        <w:t xml:space="preserve"> on average</w:t>
      </w:r>
      <w:r w:rsidRPr="00930D6A">
        <w:t xml:space="preserve"> (BITRE, 2020). Thousands more are injured. </w:t>
      </w:r>
      <w:r>
        <w:t>Pedestrian</w:t>
      </w:r>
      <w:r w:rsidRPr="00930D6A">
        <w:t xml:space="preserve"> crashes </w:t>
      </w:r>
      <w:r>
        <w:t xml:space="preserve">alone </w:t>
      </w:r>
      <w:r w:rsidRPr="00930D6A">
        <w:t xml:space="preserve">cost the Australian community over $1.2 billion each year. </w:t>
      </w:r>
      <w:r w:rsidR="00A66EAC">
        <w:t>Pedestrian road use risk clearly increases when a pedestrian’s vision or attention is compromised.</w:t>
      </w:r>
    </w:p>
    <w:p w14:paraId="2E04EE47" w14:textId="77777777" w:rsidR="00063947" w:rsidRPr="00930D6A" w:rsidRDefault="00A66EAC" w:rsidP="00063947">
      <w:r>
        <w:t>R</w:t>
      </w:r>
      <w:r w:rsidR="00063947">
        <w:t>esearch shows pedestrians distracted by their mobile phones are at increased risk of being involved in a collision. Pedestrians using mobile devices tend to walk slower and more unevenly, pay less attention to their environment and have more safety-related incidents. One observational study conducted by MUARC found around 20% of pedestrians observed crossing roads were distracted by smart phones and 31% of those displayed high-risk behaviour like not looking before crossing the road</w:t>
      </w:r>
      <w:r w:rsidR="00063947">
        <w:rPr>
          <w:rStyle w:val="FootnoteReference"/>
        </w:rPr>
        <w:footnoteReference w:id="4"/>
      </w:r>
      <w:r w:rsidR="00063947">
        <w:t>.</w:t>
      </w:r>
    </w:p>
    <w:p w14:paraId="0E35EDCA" w14:textId="10E7FCDE" w:rsidR="00063947" w:rsidRPr="00930D6A" w:rsidRDefault="00063947" w:rsidP="00271A50">
      <w:r>
        <w:t xml:space="preserve">Pedestrians and cyclists are also at greater risk from heavy vehicles, </w:t>
      </w:r>
      <w:r w:rsidR="005764FC">
        <w:t>noting that</w:t>
      </w:r>
      <w:r>
        <w:t xml:space="preserve"> electric buses and trucks are still operating in small numbers. </w:t>
      </w:r>
      <w:r w:rsidR="005764FC">
        <w:t>Although heavy vehicles represent only around 3% of total registered vehicles in Australia, 20% of pedestrian and cyclist fatalities involved a heavy vehicle in 2021.</w:t>
      </w:r>
      <w:r w:rsidR="005764FC">
        <w:rPr>
          <w:rStyle w:val="FootnoteReference"/>
        </w:rPr>
        <w:footnoteReference w:id="5"/>
      </w:r>
      <w:r w:rsidR="00EF4537">
        <w:t xml:space="preserve"> </w:t>
      </w:r>
      <w:r w:rsidR="005764FC">
        <w:t>Most of these fatalities were children and young people, a figure likely to be connected to not only the mass difference between a heavy vehicle and a pedestrian, but the blind spots associated with trucks and buses.</w:t>
      </w:r>
    </w:p>
    <w:p w14:paraId="43C26CA5" w14:textId="77777777" w:rsidR="000D0111" w:rsidRDefault="003A46A3" w:rsidP="000D0111">
      <w:pPr>
        <w:rPr>
          <w:rFonts w:eastAsia="Calibri" w:cs="Times New Roman"/>
        </w:rPr>
      </w:pPr>
      <w:r>
        <w:rPr>
          <w:rFonts w:eastAsia="Calibri" w:cs="Times New Roman"/>
        </w:rPr>
        <w:t>While pedestrian fatalities decreased during COVID-19, likely due to the decrease in the number of vehicles on the road</w:t>
      </w:r>
      <w:r w:rsidR="002755B8">
        <w:rPr>
          <w:rFonts w:eastAsia="Calibri" w:cs="Times New Roman"/>
        </w:rPr>
        <w:t xml:space="preserve"> (especially during lockdowns), pedestrian fatalities have started to increase again since 2021</w:t>
      </w:r>
      <w:r w:rsidR="00271A50" w:rsidRPr="00930D6A">
        <w:rPr>
          <w:rFonts w:eastAsia="Calibri" w:cs="Times New Roman"/>
        </w:rPr>
        <w:t>.</w:t>
      </w:r>
      <w:r w:rsidR="002755B8">
        <w:rPr>
          <w:rFonts w:eastAsia="Calibri" w:cs="Times New Roman"/>
        </w:rPr>
        <w:t xml:space="preserve"> </w:t>
      </w:r>
      <w:r w:rsidR="002755B8" w:rsidRPr="00772CA9">
        <w:rPr>
          <w:rFonts w:eastAsia="Calibri" w:cs="Times New Roman"/>
        </w:rPr>
        <w:t xml:space="preserve">At its lowest point in the last few years, 133 pedestrians were killed in 2021, however this increased by 21.8% to 162 pedestrian deaths in 2022. </w:t>
      </w:r>
      <w:r w:rsidR="00C119D5">
        <w:rPr>
          <w:rFonts w:eastAsia="Calibri" w:cs="Times New Roman"/>
        </w:rPr>
        <w:t xml:space="preserve">In the </w:t>
      </w:r>
      <w:r w:rsidR="00C119D5" w:rsidRPr="00EA63B9">
        <w:rPr>
          <w:rFonts w:eastAsia="Calibri" w:cs="Times New Roman"/>
        </w:rPr>
        <w:t>12 months</w:t>
      </w:r>
      <w:r w:rsidR="00C119D5">
        <w:rPr>
          <w:rFonts w:eastAsia="Calibri" w:cs="Times New Roman"/>
        </w:rPr>
        <w:t xml:space="preserve"> to</w:t>
      </w:r>
      <w:r w:rsidR="009220BA">
        <w:rPr>
          <w:rFonts w:eastAsia="Calibri" w:cs="Times New Roman"/>
        </w:rPr>
        <w:t xml:space="preserve"> </w:t>
      </w:r>
      <w:r w:rsidR="00471CA4" w:rsidRPr="00772CA9">
        <w:rPr>
          <w:rFonts w:eastAsia="Calibri" w:cs="Times New Roman"/>
        </w:rPr>
        <w:t>October</w:t>
      </w:r>
      <w:r w:rsidR="002755B8" w:rsidRPr="00772CA9">
        <w:rPr>
          <w:rFonts w:eastAsia="Calibri" w:cs="Times New Roman"/>
        </w:rPr>
        <w:t xml:space="preserve"> 2023, </w:t>
      </w:r>
      <w:r w:rsidR="00471CA4" w:rsidRPr="00772CA9">
        <w:rPr>
          <w:rFonts w:eastAsia="Calibri" w:cs="Times New Roman"/>
        </w:rPr>
        <w:t xml:space="preserve">166 </w:t>
      </w:r>
      <w:r w:rsidR="002755B8" w:rsidRPr="00772CA9">
        <w:rPr>
          <w:rFonts w:eastAsia="Calibri" w:cs="Times New Roman"/>
        </w:rPr>
        <w:t xml:space="preserve">pedestrian deaths have been recorded </w:t>
      </w:r>
      <w:r w:rsidR="00C119D5">
        <w:rPr>
          <w:rFonts w:eastAsia="Calibri" w:cs="Times New Roman"/>
        </w:rPr>
        <w:t>in Australia</w:t>
      </w:r>
      <w:r w:rsidR="002755B8" w:rsidRPr="00772CA9">
        <w:rPr>
          <w:rFonts w:eastAsia="Calibri" w:cs="Times New Roman"/>
        </w:rPr>
        <w:t>.</w:t>
      </w:r>
      <w:r w:rsidR="001D601A" w:rsidRPr="00772CA9">
        <w:rPr>
          <w:rStyle w:val="FootnoteReference"/>
          <w:rFonts w:eastAsia="Calibri" w:cs="Times New Roman"/>
        </w:rPr>
        <w:footnoteReference w:id="6"/>
      </w:r>
    </w:p>
    <w:p w14:paraId="29792D99" w14:textId="0ACF0A15" w:rsidR="005E3044" w:rsidRPr="000D0111" w:rsidRDefault="002755B8" w:rsidP="000D0111">
      <w:pPr>
        <w:rPr>
          <w:rFonts w:eastAsia="Calibri" w:cs="Times New Roman"/>
        </w:rPr>
      </w:pPr>
      <w:r>
        <w:rPr>
          <w:rFonts w:eastAsia="Calibri" w:cs="Times New Roman"/>
        </w:rPr>
        <w:t>Pedestrian hospitalisations represent nearly 6% of hospitalisations due to road trauma, with 2,334 pedestrians hospitalised in 2021</w:t>
      </w:r>
      <w:r w:rsidR="00071087">
        <w:rPr>
          <w:rFonts w:eastAsia="Calibri" w:cs="Times New Roman"/>
        </w:rPr>
        <w:t xml:space="preserve">. </w:t>
      </w:r>
      <w:r w:rsidR="00271A50" w:rsidRPr="00930D6A">
        <w:rPr>
          <w:rFonts w:eastAsia="Calibri" w:cs="Times New Roman"/>
        </w:rPr>
        <w:t xml:space="preserve">While not a perfect measure, hospital admission provides the best available indication of serious injury crashes in Australia. </w:t>
      </w:r>
      <w:r w:rsidR="00271A50" w:rsidRPr="000D0111">
        <w:rPr>
          <w:rFonts w:eastAsia="Calibri" w:cs="Times New Roman"/>
        </w:rPr>
        <w:t>The majority of these incidents involved a light vehicle striking a pedestrian.</w:t>
      </w:r>
      <w:r w:rsidR="00071087" w:rsidRPr="000D0111">
        <w:rPr>
          <w:rFonts w:eastAsia="Calibri" w:cs="Times New Roman"/>
        </w:rPr>
        <w:t xml:space="preserve"> This data does not include cyclists, although the hospitalisation rates are significantly higher, with 8,163 cyclists hospitalised in 2021 due to road trauma (representing over 20% of road user hospitalisations due to road trauma).</w:t>
      </w:r>
      <w:r w:rsidR="002636B1" w:rsidRPr="000D0111">
        <w:rPr>
          <w:rFonts w:eastAsia="Calibri" w:cs="Times New Roman"/>
        </w:rPr>
        <w:t xml:space="preserve"> </w:t>
      </w:r>
      <w:r w:rsidR="00071087" w:rsidRPr="000D0111">
        <w:rPr>
          <w:rFonts w:eastAsia="Calibri" w:cs="Times New Roman"/>
        </w:rPr>
        <w:t xml:space="preserve"> National data collected by road safety authorities does </w:t>
      </w:r>
      <w:r w:rsidR="00071087" w:rsidRPr="000D0111">
        <w:rPr>
          <w:rFonts w:eastAsia="Calibri" w:cs="Times New Roman"/>
        </w:rPr>
        <w:lastRenderedPageBreak/>
        <w:t>not consistently record the type of vehicle involved in the collision (i</w:t>
      </w:r>
      <w:r w:rsidR="00DC0449" w:rsidRPr="000D0111">
        <w:rPr>
          <w:rFonts w:eastAsia="Calibri" w:cs="Times New Roman"/>
        </w:rPr>
        <w:t>.</w:t>
      </w:r>
      <w:r w:rsidR="00071087" w:rsidRPr="000D0111">
        <w:rPr>
          <w:rFonts w:eastAsia="Calibri" w:cs="Times New Roman"/>
        </w:rPr>
        <w:t>e. whether it is an electric, hybrid or internal combustion engine vehicle)</w:t>
      </w:r>
      <w:r w:rsidR="00030BE5" w:rsidRPr="000D0111">
        <w:rPr>
          <w:rFonts w:eastAsia="Calibri" w:cs="Times New Roman"/>
        </w:rPr>
        <w:t>.</w:t>
      </w:r>
    </w:p>
    <w:p w14:paraId="658EEE38" w14:textId="23AA03E2" w:rsidR="000D0111" w:rsidRDefault="000D0111" w:rsidP="00BC60B2">
      <w:pPr>
        <w:keepLines/>
      </w:pPr>
      <w:r w:rsidRPr="00C20920">
        <w:rPr>
          <w:rFonts w:eastAsia="Calibri" w:cs="Times New Roman"/>
          <w:highlight w:val="lightGray"/>
        </w:rPr>
        <w:fldChar w:fldCharType="begin"/>
      </w:r>
      <w:r w:rsidRPr="00C20920">
        <w:rPr>
          <w:rFonts w:eastAsia="Calibri" w:cs="Times New Roman"/>
          <w:highlight w:val="lightGray"/>
        </w:rPr>
        <w:instrText xml:space="preserve"> REF _Ref150872766 \h  \* MERGEFORMAT </w:instrText>
      </w:r>
      <w:r w:rsidRPr="00C20920">
        <w:rPr>
          <w:rFonts w:eastAsia="Calibri" w:cs="Times New Roman"/>
          <w:highlight w:val="lightGray"/>
        </w:rPr>
      </w:r>
      <w:r w:rsidRPr="00C20920">
        <w:rPr>
          <w:rFonts w:eastAsia="Calibri" w:cs="Times New Roman"/>
          <w:highlight w:val="lightGray"/>
        </w:rPr>
        <w:fldChar w:fldCharType="separate"/>
      </w:r>
      <w:r w:rsidRPr="005E58C6">
        <w:rPr>
          <w:iCs/>
        </w:rPr>
        <w:t>Figure 1</w:t>
      </w:r>
      <w:r w:rsidRPr="00C20920">
        <w:rPr>
          <w:rFonts w:eastAsia="Calibri" w:cs="Times New Roman"/>
          <w:highlight w:val="lightGray"/>
        </w:rPr>
        <w:fldChar w:fldCharType="end"/>
      </w:r>
      <w:r w:rsidRPr="00930D6A">
        <w:rPr>
          <w:rFonts w:eastAsia="Calibri" w:cs="Times New Roman"/>
        </w:rPr>
        <w:t xml:space="preserve"> shows the number of pedestrian </w:t>
      </w:r>
      <w:r>
        <w:rPr>
          <w:rFonts w:eastAsia="Calibri" w:cs="Times New Roman"/>
        </w:rPr>
        <w:t>fatalities</w:t>
      </w:r>
      <w:r w:rsidRPr="00930D6A">
        <w:rPr>
          <w:rFonts w:eastAsia="Calibri" w:cs="Times New Roman"/>
        </w:rPr>
        <w:t xml:space="preserve"> in Australia from 201</w:t>
      </w:r>
      <w:r>
        <w:rPr>
          <w:rFonts w:eastAsia="Calibri" w:cs="Times New Roman"/>
        </w:rPr>
        <w:t>3</w:t>
      </w:r>
      <w:r w:rsidRPr="00930D6A">
        <w:rPr>
          <w:rFonts w:eastAsia="Calibri" w:cs="Times New Roman"/>
        </w:rPr>
        <w:t xml:space="preserve"> to 20</w:t>
      </w:r>
      <w:r>
        <w:rPr>
          <w:rFonts w:eastAsia="Calibri" w:cs="Times New Roman"/>
        </w:rPr>
        <w:t>22.</w:t>
      </w:r>
    </w:p>
    <w:p w14:paraId="28D71DF3" w14:textId="7DF1EA26" w:rsidR="00045767" w:rsidRPr="00030BE5" w:rsidRDefault="00045767" w:rsidP="00030BE5">
      <w:pPr>
        <w:pStyle w:val="Tablefigureheading"/>
      </w:pPr>
      <w:bookmarkStart w:id="25" w:name="_Ref150872766"/>
      <w:bookmarkStart w:id="26" w:name="_Toc115350477"/>
      <w:bookmarkStart w:id="27" w:name="_Toc153795477"/>
      <w:r w:rsidRPr="00030BE5">
        <w:t xml:space="preserve">Figure </w:t>
      </w:r>
      <w:fldSimple w:instr=" SEQ Figure \* ARABIC ">
        <w:r w:rsidR="005E58C6">
          <w:rPr>
            <w:noProof/>
          </w:rPr>
          <w:t>1</w:t>
        </w:r>
      </w:fldSimple>
      <w:bookmarkEnd w:id="25"/>
      <w:r w:rsidRPr="00030BE5">
        <w:t>: Pedestrian fatalities 2013 - 2022 (BITRE, 2023)</w:t>
      </w:r>
      <w:bookmarkEnd w:id="26"/>
      <w:bookmarkEnd w:id="27"/>
    </w:p>
    <w:p w14:paraId="4F2D1747" w14:textId="757FF8BC" w:rsidR="00271A50" w:rsidRPr="00930D6A" w:rsidRDefault="00EA6610" w:rsidP="00271A50">
      <w:r>
        <w:rPr>
          <w:noProof/>
          <w:lang w:eastAsia="en-AU"/>
        </w:rPr>
        <w:drawing>
          <wp:inline distT="0" distB="0" distL="0" distR="0" wp14:anchorId="767F23CB" wp14:editId="497645EC">
            <wp:extent cx="5394960" cy="2621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4960" cy="2621280"/>
                    </a:xfrm>
                    <a:prstGeom prst="rect">
                      <a:avLst/>
                    </a:prstGeom>
                    <a:noFill/>
                  </pic:spPr>
                </pic:pic>
              </a:graphicData>
            </a:graphic>
          </wp:inline>
        </w:drawing>
      </w:r>
    </w:p>
    <w:p w14:paraId="360F56A2" w14:textId="2EAE72A6" w:rsidR="007843CE" w:rsidRPr="00FA0277" w:rsidRDefault="00CA6CEC" w:rsidP="00CC14A8">
      <w:pPr>
        <w:pStyle w:val="Heading3"/>
      </w:pPr>
      <w:bookmarkStart w:id="28" w:name="_Toc153554176"/>
      <w:bookmarkStart w:id="29" w:name="_Toc151556387"/>
      <w:bookmarkStart w:id="30" w:name="_Toc153795394"/>
      <w:bookmarkStart w:id="31" w:name="_Toc83999532"/>
      <w:r w:rsidRPr="002E46E1">
        <w:t>1.</w:t>
      </w:r>
      <w:r w:rsidR="00271A50" w:rsidRPr="002E46E1">
        <w:t>2</w:t>
      </w:r>
      <w:bookmarkEnd w:id="28"/>
      <w:r w:rsidR="007843CE">
        <w:t xml:space="preserve"> </w:t>
      </w:r>
      <w:bookmarkStart w:id="32" w:name="_Toc128476445"/>
      <w:r w:rsidR="007843CE" w:rsidRPr="002E46E1">
        <w:t>Quiet Road Transport</w:t>
      </w:r>
      <w:r w:rsidR="007843CE" w:rsidRPr="00FA0277">
        <w:t xml:space="preserve"> Vehicles </w:t>
      </w:r>
      <w:bookmarkStart w:id="33" w:name="_Toc151556388"/>
      <w:bookmarkEnd w:id="29"/>
      <w:bookmarkEnd w:id="32"/>
      <w:r w:rsidR="007843CE">
        <w:t xml:space="preserve">are more likely to </w:t>
      </w:r>
      <w:bookmarkEnd w:id="33"/>
      <w:r w:rsidR="007843CE">
        <w:t>collide with pedestrians</w:t>
      </w:r>
      <w:bookmarkEnd w:id="30"/>
    </w:p>
    <w:bookmarkEnd w:id="31"/>
    <w:p w14:paraId="488DA914" w14:textId="45EE2ACE" w:rsidR="00271A50" w:rsidRPr="00930D6A" w:rsidRDefault="00EF4537" w:rsidP="007843CE">
      <w:r>
        <w:t>Quiet road transport</w:t>
      </w:r>
      <w:r w:rsidR="00271A50" w:rsidRPr="00930D6A">
        <w:t xml:space="preserve"> vehicles</w:t>
      </w:r>
      <w:r w:rsidR="00BA777A">
        <w:t xml:space="preserve"> (QRTVs)</w:t>
      </w:r>
      <w:r w:rsidR="00321477">
        <w:t>, such as hybrid and electric vehicles</w:t>
      </w:r>
      <w:r>
        <w:t>, which can operate at low speed with an internal combustion engine operating,</w:t>
      </w:r>
      <w:r w:rsidR="00271A50" w:rsidRPr="00930D6A">
        <w:t xml:space="preserve"> produce significantly less noise than internal combustion engine vehicles. </w:t>
      </w:r>
      <w:r w:rsidR="00BA777A">
        <w:t>The uptake of QRTVs that</w:t>
      </w:r>
      <w:r w:rsidR="00BA777A" w:rsidRPr="00A21EA5">
        <w:t xml:space="preserve"> </w:t>
      </w:r>
      <w:r w:rsidR="00BA777A">
        <w:t>emit significantly less noise than conventional internal combustion engines pose a substantial risk to pedestrians and other vulnerable road users (VRUs), such as cyclists, who navigate areas on and surrounding public roads and have little to no protection from crash forces, if involved in a collision</w:t>
      </w:r>
      <w:r w:rsidR="00BA777A" w:rsidRPr="00573CDF">
        <w:t>.</w:t>
      </w:r>
      <w:r w:rsidR="00BA777A">
        <w:t xml:space="preserve"> All road users are VRUs at some point in their journey; this includes the estimated </w:t>
      </w:r>
      <w:r w:rsidR="00BA777A" w:rsidRPr="00A21EA5">
        <w:t>453,000 people in Australia who are blind or have low vision</w:t>
      </w:r>
      <w:r w:rsidR="00BA777A">
        <w:t>. This figure is expected to increase by 2030.</w:t>
      </w:r>
    </w:p>
    <w:p w14:paraId="6B91DFCD" w14:textId="6D6AAEC5" w:rsidR="00271A50" w:rsidRDefault="00271A50" w:rsidP="00271A50">
      <w:r w:rsidRPr="00930D6A">
        <w:t xml:space="preserve">A 2017 study by the United States National Highway Traffic Safety Administration (NHTSA) found that, compared with an internal combustion vehicle, a </w:t>
      </w:r>
      <w:r w:rsidR="00EF4537">
        <w:t>QRTV</w:t>
      </w:r>
      <w:r w:rsidRPr="00930D6A">
        <w:t xml:space="preserve"> </w:t>
      </w:r>
      <w:r>
        <w:t>wa</w:t>
      </w:r>
      <w:r w:rsidRPr="00930D6A">
        <w:t>s around 20</w:t>
      </w:r>
      <w:r w:rsidR="0056397F">
        <w:t>%</w:t>
      </w:r>
      <w:r w:rsidRPr="00930D6A">
        <w:t xml:space="preserve"> more likely to be involved in a pedestrian crash.</w:t>
      </w:r>
      <w:r w:rsidR="00321477">
        <w:t xml:space="preserve"> </w:t>
      </w:r>
      <w:r>
        <w:t>Due to availability of data, this Impact Analysis focuses specifically on pedestrians. However, it is worth noting that</w:t>
      </w:r>
      <w:r w:rsidR="005E3044">
        <w:t xml:space="preserve"> the</w:t>
      </w:r>
      <w:r>
        <w:t xml:space="preserve"> NHTSA found cyclists in the US faced a similar risk from </w:t>
      </w:r>
      <w:r w:rsidR="00EF4537">
        <w:t>QRTVs</w:t>
      </w:r>
      <w:r>
        <w:t xml:space="preserve"> as pedestrians.</w:t>
      </w:r>
    </w:p>
    <w:p w14:paraId="3A84B790" w14:textId="5EDCA261" w:rsidR="00A120D3" w:rsidRDefault="00321477" w:rsidP="00321477">
      <w:r w:rsidRPr="00930D6A">
        <w:t xml:space="preserve">This </w:t>
      </w:r>
      <w:r>
        <w:t xml:space="preserve">risk to the safety of </w:t>
      </w:r>
      <w:r w:rsidR="00BA777A">
        <w:t>pedestrians and other VRUs</w:t>
      </w:r>
      <w:r>
        <w:t xml:space="preserve"> is expected to increase </w:t>
      </w:r>
      <w:r w:rsidRPr="00930D6A">
        <w:t xml:space="preserve">as </w:t>
      </w:r>
      <w:r>
        <w:t>QRTVs</w:t>
      </w:r>
      <w:r w:rsidRPr="00930D6A">
        <w:t xml:space="preserve"> become more common on Australian roads.</w:t>
      </w:r>
      <w:r>
        <w:t xml:space="preserve"> </w:t>
      </w:r>
      <w:r w:rsidRPr="00930D6A">
        <w:t xml:space="preserve">While </w:t>
      </w:r>
      <w:r>
        <w:t>QRTVs</w:t>
      </w:r>
      <w:r w:rsidRPr="00930D6A">
        <w:t xml:space="preserve"> currently account for </w:t>
      </w:r>
      <w:r>
        <w:t>around 2.8%</w:t>
      </w:r>
      <w:r>
        <w:rPr>
          <w:rStyle w:val="FootnoteReference"/>
        </w:rPr>
        <w:footnoteReference w:id="7"/>
      </w:r>
      <w:r>
        <w:t xml:space="preserve"> cent</w:t>
      </w:r>
      <w:r w:rsidRPr="00930D6A">
        <w:t xml:space="preserve"> of passenger vehicles on the road, </w:t>
      </w:r>
      <w:r>
        <w:t>the number of QRTVs on the road is</w:t>
      </w:r>
      <w:r w:rsidRPr="00930D6A">
        <w:t xml:space="preserve"> expected to increase substantially </w:t>
      </w:r>
      <w:r>
        <w:t>when</w:t>
      </w:r>
      <w:r w:rsidRPr="00930D6A">
        <w:t xml:space="preserve"> electric vehicles become more </w:t>
      </w:r>
      <w:r>
        <w:t xml:space="preserve">cost </w:t>
      </w:r>
      <w:r w:rsidRPr="00930D6A">
        <w:t>competitive with internal combustion engine vehicles</w:t>
      </w:r>
      <w:r>
        <w:t xml:space="preserve"> over the period to 2030</w:t>
      </w:r>
      <w:r w:rsidRPr="00EB7855">
        <w:t>.</w:t>
      </w:r>
    </w:p>
    <w:p w14:paraId="3B3EED2D" w14:textId="30BFB254" w:rsidR="00321477" w:rsidRDefault="00321477" w:rsidP="00321477">
      <w:r>
        <w:t>In 2022, electric vehicles made up only 3.8% of Australia’s national car market, but in the first half of 2023, electric vehicle sales increased to 7.8%</w:t>
      </w:r>
      <w:r>
        <w:rPr>
          <w:rStyle w:val="FootnoteReference"/>
        </w:rPr>
        <w:footnoteReference w:id="8"/>
      </w:r>
      <w:r>
        <w:t xml:space="preserve"> of total new vehicle sales. There are around 80,000 electric vehicles now registered in Australia, representing an increase of 114% over 2022. The most recent </w:t>
      </w:r>
      <w:r w:rsidRPr="35E123EC">
        <w:rPr>
          <w:i/>
        </w:rPr>
        <w:t>State of Electric Vehicles</w:t>
      </w:r>
      <w:r>
        <w:t xml:space="preserve"> report, published by the Electric Vehicle Council in July 2023, shows a rapid increase in electric vehicle sales over the past two years (</w:t>
      </w:r>
      <w:r w:rsidR="00FB4CC7">
        <w:fldChar w:fldCharType="begin"/>
      </w:r>
      <w:r w:rsidR="00FB4CC7">
        <w:instrText xml:space="preserve"> REF _Ref153790801 \h </w:instrText>
      </w:r>
      <w:r w:rsidR="00FB4CC7">
        <w:fldChar w:fldCharType="separate"/>
      </w:r>
      <w:r w:rsidR="00FB4CC7">
        <w:t xml:space="preserve">Figure </w:t>
      </w:r>
      <w:r w:rsidR="00FB4CC7">
        <w:rPr>
          <w:noProof/>
        </w:rPr>
        <w:t>2</w:t>
      </w:r>
      <w:r w:rsidR="00FB4CC7">
        <w:fldChar w:fldCharType="end"/>
      </w:r>
      <w:r>
        <w:t>).</w:t>
      </w:r>
    </w:p>
    <w:p w14:paraId="781DB741" w14:textId="77777777" w:rsidR="00321477" w:rsidRDefault="00321477" w:rsidP="00321477">
      <w:r>
        <w:lastRenderedPageBreak/>
        <w:t xml:space="preserve">In 2019, it was </w:t>
      </w:r>
      <w:r w:rsidRPr="00F656E1">
        <w:t>estimated that by 2050, nearly 70</w:t>
      </w:r>
      <w:r>
        <w:t xml:space="preserve">% </w:t>
      </w:r>
      <w:r w:rsidRPr="00F656E1">
        <w:t>of passenger vehicles on the road will be electric (BITRE, 2019).</w:t>
      </w:r>
      <w:r>
        <w:t xml:space="preserve"> With the </w:t>
      </w:r>
      <w:r w:rsidRPr="00DB2B21">
        <w:t>Australian Government recently committing</w:t>
      </w:r>
      <w:r>
        <w:t xml:space="preserve"> and adopting measures</w:t>
      </w:r>
      <w:r w:rsidRPr="00DB2B21">
        <w:t xml:space="preserve"> to accelerat</w:t>
      </w:r>
      <w:r>
        <w:t>e</w:t>
      </w:r>
      <w:r w:rsidRPr="00DB2B21">
        <w:t xml:space="preserve"> the uptake of electric vehicles in Australia</w:t>
      </w:r>
      <w:r>
        <w:t xml:space="preserve"> (such as the Electric Car Discount)</w:t>
      </w:r>
      <w:r w:rsidRPr="00DB2B21">
        <w:t xml:space="preserve">, this number </w:t>
      </w:r>
      <w:r>
        <w:t>may end up being much higher</w:t>
      </w:r>
      <w:r w:rsidRPr="00DB2B21">
        <w:t>.</w:t>
      </w:r>
      <w:r>
        <w:t xml:space="preserve"> Recent research indicates around 548,000 Australians plan to buy an electric vehicle in the next four years, representing around 12.5% of all those intending to purchase a new vehicle in this period. (Roy Morgan 2023)</w:t>
      </w:r>
    </w:p>
    <w:p w14:paraId="270C25A3" w14:textId="54552D32" w:rsidR="00321477" w:rsidRDefault="00321477" w:rsidP="00321477">
      <w:pPr>
        <w:pStyle w:val="Tablefigureheading"/>
      </w:pPr>
      <w:bookmarkStart w:id="34" w:name="_Ref153790801"/>
      <w:bookmarkStart w:id="35" w:name="_Ref153790794"/>
      <w:bookmarkStart w:id="36" w:name="_Toc153795478"/>
      <w:r>
        <w:t xml:space="preserve">Figure </w:t>
      </w:r>
      <w:fldSimple w:instr=" SEQ Figure \* ARABIC ">
        <w:r w:rsidR="00FB4CC7">
          <w:rPr>
            <w:noProof/>
          </w:rPr>
          <w:t>2</w:t>
        </w:r>
      </w:fldSimple>
      <w:bookmarkEnd w:id="34"/>
      <w:r w:rsidR="00FB4CC7">
        <w:rPr>
          <w:noProof/>
        </w:rPr>
        <w:t>:</w:t>
      </w:r>
      <w:r>
        <w:t xml:space="preserve"> </w:t>
      </w:r>
      <w:r w:rsidRPr="005D29B1">
        <w:t>New electric vehicle sales in Australia</w:t>
      </w:r>
      <w:r>
        <w:t xml:space="preserve"> (Electric Vehicle Council, 2023)</w:t>
      </w:r>
      <w:bookmarkEnd w:id="35"/>
      <w:bookmarkEnd w:id="36"/>
    </w:p>
    <w:p w14:paraId="180C9CC8" w14:textId="7DA11AD3" w:rsidR="00321477" w:rsidRDefault="00EA6610" w:rsidP="00321477">
      <w:r>
        <w:rPr>
          <w:noProof/>
          <w:lang w:eastAsia="en-AU"/>
        </w:rPr>
        <w:drawing>
          <wp:inline distT="0" distB="0" distL="0" distR="0" wp14:anchorId="269D1E93" wp14:editId="65B7DC4F">
            <wp:extent cx="5844540" cy="38328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4540" cy="3832860"/>
                    </a:xfrm>
                    <a:prstGeom prst="rect">
                      <a:avLst/>
                    </a:prstGeom>
                    <a:noFill/>
                  </pic:spPr>
                </pic:pic>
              </a:graphicData>
            </a:graphic>
          </wp:inline>
        </w:drawing>
      </w:r>
    </w:p>
    <w:p w14:paraId="522D83E1" w14:textId="1CEBF0B3" w:rsidR="00321477" w:rsidRDefault="00321477" w:rsidP="00271A50">
      <w:r>
        <w:t>The number of quiet trucks and buses is also increasing, reflecting a stronger demand, particularly in urban areas, for lower emission school and public transport buses, and medium to heavy rigids like municipal or delivery trucks. The Truck Industry Council (TIC) has advised the Government it expects 25% of all new truck sales will be QRTVs by 2030, with over 18,000 lower emissions trucks on the road.</w:t>
      </w:r>
    </w:p>
    <w:p w14:paraId="5643A917" w14:textId="6985DBBD" w:rsidR="00271A50" w:rsidRPr="00930D6A" w:rsidRDefault="00B40F49" w:rsidP="007843CE">
      <w:pPr>
        <w:pStyle w:val="Heading4"/>
      </w:pPr>
      <w:bookmarkStart w:id="37" w:name="_Toc151556389"/>
      <w:bookmarkStart w:id="38" w:name="_Toc153795395"/>
      <w:r>
        <w:t>1.2.</w:t>
      </w:r>
      <w:r w:rsidR="00FA0277">
        <w:t>1</w:t>
      </w:r>
      <w:r>
        <w:t xml:space="preserve"> </w:t>
      </w:r>
      <w:r w:rsidR="00DC0449">
        <w:t xml:space="preserve">Safety </w:t>
      </w:r>
      <w:r w:rsidR="00823E7B">
        <w:t>R</w:t>
      </w:r>
      <w:r w:rsidR="00271A50" w:rsidRPr="00930D6A">
        <w:t>isk</w:t>
      </w:r>
      <w:r w:rsidR="00DC0449">
        <w:t>s are</w:t>
      </w:r>
      <w:r w:rsidR="00271A50" w:rsidRPr="00930D6A">
        <w:t xml:space="preserve"> </w:t>
      </w:r>
      <w:r w:rsidR="00823E7B">
        <w:t>G</w:t>
      </w:r>
      <w:r w:rsidR="00271A50" w:rsidRPr="00930D6A">
        <w:t xml:space="preserve">reater for the </w:t>
      </w:r>
      <w:r w:rsidR="00823E7B">
        <w:t>B</w:t>
      </w:r>
      <w:r w:rsidR="00271A50" w:rsidRPr="00930D6A">
        <w:t xml:space="preserve">lind and </w:t>
      </w:r>
      <w:r w:rsidR="00823E7B">
        <w:t>L</w:t>
      </w:r>
      <w:r w:rsidR="00271A50" w:rsidRPr="00930D6A">
        <w:t xml:space="preserve">ow </w:t>
      </w:r>
      <w:r w:rsidR="00823E7B">
        <w:t>V</w:t>
      </w:r>
      <w:r w:rsidR="00271A50" w:rsidRPr="00930D6A">
        <w:t xml:space="preserve">ision </w:t>
      </w:r>
      <w:r w:rsidR="00823E7B">
        <w:t>C</w:t>
      </w:r>
      <w:r w:rsidR="00271A50" w:rsidRPr="00930D6A">
        <w:t>ommunity</w:t>
      </w:r>
      <w:bookmarkEnd w:id="37"/>
      <w:bookmarkEnd w:id="38"/>
    </w:p>
    <w:p w14:paraId="7CBACDAA" w14:textId="308A7626" w:rsidR="00271A50" w:rsidRDefault="00271A50" w:rsidP="00BF6EF4">
      <w:pPr>
        <w:keepNext/>
        <w:keepLines/>
      </w:pPr>
      <w:r>
        <w:t xml:space="preserve">While </w:t>
      </w:r>
      <w:r w:rsidR="009220BA">
        <w:t>QRTVs</w:t>
      </w:r>
      <w:r>
        <w:t xml:space="preserve"> present a risk for all pedestrians, there is a particular concern for</w:t>
      </w:r>
      <w:r w:rsidRPr="00930D6A">
        <w:t xml:space="preserve"> blind and low vision</w:t>
      </w:r>
      <w:r>
        <w:t xml:space="preserve"> pedestrians</w:t>
      </w:r>
      <w:r w:rsidRPr="00930D6A">
        <w:t xml:space="preserve">, </w:t>
      </w:r>
      <w:r w:rsidR="00EF4537">
        <w:t xml:space="preserve">as they </w:t>
      </w:r>
      <w:r w:rsidR="009D3FCE">
        <w:t xml:space="preserve">may </w:t>
      </w:r>
      <w:r w:rsidR="00EF4537">
        <w:t>rely</w:t>
      </w:r>
      <w:r w:rsidRPr="00930D6A">
        <w:t xml:space="preserve"> on </w:t>
      </w:r>
      <w:r w:rsidR="009D3FCE">
        <w:t>auditory or other sensory cues</w:t>
      </w:r>
      <w:r w:rsidRPr="00930D6A">
        <w:t xml:space="preserve"> to </w:t>
      </w:r>
      <w:r w:rsidR="009D3FCE">
        <w:t>navigate</w:t>
      </w:r>
      <w:r w:rsidRPr="00930D6A">
        <w:t xml:space="preserve"> independently.</w:t>
      </w:r>
    </w:p>
    <w:p w14:paraId="2570EBB2" w14:textId="3F6E0E93" w:rsidR="00B915D5" w:rsidRDefault="00B068DE" w:rsidP="00271A50">
      <w:r>
        <w:t>According to Vision 2020 Australia</w:t>
      </w:r>
      <w:r w:rsidR="006952E5">
        <w:t xml:space="preserve"> in its submission to the </w:t>
      </w:r>
      <w:r w:rsidR="003A6EBD">
        <w:t>public consultation process</w:t>
      </w:r>
      <w:r>
        <w:t xml:space="preserve">, around </w:t>
      </w:r>
      <w:r w:rsidR="008C6381">
        <w:t xml:space="preserve">half a million Australians </w:t>
      </w:r>
      <w:r w:rsidR="00C07677">
        <w:t>have</w:t>
      </w:r>
      <w:r w:rsidR="00907836">
        <w:t xml:space="preserve"> </w:t>
      </w:r>
      <w:r w:rsidR="008C6381">
        <w:t>some level of vision loss. The majority of these are over the age of 65 with comorbidities that occur with age. This results in increased fall rates, heightened risks of depression, hip fractures and increased use of public health services more generally.</w:t>
      </w:r>
    </w:p>
    <w:p w14:paraId="780EC5BB" w14:textId="5F105E10" w:rsidR="00EA4B6A" w:rsidRDefault="00D16BEC" w:rsidP="00271A50">
      <w:r>
        <w:t xml:space="preserve">Vision Australia </w:t>
      </w:r>
      <w:r w:rsidR="00907836">
        <w:t>claim</w:t>
      </w:r>
      <w:r w:rsidR="00BA0604">
        <w:t>s</w:t>
      </w:r>
      <w:r w:rsidR="00907836">
        <w:t xml:space="preserve"> the transition to</w:t>
      </w:r>
      <w:r w:rsidR="00EF4537">
        <w:t xml:space="preserve"> QRTVs</w:t>
      </w:r>
      <w:r w:rsidR="00907836">
        <w:t xml:space="preserve"> would further exacerbate these factors. This includes potential socio-economic disadvantage as a consequence of affected persons opting for costlier forms of transport over pedestrian options.</w:t>
      </w:r>
    </w:p>
    <w:p w14:paraId="69C48E5E" w14:textId="5ADD0C49" w:rsidR="00271A50" w:rsidRDefault="00271A50" w:rsidP="00271A50">
      <w:r>
        <w:t xml:space="preserve">In 2018, MUARC conducted a study on the road safety impacts of </w:t>
      </w:r>
      <w:r w:rsidR="00EF4537">
        <w:t>QRTVs</w:t>
      </w:r>
      <w:r>
        <w:t xml:space="preserve"> on these pedestrians. The study was commissioned by Vision Australia, which provides blindness and low vision services nationally.</w:t>
      </w:r>
    </w:p>
    <w:p w14:paraId="34969AAB" w14:textId="223D5AE8" w:rsidR="00271A50" w:rsidRDefault="00271A50" w:rsidP="00271A50">
      <w:r>
        <w:t xml:space="preserve">As part of this study, MUARC conducted a survey of 246 people who all had a degree of vision loss that cannot be corrected. When asked about collisions or near-collisions with </w:t>
      </w:r>
      <w:r w:rsidR="0047406A">
        <w:t>QRTVs</w:t>
      </w:r>
      <w:r>
        <w:t xml:space="preserve"> (excluding bicycles), 35</w:t>
      </w:r>
      <w:r w:rsidR="00FD510F">
        <w:t>%</w:t>
      </w:r>
      <w:r w:rsidR="004014E5">
        <w:t xml:space="preserve"> </w:t>
      </w:r>
      <w:r>
        <w:lastRenderedPageBreak/>
        <w:t xml:space="preserve">(86) of participants indicated they had been involved in either a collision, near-collision or both, and some more than once. </w:t>
      </w:r>
      <w:r w:rsidRPr="00930D6A">
        <w:t>The majority of these events occurred while crossing a road</w:t>
      </w:r>
      <w:r>
        <w:t xml:space="preserve"> (58</w:t>
      </w:r>
      <w:r w:rsidR="004014E5">
        <w:t>%</w:t>
      </w:r>
      <w:r>
        <w:t>)</w:t>
      </w:r>
      <w:r w:rsidRPr="00930D6A">
        <w:t>. (Liu et al, 2018)</w:t>
      </w:r>
    </w:p>
    <w:p w14:paraId="10B868E4" w14:textId="13A016CF" w:rsidR="00271A50" w:rsidRDefault="00EF4537" w:rsidP="00271A50">
      <w:r>
        <w:fldChar w:fldCharType="begin"/>
      </w:r>
      <w:r>
        <w:instrText xml:space="preserve"> REF _Ref115259830 \h </w:instrText>
      </w:r>
      <w:r>
        <w:fldChar w:fldCharType="separate"/>
      </w:r>
      <w:r w:rsidR="00FB4CC7">
        <w:t xml:space="preserve">Figure </w:t>
      </w:r>
      <w:r w:rsidR="00FB4CC7">
        <w:rPr>
          <w:noProof/>
        </w:rPr>
        <w:t>3</w:t>
      </w:r>
      <w:r>
        <w:fldChar w:fldCharType="end"/>
      </w:r>
      <w:r w:rsidR="00271A50" w:rsidRPr="00690129">
        <w:t xml:space="preserve"> b</w:t>
      </w:r>
      <w:r w:rsidR="00271A50">
        <w:t>elow shows the breakdown of these collision and near-collision events relative to vision loss.</w:t>
      </w:r>
    </w:p>
    <w:p w14:paraId="0D9CB358" w14:textId="7F97CB20" w:rsidR="00271A50" w:rsidRDefault="00271A50" w:rsidP="00271A50">
      <w:pPr>
        <w:pStyle w:val="Tablefigureheading"/>
      </w:pPr>
      <w:bookmarkStart w:id="39" w:name="_Ref115259830"/>
      <w:bookmarkStart w:id="40" w:name="_Toc128476422"/>
      <w:bookmarkStart w:id="41" w:name="_Toc153795479"/>
      <w:r>
        <w:t xml:space="preserve">Figure </w:t>
      </w:r>
      <w:fldSimple w:instr=" SEQ Figure \* ARABIC ">
        <w:r w:rsidR="00FB4CC7">
          <w:rPr>
            <w:noProof/>
          </w:rPr>
          <w:t>3</w:t>
        </w:r>
      </w:fldSimple>
      <w:bookmarkEnd w:id="39"/>
      <w:r w:rsidR="00FB4CC7">
        <w:rPr>
          <w:noProof/>
        </w:rPr>
        <w:t>:</w:t>
      </w:r>
      <w:r>
        <w:t xml:space="preserve"> Collisions</w:t>
      </w:r>
      <w:r w:rsidR="007A4057">
        <w:t>,</w:t>
      </w:r>
      <w:r>
        <w:t xml:space="preserve"> and near collisions</w:t>
      </w:r>
      <w:r w:rsidR="007A4057">
        <w:t>,</w:t>
      </w:r>
      <w:r>
        <w:t xml:space="preserve"> with </w:t>
      </w:r>
      <w:r w:rsidR="0047406A">
        <w:t>QRTVs</w:t>
      </w:r>
      <w:r>
        <w:t xml:space="preserve"> relative to vision loss (Liu et al, 2018)</w:t>
      </w:r>
      <w:bookmarkEnd w:id="40"/>
      <w:bookmarkEnd w:id="41"/>
    </w:p>
    <w:p w14:paraId="4F98F981" w14:textId="77777777" w:rsidR="00271A50" w:rsidRDefault="00271A50" w:rsidP="00271A50">
      <w:r>
        <w:rPr>
          <w:noProof/>
          <w:lang w:eastAsia="en-AU"/>
        </w:rPr>
        <w:drawing>
          <wp:inline distT="0" distB="0" distL="0" distR="0" wp14:anchorId="10B892B7" wp14:editId="13E127DC">
            <wp:extent cx="5934075" cy="4306075"/>
            <wp:effectExtent l="0" t="0" r="0" b="0"/>
            <wp:docPr id="35" name="Picture 35" descr="Chart showing the proportion of collisions and near collisions with electric vehicles for people with low vision, severe vision loss, and no useable vision or total blindness.&#10;&#10;For the people with low vision, 16% experienced at least one collision, 80% experienced at least one near collision, and 4% experienced both.&#10;&#10;For the people with severe vision loss, 25% had experienced at least one collision, 50% had experienced at least one near-collision, and 25% had experienced both.&#10;&#10;For the people with no useable vision or total blindness, 4% had experienced at least one collision, 83% had experienced at least one near collision and 13% had experienced both.&#10;" title="Collisions and near collisions with electric vehicles relative to vision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6141" cy="4380139"/>
                    </a:xfrm>
                    <a:prstGeom prst="rect">
                      <a:avLst/>
                    </a:prstGeom>
                    <a:noFill/>
                  </pic:spPr>
                </pic:pic>
              </a:graphicData>
            </a:graphic>
          </wp:inline>
        </w:drawing>
      </w:r>
    </w:p>
    <w:p w14:paraId="3AA8AF18" w14:textId="313C6A9C" w:rsidR="00271A50" w:rsidRDefault="00271A50" w:rsidP="00271A50">
      <w:r w:rsidRPr="00930D6A">
        <w:t>These events were found to have significant consequences for the mental health of those involved, particularly through increased anxiety and depression</w:t>
      </w:r>
      <w:r>
        <w:t xml:space="preserve">. Participants in the study were asked to reflect on whether the introduction of </w:t>
      </w:r>
      <w:r w:rsidR="0047406A">
        <w:t>QRTVs</w:t>
      </w:r>
      <w:r>
        <w:t xml:space="preserve"> in Australia had reduced their confidence to walk near and cross roads. Sixteen per cent indicate that it had affected their confidence to a large degree, 31</w:t>
      </w:r>
      <w:r w:rsidR="004014E5">
        <w:t>%</w:t>
      </w:r>
      <w:r>
        <w:t> to some degree, and 26</w:t>
      </w:r>
      <w:r w:rsidR="004014E5">
        <w:t>%</w:t>
      </w:r>
      <w:r w:rsidR="00C20920">
        <w:t xml:space="preserve"> </w:t>
      </w:r>
      <w:r>
        <w:t xml:space="preserve">to a slight degree. </w:t>
      </w:r>
      <w:r>
        <w:fldChar w:fldCharType="begin"/>
      </w:r>
      <w:r>
        <w:instrText xml:space="preserve"> REF _Ref115276498 \h </w:instrText>
      </w:r>
      <w:r>
        <w:fldChar w:fldCharType="separate"/>
      </w:r>
      <w:r w:rsidR="00FB4CC7">
        <w:t xml:space="preserve">Figure </w:t>
      </w:r>
      <w:r w:rsidR="00FB4CC7">
        <w:rPr>
          <w:noProof/>
        </w:rPr>
        <w:t>4</w:t>
      </w:r>
      <w:r>
        <w:fldChar w:fldCharType="end"/>
      </w:r>
      <w:r>
        <w:t xml:space="preserve"> below breaks down these figures further relative to vision loss. (Liu et al, 2018)</w:t>
      </w:r>
    </w:p>
    <w:p w14:paraId="7451EE67" w14:textId="75D2A5E1" w:rsidR="00271A50" w:rsidRDefault="00271A50" w:rsidP="00271A50">
      <w:pPr>
        <w:pStyle w:val="Tablefigureheading"/>
      </w:pPr>
      <w:bookmarkStart w:id="42" w:name="_Ref115276498"/>
      <w:bookmarkStart w:id="43" w:name="_Toc128476423"/>
      <w:bookmarkStart w:id="44" w:name="_Toc153795480"/>
      <w:r>
        <w:lastRenderedPageBreak/>
        <w:t xml:space="preserve">Figure </w:t>
      </w:r>
      <w:fldSimple w:instr=" SEQ Figure \* ARABIC ">
        <w:r w:rsidR="00FB4CC7">
          <w:rPr>
            <w:noProof/>
          </w:rPr>
          <w:t>4</w:t>
        </w:r>
      </w:fldSimple>
      <w:bookmarkEnd w:id="42"/>
      <w:r w:rsidR="00FB4CC7">
        <w:rPr>
          <w:noProof/>
        </w:rPr>
        <w:t>:</w:t>
      </w:r>
      <w:r>
        <w:t xml:space="preserve"> Degree of reduced confidence as a pedestrian from the </w:t>
      </w:r>
      <w:r w:rsidR="0047406A">
        <w:t>presences of QRTVs</w:t>
      </w:r>
      <w:r>
        <w:t>, relative to vision loss (Liu et al, 2018</w:t>
      </w:r>
      <w:bookmarkEnd w:id="43"/>
      <w:r w:rsidR="00886118">
        <w:t>)</w:t>
      </w:r>
      <w:bookmarkEnd w:id="44"/>
    </w:p>
    <w:p w14:paraId="0E08AD04" w14:textId="25F9E512" w:rsidR="00C52252" w:rsidRDefault="00271A50" w:rsidP="008655FA">
      <w:r>
        <w:rPr>
          <w:noProof/>
          <w:lang w:eastAsia="en-AU"/>
        </w:rPr>
        <w:drawing>
          <wp:inline distT="0" distB="0" distL="0" distR="0" wp14:anchorId="3FC2F14C" wp14:editId="34AFCA4D">
            <wp:extent cx="6264222" cy="4610100"/>
            <wp:effectExtent l="0" t="0" r="3810" b="0"/>
            <wp:docPr id="41" name="Picture 41" descr="Charts showing the degree of reduced confidence as a pedestrian from the introduction of electric vehicles, broken down by people with low vision, severe vision loss, and no useable vision or total blindness.&#10;&#10;For the people with low vision, 14% indicated reduced confidence to a large degree, 29% to some degree, 27% to a slight degree, and 30% indicated no reduced confidence. &#10;&#10;For the people with severe vision loss, 23% indicated reduced confidence to a large degree, 27% to some degree, 32% to a slight degree, and 18% indicated no reduced confidence. &#10;&#10;For the people with no useable vision or total blindness, 23% indicated reduced confidence to a large degree, 43% to some degree, 15% to a slight degree, and 19% indicated no reduced confidence." title="Degree of reduced confidence as a pedestrian from the introduction of electric vehicles, relative to vision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1787" cy="4623027"/>
                    </a:xfrm>
                    <a:prstGeom prst="rect">
                      <a:avLst/>
                    </a:prstGeom>
                    <a:noFill/>
                  </pic:spPr>
                </pic:pic>
              </a:graphicData>
            </a:graphic>
          </wp:inline>
        </w:drawing>
      </w:r>
    </w:p>
    <w:p w14:paraId="7DE2209B" w14:textId="34873798" w:rsidR="00D16548" w:rsidRDefault="00D16548" w:rsidP="00D16548">
      <w:r>
        <w:t>In a more recent s</w:t>
      </w:r>
      <w:r w:rsidR="006534C0">
        <w:t>urvey</w:t>
      </w:r>
      <w:r>
        <w:t xml:space="preserve"> conducted by Vision Australia, close to 100% of respondents were supportive of the introduction of AVAS</w:t>
      </w:r>
      <w:r w:rsidR="0047406A">
        <w:t xml:space="preserve"> for QRTVs</w:t>
      </w:r>
      <w:r>
        <w:t>. Importantly, o</w:t>
      </w:r>
      <w:r w:rsidRPr="004147AB">
        <w:t>ver 51% of respondents said they had experienced at least one collision or near-collision</w:t>
      </w:r>
      <w:r>
        <w:t xml:space="preserve">. This is an increase from 35% from the previous survey conducted by </w:t>
      </w:r>
      <w:r w:rsidR="001D0B4D">
        <w:t>MUARC</w:t>
      </w:r>
      <w:r>
        <w:t xml:space="preserve"> in 2018. Given the nature of vision impairment, it is likely these figures are conservative given </w:t>
      </w:r>
      <w:r w:rsidR="001D0B4D">
        <w:t xml:space="preserve">some </w:t>
      </w:r>
      <w:r>
        <w:t>persons may not have been aware they were involved in near-incidents.</w:t>
      </w:r>
    </w:p>
    <w:p w14:paraId="6709D650" w14:textId="77777777" w:rsidR="00D16548" w:rsidRPr="008655FA" w:rsidRDefault="00527BA9" w:rsidP="00D16548">
      <w:r>
        <w:t>It</w:t>
      </w:r>
      <w:r w:rsidR="00D16548">
        <w:t xml:space="preserve"> was widely acknowledged in the most recent survey that cyclists would </w:t>
      </w:r>
      <w:r w:rsidR="002A587D">
        <w:t xml:space="preserve">also </w:t>
      </w:r>
      <w:r w:rsidR="00D16548">
        <w:t xml:space="preserve">benefit from AVAS. </w:t>
      </w:r>
    </w:p>
    <w:p w14:paraId="7F6FAC93" w14:textId="78007C72" w:rsidR="00271A50" w:rsidRDefault="00055DCF" w:rsidP="007843CE">
      <w:pPr>
        <w:pStyle w:val="Heading4"/>
      </w:pPr>
      <w:bookmarkStart w:id="45" w:name="_Toc151556390"/>
      <w:bookmarkStart w:id="46" w:name="_Toc153795396"/>
      <w:r>
        <w:t>1.2.</w:t>
      </w:r>
      <w:r w:rsidR="007843CE">
        <w:t>2</w:t>
      </w:r>
      <w:r>
        <w:t xml:space="preserve"> </w:t>
      </w:r>
      <w:r w:rsidR="00271A50">
        <w:t xml:space="preserve">Distracted </w:t>
      </w:r>
      <w:r w:rsidR="00C9726D">
        <w:t>P</w:t>
      </w:r>
      <w:r w:rsidR="00271A50">
        <w:t xml:space="preserve">edestrians </w:t>
      </w:r>
      <w:r w:rsidR="00DC0449">
        <w:t xml:space="preserve">are </w:t>
      </w:r>
      <w:r w:rsidR="00271A50">
        <w:t xml:space="preserve">also </w:t>
      </w:r>
      <w:r w:rsidR="00C9726D">
        <w:t>E</w:t>
      </w:r>
      <w:r w:rsidR="00271A50">
        <w:t xml:space="preserve">merging as a </w:t>
      </w:r>
      <w:r w:rsidR="00C9726D">
        <w:t>C</w:t>
      </w:r>
      <w:r w:rsidR="00271A50">
        <w:t>oncern</w:t>
      </w:r>
      <w:bookmarkEnd w:id="45"/>
      <w:bookmarkEnd w:id="46"/>
    </w:p>
    <w:p w14:paraId="7A3C8AB8" w14:textId="77777777" w:rsidR="00271A50" w:rsidRDefault="00271A50" w:rsidP="00271A50">
      <w:r w:rsidRPr="00930D6A">
        <w:t>Another safety concern is the growing number of pedestrians using increasingly more sophisticated and atten</w:t>
      </w:r>
      <w:r>
        <w:t xml:space="preserve">tion-absorbing handheld devices, </w:t>
      </w:r>
      <w:r w:rsidR="001D0B4D">
        <w:t>like</w:t>
      </w:r>
      <w:r w:rsidRPr="00930D6A">
        <w:t xml:space="preserve"> smartphones</w:t>
      </w:r>
      <w:r>
        <w:t>,</w:t>
      </w:r>
      <w:r w:rsidRPr="00930D6A">
        <w:t xml:space="preserve"> while on and near </w:t>
      </w:r>
      <w:r>
        <w:t>roads.</w:t>
      </w:r>
    </w:p>
    <w:p w14:paraId="7FA2B6D7" w14:textId="77777777" w:rsidR="00271A50" w:rsidRDefault="00271A50" w:rsidP="00271A50">
      <w:r>
        <w:t>In 2020, MUARC undertook research to determine the impact of smartphone-related distractions on pedestrian safety. The research included a literature review, observational studies of pedestrian smartphone use, interviews and focus groups.</w:t>
      </w:r>
    </w:p>
    <w:p w14:paraId="204D5C01" w14:textId="77777777" w:rsidR="00271A50" w:rsidRDefault="00271A50" w:rsidP="00271A50">
      <w:r>
        <w:t>In general, the literature review found smartphone use to have a negative impact on pedestrian safety. Smartphone-using pedestrians walk slower and more unevenly, and pay less attention to their surrounding environment.</w:t>
      </w:r>
      <w:r w:rsidRPr="00C97BED">
        <w:t xml:space="preserve"> </w:t>
      </w:r>
      <w:r>
        <w:t>(Osbourne, R. et al, 2020)</w:t>
      </w:r>
    </w:p>
    <w:p w14:paraId="52CF5C9E" w14:textId="656805D5" w:rsidR="00271A50" w:rsidRDefault="00271A50" w:rsidP="00271A50">
      <w:r>
        <w:t>In its observational study, MUARC found that around 20</w:t>
      </w:r>
      <w:r w:rsidR="004014E5">
        <w:t>%</w:t>
      </w:r>
      <w:r>
        <w:t xml:space="preserve"> of pedestrians used a smartphone when crossing a road. These pedestrians had a significantly higher proportion of critical safety events, such as near misses, compared with those not using a smartphone. The interviews and focus groups showed </w:t>
      </w:r>
      <w:r>
        <w:lastRenderedPageBreak/>
        <w:t>increasing community awareness of the safety risks associated with smartphone use on and near roads. (Osbourne, R. et al, 2020)</w:t>
      </w:r>
    </w:p>
    <w:p w14:paraId="28CDE729" w14:textId="43CC3144" w:rsidR="003B6623" w:rsidRDefault="00271A50" w:rsidP="00271A50">
      <w:r>
        <w:t xml:space="preserve">While MUARC did not specifically consider </w:t>
      </w:r>
      <w:r w:rsidR="0047406A">
        <w:t>QRTVs</w:t>
      </w:r>
      <w:r>
        <w:t xml:space="preserve"> in the context of distracted pedestrians, it is logical to conclude th</w:t>
      </w:r>
      <w:r w:rsidR="00785819">
        <w:t xml:space="preserve">at distracted pedestrians </w:t>
      </w:r>
      <w:r>
        <w:t>would be a</w:t>
      </w:r>
      <w:r w:rsidR="001D0B4D">
        <w:t>n</w:t>
      </w:r>
      <w:r>
        <w:t xml:space="preserve"> increased risk of collision</w:t>
      </w:r>
      <w:r w:rsidR="00785819">
        <w:t xml:space="preserve"> with a QRTV if they cannot hear it coming towards them</w:t>
      </w:r>
      <w:r>
        <w:t>.</w:t>
      </w:r>
    </w:p>
    <w:p w14:paraId="73730966" w14:textId="4A3F1A9C" w:rsidR="00271A50" w:rsidRPr="00930D6A" w:rsidRDefault="00271A50" w:rsidP="00271A50">
      <w:r w:rsidRPr="00930D6A">
        <w:br w:type="page"/>
      </w:r>
    </w:p>
    <w:p w14:paraId="1F3C710A" w14:textId="5A0D2094" w:rsidR="00271A50" w:rsidRDefault="005B3D11" w:rsidP="007843CE">
      <w:pPr>
        <w:pStyle w:val="Heading2"/>
      </w:pPr>
      <w:bookmarkStart w:id="47" w:name="_Ref90477570"/>
      <w:bookmarkStart w:id="48" w:name="_Toc128476447"/>
      <w:bookmarkStart w:id="49" w:name="_Toc151556392"/>
      <w:bookmarkStart w:id="50" w:name="_Toc153795397"/>
      <w:r>
        <w:lastRenderedPageBreak/>
        <w:t>2</w:t>
      </w:r>
      <w:r w:rsidR="00271A50">
        <w:t xml:space="preserve">. </w:t>
      </w:r>
      <w:r w:rsidR="00C03CED">
        <w:t>What are the objectives, why is government intervention needed to achieve them, and how will success be measured</w:t>
      </w:r>
      <w:r w:rsidR="00271A50" w:rsidRPr="00930D6A">
        <w:t>?</w:t>
      </w:r>
      <w:bookmarkEnd w:id="47"/>
      <w:bookmarkEnd w:id="48"/>
      <w:bookmarkEnd w:id="49"/>
      <w:bookmarkEnd w:id="50"/>
    </w:p>
    <w:p w14:paraId="7AFA3D6D" w14:textId="40ED3B70" w:rsidR="003B6623" w:rsidRDefault="00BA777A" w:rsidP="009729B4">
      <w:pPr>
        <w:pStyle w:val="Heading3"/>
      </w:pPr>
      <w:bookmarkStart w:id="51" w:name="_Toc153795398"/>
      <w:r>
        <w:t>2.1</w:t>
      </w:r>
      <w:r w:rsidR="00CC14A8">
        <w:t xml:space="preserve"> </w:t>
      </w:r>
      <w:r w:rsidR="003B6623">
        <w:t>Objectives of Government Action</w:t>
      </w:r>
      <w:bookmarkEnd w:id="51"/>
    </w:p>
    <w:p w14:paraId="2D3ACDF6" w14:textId="6A022918" w:rsidR="00CC14A8" w:rsidRDefault="00CC14A8" w:rsidP="00CC14A8">
      <w:r>
        <w:t xml:space="preserve">As noted in the previous section, </w:t>
      </w:r>
      <w:r w:rsidRPr="00930D6A">
        <w:t xml:space="preserve">we are not seeing significant </w:t>
      </w:r>
      <w:r>
        <w:t xml:space="preserve">safety </w:t>
      </w:r>
      <w:r w:rsidRPr="00930D6A">
        <w:t xml:space="preserve">improvements in </w:t>
      </w:r>
      <w:r>
        <w:t xml:space="preserve">safety </w:t>
      </w:r>
      <w:r w:rsidRPr="00930D6A">
        <w:t>outcomes for pedestrians</w:t>
      </w:r>
      <w:r>
        <w:t xml:space="preserve"> with the current policy settings in place</w:t>
      </w:r>
      <w:r w:rsidRPr="00930D6A">
        <w:t xml:space="preserve">. </w:t>
      </w:r>
      <w:r>
        <w:t xml:space="preserve">QRTVs present a new risk to the safety of pedestrians and other VRUs, especially at low speeds. The uptake of QRTVs has increased exponentially in recent years and this trend will continue, as efforts are made by governments and the general public to reduce transport emissions by increasing the electrification of the vehicle fleet. This risk could be acute for the blind and low vision community in particular. </w:t>
      </w:r>
    </w:p>
    <w:p w14:paraId="40D32595" w14:textId="6C2BF1F7" w:rsidR="00A44B28" w:rsidRDefault="00A44B28" w:rsidP="00A44B28">
      <w:r>
        <w:t>There is strong commitment from all levels of government</w:t>
      </w:r>
      <w:r w:rsidR="0032398E">
        <w:t xml:space="preserve"> in Australia</w:t>
      </w:r>
      <w:r>
        <w:t xml:space="preserve"> to improve road safety in line with community expectations. For this reason, there are a range of regulatory and non-regulatory measures already in place, including mandatory national vehicle standards, the National Road Safety Strategy and Action Plan, consumer information programs like ANCAP, and dedicated funding for road safety initiatives and infrastructure upgrades. </w:t>
      </w:r>
      <w:r>
        <w:fldChar w:fldCharType="begin"/>
      </w:r>
      <w:r>
        <w:instrText xml:space="preserve"> REF _Ref90474519 \h </w:instrText>
      </w:r>
      <w:r>
        <w:fldChar w:fldCharType="separate"/>
      </w:r>
      <w:r>
        <w:t>Appendix B—Government Actions to Address Road Trauma</w:t>
      </w:r>
      <w:r>
        <w:fldChar w:fldCharType="end"/>
      </w:r>
      <w:r>
        <w:t xml:space="preserve"> provides further details on existing measures to improve road safety outcomes.</w:t>
      </w:r>
    </w:p>
    <w:p w14:paraId="07A33322" w14:textId="379EEE20" w:rsidR="00A44B28" w:rsidRDefault="00E32F52" w:rsidP="00341B92">
      <w:r>
        <w:t>VRU</w:t>
      </w:r>
      <w:r w:rsidR="00880CF8">
        <w:t xml:space="preserve"> </w:t>
      </w:r>
      <w:r w:rsidR="00DE72C8">
        <w:t>S</w:t>
      </w:r>
      <w:r w:rsidR="00880CF8">
        <w:t xml:space="preserve">afety </w:t>
      </w:r>
      <w:r w:rsidR="00DE72C8">
        <w:t xml:space="preserve">and Vehicle Safety are </w:t>
      </w:r>
      <w:r w:rsidR="00880CF8">
        <w:t>key priorit</w:t>
      </w:r>
      <w:r w:rsidR="00DE72C8">
        <w:t>ies in the National Road Safety Strategy 2021-30 and all Australian governments have committed to 2030 targets to reduce road fatalities by 50% and serious injuries by 30%.</w:t>
      </w:r>
      <w:r w:rsidR="00E34EE8">
        <w:t xml:space="preserve"> The Strategy also commits to a target of zero road deaths in city CBD areas by 2030.</w:t>
      </w:r>
      <w:r w:rsidR="00DE72C8">
        <w:t xml:space="preserve"> </w:t>
      </w:r>
    </w:p>
    <w:p w14:paraId="767A306B" w14:textId="5DB3675B" w:rsidR="00C17E13" w:rsidRDefault="0032398E" w:rsidP="00271C40">
      <w:r w:rsidRPr="0096652B">
        <w:t>T</w:t>
      </w:r>
      <w:r>
        <w:t xml:space="preserve">herefore, </w:t>
      </w:r>
      <w:bookmarkStart w:id="52" w:name="_Hlk153544010"/>
      <w:r>
        <w:t xml:space="preserve">the </w:t>
      </w:r>
      <w:r w:rsidRPr="0096652B">
        <w:t xml:space="preserve">objectives of Government action </w:t>
      </w:r>
      <w:r>
        <w:t>considered in this Impact Analysis are to</w:t>
      </w:r>
      <w:r w:rsidR="00271C40">
        <w:t xml:space="preserve"> </w:t>
      </w:r>
      <w:r w:rsidR="00533E42">
        <w:t xml:space="preserve">enable governments to achieve </w:t>
      </w:r>
      <w:r>
        <w:t>the targets detailed in the National Road Safety Strategy and its Action Plan</w:t>
      </w:r>
      <w:r w:rsidRPr="00900832">
        <w:t xml:space="preserve"> </w:t>
      </w:r>
      <w:r>
        <w:t>by</w:t>
      </w:r>
      <w:r w:rsidR="00C17E13">
        <w:t>:</w:t>
      </w:r>
    </w:p>
    <w:p w14:paraId="5AEDE421" w14:textId="77777777" w:rsidR="00C17E13" w:rsidRDefault="0032398E" w:rsidP="00C17E13">
      <w:pPr>
        <w:pStyle w:val="ListParagraph"/>
        <w:numPr>
          <w:ilvl w:val="0"/>
          <w:numId w:val="43"/>
        </w:numPr>
      </w:pPr>
      <w:r>
        <w:t>reduc</w:t>
      </w:r>
      <w:r w:rsidR="00533E42">
        <w:t>ing</w:t>
      </w:r>
      <w:r>
        <w:t xml:space="preserve"> road trauma involving </w:t>
      </w:r>
      <w:r w:rsidR="00271C40">
        <w:t>VRUs</w:t>
      </w:r>
      <w:r w:rsidR="00C17E13">
        <w:t>;</w:t>
      </w:r>
      <w:r w:rsidR="00271C40">
        <w:t xml:space="preserve"> and </w:t>
      </w:r>
    </w:p>
    <w:p w14:paraId="44135954" w14:textId="4F2CDAD7" w:rsidR="005C2EF1" w:rsidRDefault="00C17E13" w:rsidP="005C2EF1">
      <w:pPr>
        <w:pStyle w:val="ListParagraph"/>
        <w:numPr>
          <w:ilvl w:val="0"/>
          <w:numId w:val="43"/>
        </w:numPr>
      </w:pPr>
      <w:r>
        <w:t xml:space="preserve">reducing safety risks to </w:t>
      </w:r>
      <w:r w:rsidR="00271C40">
        <w:t>VRU safety by improving the audibility of QRTVs</w:t>
      </w:r>
      <w:r w:rsidR="005C2EF1">
        <w:t xml:space="preserve"> supplied to Australia</w:t>
      </w:r>
      <w:r w:rsidR="00271C40">
        <w:t>.</w:t>
      </w:r>
    </w:p>
    <w:p w14:paraId="0D0D6863" w14:textId="55B6603C" w:rsidR="00CE2FDE" w:rsidRDefault="00CE2FDE" w:rsidP="007843CE">
      <w:pPr>
        <w:pStyle w:val="Heading3"/>
      </w:pPr>
      <w:bookmarkStart w:id="53" w:name="_Toc153795399"/>
      <w:bookmarkEnd w:id="52"/>
      <w:r>
        <w:t>2.2</w:t>
      </w:r>
      <w:r w:rsidR="00CC14A8">
        <w:t xml:space="preserve"> </w:t>
      </w:r>
      <w:r w:rsidR="00271C40">
        <w:t>G</w:t>
      </w:r>
      <w:r w:rsidR="00BA777A">
        <w:t>overnment intervention needed to achieve these objectives</w:t>
      </w:r>
      <w:bookmarkEnd w:id="53"/>
    </w:p>
    <w:p w14:paraId="09615F51" w14:textId="7420B698" w:rsidR="0082335D" w:rsidRDefault="00271A50" w:rsidP="0082335D">
      <w:r>
        <w:t xml:space="preserve">Government action is often needed where the market fails to find the most efficient and effective solution to a problem. </w:t>
      </w:r>
      <w:r w:rsidRPr="000914D2">
        <w:t xml:space="preserve">The Australian Government </w:t>
      </w:r>
      <w:r>
        <w:t xml:space="preserve">has a strong history of intervening to improve road safety, particularly through </w:t>
      </w:r>
      <w:r w:rsidR="00271C40">
        <w:t>mandating</w:t>
      </w:r>
      <w:r>
        <w:t xml:space="preserve"> national </w:t>
      </w:r>
      <w:r w:rsidRPr="000914D2">
        <w:t xml:space="preserve">vehicle standards, known as the Australian Design Rules (ADRs), </w:t>
      </w:r>
      <w:r w:rsidR="00271C40">
        <w:t xml:space="preserve">which are made </w:t>
      </w:r>
      <w:r w:rsidRPr="000914D2">
        <w:t xml:space="preserve">under the </w:t>
      </w:r>
      <w:r w:rsidRPr="35E123EC">
        <w:rPr>
          <w:i/>
        </w:rPr>
        <w:t>Road Vehicle Standards Act 2018</w:t>
      </w:r>
      <w:r w:rsidRPr="0071550A">
        <w:t xml:space="preserve"> (RVSA)</w:t>
      </w:r>
      <w:r w:rsidR="00A44B28">
        <w:t>.</w:t>
      </w:r>
    </w:p>
    <w:p w14:paraId="286DB9CE" w14:textId="53E209A5" w:rsidR="005978B5" w:rsidRDefault="005978B5" w:rsidP="0082335D">
      <w:r w:rsidRPr="005978B5">
        <w:t>T</w:t>
      </w:r>
      <w:r w:rsidR="00271C40">
        <w:t>o address the safety risks from reduced audibility of QRTVs, t</w:t>
      </w:r>
      <w:r w:rsidRPr="005978B5">
        <w:t>he National Road Safety Action Plan 2023-25 highlight</w:t>
      </w:r>
      <w:r w:rsidR="00271C40">
        <w:t>ed</w:t>
      </w:r>
      <w:r w:rsidRPr="005978B5">
        <w:t xml:space="preserve"> the need to consider a new Australian Design Rule (ADR) for AVAS for QRTVs in 2023, subject to the outcome of an impact analysis. </w:t>
      </w:r>
    </w:p>
    <w:p w14:paraId="57ACDCB4" w14:textId="2609DE01" w:rsidR="00271A50" w:rsidRDefault="00271A50" w:rsidP="00271A50">
      <w:r>
        <w:t xml:space="preserve">ADRs have played a significant role in reducing road deaths and injuries over </w:t>
      </w:r>
      <w:r w:rsidR="00271C40">
        <w:t>the last 50 years</w:t>
      </w:r>
      <w:r>
        <w:t xml:space="preserve">, above and beyond what would have been achieved through market forces alone. ADRs covering </w:t>
      </w:r>
      <w:r w:rsidRPr="00930D6A">
        <w:t>vehicle structures and restraint systems have improved crash performance significantly</w:t>
      </w:r>
      <w:r>
        <w:t xml:space="preserve">. </w:t>
      </w:r>
      <w:r w:rsidRPr="00930D6A">
        <w:t xml:space="preserve">Passive safety features such as airbags, seat belts, collapsible steering columns, head restraints and padded surfaces help prevent or manage the forces of impact in crashes. More recent ADRs for technologies that assist in mitigating crashes, such as advanced braking systems, electronic stability control, and advanced emergency braking, </w:t>
      </w:r>
      <w:r>
        <w:t>are delivering</w:t>
      </w:r>
      <w:r w:rsidRPr="00930D6A">
        <w:t xml:space="preserve"> f</w:t>
      </w:r>
      <w:r>
        <w:t xml:space="preserve">urther reductions in road trauma. </w:t>
      </w:r>
    </w:p>
    <w:p w14:paraId="1D9BC022" w14:textId="31AA9249" w:rsidR="00271A50" w:rsidRDefault="00271A50" w:rsidP="00271A50">
      <w:r w:rsidRPr="000914D2">
        <w:t>Where possible, the ADRs are harmonised with international vehicle regulations, as developed through the UN.</w:t>
      </w:r>
      <w:r>
        <w:t xml:space="preserve"> </w:t>
      </w:r>
      <w:r w:rsidRPr="00930D6A">
        <w:t xml:space="preserve">Harmonising with </w:t>
      </w:r>
      <w:r>
        <w:t>international</w:t>
      </w:r>
      <w:r w:rsidRPr="00930D6A">
        <w:t xml:space="preserve"> regulations provides consumers with access to vehicles meeting the latest levels of safety and innovation at the lowest possible cost. The Government</w:t>
      </w:r>
      <w:r>
        <w:t>, through the Department of Infrastructure, Transport, Regional Development, Communications and the Arts (the department),</w:t>
      </w:r>
      <w:r w:rsidRPr="00930D6A">
        <w:t xml:space="preserve"> has actively participated in the development of the UN </w:t>
      </w:r>
      <w:r w:rsidR="00271C40">
        <w:t xml:space="preserve">vehicle </w:t>
      </w:r>
      <w:r w:rsidRPr="00930D6A">
        <w:t>regulations for a number of years.</w:t>
      </w:r>
    </w:p>
    <w:p w14:paraId="7853456F" w14:textId="3B89BB88" w:rsidR="007843CE" w:rsidRPr="00930D6A" w:rsidRDefault="00271C40" w:rsidP="009729B4">
      <w:pPr>
        <w:pStyle w:val="Heading4"/>
      </w:pPr>
      <w:bookmarkStart w:id="54" w:name="_Toc153554183"/>
      <w:bookmarkStart w:id="55" w:name="_Toc153795400"/>
      <w:r>
        <w:lastRenderedPageBreak/>
        <w:t>2.2.1</w:t>
      </w:r>
      <w:bookmarkEnd w:id="54"/>
      <w:r w:rsidR="00CC14A8">
        <w:t xml:space="preserve"> </w:t>
      </w:r>
      <w:r w:rsidR="007843CE" w:rsidRPr="00930D6A">
        <w:t xml:space="preserve">Acoustic Vehicle Alerting Systems </w:t>
      </w:r>
      <w:r w:rsidR="007843CE">
        <w:t>(AVAS) is mandated in other markets to improve the audibility of QRTVs</w:t>
      </w:r>
      <w:bookmarkEnd w:id="55"/>
      <w:r w:rsidR="007843CE" w:rsidRPr="00C17E13">
        <w:t xml:space="preserve"> </w:t>
      </w:r>
    </w:p>
    <w:p w14:paraId="12BCC818" w14:textId="621A2F7E" w:rsidR="00A120D3" w:rsidRPr="00930D6A" w:rsidRDefault="00271C40" w:rsidP="007843CE">
      <w:r>
        <w:t>To address the</w:t>
      </w:r>
      <w:r w:rsidR="00A120D3" w:rsidRPr="00930D6A">
        <w:t xml:space="preserve"> risk </w:t>
      </w:r>
      <w:r>
        <w:t xml:space="preserve">QRTVs pose </w:t>
      </w:r>
      <w:r w:rsidR="00A120D3" w:rsidRPr="00930D6A">
        <w:t xml:space="preserve">for </w:t>
      </w:r>
      <w:r w:rsidR="00A120D3">
        <w:t>VRU</w:t>
      </w:r>
      <w:r w:rsidR="00A120D3" w:rsidRPr="00930D6A">
        <w:t xml:space="preserve"> safety, the United Nations (UN) World Forum for the Harmonization of Vehicle Regulations (known as WP.29) has established UN Regulation 138– Uniform Provisions Concerning the Approval of Quiet Road Transport Vehicles with Regard to their Reduced Audibility. </w:t>
      </w:r>
      <w:r w:rsidR="00A120D3">
        <w:t xml:space="preserve">The current series of this </w:t>
      </w:r>
      <w:r w:rsidR="00A120D3" w:rsidRPr="00930D6A">
        <w:t xml:space="preserve">regulation, UN R138/01, sets out requirements for AVAS for </w:t>
      </w:r>
      <w:r w:rsidR="00A120D3">
        <w:t>QRTVs</w:t>
      </w:r>
      <w:r w:rsidR="00A120D3" w:rsidRPr="00930D6A">
        <w:t>.</w:t>
      </w:r>
    </w:p>
    <w:p w14:paraId="6F54FCF5" w14:textId="219CD30A" w:rsidR="00A120D3" w:rsidRPr="00930D6A" w:rsidRDefault="00A120D3" w:rsidP="00A120D3">
      <w:r w:rsidRPr="00930D6A">
        <w:t xml:space="preserve">AVAS are sets of components installed in </w:t>
      </w:r>
      <w:r>
        <w:t>QRTVs</w:t>
      </w:r>
      <w:r w:rsidRPr="00930D6A">
        <w:t xml:space="preserve"> for the purpose of emitting a sound external to the vehicle</w:t>
      </w:r>
      <w:r w:rsidR="00C17E13">
        <w:t xml:space="preserve"> to improve its audibility to VRUs</w:t>
      </w:r>
      <w:r w:rsidRPr="00930D6A">
        <w:t xml:space="preserve">. The sound emitted </w:t>
      </w:r>
      <w:r>
        <w:t xml:space="preserve">at low vehicle speeds </w:t>
      </w:r>
      <w:r w:rsidRPr="00930D6A">
        <w:t>must be able to be detected by pedestrians, particularly at speeds where the contribution of tyre and wind noise is minimal (Lawrence et al, 2020).</w:t>
      </w:r>
    </w:p>
    <w:p w14:paraId="2A7944B5" w14:textId="58F76220" w:rsidR="00A120D3" w:rsidRDefault="00A120D3" w:rsidP="00A120D3">
      <w:r w:rsidRPr="00930D6A">
        <w:t xml:space="preserve">Most major vehicle markets, including the EU, </w:t>
      </w:r>
      <w:r>
        <w:t xml:space="preserve">UK, </w:t>
      </w:r>
      <w:r w:rsidRPr="00930D6A">
        <w:t>Japan, Korea, China and the US have mandated UN</w:t>
      </w:r>
      <w:r>
        <w:t> </w:t>
      </w:r>
      <w:r w:rsidRPr="00930D6A">
        <w:t>R138/01, or equivalent standards.</w:t>
      </w:r>
      <w:r>
        <w:t xml:space="preserve"> </w:t>
      </w:r>
    </w:p>
    <w:p w14:paraId="430DABD9" w14:textId="4FC45328" w:rsidR="00A120D3" w:rsidRDefault="00271C40" w:rsidP="009729B4">
      <w:pPr>
        <w:pStyle w:val="Heading4"/>
      </w:pPr>
      <w:bookmarkStart w:id="56" w:name="_Toc153795401"/>
      <w:r>
        <w:t>2.2.</w:t>
      </w:r>
      <w:r w:rsidR="00FA0277">
        <w:t>2</w:t>
      </w:r>
      <w:r w:rsidR="00CC14A8">
        <w:t xml:space="preserve"> </w:t>
      </w:r>
      <w:r w:rsidR="00C17E13">
        <w:t>An Australian mandate is also required to address these risks</w:t>
      </w:r>
      <w:bookmarkEnd w:id="56"/>
    </w:p>
    <w:p w14:paraId="54F7C5B9" w14:textId="7DFBE1AD" w:rsidR="0082335D" w:rsidRPr="00930D6A" w:rsidRDefault="0082335D" w:rsidP="0082335D">
      <w:r>
        <w:t xml:space="preserve">While many governments overseas have acted to mitigate the pedestrian safety risk from QRTVs by mandating the fitment of AVAS, </w:t>
      </w:r>
      <w:r w:rsidRPr="00930D6A">
        <w:t>mandating a technology overseas does not guarantee that vehicles imported into Australia will be fitted with the technology. Vehicles in different markets, that otherwise appear identical to the consumer</w:t>
      </w:r>
      <w:r>
        <w:t xml:space="preserve"> </w:t>
      </w:r>
      <w:r w:rsidRPr="00930D6A">
        <w:t>may be tailored by the manufacturer to the requirements of each market.</w:t>
      </w:r>
    </w:p>
    <w:p w14:paraId="40691C8E" w14:textId="77777777" w:rsidR="0082335D" w:rsidRPr="00930D6A" w:rsidRDefault="0082335D" w:rsidP="0082335D">
      <w:r w:rsidRPr="00930D6A">
        <w:t>It is estimated that around 20</w:t>
      </w:r>
      <w:r>
        <w:t>%</w:t>
      </w:r>
      <w:r w:rsidRPr="00930D6A">
        <w:t xml:space="preserve"> of </w:t>
      </w:r>
      <w:r>
        <w:t>QRTVs</w:t>
      </w:r>
      <w:r w:rsidRPr="00930D6A">
        <w:t xml:space="preserve"> supplied to the Australian market are already fitted with AVAS, and this percentage is expected to increase over the years. However, some manufacturers, particularly those supplying higher volume models in price sensitive segments, may find it more cost effective to supply vehicles to Australia without AVAS fitted, if it is not demanded by regulation or consumers.</w:t>
      </w:r>
    </w:p>
    <w:p w14:paraId="50734394" w14:textId="31EB4249" w:rsidR="00CE2FDE" w:rsidRDefault="0082335D" w:rsidP="00271A50">
      <w:r w:rsidRPr="00930D6A">
        <w:t>There is unlikely to be a strong consumer demand for the technology, as consumers are generally more likely to focus on technologies that benefit them directly, rather than benefit</w:t>
      </w:r>
      <w:r>
        <w:t>ting</w:t>
      </w:r>
      <w:r w:rsidRPr="00930D6A">
        <w:t xml:space="preserve"> other road users.</w:t>
      </w:r>
    </w:p>
    <w:p w14:paraId="109E37E4" w14:textId="487259AE" w:rsidR="009E0FE8" w:rsidRDefault="009E0FE8" w:rsidP="00271A50">
      <w:r w:rsidRPr="00930D6A">
        <w:t>The costs and benefits of mandating a new ADR for AVAS ar</w:t>
      </w:r>
      <w:r>
        <w:t xml:space="preserve">e examined in the </w:t>
      </w:r>
      <w:r w:rsidR="00C17E13">
        <w:t>Sections 3 and 4 of this Impact Analysis</w:t>
      </w:r>
      <w:r w:rsidRPr="00930D6A">
        <w:t>.</w:t>
      </w:r>
    </w:p>
    <w:p w14:paraId="5D42E268" w14:textId="45012488" w:rsidR="00F27BA6" w:rsidRDefault="00F27BA6" w:rsidP="007843CE">
      <w:pPr>
        <w:pStyle w:val="Heading3"/>
      </w:pPr>
      <w:bookmarkStart w:id="57" w:name="_Toc153795402"/>
      <w:r>
        <w:t xml:space="preserve">2.3 How will success </w:t>
      </w:r>
      <w:r w:rsidR="00C17E13">
        <w:t xml:space="preserve">in achieving these objectives </w:t>
      </w:r>
      <w:r>
        <w:t>be measured</w:t>
      </w:r>
      <w:r w:rsidR="00C17E13">
        <w:t>?</w:t>
      </w:r>
      <w:bookmarkEnd w:id="57"/>
    </w:p>
    <w:p w14:paraId="37D7AA8F" w14:textId="2E5BC144" w:rsidR="00F97EAF" w:rsidRDefault="00F97EAF" w:rsidP="00F97EAF">
      <w:r w:rsidRPr="00F97EAF">
        <w:t>The National Road Safety Strategy 2021-30 sets out Australia’s road safety objectives over the next decade, and includes key priorities for action and targets to reduce the annual number of fatalities by at least 50</w:t>
      </w:r>
      <w:r w:rsidR="00B72196">
        <w:t xml:space="preserve">% </w:t>
      </w:r>
      <w:r w:rsidRPr="00F97EAF">
        <w:t>and serious injuries by at least 30</w:t>
      </w:r>
      <w:r w:rsidR="00B72196">
        <w:t>%</w:t>
      </w:r>
      <w:r w:rsidRPr="00F97EAF">
        <w:t xml:space="preserve"> by 2030. The National Road Safety Action Plan 2023-25 is the first Action Plan under the Strategy and details the specific actions all Australian Governments will take to implement the Strategy in the three years to 2025.  </w:t>
      </w:r>
    </w:p>
    <w:p w14:paraId="59A27C05" w14:textId="15C4CF17" w:rsidR="00B72196" w:rsidRPr="00B72196" w:rsidRDefault="00B72196" w:rsidP="00B72196">
      <w:r w:rsidRPr="00B72196">
        <w:t xml:space="preserve">The primary measures of success are overall reductions in road trauma, however the </w:t>
      </w:r>
      <w:r>
        <w:t>S</w:t>
      </w:r>
      <w:r w:rsidRPr="00B72196">
        <w:t xml:space="preserve">trategy also includes other indicators to help measure progress at a more granular level. This includes safety performance indicators, as well as a series of ‘demonstrating zero’ measures, which are designed to demonstrate the success against all Australian Government’s commitment to Vision Zero 2050. </w:t>
      </w:r>
    </w:p>
    <w:p w14:paraId="497CBDDB" w14:textId="2A9B0F6A" w:rsidR="00B72196" w:rsidRPr="00B72196" w:rsidRDefault="00B72196" w:rsidP="00B72196">
      <w:r w:rsidRPr="00B72196">
        <w:t xml:space="preserve">A Road Safety Data Working Group, which consists of senior representatives from the Australian and all state and territory governments, was established under the Action Plan governance arrangements to make data available for the </w:t>
      </w:r>
      <w:r>
        <w:t>safety performance indicators</w:t>
      </w:r>
      <w:r w:rsidRPr="00B72196">
        <w:t xml:space="preserve"> and demonstrating zero measures, including for the demonstrating zero measure ‘</w:t>
      </w:r>
      <w:r>
        <w:t>Z</w:t>
      </w:r>
      <w:r w:rsidRPr="00B72196">
        <w:t>ero deaths in CBD areas’</w:t>
      </w:r>
      <w:r w:rsidR="00C17E13">
        <w:t>, where VRUs are more prevalent</w:t>
      </w:r>
      <w:r w:rsidRPr="00B72196">
        <w:t xml:space="preserve">. </w:t>
      </w:r>
    </w:p>
    <w:p w14:paraId="19AB2A41" w14:textId="55B7635E" w:rsidR="00D4447F" w:rsidRPr="00B72196" w:rsidRDefault="00D4447F" w:rsidP="00B72196">
      <w:r>
        <w:t xml:space="preserve">Data on performance of the Strategy and Action Plan will be reported </w:t>
      </w:r>
      <w:r w:rsidR="008A1DF8">
        <w:t xml:space="preserve">publicly </w:t>
      </w:r>
      <w:r>
        <w:t>on the National Road Safety Data Hub</w:t>
      </w:r>
      <w:r w:rsidR="008A1DF8">
        <w:t xml:space="preserve"> website.</w:t>
      </w:r>
    </w:p>
    <w:p w14:paraId="5FA81719" w14:textId="77777777" w:rsidR="00C17E13" w:rsidRDefault="00C17E13" w:rsidP="00CC14A8">
      <w:pPr>
        <w:spacing w:line="259" w:lineRule="auto"/>
      </w:pPr>
      <w:r>
        <w:br w:type="page"/>
      </w:r>
    </w:p>
    <w:p w14:paraId="52D9232A" w14:textId="78AEC368" w:rsidR="00271A50" w:rsidRDefault="000F0641" w:rsidP="007843CE">
      <w:pPr>
        <w:pStyle w:val="Heading2"/>
      </w:pPr>
      <w:bookmarkStart w:id="58" w:name="_Toc128476448"/>
      <w:bookmarkStart w:id="59" w:name="_Toc151556397"/>
      <w:bookmarkStart w:id="60" w:name="_Toc153795403"/>
      <w:r>
        <w:lastRenderedPageBreak/>
        <w:t>3</w:t>
      </w:r>
      <w:r w:rsidR="00271A50">
        <w:t xml:space="preserve">. </w:t>
      </w:r>
      <w:bookmarkStart w:id="61" w:name="_Hlk147929188"/>
      <w:r w:rsidR="00271A50" w:rsidRPr="00930D6A">
        <w:t xml:space="preserve">What </w:t>
      </w:r>
      <w:r w:rsidR="00C03CED">
        <w:t>policy options are being considered</w:t>
      </w:r>
      <w:r w:rsidR="00271A50" w:rsidRPr="00930D6A">
        <w:t>?</w:t>
      </w:r>
      <w:bookmarkEnd w:id="58"/>
      <w:bookmarkEnd w:id="59"/>
      <w:bookmarkEnd w:id="60"/>
    </w:p>
    <w:p w14:paraId="1B4A2E35" w14:textId="6A47B49D" w:rsidR="00C17E13" w:rsidRDefault="00C17E13" w:rsidP="00C17E13">
      <w:r>
        <w:t>As noted in Section 2.1, the objectives of Government action are to enable governments to achieve the targets detailed in the National Road Safety Strategy and its Action Plan by:</w:t>
      </w:r>
    </w:p>
    <w:p w14:paraId="07DB5EC8" w14:textId="77777777" w:rsidR="00C17E13" w:rsidRDefault="00C17E13" w:rsidP="00C17E13">
      <w:r>
        <w:t>-</w:t>
      </w:r>
      <w:r>
        <w:tab/>
        <w:t xml:space="preserve">reducing road trauma involving VRUs; and </w:t>
      </w:r>
    </w:p>
    <w:p w14:paraId="638B5B00" w14:textId="550F7783" w:rsidR="00C17E13" w:rsidRDefault="00C17E13" w:rsidP="00C17E13">
      <w:r>
        <w:t>-</w:t>
      </w:r>
      <w:r>
        <w:tab/>
        <w:t>reducing safety risks to VRU</w:t>
      </w:r>
      <w:r w:rsidR="005C2EF1">
        <w:t>s</w:t>
      </w:r>
      <w:r>
        <w:t xml:space="preserve"> by improving the audibility of QRTVs.</w:t>
      </w:r>
    </w:p>
    <w:p w14:paraId="2BC8B6A8" w14:textId="28C328E6" w:rsidR="00C17E13" w:rsidRPr="00B17B56" w:rsidRDefault="00C17E13" w:rsidP="00C17E13">
      <w:r w:rsidRPr="0096652B">
        <w:t xml:space="preserve">The decision rule for this </w:t>
      </w:r>
      <w:r>
        <w:t>Impact A</w:t>
      </w:r>
      <w:r w:rsidRPr="0096652B">
        <w:t xml:space="preserve">nalysis is that the recommended option should be the option with the highest net benefit in line with the </w:t>
      </w:r>
      <w:r w:rsidRPr="00C40A30">
        <w:rPr>
          <w:i/>
        </w:rPr>
        <w:t xml:space="preserve">Australian Government Guide to </w:t>
      </w:r>
      <w:r>
        <w:rPr>
          <w:i/>
        </w:rPr>
        <w:t>Policy</w:t>
      </w:r>
      <w:r w:rsidRPr="00C40A30">
        <w:rPr>
          <w:i/>
        </w:rPr>
        <w:t xml:space="preserve"> Impact Analysis</w:t>
      </w:r>
      <w:r w:rsidRPr="0096652B">
        <w:t>.</w:t>
      </w:r>
      <w:r w:rsidRPr="0096652B">
        <w:rPr>
          <w:rStyle w:val="FootnoteReference"/>
          <w:rFonts w:cstheme="majorHAnsi"/>
        </w:rPr>
        <w:footnoteReference w:id="9"/>
      </w:r>
      <w:r w:rsidRPr="0096652B">
        <w:t xml:space="preserve"> </w:t>
      </w:r>
    </w:p>
    <w:p w14:paraId="4E1414AF" w14:textId="3C5F280C" w:rsidR="00C17E13" w:rsidRPr="0096652B" w:rsidRDefault="00C17E13" w:rsidP="00C17E13">
      <w:r w:rsidRPr="00B17B56">
        <w:t>A core objective of the RVSA, which reg</w:t>
      </w:r>
      <w:r w:rsidRPr="0096652B">
        <w:t>ulates the first supply of road vehicles to Australia, is also to set nationally consistent performance-based standards that road vehicles must comply with before being provided in Australia and provide consumers with a choice of road vehicles that meet the safety and environmental expectations of the community.</w:t>
      </w:r>
    </w:p>
    <w:p w14:paraId="6EA7D0EB" w14:textId="77777777" w:rsidR="005C2EF1" w:rsidRDefault="005C2EF1" w:rsidP="005C2EF1">
      <w:r w:rsidRPr="0096652B">
        <w:t xml:space="preserve">Where intervention involves the use of regulation, the Agreement on Technical Barriers to Trade encourages Australia to adopt international standards where they are available </w:t>
      </w:r>
      <w:r w:rsidRPr="00B17B56">
        <w:t>or imminent.</w:t>
      </w:r>
      <w:r>
        <w:t xml:space="preserve"> </w:t>
      </w:r>
      <w:r w:rsidR="00C17E13" w:rsidRPr="0096652B">
        <w:t>As a contracting party to the UN 1958 Agreement, the Government has also committed to harmonise Australia’s vehicle standards wherever possible with international standards adopted by the UN World Forum for the Harmonization of Vehicle Regulations (WP.29).</w:t>
      </w:r>
    </w:p>
    <w:p w14:paraId="2DA769C1" w14:textId="29925A88" w:rsidR="00C17E13" w:rsidRPr="00C17E13" w:rsidRDefault="005C2EF1" w:rsidP="009729B4">
      <w:r>
        <w:t>The options considered in this section to improve the audibility of new QRTVs supplied to Australia align with these objectives.</w:t>
      </w:r>
    </w:p>
    <w:p w14:paraId="4154F710" w14:textId="77777777" w:rsidR="00271A50" w:rsidRPr="00930D6A" w:rsidRDefault="00271A50" w:rsidP="00271A50">
      <w:bookmarkStart w:id="62" w:name="_Toc319933940"/>
      <w:bookmarkStart w:id="63" w:name="_Ref335647413"/>
      <w:bookmarkStart w:id="64" w:name="_Ref398106038"/>
      <w:bookmarkStart w:id="65" w:name="_Ref404766972"/>
      <w:bookmarkStart w:id="66" w:name="_Toc408574059"/>
      <w:bookmarkStart w:id="67" w:name="_Toc491422009"/>
      <w:bookmarkStart w:id="68" w:name="_Toc491424582"/>
      <w:bookmarkStart w:id="69" w:name="_Toc17104570"/>
      <w:r w:rsidRPr="35E123EC">
        <w:rPr>
          <w:b/>
        </w:rPr>
        <w:t>Option 1</w:t>
      </w:r>
      <w:r w:rsidRPr="00930D6A">
        <w:t xml:space="preserve"> is to maintain the status quo, allowing market forces to find a solution to the problem (business as usual). This is the benchmark policy option.</w:t>
      </w:r>
    </w:p>
    <w:p w14:paraId="739704D7" w14:textId="0E7638CA" w:rsidR="00271A50" w:rsidRDefault="00271A50" w:rsidP="00271A50">
      <w:r w:rsidRPr="35E123EC">
        <w:rPr>
          <w:b/>
        </w:rPr>
        <w:t xml:space="preserve">Option 2 </w:t>
      </w:r>
      <w:r w:rsidRPr="00930D6A">
        <w:t xml:space="preserve">is to mandate, through a new ADR, the fitment of AVAS to all new </w:t>
      </w:r>
      <w:r w:rsidR="00D12795" w:rsidRPr="35E123EC">
        <w:rPr>
          <w:i/>
        </w:rPr>
        <w:t>light</w:t>
      </w:r>
      <w:r w:rsidR="00772CA9">
        <w:rPr>
          <w:rStyle w:val="FootnoteReference"/>
          <w:i/>
        </w:rPr>
        <w:footnoteReference w:id="10"/>
      </w:r>
      <w:r w:rsidR="00D12795">
        <w:t xml:space="preserve"> </w:t>
      </w:r>
      <w:r w:rsidR="00772CA9">
        <w:t>QRTVs supplied to</w:t>
      </w:r>
      <w:r w:rsidRPr="00930D6A">
        <w:t xml:space="preserve"> Australia. The ADR would </w:t>
      </w:r>
      <w:r>
        <w:t>adopt</w:t>
      </w:r>
      <w:r w:rsidRPr="00930D6A">
        <w:t xml:space="preserve"> UN </w:t>
      </w:r>
      <w:r w:rsidR="00B27D41">
        <w:t>R</w:t>
      </w:r>
      <w:r w:rsidRPr="00930D6A">
        <w:t>egulation 138/01</w:t>
      </w:r>
      <w:r w:rsidR="00665959">
        <w:t>,</w:t>
      </w:r>
      <w:r w:rsidR="00B310A4">
        <w:t xml:space="preserve"> but only for light vehicle categories</w:t>
      </w:r>
      <w:r w:rsidRPr="00930D6A">
        <w:t>.</w:t>
      </w:r>
      <w:r w:rsidR="00665959">
        <w:t xml:space="preserve"> This was the original option canvassed in the Consultation Impact Analysis released for public comment on 28 March 2023, due to the absence of data available to support its introduction for heavy vehicles.</w:t>
      </w:r>
    </w:p>
    <w:p w14:paraId="03A198C1" w14:textId="579D58CF" w:rsidR="00D12795" w:rsidRDefault="00D12795" w:rsidP="00271A50">
      <w:r w:rsidRPr="35E123EC">
        <w:rPr>
          <w:b/>
        </w:rPr>
        <w:t>Option 3</w:t>
      </w:r>
      <w:r>
        <w:t xml:space="preserve"> is to mandate, through a new ADR, the fitment of AVAS to all new </w:t>
      </w:r>
      <w:r w:rsidR="00773127" w:rsidRPr="35E123EC">
        <w:rPr>
          <w:i/>
        </w:rPr>
        <w:t xml:space="preserve">light and </w:t>
      </w:r>
      <w:r w:rsidRPr="35E123EC">
        <w:rPr>
          <w:i/>
        </w:rPr>
        <w:t>heavy</w:t>
      </w:r>
      <w:r w:rsidR="00772CA9">
        <w:rPr>
          <w:rStyle w:val="FootnoteReference"/>
          <w:i/>
        </w:rPr>
        <w:footnoteReference w:id="11"/>
      </w:r>
      <w:r>
        <w:t xml:space="preserve"> </w:t>
      </w:r>
      <w:r w:rsidR="00772CA9">
        <w:t>QRTVs supplied to</w:t>
      </w:r>
      <w:r w:rsidR="00772CA9" w:rsidRPr="00930D6A">
        <w:t xml:space="preserve"> Australia</w:t>
      </w:r>
      <w:r>
        <w:t xml:space="preserve">. The ADR would </w:t>
      </w:r>
      <w:r w:rsidR="002029A3">
        <w:t>align with the scope of</w:t>
      </w:r>
      <w:r>
        <w:t xml:space="preserve"> UN </w:t>
      </w:r>
      <w:r w:rsidR="00B27D41">
        <w:t>R</w:t>
      </w:r>
      <w:r>
        <w:t>egulation 138/01</w:t>
      </w:r>
      <w:r w:rsidR="002029A3">
        <w:t xml:space="preserve">, which mandates the fitment of AVAS to </w:t>
      </w:r>
      <w:r w:rsidR="00B310A4">
        <w:t>light and heavy</w:t>
      </w:r>
      <w:r w:rsidR="002029A3">
        <w:t xml:space="preserve"> </w:t>
      </w:r>
      <w:r w:rsidR="00B310A4">
        <w:t>vehicle categories</w:t>
      </w:r>
      <w:r>
        <w:t>.</w:t>
      </w:r>
      <w:r w:rsidR="002029A3">
        <w:t xml:space="preserve"> This option</w:t>
      </w:r>
      <w:r w:rsidR="00665959">
        <w:t xml:space="preserve"> was added in response to the feedback received in response to the </w:t>
      </w:r>
      <w:r w:rsidR="002029A3">
        <w:t xml:space="preserve">Consultation Impact Analysis, </w:t>
      </w:r>
      <w:r w:rsidR="00665959">
        <w:t>which called for AVAS to be mandated for heavy vehicles, as well as light vehicles.</w:t>
      </w:r>
    </w:p>
    <w:p w14:paraId="43E9636C" w14:textId="6B423B35" w:rsidR="00FB4CC7" w:rsidRDefault="000A7B6F" w:rsidP="00271A50">
      <w:r>
        <w:t xml:space="preserve">To consider the impacts of two possible introduction dates for light vehicles (January 2025, as proposed in the Consultation Impact Analysis, and November 2025, as proposed for heavy vehicles). Two sub-options of Option 3 </w:t>
      </w:r>
      <w:r w:rsidR="00FB4CC7">
        <w:t xml:space="preserve">have been </w:t>
      </w:r>
      <w:r>
        <w:t>modelled:</w:t>
      </w:r>
    </w:p>
    <w:p w14:paraId="026E2CAF" w14:textId="3C0A7866" w:rsidR="00FB4CC7" w:rsidRDefault="00FB4CC7" w:rsidP="00271A50">
      <w:r>
        <w:t xml:space="preserve">Option 3a </w:t>
      </w:r>
      <w:r w:rsidR="000A7B6F">
        <w:t>considers</w:t>
      </w:r>
      <w:r>
        <w:t xml:space="preserve"> mandat</w:t>
      </w:r>
      <w:r w:rsidR="000A7B6F">
        <w:t>ing</w:t>
      </w:r>
      <w:r>
        <w:t xml:space="preserve">, through a new ADR, the fitment of AVAS to all new </w:t>
      </w:r>
      <w:r w:rsidRPr="35E123EC">
        <w:rPr>
          <w:i/>
        </w:rPr>
        <w:t xml:space="preserve">light </w:t>
      </w:r>
      <w:r>
        <w:t>QRTVs supplied to</w:t>
      </w:r>
      <w:r w:rsidRPr="00930D6A">
        <w:t xml:space="preserve"> Australia</w:t>
      </w:r>
      <w:r>
        <w:t xml:space="preserve"> from January 2025, and all new </w:t>
      </w:r>
      <w:r w:rsidRPr="00CC14A8">
        <w:rPr>
          <w:i/>
        </w:rPr>
        <w:t>heavy</w:t>
      </w:r>
      <w:r>
        <w:t xml:space="preserve"> QRTVs supplied </w:t>
      </w:r>
      <w:r w:rsidR="000A7B6F">
        <w:t xml:space="preserve">to Australia </w:t>
      </w:r>
      <w:r>
        <w:t>from November 2025.</w:t>
      </w:r>
    </w:p>
    <w:p w14:paraId="275BEFCB" w14:textId="49DF0A9B" w:rsidR="00FB4CC7" w:rsidRPr="00D12795" w:rsidRDefault="000A7B6F" w:rsidP="00271A50">
      <w:r>
        <w:t xml:space="preserve">Option 3b considers mandating, through a new ADR, the fitment of AVAS to all new </w:t>
      </w:r>
      <w:r w:rsidRPr="35E123EC">
        <w:rPr>
          <w:i/>
        </w:rPr>
        <w:t xml:space="preserve">light </w:t>
      </w:r>
      <w:r>
        <w:t xml:space="preserve">and </w:t>
      </w:r>
      <w:r w:rsidRPr="007E60D1">
        <w:rPr>
          <w:i/>
        </w:rPr>
        <w:t>heavy</w:t>
      </w:r>
      <w:r>
        <w:t xml:space="preserve"> QRTVs supplied to Australia from November 2025.</w:t>
      </w:r>
    </w:p>
    <w:p w14:paraId="696DE646" w14:textId="77777777" w:rsidR="00271A50" w:rsidRDefault="00271A50" w:rsidP="00CC14A8">
      <w:pPr>
        <w:keepLines/>
      </w:pPr>
      <w:r w:rsidRPr="00930D6A">
        <w:lastRenderedPageBreak/>
        <w:t>The exclusion of alternative</w:t>
      </w:r>
      <w:r>
        <w:t xml:space="preserve"> non-regulatory</w:t>
      </w:r>
      <w:r w:rsidRPr="00930D6A">
        <w:t xml:space="preserve"> options in </w:t>
      </w:r>
      <w:r>
        <w:t>Impact Analyses</w:t>
      </w:r>
      <w:r w:rsidRPr="00930D6A">
        <w:t xml:space="preserve"> considering the introduction of new international vehicle standards was agreed </w:t>
      </w:r>
      <w:r>
        <w:t xml:space="preserve">with </w:t>
      </w:r>
      <w:r w:rsidRPr="00930D6A">
        <w:t xml:space="preserve">the </w:t>
      </w:r>
      <w:r>
        <w:t xml:space="preserve">Office of Impact Analysis (then the </w:t>
      </w:r>
      <w:r w:rsidRPr="00930D6A">
        <w:t>Office of Best Practice Regulation</w:t>
      </w:r>
      <w:r>
        <w:t xml:space="preserve">) </w:t>
      </w:r>
      <w:r w:rsidRPr="00930D6A">
        <w:t>in late 2019</w:t>
      </w:r>
      <w:r>
        <w:t>. This concession was made in order to streamline the process for adopting international vehicle standards, where evidence for doing so demonstrates a net benefit to the Australian community.</w:t>
      </w:r>
    </w:p>
    <w:p w14:paraId="5977E351" w14:textId="02738CA8" w:rsidR="002029A3" w:rsidRDefault="005C2EF1" w:rsidP="008C4A9D">
      <w:r>
        <w:t>In line with the scope of the RVSA, which regulates the initial supply of a road vehicle to Australia, t</w:t>
      </w:r>
      <w:r w:rsidR="008C4A9D" w:rsidRPr="008C4A9D">
        <w:t xml:space="preserve">he </w:t>
      </w:r>
      <w:r w:rsidR="008C4A9D">
        <w:t>regulatory</w:t>
      </w:r>
      <w:r w:rsidR="008C4A9D" w:rsidRPr="008C4A9D">
        <w:t xml:space="preserve"> options considered </w:t>
      </w:r>
      <w:r w:rsidR="002029A3">
        <w:t xml:space="preserve">in this Impact Analysis will only apply to new </w:t>
      </w:r>
      <w:r>
        <w:t>road vehicles supplied to Australia</w:t>
      </w:r>
      <w:r w:rsidR="002029A3">
        <w:t>.</w:t>
      </w:r>
    </w:p>
    <w:p w14:paraId="055EB888" w14:textId="78FE5093" w:rsidR="002029A3" w:rsidRPr="008C4A9D" w:rsidRDefault="008C4A9D" w:rsidP="009729B4">
      <w:pPr>
        <w:keepLines/>
      </w:pPr>
      <w:r w:rsidRPr="008C4A9D">
        <w:t xml:space="preserve">Once a vehicle has been supplied to the market in Australia, responsibility for regulation passes to the relevant state or territory government. Generally, states and territories require vehicles to continue to comply with ADR requirements, but it is not possible under the current legislative frameworks for </w:t>
      </w:r>
      <w:r w:rsidR="000A7B6F">
        <w:t xml:space="preserve">national </w:t>
      </w:r>
      <w:r w:rsidRPr="008C4A9D">
        <w:t xml:space="preserve">vehicle standards </w:t>
      </w:r>
      <w:r w:rsidR="000A7B6F">
        <w:t xml:space="preserve">under the RVSA </w:t>
      </w:r>
      <w:r w:rsidRPr="008C4A9D">
        <w:t xml:space="preserve">to mandate </w:t>
      </w:r>
      <w:r w:rsidR="002029A3">
        <w:t xml:space="preserve">the </w:t>
      </w:r>
      <w:r w:rsidRPr="008C4A9D">
        <w:t xml:space="preserve">retro-fitment of vehicle components to existing </w:t>
      </w:r>
      <w:r w:rsidR="002029A3">
        <w:t>vehicles</w:t>
      </w:r>
      <w:r w:rsidRPr="008C4A9D">
        <w:t xml:space="preserve"> on a national basis.</w:t>
      </w:r>
      <w:r w:rsidR="002029A3">
        <w:t xml:space="preserve"> </w:t>
      </w:r>
    </w:p>
    <w:p w14:paraId="3D4E191E" w14:textId="54D93B88" w:rsidR="002029A3" w:rsidRPr="002029A3" w:rsidRDefault="008C4A9D" w:rsidP="002029A3">
      <w:r w:rsidRPr="00665959">
        <w:t>QRTV</w:t>
      </w:r>
      <w:r w:rsidR="002029A3" w:rsidRPr="009729B4">
        <w:t xml:space="preserve">s supplied to Australia </w:t>
      </w:r>
      <w:r w:rsidRPr="00EC4B3F">
        <w:t>prior to an</w:t>
      </w:r>
      <w:r w:rsidRPr="00B60848">
        <w:t xml:space="preserve">y </w:t>
      </w:r>
      <w:r w:rsidRPr="00100657">
        <w:t>enforceable</w:t>
      </w:r>
      <w:r w:rsidRPr="0075685D">
        <w:t xml:space="preserve"> ADR </w:t>
      </w:r>
      <w:r w:rsidRPr="007E7058">
        <w:t xml:space="preserve">commencement date will </w:t>
      </w:r>
      <w:r w:rsidR="002029A3" w:rsidRPr="009729B4">
        <w:t xml:space="preserve">also </w:t>
      </w:r>
      <w:r w:rsidRPr="00665959">
        <w:t>not be subject to the new regulatory requirement</w:t>
      </w:r>
      <w:r w:rsidR="002029A3" w:rsidRPr="009729B4">
        <w:t>. These vehicles will</w:t>
      </w:r>
      <w:r w:rsidRPr="00665959">
        <w:t xml:space="preserve"> still represent a small proportion of the entire </w:t>
      </w:r>
      <w:r w:rsidR="002029A3" w:rsidRPr="009729B4">
        <w:t xml:space="preserve">Australian </w:t>
      </w:r>
      <w:r w:rsidRPr="00665959">
        <w:t>vehicle fleet.</w:t>
      </w:r>
    </w:p>
    <w:p w14:paraId="6FCF6000" w14:textId="77777777" w:rsidR="00271A50" w:rsidRPr="00930D6A" w:rsidRDefault="000F0641" w:rsidP="007843CE">
      <w:pPr>
        <w:pStyle w:val="Heading3"/>
      </w:pPr>
      <w:bookmarkStart w:id="70" w:name="_Toc128476449"/>
      <w:bookmarkStart w:id="71" w:name="_Toc151556398"/>
      <w:bookmarkStart w:id="72" w:name="_Toc153795404"/>
      <w:bookmarkEnd w:id="62"/>
      <w:bookmarkEnd w:id="63"/>
      <w:bookmarkEnd w:id="64"/>
      <w:bookmarkEnd w:id="65"/>
      <w:bookmarkEnd w:id="66"/>
      <w:bookmarkEnd w:id="67"/>
      <w:bookmarkEnd w:id="68"/>
      <w:bookmarkEnd w:id="69"/>
      <w:r>
        <w:t>3</w:t>
      </w:r>
      <w:r w:rsidR="00271A50">
        <w:t xml:space="preserve">.1 </w:t>
      </w:r>
      <w:r w:rsidR="00271A50" w:rsidRPr="00930D6A">
        <w:t>Option 1: Business as Usual</w:t>
      </w:r>
      <w:bookmarkEnd w:id="70"/>
      <w:bookmarkEnd w:id="71"/>
      <w:bookmarkEnd w:id="72"/>
    </w:p>
    <w:p w14:paraId="01A2D14C" w14:textId="77777777" w:rsidR="00271A50" w:rsidRPr="00930D6A" w:rsidRDefault="00271A50" w:rsidP="00271A50">
      <w:r w:rsidRPr="00930D6A">
        <w:t>This option relies on the market finding a solution to the problem, the community accepting the problem, or some combination of the two.</w:t>
      </w:r>
    </w:p>
    <w:p w14:paraId="5E43F64C" w14:textId="1569DA6D" w:rsidR="00271A50" w:rsidRPr="00930D6A" w:rsidRDefault="00271A50" w:rsidP="00271A50">
      <w:r w:rsidRPr="00930D6A">
        <w:t xml:space="preserve">Broadly, governments will continue their efforts to reduce road trauma in Australia. Regarding the availability of AVAS on </w:t>
      </w:r>
      <w:r w:rsidR="00635004">
        <w:t>QRTVs</w:t>
      </w:r>
      <w:r w:rsidRPr="00930D6A">
        <w:t xml:space="preserve"> in Australia, it is expected that voluntary uptake will increase gradually over time. The department estimates </w:t>
      </w:r>
      <w:r>
        <w:t>that approximately 20</w:t>
      </w:r>
      <w:r w:rsidR="00B310A4">
        <w:t>%</w:t>
      </w:r>
      <w:r w:rsidRPr="00930D6A">
        <w:t xml:space="preserve"> of new </w:t>
      </w:r>
      <w:r w:rsidR="00635004">
        <w:t>QRTVs</w:t>
      </w:r>
      <w:r w:rsidRPr="00930D6A">
        <w:t xml:space="preserve"> supplied to Australia </w:t>
      </w:r>
      <w:r>
        <w:t>are</w:t>
      </w:r>
      <w:r w:rsidR="009712B7">
        <w:t xml:space="preserve"> </w:t>
      </w:r>
      <w:r w:rsidR="00635004">
        <w:t>already</w:t>
      </w:r>
      <w:r>
        <w:t xml:space="preserve"> </w:t>
      </w:r>
      <w:r w:rsidRPr="00930D6A">
        <w:t>fitted with an AVAS</w:t>
      </w:r>
      <w:r w:rsidR="00635004">
        <w:t>, even though it is not required by regulation</w:t>
      </w:r>
      <w:r w:rsidRPr="00930D6A">
        <w:t xml:space="preserve">. This is based on consultation with vehicle manufacturers as well as desktop analysis of </w:t>
      </w:r>
      <w:r w:rsidR="00635004">
        <w:t xml:space="preserve">QRTV </w:t>
      </w:r>
      <w:r w:rsidRPr="00930D6A">
        <w:t>models and sales volumes.</w:t>
      </w:r>
    </w:p>
    <w:p w14:paraId="704CA975" w14:textId="64340211" w:rsidR="00271A50" w:rsidRPr="00930D6A" w:rsidRDefault="00271A50" w:rsidP="00271A50">
      <w:r w:rsidRPr="00930D6A">
        <w:t>The department further estimates that in 2025, almost 30</w:t>
      </w:r>
      <w:r w:rsidR="000E0650">
        <w:t xml:space="preserve">% </w:t>
      </w:r>
      <w:r w:rsidRPr="00930D6A">
        <w:t xml:space="preserve">of new </w:t>
      </w:r>
      <w:r w:rsidR="00635004">
        <w:t>QRTVs</w:t>
      </w:r>
      <w:r w:rsidRPr="00930D6A">
        <w:t xml:space="preserve"> will be fitted with AVAS. However, as outlined </w:t>
      </w:r>
      <w:r w:rsidR="000E0650">
        <w:t>previously</w:t>
      </w:r>
      <w:r w:rsidRPr="00930D6A">
        <w:t>, without mandating the technology, Australia is unlikely to reach 100</w:t>
      </w:r>
      <w:r w:rsidR="000E0650">
        <w:t>% </w:t>
      </w:r>
      <w:r w:rsidRPr="00930D6A">
        <w:t>fitment</w:t>
      </w:r>
      <w:r w:rsidR="00635004">
        <w:t>, as some manufacturer</w:t>
      </w:r>
      <w:r w:rsidR="00B27D41">
        <w:t>s have advised they</w:t>
      </w:r>
      <w:r w:rsidR="00635004">
        <w:t xml:space="preserve"> will not fit it unless required by regulation</w:t>
      </w:r>
      <w:r w:rsidRPr="00930D6A">
        <w:t>. As such, under the status quo option, we risk foregoing the full safety benefits of the technology, and risk falling behind other countries who have already mandated it.</w:t>
      </w:r>
    </w:p>
    <w:p w14:paraId="480DEFBB" w14:textId="73472DED" w:rsidR="00271A50" w:rsidRPr="00930D6A" w:rsidRDefault="00271A50" w:rsidP="00271A50">
      <w:r w:rsidRPr="00930D6A">
        <w:t>This option was analysed in detail in order to establish a benchmark for comparison with Option</w:t>
      </w:r>
      <w:r w:rsidR="00B310A4">
        <w:t>s</w:t>
      </w:r>
      <w:r w:rsidRPr="00930D6A">
        <w:t xml:space="preserve"> 2</w:t>
      </w:r>
      <w:r w:rsidR="00B310A4">
        <w:t xml:space="preserve"> and 3</w:t>
      </w:r>
      <w:r w:rsidRPr="00930D6A">
        <w:t>.</w:t>
      </w:r>
    </w:p>
    <w:p w14:paraId="59B2A715" w14:textId="77777777" w:rsidR="00271A50" w:rsidRPr="00930D6A" w:rsidRDefault="000F0641" w:rsidP="007843CE">
      <w:pPr>
        <w:pStyle w:val="Heading3"/>
      </w:pPr>
      <w:bookmarkStart w:id="73" w:name="_Toc128476450"/>
      <w:bookmarkStart w:id="74" w:name="_Toc151556399"/>
      <w:bookmarkStart w:id="75" w:name="_Toc153795405"/>
      <w:r>
        <w:t>3</w:t>
      </w:r>
      <w:r w:rsidR="00271A50">
        <w:t xml:space="preserve">.2 </w:t>
      </w:r>
      <w:r w:rsidR="00271A50" w:rsidRPr="00930D6A">
        <w:t>Option 2: Mandatory Standards</w:t>
      </w:r>
      <w:bookmarkEnd w:id="73"/>
      <w:r w:rsidR="00B765DC">
        <w:t xml:space="preserve"> for Light Vehicles</w:t>
      </w:r>
      <w:bookmarkEnd w:id="74"/>
      <w:bookmarkEnd w:id="75"/>
      <w:r w:rsidR="00B765DC">
        <w:t xml:space="preserve"> </w:t>
      </w:r>
    </w:p>
    <w:p w14:paraId="35C0BBC7" w14:textId="3C33927E" w:rsidR="00271A50" w:rsidRPr="00930D6A" w:rsidRDefault="00271A50" w:rsidP="00271A50">
      <w:r w:rsidRPr="00930D6A">
        <w:t xml:space="preserve">Under this option, the Australian Government would mandate the fitment of AVAS to new </w:t>
      </w:r>
      <w:r w:rsidR="003E04EF">
        <w:t xml:space="preserve">light </w:t>
      </w:r>
      <w:r w:rsidRPr="00930D6A">
        <w:t>electric vehicles supplied to the market through a new ADR under the RVSA. The new ADR would align with the technical requirements of UN R138/01</w:t>
      </w:r>
      <w:r w:rsidR="00F918F6">
        <w:t>,</w:t>
      </w:r>
      <w:r w:rsidRPr="00930D6A">
        <w:t xml:space="preserve"> or the equivalent US Federal Motor Vehicle Safety Standard 141. As the Government does not have jurisdiction to set requirements for vehicles currently in service, this option would not require AVAS to be retrofitted to existing vehicles already on the road.</w:t>
      </w:r>
    </w:p>
    <w:p w14:paraId="3DF09164" w14:textId="77777777" w:rsidR="00271A50" w:rsidRPr="00930D6A" w:rsidRDefault="00D337B4" w:rsidP="007843CE">
      <w:pPr>
        <w:pStyle w:val="Heading4"/>
      </w:pPr>
      <w:bookmarkStart w:id="76" w:name="_Toc128476451"/>
      <w:bookmarkStart w:id="77" w:name="_Toc151556400"/>
      <w:bookmarkStart w:id="78" w:name="_Toc153795406"/>
      <w:r>
        <w:t>3</w:t>
      </w:r>
      <w:r w:rsidR="00271A50">
        <w:t xml:space="preserve">.2.1 </w:t>
      </w:r>
      <w:r w:rsidR="00271A50" w:rsidRPr="00930D6A">
        <w:t>Background</w:t>
      </w:r>
      <w:bookmarkEnd w:id="76"/>
      <w:bookmarkEnd w:id="77"/>
      <w:bookmarkEnd w:id="78"/>
    </w:p>
    <w:p w14:paraId="510689D6" w14:textId="77777777" w:rsidR="00271A50" w:rsidRPr="00930D6A" w:rsidRDefault="00271A50" w:rsidP="00271A50">
      <w:r w:rsidRPr="00930D6A">
        <w:t>Australia mandates approximately 60 active ADRs under the RVSA. Vehicles are approved on a model (or vehicle type) basis known as type approval, whereby the Australian Government approves a vehicle type based on test and other information supplied by the manufacturer. Compliance of vehicles built under that approval is ensured by regular audits of the manufacturer’s production, design and test facilities.</w:t>
      </w:r>
    </w:p>
    <w:p w14:paraId="02E2AEC9" w14:textId="2187C504" w:rsidR="00271A50" w:rsidRPr="00930D6A" w:rsidRDefault="00271A50" w:rsidP="00271A50">
      <w:r w:rsidRPr="00930D6A">
        <w:t>The ADRs apply equally to new imported vehicles and new vehicles manufactured in Australia. No</w:t>
      </w:r>
      <w:r w:rsidR="00F918F6">
        <w:t> </w:t>
      </w:r>
      <w:r w:rsidRPr="00930D6A">
        <w:t>distinction is made on the basis of country of origin/manufacture under the RVSA.</w:t>
      </w:r>
    </w:p>
    <w:p w14:paraId="4D5818E7" w14:textId="709DEABD" w:rsidR="00271A50" w:rsidRPr="00930D6A" w:rsidRDefault="00271A50" w:rsidP="00271A50">
      <w:r w:rsidRPr="00930D6A">
        <w:lastRenderedPageBreak/>
        <w:t xml:space="preserve">A program of harmonising ADRs with international vehicle standards developed through the UN, began in the mid-1980s and has recently been accelerated. As Australia accounts for only around </w:t>
      </w:r>
      <w:r w:rsidR="00B310A4">
        <w:t>1%</w:t>
      </w:r>
      <w:r w:rsidRPr="00930D6A">
        <w:t xml:space="preserve"> of global vehicle sales, harmonised Australian requirements minimise system development costs and provide manufacturers with the flexibility to incorporate or adapt systems that have already been developed and tested for markets with similar requirements. It also enables manufacturers to leverage testing and certification frameworks adopted in other markets.</w:t>
      </w:r>
    </w:p>
    <w:p w14:paraId="47C0457D" w14:textId="77777777" w:rsidR="00271A50" w:rsidRPr="00930D6A" w:rsidRDefault="00D337B4" w:rsidP="007843CE">
      <w:pPr>
        <w:pStyle w:val="Heading4"/>
      </w:pPr>
      <w:bookmarkStart w:id="79" w:name="_Toc128476452"/>
      <w:bookmarkStart w:id="80" w:name="_Toc151556401"/>
      <w:bookmarkStart w:id="81" w:name="_Toc153795407"/>
      <w:r>
        <w:t>3</w:t>
      </w:r>
      <w:r w:rsidR="00BC03CA">
        <w:t xml:space="preserve">.2.2 </w:t>
      </w:r>
      <w:r w:rsidR="00271A50" w:rsidRPr="00930D6A">
        <w:t>Proposed Scope</w:t>
      </w:r>
      <w:bookmarkEnd w:id="79"/>
      <w:bookmarkEnd w:id="80"/>
      <w:bookmarkEnd w:id="81"/>
    </w:p>
    <w:p w14:paraId="3636A8A6" w14:textId="460D2BEB" w:rsidR="00271A50" w:rsidRPr="00930D6A" w:rsidRDefault="00271A50" w:rsidP="00271A50">
      <w:r w:rsidRPr="00930D6A">
        <w:t>The internationally agreed standard for AVAS is</w:t>
      </w:r>
      <w:r w:rsidR="00F918F6">
        <w:t xml:space="preserve"> currently</w:t>
      </w:r>
      <w:r w:rsidRPr="00930D6A">
        <w:t xml:space="preserve"> UN R138/01. The regulation sets requirements for minimum sound pressure level, frequency and octave levels in low speed conditions. Its scope covers all passenger (M category) and commercial (N category</w:t>
      </w:r>
      <w:r w:rsidR="00155FA9">
        <w:t>)</w:t>
      </w:r>
      <w:r w:rsidRPr="00930D6A">
        <w:t xml:space="preserve"> vehicles with a hybrid, electric, or hydrogen fuel cell powertrain.</w:t>
      </w:r>
    </w:p>
    <w:p w14:paraId="69F0B2C8" w14:textId="77777777" w:rsidR="00271A50" w:rsidRPr="00930D6A" w:rsidRDefault="00271A50" w:rsidP="00271A50">
      <w:r w:rsidRPr="00930D6A">
        <w:t>UN R138/01 requires electric vehicles to be fitted with AVAS producing:</w:t>
      </w:r>
    </w:p>
    <w:p w14:paraId="520791A0" w14:textId="77777777" w:rsidR="00271A50" w:rsidRPr="00930D6A" w:rsidRDefault="00271A50" w:rsidP="00BC03CA">
      <w:pPr>
        <w:pStyle w:val="Listparagraphbullets"/>
      </w:pPr>
      <w:r w:rsidRPr="00930D6A">
        <w:t>a minimum overall sound pressure level of 50 dB(A) at 10 km/h, and 56 dB(A) at 20 km/h.</w:t>
      </w:r>
    </w:p>
    <w:p w14:paraId="076A8158" w14:textId="77777777" w:rsidR="00271A50" w:rsidRPr="00930D6A" w:rsidRDefault="00271A50" w:rsidP="00BC03CA">
      <w:pPr>
        <w:pStyle w:val="Listparagraphbullets"/>
      </w:pPr>
      <w:r w:rsidRPr="00930D6A">
        <w:t xml:space="preserve">at least two one-third octaves, with at least one below or within a 1,600 Hz one-third octave band, with each band meeting minimum sound pressure levels. This minimises the risk of the sound being masked in different conditions. </w:t>
      </w:r>
    </w:p>
    <w:p w14:paraId="1BF0B4C2" w14:textId="4D3484A2" w:rsidR="00271A50" w:rsidRPr="00930D6A" w:rsidRDefault="00271A50" w:rsidP="00BC03CA">
      <w:pPr>
        <w:pStyle w:val="Listparagraphbullets"/>
      </w:pPr>
      <w:r w:rsidRPr="00930D6A">
        <w:t>a frequency shift in at least one tone in the frequency range, where the shift is proportional to the speed within each individual gear ratio (an average of at least 0.8</w:t>
      </w:r>
      <w:r w:rsidR="00B310A4">
        <w:t>%</w:t>
      </w:r>
      <w:r w:rsidR="00C20F4A">
        <w:t xml:space="preserve"> </w:t>
      </w:r>
      <w:r w:rsidRPr="00930D6A">
        <w:t>per 1</w:t>
      </w:r>
      <w:r w:rsidR="00B310A4">
        <w:t> </w:t>
      </w:r>
      <w:r w:rsidRPr="00930D6A">
        <w:t>km/h). This helps to indicate whether the vehicle is accelerating or decelerating.</w:t>
      </w:r>
    </w:p>
    <w:p w14:paraId="7C533B42" w14:textId="77777777" w:rsidR="00271A50" w:rsidRPr="00930D6A" w:rsidRDefault="00271A50" w:rsidP="00271A50">
      <w:r w:rsidRPr="00930D6A">
        <w:t>When reversing at low speeds (tested at 6km/h), UN R138/01 requires a vehicle to emit a sound with an overall sound pressure level of 47 dB(A). (United Nations, 2017)</w:t>
      </w:r>
      <w:r w:rsidR="00495354">
        <w:t>.</w:t>
      </w:r>
    </w:p>
    <w:p w14:paraId="20154971" w14:textId="57A36E82" w:rsidR="00271A50" w:rsidRPr="00930D6A" w:rsidRDefault="00271A50" w:rsidP="00271A50">
      <w:r w:rsidRPr="00930D6A">
        <w:t xml:space="preserve">See </w:t>
      </w:r>
      <w:r w:rsidR="003E1F73">
        <w:fldChar w:fldCharType="begin"/>
      </w:r>
      <w:r w:rsidR="003E1F73">
        <w:instrText xml:space="preserve"> REF _Ref124952125 \h </w:instrText>
      </w:r>
      <w:r w:rsidR="003E1F73">
        <w:fldChar w:fldCharType="separate"/>
      </w:r>
      <w:r w:rsidR="005E58C6">
        <w:t>Appendix C—</w:t>
      </w:r>
      <w:r w:rsidR="005E58C6" w:rsidRPr="00930D6A">
        <w:t>UN Regulation 138/01 Requirements</w:t>
      </w:r>
      <w:r w:rsidR="003E1F73">
        <w:fldChar w:fldCharType="end"/>
      </w:r>
      <w:r w:rsidR="003E1F73">
        <w:t xml:space="preserve"> </w:t>
      </w:r>
      <w:r w:rsidRPr="00930D6A">
        <w:t xml:space="preserve">for further details. </w:t>
      </w:r>
    </w:p>
    <w:p w14:paraId="3A8EEC13" w14:textId="77777777" w:rsidR="00271A50" w:rsidRPr="00930D6A" w:rsidRDefault="00D337B4" w:rsidP="007843CE">
      <w:pPr>
        <w:pStyle w:val="Heading4"/>
      </w:pPr>
      <w:bookmarkStart w:id="82" w:name="_Toc128476453"/>
      <w:bookmarkStart w:id="83" w:name="_Toc151556402"/>
      <w:bookmarkStart w:id="84" w:name="_Toc153795408"/>
      <w:r>
        <w:t>3</w:t>
      </w:r>
      <w:r w:rsidR="00BC03CA">
        <w:t xml:space="preserve">.2.3 </w:t>
      </w:r>
      <w:r w:rsidR="00271A50" w:rsidRPr="00930D6A">
        <w:t>Implementation Timing</w:t>
      </w:r>
      <w:bookmarkEnd w:id="82"/>
      <w:bookmarkEnd w:id="83"/>
      <w:bookmarkEnd w:id="84"/>
    </w:p>
    <w:p w14:paraId="18037B08" w14:textId="431DC603" w:rsidR="00271A50" w:rsidRDefault="00271A50" w:rsidP="00271A50">
      <w:r w:rsidRPr="00930D6A">
        <w:t>The ADRs only apply to new vehicles and typically adopt a phase-in period to give established models time to update their design. The implementation lead time of an ADR is generally no less than 18</w:t>
      </w:r>
      <w:r w:rsidR="00B310A4">
        <w:t> </w:t>
      </w:r>
      <w:r w:rsidRPr="00930D6A">
        <w:t>months for models that are new to the market (new model vehicles) and 24 months for models already established in the market (all new vehicles). This lead time varies depending on the complexity of the changes required to comply with the ADR.</w:t>
      </w:r>
    </w:p>
    <w:p w14:paraId="5893AB7C" w14:textId="79561D47" w:rsidR="00271A50" w:rsidRPr="00930D6A" w:rsidRDefault="00635004" w:rsidP="00BC03CA">
      <w:r>
        <w:t>As AVAS is mandated is most major vehicle markets</w:t>
      </w:r>
      <w:r w:rsidR="00DD370C">
        <w:t>,</w:t>
      </w:r>
      <w:r>
        <w:t xml:space="preserve"> </w:t>
      </w:r>
      <w:r w:rsidR="005237B3">
        <w:t xml:space="preserve">major </w:t>
      </w:r>
      <w:r>
        <w:t>manufacturer</w:t>
      </w:r>
      <w:r w:rsidR="00B310A4">
        <w:t>s</w:t>
      </w:r>
      <w:r>
        <w:t xml:space="preserve"> are likely to have a clear understanding of steps required to comply with an ADR based on UN Regulation 138/01. For this reason</w:t>
      </w:r>
      <w:r w:rsidR="00B310A4">
        <w:t>,</w:t>
      </w:r>
      <w:r>
        <w:t xml:space="preserve"> the Consultation Impact Analysis</w:t>
      </w:r>
      <w:r w:rsidR="00271A50" w:rsidRPr="00930D6A">
        <w:t xml:space="preserve"> proposed </w:t>
      </w:r>
      <w:r>
        <w:t xml:space="preserve">and </w:t>
      </w:r>
      <w:r w:rsidR="00271A50" w:rsidRPr="00930D6A">
        <w:t xml:space="preserve">modelled </w:t>
      </w:r>
      <w:r>
        <w:t xml:space="preserve">the costs and </w:t>
      </w:r>
      <w:r w:rsidR="00B310A4">
        <w:t>benefits</w:t>
      </w:r>
      <w:r>
        <w:t xml:space="preserve"> of a</w:t>
      </w:r>
      <w:r w:rsidR="00B310A4">
        <w:t>n</w:t>
      </w:r>
      <w:r>
        <w:t xml:space="preserve"> ADR mandat</w:t>
      </w:r>
      <w:r w:rsidR="00B310A4">
        <w:t>ing</w:t>
      </w:r>
      <w:r>
        <w:t xml:space="preserve"> AVAS for light QRTVs </w:t>
      </w:r>
      <w:r w:rsidR="00271A50" w:rsidRPr="00930D6A">
        <w:t>for:</w:t>
      </w:r>
    </w:p>
    <w:p w14:paraId="34269C20" w14:textId="77AE2AD2" w:rsidR="00271A50" w:rsidRPr="00D34820" w:rsidRDefault="00271A50" w:rsidP="00BC03CA">
      <w:pPr>
        <w:pStyle w:val="Listparagraphbullets"/>
      </w:pPr>
      <w:r w:rsidRPr="00930D6A">
        <w:t xml:space="preserve">newly approved vehicle models manufactured </w:t>
      </w:r>
      <w:r w:rsidRPr="00D34820">
        <w:t xml:space="preserve">from 1 </w:t>
      </w:r>
      <w:r w:rsidR="00635004">
        <w:t>January</w:t>
      </w:r>
      <w:r w:rsidR="00065614">
        <w:t xml:space="preserve"> 2025</w:t>
      </w:r>
      <w:r w:rsidRPr="00D34820">
        <w:t xml:space="preserve"> and</w:t>
      </w:r>
    </w:p>
    <w:p w14:paraId="48403691" w14:textId="6FADA835" w:rsidR="00271A50" w:rsidRDefault="00271A50" w:rsidP="00BC03CA">
      <w:pPr>
        <w:pStyle w:val="Listparagraphbullets"/>
      </w:pPr>
      <w:r w:rsidRPr="00D34820">
        <w:t xml:space="preserve">all new vehicles manufactured from 1 </w:t>
      </w:r>
      <w:r w:rsidR="00635004">
        <w:t>January</w:t>
      </w:r>
      <w:r w:rsidRPr="00D34820">
        <w:t xml:space="preserve"> 202</w:t>
      </w:r>
      <w:r w:rsidR="00065614">
        <w:t>6</w:t>
      </w:r>
      <w:r w:rsidRPr="00D34820">
        <w:t>.</w:t>
      </w:r>
    </w:p>
    <w:p w14:paraId="296BFD65" w14:textId="0E5032DD" w:rsidR="007E0C03" w:rsidRDefault="007E0C03" w:rsidP="007E0C03">
      <w:pPr>
        <w:pStyle w:val="Listparagraphbullets"/>
        <w:numPr>
          <w:ilvl w:val="0"/>
          <w:numId w:val="0"/>
        </w:numPr>
        <w:ind w:left="567" w:hanging="567"/>
      </w:pPr>
    </w:p>
    <w:p w14:paraId="35BC0C9F" w14:textId="75AE669D" w:rsidR="007E0C03" w:rsidRPr="00D34820" w:rsidRDefault="007E0C03" w:rsidP="0030656D">
      <w:pPr>
        <w:pStyle w:val="Listparagraphbullets"/>
        <w:numPr>
          <w:ilvl w:val="0"/>
          <w:numId w:val="0"/>
        </w:numPr>
      </w:pPr>
      <w:r>
        <w:t>Further information on the costs and benefits of this option is available in Section 4 of this Impact Analysis. The modelling for this option in the Consultation Impact Analysis has been updated to incorporate new information provided during the consultation process.</w:t>
      </w:r>
    </w:p>
    <w:p w14:paraId="627A2254" w14:textId="77777777" w:rsidR="00B765DC" w:rsidRPr="00930D6A" w:rsidRDefault="00B765DC" w:rsidP="007843CE">
      <w:pPr>
        <w:pStyle w:val="Heading3"/>
      </w:pPr>
      <w:bookmarkStart w:id="85" w:name="_Toc151556403"/>
      <w:bookmarkStart w:id="86" w:name="_Toc153795409"/>
      <w:r>
        <w:t xml:space="preserve">3.3 </w:t>
      </w:r>
      <w:r w:rsidRPr="00930D6A">
        <w:t xml:space="preserve">Option </w:t>
      </w:r>
      <w:r>
        <w:t>3</w:t>
      </w:r>
      <w:r w:rsidRPr="00930D6A">
        <w:t>: Mandatory Standards</w:t>
      </w:r>
      <w:r>
        <w:t xml:space="preserve"> for </w:t>
      </w:r>
      <w:r w:rsidR="009E7752">
        <w:t>L</w:t>
      </w:r>
      <w:r w:rsidR="00FE572D">
        <w:t xml:space="preserve">ight and </w:t>
      </w:r>
      <w:r w:rsidR="009E7752">
        <w:t>H</w:t>
      </w:r>
      <w:r>
        <w:t>eavy Vehicles</w:t>
      </w:r>
      <w:bookmarkEnd w:id="85"/>
      <w:bookmarkEnd w:id="86"/>
      <w:r>
        <w:t xml:space="preserve"> </w:t>
      </w:r>
    </w:p>
    <w:p w14:paraId="2A8A5845" w14:textId="2BAFC0B5" w:rsidR="0061003E" w:rsidRDefault="00441D18" w:rsidP="00BC03CA">
      <w:r>
        <w:t>F</w:t>
      </w:r>
      <w:r w:rsidRPr="00AA2B7A">
        <w:t xml:space="preserve">ollowing </w:t>
      </w:r>
      <w:r>
        <w:t xml:space="preserve">strong support for mandating AVAS for heavy vehicles in </w:t>
      </w:r>
      <w:r w:rsidRPr="00AA2B7A">
        <w:t xml:space="preserve">the </w:t>
      </w:r>
      <w:r>
        <w:t xml:space="preserve">public </w:t>
      </w:r>
      <w:r w:rsidRPr="00AA2B7A">
        <w:t>consultation process</w:t>
      </w:r>
      <w:r>
        <w:t>, a third option</w:t>
      </w:r>
      <w:r w:rsidR="007E0C03">
        <w:t>,</w:t>
      </w:r>
      <w:r>
        <w:t xml:space="preserve"> to m</w:t>
      </w:r>
      <w:r w:rsidR="008713AD" w:rsidRPr="00AA2B7A">
        <w:t>andat</w:t>
      </w:r>
      <w:r w:rsidR="007E0C03">
        <w:t>e</w:t>
      </w:r>
      <w:r w:rsidR="008713AD" w:rsidRPr="00AA2B7A">
        <w:t xml:space="preserve"> AVAS for both</w:t>
      </w:r>
      <w:r w:rsidR="007E0C03">
        <w:t xml:space="preserve"> new</w:t>
      </w:r>
      <w:r w:rsidR="008713AD" w:rsidRPr="00AA2B7A">
        <w:t xml:space="preserve"> light and heavy </w:t>
      </w:r>
      <w:r w:rsidR="007E0C03">
        <w:t>QRTVs,</w:t>
      </w:r>
      <w:r w:rsidR="002D4657" w:rsidRPr="00AA2B7A">
        <w:t xml:space="preserve"> </w:t>
      </w:r>
      <w:r w:rsidR="00E8778B">
        <w:t xml:space="preserve">has </w:t>
      </w:r>
      <w:r w:rsidR="002D4657" w:rsidRPr="00AA2B7A">
        <w:t xml:space="preserve">been included </w:t>
      </w:r>
      <w:r w:rsidR="008713AD" w:rsidRPr="00AA2B7A">
        <w:t xml:space="preserve">in this </w:t>
      </w:r>
      <w:r w:rsidR="00C75B23">
        <w:t>I</w:t>
      </w:r>
      <w:r w:rsidR="008713AD" w:rsidRPr="00AA2B7A">
        <w:t xml:space="preserve">mpact </w:t>
      </w:r>
      <w:r w:rsidR="00C75B23">
        <w:t>A</w:t>
      </w:r>
      <w:r w:rsidR="008713AD" w:rsidRPr="00AA2B7A">
        <w:t>nalysis</w:t>
      </w:r>
      <w:r w:rsidR="00D302CB" w:rsidRPr="00AA2B7A">
        <w:t xml:space="preserve">. </w:t>
      </w:r>
      <w:r w:rsidR="00C75B23">
        <w:t>Broad</w:t>
      </w:r>
      <w:r w:rsidR="009F6852" w:rsidRPr="00C7028A">
        <w:t xml:space="preserve"> support </w:t>
      </w:r>
      <w:r w:rsidR="00C75B23">
        <w:t xml:space="preserve">was </w:t>
      </w:r>
      <w:r w:rsidR="009F6852" w:rsidRPr="00C7028A">
        <w:t>received through</w:t>
      </w:r>
      <w:r w:rsidR="00C75B23">
        <w:t xml:space="preserve"> the</w:t>
      </w:r>
      <w:r w:rsidR="009F6852" w:rsidRPr="00C7028A">
        <w:t xml:space="preserve"> consultation</w:t>
      </w:r>
      <w:r w:rsidR="00C75B23">
        <w:t xml:space="preserve"> process to </w:t>
      </w:r>
      <w:r w:rsidR="007E0C03">
        <w:t>mandate AVAS for</w:t>
      </w:r>
      <w:r w:rsidR="00C75B23">
        <w:t xml:space="preserve"> heavy vehicles</w:t>
      </w:r>
      <w:r w:rsidR="007E0C03">
        <w:t>, including</w:t>
      </w:r>
      <w:r w:rsidR="00C75B23">
        <w:t xml:space="preserve"> from </w:t>
      </w:r>
      <w:r w:rsidR="007E0C03">
        <w:t xml:space="preserve">state and territory governments and </w:t>
      </w:r>
      <w:r w:rsidR="00C75B23">
        <w:t>industry groups like the Truck Industry Council</w:t>
      </w:r>
      <w:r w:rsidR="00B31A80">
        <w:t xml:space="preserve"> </w:t>
      </w:r>
      <w:r w:rsidR="005237B3">
        <w:t xml:space="preserve">(TIC) </w:t>
      </w:r>
      <w:r w:rsidR="00B31A80">
        <w:t>and</w:t>
      </w:r>
      <w:r w:rsidR="00C75B23">
        <w:t xml:space="preserve"> the Bus Industry Confederation</w:t>
      </w:r>
      <w:r w:rsidR="005237B3">
        <w:t xml:space="preserve"> (BIC)</w:t>
      </w:r>
      <w:r w:rsidR="00B31A80">
        <w:t>.</w:t>
      </w:r>
    </w:p>
    <w:p w14:paraId="3BBDCEF6" w14:textId="6BDF3EB8" w:rsidR="0061003E" w:rsidRPr="00AA2B7A" w:rsidRDefault="0061003E" w:rsidP="0061003E">
      <w:r>
        <w:lastRenderedPageBreak/>
        <w:t xml:space="preserve">As there are currently few </w:t>
      </w:r>
      <w:r w:rsidR="00B31A80">
        <w:t xml:space="preserve">heavy </w:t>
      </w:r>
      <w:r>
        <w:t>QRTVs</w:t>
      </w:r>
      <w:r w:rsidR="00B31A80">
        <w:t xml:space="preserve"> on Australian roads, </w:t>
      </w:r>
      <w:r w:rsidR="00B31A80" w:rsidDel="0061003E">
        <w:t>there is</w:t>
      </w:r>
      <w:r w:rsidR="009F6852" w:rsidRPr="00C7028A" w:rsidDel="0061003E">
        <w:t xml:space="preserve"> insufficient data to undertake a robust cost-benefit analysis for heavy vehicles</w:t>
      </w:r>
      <w:r w:rsidR="009F6852" w:rsidRPr="00AA2B7A" w:rsidDel="0061003E">
        <w:t>.</w:t>
      </w:r>
      <w:r w:rsidRPr="0061003E">
        <w:t xml:space="preserve"> </w:t>
      </w:r>
      <w:r w:rsidR="00091EDC">
        <w:t>However, t</w:t>
      </w:r>
      <w:r>
        <w:t>he underlying rationale</w:t>
      </w:r>
      <w:r w:rsidRPr="00AA2B7A">
        <w:t xml:space="preserve"> </w:t>
      </w:r>
      <w:r>
        <w:t xml:space="preserve">for including heavy vehicles </w:t>
      </w:r>
      <w:r w:rsidRPr="00AA2B7A">
        <w:t>can be understood in two parts.</w:t>
      </w:r>
    </w:p>
    <w:p w14:paraId="7BB974B4" w14:textId="05DBA5F3" w:rsidR="0061003E" w:rsidRPr="00AA2B7A" w:rsidRDefault="0061003E" w:rsidP="0061003E">
      <w:r>
        <w:t>First, m</w:t>
      </w:r>
      <w:r w:rsidRPr="00AA2B7A">
        <w:t xml:space="preserve">andating AVAS for both light and heavy vehicles would </w:t>
      </w:r>
      <w:r w:rsidR="00E8778B">
        <w:t>deliver</w:t>
      </w:r>
      <w:r>
        <w:t xml:space="preserve"> a</w:t>
      </w:r>
      <w:r w:rsidRPr="00AA2B7A">
        <w:t xml:space="preserve"> national</w:t>
      </w:r>
      <w:r>
        <w:t>ly consistent</w:t>
      </w:r>
      <w:r w:rsidR="005237B3">
        <w:t xml:space="preserve"> regulatory</w:t>
      </w:r>
      <w:r w:rsidRPr="00AA2B7A">
        <w:t xml:space="preserve"> approach</w:t>
      </w:r>
      <w:r>
        <w:t xml:space="preserve">. </w:t>
      </w:r>
      <w:r w:rsidR="00E8778B">
        <w:t xml:space="preserve">Current regulatory arrangements are inconsistent across jurisdictions and vehicle categories. </w:t>
      </w:r>
      <w:r>
        <w:t xml:space="preserve">For example, NSW requires AVAS for new public buses but these systems have not been included across the full spectrum of road transport. State and territory governments may decide to </w:t>
      </w:r>
      <w:r w:rsidR="00E8778B">
        <w:t>require</w:t>
      </w:r>
      <w:r>
        <w:t xml:space="preserve"> AVAS to</w:t>
      </w:r>
      <w:r w:rsidR="00E8778B">
        <w:t xml:space="preserve"> be fitted for</w:t>
      </w:r>
      <w:r>
        <w:t xml:space="preserve"> different vehicle types, or to none at all. A national approach would provide certainty for truck and bus industries, passenger vehicle dealerships, fleet managers and consumers</w:t>
      </w:r>
      <w:r w:rsidR="00E8778B">
        <w:t xml:space="preserve">, providing </w:t>
      </w:r>
      <w:r>
        <w:t xml:space="preserve">a uniform regulatory environment across Australia. This </w:t>
      </w:r>
      <w:r w:rsidR="00C20F4A">
        <w:t>o</w:t>
      </w:r>
      <w:r>
        <w:t xml:space="preserve">ption was supported in </w:t>
      </w:r>
      <w:r w:rsidR="00E8778B">
        <w:t xml:space="preserve">the department’s </w:t>
      </w:r>
      <w:r>
        <w:t>follow-up discussions with TIC, BIC and the F</w:t>
      </w:r>
      <w:r w:rsidR="000922A4">
        <w:t xml:space="preserve">ederal </w:t>
      </w:r>
      <w:r>
        <w:t>C</w:t>
      </w:r>
      <w:r w:rsidR="000922A4">
        <w:t xml:space="preserve">hamber of </w:t>
      </w:r>
      <w:r>
        <w:t>A</w:t>
      </w:r>
      <w:r w:rsidR="000922A4">
        <w:t xml:space="preserve">utomotive </w:t>
      </w:r>
      <w:r>
        <w:t>I</w:t>
      </w:r>
      <w:r w:rsidR="000922A4">
        <w:t>ndustries (FCAI)</w:t>
      </w:r>
      <w:r>
        <w:t xml:space="preserve">. </w:t>
      </w:r>
    </w:p>
    <w:p w14:paraId="14BF0638" w14:textId="562D0F02" w:rsidR="0061003E" w:rsidRDefault="0061003E" w:rsidP="0061003E">
      <w:r>
        <w:t xml:space="preserve">Secondly, a nationally consistent approach provides certainty for </w:t>
      </w:r>
      <w:r w:rsidR="009E1F94">
        <w:t>the public, particularly VRUs</w:t>
      </w:r>
      <w:r>
        <w:t xml:space="preserve">, regardless of vehicle size and mass. Given the anticipated safety outcomes from mandating AVAS for light vehicles, similar benefits would likely result from including heavy vehicles. Submissions from the blind and low vision community, as well as Vision Australia, suggest there would be significant safety benefits (and comfort) in ensuring all new </w:t>
      </w:r>
      <w:r w:rsidR="00E8778B">
        <w:t>QRTVs</w:t>
      </w:r>
      <w:r>
        <w:t xml:space="preserve">, regardless of size, are required to be fitted with AVAS. </w:t>
      </w:r>
    </w:p>
    <w:p w14:paraId="7F5E4A50" w14:textId="77777777" w:rsidR="0061003E" w:rsidRDefault="0061003E" w:rsidP="0061003E">
      <w:r>
        <w:t xml:space="preserve">A similar approach supporting Option 3, can be illustrated by the CLOCS-A program, recently adopted in Australia. </w:t>
      </w:r>
      <w:r w:rsidRPr="00B11EC3">
        <w:t>CLOCS-A or Construction Logistics and Community Safety</w:t>
      </w:r>
      <w:r>
        <w:t xml:space="preserve"> - </w:t>
      </w:r>
      <w:r w:rsidRPr="00B11EC3">
        <w:t>Australia, is a national good practice approach for managing the risks and impacts associated with a construction project’s on road transport and logistics activities to improve community road safety. It was developed to provide a consistent framework for industry to achieve and has been inspired by the success of the CLOCS Program established in the United Kingdom in reducing road trauma associated with construction logistics</w:t>
      </w:r>
      <w:r>
        <w:t>.</w:t>
      </w:r>
    </w:p>
    <w:p w14:paraId="74A5D9E3" w14:textId="7A031A18" w:rsidR="0061003E" w:rsidRDefault="0061003E" w:rsidP="00BC03CA">
      <w:r>
        <w:t>Industry participants of CLOCS-A are required to meet at least one of three different standards (Bronze, Silver and Gold) relating to the safety of the vehicles, drivers, logistics planning and communications of their operations. Among a range of vehicle safety specifications such as conspicuity markings, cameras, sensors and signage, mandatory standards include audible warning systems like reversing beepers and/or left-turn audible warnings. This safety-driven program recognises that auditory alerts are as crucial for pedestrian safety around construction sites and urban environments as visible safety signals.</w:t>
      </w:r>
    </w:p>
    <w:p w14:paraId="76C3BB55" w14:textId="5107C23E" w:rsidR="007E0C03" w:rsidRPr="00930D6A" w:rsidRDefault="007E0C03" w:rsidP="007843CE">
      <w:pPr>
        <w:pStyle w:val="Heading4"/>
      </w:pPr>
      <w:bookmarkStart w:id="87" w:name="_Toc151556404"/>
      <w:bookmarkStart w:id="88" w:name="_Toc153795410"/>
      <w:r>
        <w:t xml:space="preserve">3.3.1 </w:t>
      </w:r>
      <w:r w:rsidRPr="00930D6A">
        <w:t>Proposed Scope</w:t>
      </w:r>
      <w:bookmarkEnd w:id="87"/>
      <w:bookmarkEnd w:id="88"/>
    </w:p>
    <w:p w14:paraId="0778C278" w14:textId="63044178" w:rsidR="007E0C03" w:rsidRDefault="007E0C03" w:rsidP="00BC03CA">
      <w:r>
        <w:t>Option 3 propose</w:t>
      </w:r>
      <w:r w:rsidR="0061003E">
        <w:t>s</w:t>
      </w:r>
      <w:r>
        <w:t xml:space="preserve"> to adopt an ADR mandating AVAS based on the technical requirements of</w:t>
      </w:r>
      <w:r w:rsidR="0061003E">
        <w:t xml:space="preserve"> UN Regulation 138/01 </w:t>
      </w:r>
      <w:r>
        <w:t>for all light and heavy QRTVs (ADR categories MA, MB, MC, MD, ME, NA, NB and NC).</w:t>
      </w:r>
      <w:r w:rsidR="009E1F94">
        <w:t xml:space="preserve"> The US FMVSS 141 will be included as an alternative standard for light QRTVs. </w:t>
      </w:r>
    </w:p>
    <w:p w14:paraId="3B5B08D2" w14:textId="6E678E46" w:rsidR="0061003E" w:rsidRPr="00930D6A" w:rsidRDefault="0061003E" w:rsidP="007843CE">
      <w:pPr>
        <w:pStyle w:val="Heading4"/>
      </w:pPr>
      <w:bookmarkStart w:id="89" w:name="_Toc151556405"/>
      <w:bookmarkStart w:id="90" w:name="_Toc153795411"/>
      <w:r>
        <w:t>3.</w:t>
      </w:r>
      <w:r w:rsidR="009B59C2">
        <w:t>3</w:t>
      </w:r>
      <w:r>
        <w:t>.</w:t>
      </w:r>
      <w:r w:rsidR="009B59C2">
        <w:t>2</w:t>
      </w:r>
      <w:r>
        <w:t xml:space="preserve"> </w:t>
      </w:r>
      <w:r w:rsidRPr="00930D6A">
        <w:t>Implementation Timing</w:t>
      </w:r>
      <w:bookmarkEnd w:id="89"/>
      <w:bookmarkEnd w:id="90"/>
    </w:p>
    <w:p w14:paraId="4AEE1254" w14:textId="4D53833F" w:rsidR="007E0C03" w:rsidRDefault="00187270" w:rsidP="00BC03CA">
      <w:r>
        <w:t>A</w:t>
      </w:r>
      <w:r w:rsidR="00091EDC">
        <w:t xml:space="preserve"> significant proportion of NC category trucks and ME category buses are manufacture</w:t>
      </w:r>
      <w:r w:rsidR="0052540C">
        <w:t>d</w:t>
      </w:r>
      <w:r w:rsidR="00665959">
        <w:t>,</w:t>
      </w:r>
      <w:r w:rsidR="00091EDC">
        <w:t xml:space="preserve"> assembled or completed in Australia and there are a currently no test facilities in Australia that can meet the background noise requirements </w:t>
      </w:r>
      <w:r w:rsidR="00665959">
        <w:t>to test vehicles in accordance with</w:t>
      </w:r>
      <w:r w:rsidR="00091EDC">
        <w:t xml:space="preserve"> UN Regulation 138</w:t>
      </w:r>
      <w:r>
        <w:t>. For these reasons</w:t>
      </w:r>
      <w:r w:rsidR="00091EDC">
        <w:t xml:space="preserve"> a</w:t>
      </w:r>
      <w:r w:rsidR="002113CA">
        <w:t xml:space="preserve"> longer </w:t>
      </w:r>
      <w:r>
        <w:t>implementation timeframe</w:t>
      </w:r>
      <w:r w:rsidR="001723D4" w:rsidRPr="001723D4">
        <w:t xml:space="preserve"> </w:t>
      </w:r>
      <w:r w:rsidR="001723D4">
        <w:t>is proposed for heavy vehicles</w:t>
      </w:r>
      <w:r>
        <w:t>, starting</w:t>
      </w:r>
      <w:r w:rsidR="002113CA">
        <w:t xml:space="preserve"> </w:t>
      </w:r>
      <w:r w:rsidR="00772CA9">
        <w:t xml:space="preserve">from </w:t>
      </w:r>
      <w:r w:rsidR="00091EDC">
        <w:t>1 November 2025 for new</w:t>
      </w:r>
      <w:r w:rsidR="002113CA">
        <w:t>ly approved</w:t>
      </w:r>
      <w:r w:rsidR="00091EDC">
        <w:t xml:space="preserve"> models and </w:t>
      </w:r>
      <w:r w:rsidR="002113CA">
        <w:t xml:space="preserve">all new heavy vehicles supplied from </w:t>
      </w:r>
      <w:r w:rsidR="00091EDC">
        <w:t xml:space="preserve">1 November 2026. In addition, a simplified </w:t>
      </w:r>
      <w:r w:rsidR="009E1F94">
        <w:t xml:space="preserve">compliance process </w:t>
      </w:r>
      <w:r w:rsidR="001723D4">
        <w:t xml:space="preserve">is proposed </w:t>
      </w:r>
      <w:r w:rsidR="00091EDC">
        <w:t>for NC and ME category vehicles</w:t>
      </w:r>
      <w:r w:rsidR="00C20920">
        <w:t xml:space="preserve"> </w:t>
      </w:r>
      <w:r w:rsidR="00091EDC">
        <w:t>fitted with an AVAS identical in specification to that used on another heavy vehicle model that complies with the UN Regulation.</w:t>
      </w:r>
    </w:p>
    <w:p w14:paraId="0A3594C4" w14:textId="407F9161" w:rsidR="0061003E" w:rsidRDefault="00091EDC" w:rsidP="00BC03CA">
      <w:r>
        <w:t xml:space="preserve">During the public consultation process, light vehicle manufacturers raised concerns they may not be able to meet the </w:t>
      </w:r>
      <w:r w:rsidR="002113CA">
        <w:t>proposed 1 January 2025 timeframe for light vehicles due to the time required to retest and update vehicle type approvals.</w:t>
      </w:r>
    </w:p>
    <w:p w14:paraId="37F8F5E1" w14:textId="39EDADAE" w:rsidR="007A365D" w:rsidRDefault="002113CA" w:rsidP="00CC14A8">
      <w:pPr>
        <w:pStyle w:val="Listparagraphbullets"/>
        <w:keepNext/>
        <w:numPr>
          <w:ilvl w:val="0"/>
          <w:numId w:val="0"/>
        </w:numPr>
        <w:contextualSpacing w:val="0"/>
      </w:pPr>
      <w:r>
        <w:lastRenderedPageBreak/>
        <w:t>For this reason, two timeframes have been evaluated for Option 3</w:t>
      </w:r>
      <w:r w:rsidR="007A365D">
        <w:t xml:space="preserve"> (</w:t>
      </w:r>
      <w:r w:rsidR="007A365D">
        <w:fldChar w:fldCharType="begin"/>
      </w:r>
      <w:r w:rsidR="007A365D">
        <w:instrText xml:space="preserve"> REF _Ref151387011 \h </w:instrText>
      </w:r>
      <w:r w:rsidR="007A365D">
        <w:fldChar w:fldCharType="separate"/>
      </w:r>
      <w:r w:rsidR="005E58C6" w:rsidRPr="00930D6A">
        <w:t xml:space="preserve">Figure </w:t>
      </w:r>
      <w:r w:rsidR="005E58C6">
        <w:rPr>
          <w:noProof/>
        </w:rPr>
        <w:t>5</w:t>
      </w:r>
      <w:r w:rsidR="007A365D">
        <w:fldChar w:fldCharType="end"/>
      </w:r>
      <w:r w:rsidR="007A365D">
        <w:t>):</w:t>
      </w:r>
    </w:p>
    <w:p w14:paraId="773C6BFC" w14:textId="77777777" w:rsidR="007A365D" w:rsidRDefault="007A365D" w:rsidP="00CC14A8">
      <w:pPr>
        <w:pStyle w:val="Listparagraphbullets"/>
        <w:keepNext/>
        <w:numPr>
          <w:ilvl w:val="0"/>
          <w:numId w:val="0"/>
        </w:numPr>
        <w:spacing w:before="120"/>
        <w:ind w:left="360" w:hanging="357"/>
        <w:contextualSpacing w:val="0"/>
      </w:pPr>
      <w:r>
        <w:t>Option 3a – which would mandate AVAS for</w:t>
      </w:r>
    </w:p>
    <w:p w14:paraId="5DD060A9" w14:textId="266429B8" w:rsidR="007A365D" w:rsidRDefault="007A365D" w:rsidP="00CC14A8">
      <w:pPr>
        <w:pStyle w:val="Listparagraphbullets"/>
        <w:numPr>
          <w:ilvl w:val="1"/>
          <w:numId w:val="37"/>
        </w:numPr>
        <w:spacing w:before="120"/>
        <w:ind w:left="993" w:hanging="357"/>
        <w:contextualSpacing w:val="0"/>
      </w:pPr>
      <w:r>
        <w:t>newly approved light (MA, MB, MC and NA category</w:t>
      </w:r>
      <w:r w:rsidR="00C20920">
        <w:t xml:space="preserve"> vehicles - car, SUV and light commercial</w:t>
      </w:r>
      <w:r>
        <w:t xml:space="preserve"> vehicle</w:t>
      </w:r>
      <w:r w:rsidR="00C20920">
        <w:t>)</w:t>
      </w:r>
      <w:r>
        <w:t xml:space="preserve"> models </w:t>
      </w:r>
      <w:r w:rsidR="00C20920">
        <w:t xml:space="preserve">supplied </w:t>
      </w:r>
      <w:r>
        <w:t>from 1 January 2025,</w:t>
      </w:r>
    </w:p>
    <w:p w14:paraId="563292F4" w14:textId="23AE1BF1" w:rsidR="007A365D" w:rsidRDefault="007A365D" w:rsidP="00CC14A8">
      <w:pPr>
        <w:pStyle w:val="Listparagraphbullets"/>
        <w:numPr>
          <w:ilvl w:val="1"/>
          <w:numId w:val="37"/>
        </w:numPr>
        <w:spacing w:before="120"/>
        <w:ind w:left="993" w:hanging="357"/>
        <w:contextualSpacing w:val="0"/>
      </w:pPr>
      <w:r>
        <w:t>newly approved heavy (MD, ME, NB and NC category</w:t>
      </w:r>
      <w:r w:rsidR="00C20920">
        <w:t xml:space="preserve"> - truck and bus</w:t>
      </w:r>
      <w:r>
        <w:t xml:space="preserve">) models </w:t>
      </w:r>
      <w:r w:rsidR="00C20920">
        <w:t xml:space="preserve">supplied </w:t>
      </w:r>
      <w:r>
        <w:t>from 1</w:t>
      </w:r>
      <w:r w:rsidR="00C20920">
        <w:t> </w:t>
      </w:r>
      <w:r>
        <w:t>November 2025,</w:t>
      </w:r>
    </w:p>
    <w:p w14:paraId="2F9E480B" w14:textId="77777777" w:rsidR="007A365D" w:rsidRDefault="007A365D" w:rsidP="00CC14A8">
      <w:pPr>
        <w:pStyle w:val="Listparagraphbullets"/>
        <w:numPr>
          <w:ilvl w:val="1"/>
          <w:numId w:val="37"/>
        </w:numPr>
        <w:spacing w:before="120"/>
        <w:ind w:left="993" w:hanging="357"/>
        <w:contextualSpacing w:val="0"/>
      </w:pPr>
      <w:r>
        <w:t>all new light vehicles supplied from 1 January 2026; and</w:t>
      </w:r>
    </w:p>
    <w:p w14:paraId="2DEC44F9" w14:textId="69A86BDD" w:rsidR="007A365D" w:rsidRDefault="007A365D" w:rsidP="00CC14A8">
      <w:pPr>
        <w:pStyle w:val="Listparagraphbullets"/>
        <w:numPr>
          <w:ilvl w:val="1"/>
          <w:numId w:val="37"/>
        </w:numPr>
        <w:spacing w:before="120"/>
        <w:ind w:left="993" w:hanging="357"/>
        <w:contextualSpacing w:val="0"/>
      </w:pPr>
      <w:r>
        <w:t>all new heavy vehicles supplied from 1 November 2026.</w:t>
      </w:r>
    </w:p>
    <w:p w14:paraId="38AC75C5" w14:textId="15228BEC" w:rsidR="007A365D" w:rsidRDefault="007A365D" w:rsidP="007A365D">
      <w:pPr>
        <w:pStyle w:val="Listparagraphbullets"/>
        <w:numPr>
          <w:ilvl w:val="0"/>
          <w:numId w:val="0"/>
        </w:numPr>
        <w:ind w:left="360" w:hanging="360"/>
      </w:pPr>
      <w:r>
        <w:t>Option 3b – which would mandate AVAS for</w:t>
      </w:r>
    </w:p>
    <w:p w14:paraId="4B2EE786" w14:textId="12B171CF" w:rsidR="007A365D" w:rsidRDefault="007A365D" w:rsidP="00C20920">
      <w:pPr>
        <w:pStyle w:val="Listparagraphbullets"/>
        <w:numPr>
          <w:ilvl w:val="1"/>
          <w:numId w:val="37"/>
        </w:numPr>
        <w:ind w:left="993"/>
      </w:pPr>
      <w:r>
        <w:t xml:space="preserve">newly approved light and heavy vehicle models </w:t>
      </w:r>
      <w:r w:rsidR="00C20920">
        <w:t xml:space="preserve">supplied </w:t>
      </w:r>
      <w:r>
        <w:t>from 1 November 2025,</w:t>
      </w:r>
    </w:p>
    <w:p w14:paraId="4EC8C990" w14:textId="6C04D4F3" w:rsidR="007A365D" w:rsidRDefault="007A365D" w:rsidP="00CC14A8">
      <w:pPr>
        <w:pStyle w:val="Listparagraphbullets"/>
        <w:numPr>
          <w:ilvl w:val="1"/>
          <w:numId w:val="37"/>
        </w:numPr>
        <w:ind w:left="993"/>
      </w:pPr>
      <w:r>
        <w:t>all new light and heavy vehicles supplied</w:t>
      </w:r>
      <w:r w:rsidR="00C20920">
        <w:t xml:space="preserve"> from</w:t>
      </w:r>
      <w:r>
        <w:t xml:space="preserve"> November 2026.</w:t>
      </w:r>
    </w:p>
    <w:p w14:paraId="7F1C835F" w14:textId="12B3017F" w:rsidR="007A365D" w:rsidRPr="005D23BE" w:rsidRDefault="007A365D" w:rsidP="007A365D">
      <w:pPr>
        <w:pStyle w:val="Tablefigureheading"/>
      </w:pPr>
      <w:bookmarkStart w:id="91" w:name="_Ref151387011"/>
      <w:bookmarkStart w:id="92" w:name="_Toc153795481"/>
      <w:r w:rsidRPr="00930D6A">
        <w:t xml:space="preserve">Figure </w:t>
      </w:r>
      <w:fldSimple w:instr=" SEQ Figure \* ARABIC ">
        <w:r w:rsidR="005E58C6">
          <w:rPr>
            <w:noProof/>
          </w:rPr>
          <w:t>5</w:t>
        </w:r>
      </w:fldSimple>
      <w:bookmarkEnd w:id="91"/>
      <w:r w:rsidRPr="00930D6A">
        <w:t xml:space="preserve">: </w:t>
      </w:r>
      <w:r>
        <w:t>Proposed implementation dates for Options 3a and 3b</w:t>
      </w:r>
      <w:bookmarkEnd w:id="92"/>
    </w:p>
    <w:p w14:paraId="7509F489" w14:textId="62870B5F" w:rsidR="00C20920" w:rsidRDefault="007A365D" w:rsidP="00BF6EF4">
      <w:pPr>
        <w:pStyle w:val="Listparagraphbullets"/>
        <w:numPr>
          <w:ilvl w:val="0"/>
          <w:numId w:val="0"/>
        </w:numPr>
        <w:ind w:left="360" w:hanging="360"/>
      </w:pPr>
      <w:r w:rsidRPr="007A365D">
        <w:rPr>
          <w:noProof/>
          <w:lang w:eastAsia="en-AU"/>
        </w:rPr>
        <w:drawing>
          <wp:inline distT="0" distB="0" distL="0" distR="0" wp14:anchorId="7A659CAF" wp14:editId="31D842BB">
            <wp:extent cx="6016625" cy="3384550"/>
            <wp:effectExtent l="0" t="0" r="3175" b="6350"/>
            <wp:docPr id="12" name="Picture 12" descr="Figure 5 illustrates the proposed implementation dates for Options 3a and 3b. Option 3a would mandate AVAS for light vehicles from January 2025 for newly approved models and January 2026 for existing models. Heavy vehicles would be required to comply from November 2025 for newly approval models and November 2026 for existing models.&#10;&#10;Option 3b would mandate AVAS for both light and heavy vehicles from November 2025 for newly approved models and November 2026 for existing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6625" cy="3384550"/>
                    </a:xfrm>
                    <a:prstGeom prst="rect">
                      <a:avLst/>
                    </a:prstGeom>
                  </pic:spPr>
                </pic:pic>
              </a:graphicData>
            </a:graphic>
          </wp:inline>
        </w:drawing>
      </w:r>
    </w:p>
    <w:p w14:paraId="71CC1C64" w14:textId="77777777" w:rsidR="00C20920" w:rsidRDefault="00C20920">
      <w:pPr>
        <w:spacing w:line="259" w:lineRule="auto"/>
        <w:rPr>
          <w:lang w:eastAsia="zh-TW"/>
        </w:rPr>
      </w:pPr>
      <w:r>
        <w:br w:type="page"/>
      </w:r>
    </w:p>
    <w:p w14:paraId="28D75518" w14:textId="070C9624" w:rsidR="00271A50" w:rsidRDefault="007A365D" w:rsidP="009729B4">
      <w:pPr>
        <w:pStyle w:val="Heading2"/>
      </w:pPr>
      <w:bookmarkStart w:id="93" w:name="_Toc151556406"/>
      <w:bookmarkStart w:id="94" w:name="_Toc153795412"/>
      <w:r>
        <w:lastRenderedPageBreak/>
        <w:t xml:space="preserve">4. </w:t>
      </w:r>
      <w:r w:rsidRPr="00930D6A">
        <w:t xml:space="preserve">What </w:t>
      </w:r>
      <w:r>
        <w:t>is</w:t>
      </w:r>
      <w:r w:rsidRPr="00930D6A">
        <w:t xml:space="preserve"> the </w:t>
      </w:r>
      <w:r>
        <w:t>l</w:t>
      </w:r>
      <w:r w:rsidRPr="00930D6A">
        <w:t xml:space="preserve">ikely </w:t>
      </w:r>
      <w:r>
        <w:t>n</w:t>
      </w:r>
      <w:r w:rsidRPr="00930D6A">
        <w:t xml:space="preserve">et </w:t>
      </w:r>
      <w:r>
        <w:t>b</w:t>
      </w:r>
      <w:r w:rsidRPr="00930D6A">
        <w:t xml:space="preserve">enefits of </w:t>
      </w:r>
      <w:r>
        <w:t>e</w:t>
      </w:r>
      <w:r w:rsidRPr="00930D6A">
        <w:t xml:space="preserve">ach </w:t>
      </w:r>
      <w:r>
        <w:t>o</w:t>
      </w:r>
      <w:r w:rsidRPr="00930D6A">
        <w:t>ption?</w:t>
      </w:r>
      <w:bookmarkEnd w:id="93"/>
      <w:bookmarkEnd w:id="94"/>
    </w:p>
    <w:bookmarkEnd w:id="61"/>
    <w:p w14:paraId="55A114B7" w14:textId="1AEC7CF7" w:rsidR="0042673E" w:rsidRDefault="00271A50" w:rsidP="00271A50">
      <w:pPr>
        <w:rPr>
          <w:rFonts w:eastAsia="Calibri" w:cs="Times New Roman"/>
        </w:rPr>
      </w:pPr>
      <w:r w:rsidRPr="00930D6A">
        <w:rPr>
          <w:rFonts w:eastAsia="Calibri" w:cs="Times New Roman"/>
        </w:rPr>
        <w:t>In this section, the benefits and costs of mandating a new ADR for AVAS for light vehicles in Australia (Option 2)</w:t>
      </w:r>
      <w:r w:rsidR="007A35DB">
        <w:rPr>
          <w:rFonts w:eastAsia="Calibri" w:cs="Times New Roman"/>
        </w:rPr>
        <w:t xml:space="preserve"> and for</w:t>
      </w:r>
      <w:r w:rsidR="00B27D41">
        <w:rPr>
          <w:rFonts w:eastAsia="Calibri" w:cs="Times New Roman"/>
        </w:rPr>
        <w:t xml:space="preserve"> both</w:t>
      </w:r>
      <w:r w:rsidR="007A35DB">
        <w:rPr>
          <w:rFonts w:eastAsia="Calibri" w:cs="Times New Roman"/>
        </w:rPr>
        <w:t xml:space="preserve"> </w:t>
      </w:r>
      <w:r w:rsidR="00B27D41">
        <w:rPr>
          <w:rFonts w:eastAsia="Calibri" w:cs="Times New Roman"/>
        </w:rPr>
        <w:t xml:space="preserve">light and </w:t>
      </w:r>
      <w:r w:rsidR="007A35DB">
        <w:rPr>
          <w:rFonts w:eastAsia="Calibri" w:cs="Times New Roman"/>
        </w:rPr>
        <w:t>heavy vehicle</w:t>
      </w:r>
      <w:r w:rsidR="00B27D41">
        <w:rPr>
          <w:rFonts w:eastAsia="Calibri" w:cs="Times New Roman"/>
        </w:rPr>
        <w:t>s</w:t>
      </w:r>
      <w:r w:rsidR="007A35DB">
        <w:rPr>
          <w:rFonts w:eastAsia="Calibri" w:cs="Times New Roman"/>
        </w:rPr>
        <w:t xml:space="preserve"> (Option</w:t>
      </w:r>
      <w:r w:rsidR="00D60001">
        <w:rPr>
          <w:rFonts w:eastAsia="Calibri" w:cs="Times New Roman"/>
        </w:rPr>
        <w:t>s</w:t>
      </w:r>
      <w:r w:rsidR="007A35DB">
        <w:rPr>
          <w:rFonts w:eastAsia="Calibri" w:cs="Times New Roman"/>
        </w:rPr>
        <w:t> 3</w:t>
      </w:r>
      <w:r w:rsidR="00D60001">
        <w:rPr>
          <w:rFonts w:eastAsia="Calibri" w:cs="Times New Roman"/>
        </w:rPr>
        <w:t>a and 3b</w:t>
      </w:r>
      <w:r w:rsidR="007A35DB">
        <w:rPr>
          <w:rFonts w:eastAsia="Calibri" w:cs="Times New Roman"/>
        </w:rPr>
        <w:t>)</w:t>
      </w:r>
      <w:r w:rsidRPr="00930D6A">
        <w:rPr>
          <w:rFonts w:eastAsia="Calibri" w:cs="Times New Roman"/>
        </w:rPr>
        <w:t xml:space="preserve"> are analysed. The results are compared with what would happen if there was no intervention (Option 1). Further details </w:t>
      </w:r>
      <w:r w:rsidR="001F43DB">
        <w:rPr>
          <w:rFonts w:eastAsia="Calibri" w:cs="Times New Roman"/>
        </w:rPr>
        <w:t xml:space="preserve">of this analysis are provided in </w:t>
      </w:r>
      <w:r w:rsidR="003E1F73" w:rsidRPr="008460A8">
        <w:fldChar w:fldCharType="begin"/>
      </w:r>
      <w:r w:rsidR="003E1F73">
        <w:rPr>
          <w:rFonts w:eastAsia="Calibri" w:cs="Times New Roman"/>
        </w:rPr>
        <w:instrText xml:space="preserve"> REF _Ref90630375 \h </w:instrText>
      </w:r>
      <w:r w:rsidR="003E1F73" w:rsidRPr="008460A8">
        <w:rPr>
          <w:rFonts w:eastAsia="Calibri" w:cs="Times New Roman"/>
        </w:rPr>
        <w:fldChar w:fldCharType="separate"/>
      </w:r>
      <w:r w:rsidR="005E58C6">
        <w:t>Appendix D—</w:t>
      </w:r>
      <w:r w:rsidR="005E58C6" w:rsidRPr="00930D6A">
        <w:t>Benefit Cost Analysis</w:t>
      </w:r>
      <w:r w:rsidR="003E1F73" w:rsidRPr="008460A8">
        <w:fldChar w:fldCharType="end"/>
      </w:r>
      <w:r w:rsidR="00226651">
        <w:rPr>
          <w:rFonts w:eastAsia="Calibri" w:cs="Times New Roman"/>
        </w:rPr>
        <w:t>.</w:t>
      </w:r>
    </w:p>
    <w:p w14:paraId="1FA4A512" w14:textId="77777777" w:rsidR="008449F7" w:rsidRPr="00AE3467" w:rsidRDefault="008449F7" w:rsidP="008449F7">
      <w:pPr>
        <w:rPr>
          <w:lang w:val="en-US"/>
        </w:rPr>
      </w:pPr>
      <w:r w:rsidRPr="00AE3467">
        <w:rPr>
          <w:lang w:val="en-US"/>
        </w:rPr>
        <w:t>In the case of adding specific safety features to vehicles, there will be an upfront cost (by the vehicle manufacturers) at the start, followed by a series of benefits spread throughout the life of the vehicles. This is then repeated in subsequent years as additional new vehicles are registered. There may also be other ongoing business and government costs through the years, depending on the option being considered.</w:t>
      </w:r>
    </w:p>
    <w:p w14:paraId="3D835C39" w14:textId="708550D5" w:rsidR="008449F7" w:rsidRPr="00CC14A8" w:rsidRDefault="00281D6F" w:rsidP="00271A50">
      <w:pPr>
        <w:rPr>
          <w:lang w:val="en-US"/>
        </w:rPr>
      </w:pPr>
      <w:r w:rsidRPr="00AE3467">
        <w:rPr>
          <w:lang w:val="en-US"/>
        </w:rPr>
        <w:t>The period of analysis covers the expected life of the policy option (up to 15 years of intervention) plus the time it takes for benefits to work their way through the fleet (around 35 years</w:t>
      </w:r>
      <w:r>
        <w:rPr>
          <w:lang w:val="en-US"/>
        </w:rPr>
        <w:t xml:space="preserve"> – the 15 year intervention period, plus an</w:t>
      </w:r>
      <w:r w:rsidRPr="00AE3467">
        <w:rPr>
          <w:lang w:val="en-US"/>
        </w:rPr>
        <w:t xml:space="preserve"> approximate </w:t>
      </w:r>
      <w:r>
        <w:rPr>
          <w:lang w:val="en-US"/>
        </w:rPr>
        <w:t xml:space="preserve">vehicle </w:t>
      </w:r>
      <w:r w:rsidRPr="00AE3467">
        <w:rPr>
          <w:lang w:val="en-US"/>
        </w:rPr>
        <w:t xml:space="preserve">lifespan of </w:t>
      </w:r>
      <w:r>
        <w:rPr>
          <w:lang w:val="en-US"/>
        </w:rPr>
        <w:t>20 years after the last vehicle supplied during the intervention period</w:t>
      </w:r>
      <w:r w:rsidRPr="00AE3467">
        <w:rPr>
          <w:lang w:val="en-US"/>
        </w:rPr>
        <w:t>).</w:t>
      </w:r>
    </w:p>
    <w:p w14:paraId="7375D796" w14:textId="77777777" w:rsidR="00271A50" w:rsidRPr="00930D6A" w:rsidRDefault="00D337B4" w:rsidP="009729B4">
      <w:pPr>
        <w:pStyle w:val="Heading3"/>
      </w:pPr>
      <w:bookmarkStart w:id="95" w:name="_Toc128476455"/>
      <w:bookmarkStart w:id="96" w:name="_Toc151556407"/>
      <w:bookmarkStart w:id="97" w:name="_Toc153795413"/>
      <w:r>
        <w:t>4</w:t>
      </w:r>
      <w:r w:rsidR="00BC03CA">
        <w:t xml:space="preserve">.1 </w:t>
      </w:r>
      <w:r w:rsidR="00271A50" w:rsidRPr="00930D6A">
        <w:t>Benefits</w:t>
      </w:r>
      <w:bookmarkEnd w:id="95"/>
      <w:bookmarkEnd w:id="96"/>
      <w:bookmarkEnd w:id="97"/>
    </w:p>
    <w:p w14:paraId="0ADC9061" w14:textId="0C31FDD4" w:rsidR="00271A50" w:rsidRPr="00930D6A" w:rsidRDefault="00271A50" w:rsidP="00271A50">
      <w:r w:rsidRPr="00930D6A">
        <w:t>The benefits for Option</w:t>
      </w:r>
      <w:r w:rsidR="00D60001">
        <w:t>s</w:t>
      </w:r>
      <w:r w:rsidRPr="00930D6A">
        <w:t xml:space="preserve"> 2</w:t>
      </w:r>
      <w:r w:rsidR="00D60001">
        <w:t>, 3a and 3b</w:t>
      </w:r>
      <w:r w:rsidRPr="00930D6A">
        <w:t xml:space="preserve"> were calculated based on the expected level of fitment of AVAS to new </w:t>
      </w:r>
      <w:r w:rsidR="006055A5">
        <w:t>QRTVs</w:t>
      </w:r>
      <w:r w:rsidRPr="00930D6A">
        <w:t xml:space="preserve"> compared with Option 1, and the effectiveness of the technology in avoiding pedestrian crashes.</w:t>
      </w:r>
    </w:p>
    <w:p w14:paraId="4A9B8885" w14:textId="77777777" w:rsidR="00271A50" w:rsidRPr="00930D6A" w:rsidRDefault="00D337B4" w:rsidP="009729B4">
      <w:pPr>
        <w:pStyle w:val="Heading4"/>
      </w:pPr>
      <w:bookmarkStart w:id="98" w:name="_Toc128476456"/>
      <w:bookmarkStart w:id="99" w:name="_Toc151556408"/>
      <w:bookmarkStart w:id="100" w:name="_Toc153795414"/>
      <w:r>
        <w:t>4</w:t>
      </w:r>
      <w:r w:rsidR="00BC03CA">
        <w:t xml:space="preserve">.1.1 </w:t>
      </w:r>
      <w:r w:rsidR="00271A50" w:rsidRPr="00930D6A">
        <w:t>Fitment Rate</w:t>
      </w:r>
      <w:bookmarkEnd w:id="98"/>
      <w:bookmarkEnd w:id="99"/>
      <w:bookmarkEnd w:id="100"/>
    </w:p>
    <w:p w14:paraId="4BD12165" w14:textId="52A14AA0" w:rsidR="00271A50" w:rsidRPr="00930D6A" w:rsidRDefault="00271A50" w:rsidP="00271A50">
      <w:r w:rsidRPr="00930D6A">
        <w:t>For Option 1, the business as usual fitment rate was based on information supplied by manufacturers or from automotive website Redbook on which models are currently fitted with an AVAS, or are likely to be fitted with an AVAS in the future. It is anticipated that while fitment will increase gradually over time, without regulation it will not reach 100</w:t>
      </w:r>
      <w:r w:rsidR="006055A5">
        <w:t xml:space="preserve">% </w:t>
      </w:r>
      <w:r w:rsidRPr="00930D6A">
        <w:t>– peaking at around 8</w:t>
      </w:r>
      <w:r>
        <w:t>4</w:t>
      </w:r>
      <w:r w:rsidR="006055A5">
        <w:t xml:space="preserve">% </w:t>
      </w:r>
      <w:r w:rsidRPr="00930D6A">
        <w:t>of new vehicles sold.</w:t>
      </w:r>
    </w:p>
    <w:p w14:paraId="30FAF9AE" w14:textId="25BA7446" w:rsidR="00281D6F" w:rsidRPr="00AE3467" w:rsidRDefault="00281D6F" w:rsidP="00281D6F">
      <w:pPr>
        <w:rPr>
          <w:lang w:val="en-US"/>
        </w:rPr>
      </w:pPr>
      <w:r w:rsidRPr="00AE3467">
        <w:rPr>
          <w:lang w:val="en-US"/>
        </w:rPr>
        <w:t>It is also noted that once a policy intervention has expired, fitment levels</w:t>
      </w:r>
      <w:r w:rsidR="009E1F94">
        <w:rPr>
          <w:lang w:val="en-US"/>
        </w:rPr>
        <w:t xml:space="preserve"> can</w:t>
      </w:r>
      <w:r w:rsidRPr="00AE3467">
        <w:rPr>
          <w:lang w:val="en-US"/>
        </w:rPr>
        <w:t xml:space="preserve"> fall over time to BAU levels. The decline is more profound following the end of short-term non-regulatory interventions than for long-term regulatory interventions. Though it is expected that a regulatory intervention would sustain high fitment rates well into the future, it is not guaranteed. For instance, through disruptive change or substantial transitional shift in the direction of the vehicle industry, A</w:t>
      </w:r>
      <w:r>
        <w:rPr>
          <w:lang w:val="en-US"/>
        </w:rPr>
        <w:t>VAS</w:t>
      </w:r>
      <w:r w:rsidRPr="00AE3467">
        <w:rPr>
          <w:lang w:val="en-US"/>
        </w:rPr>
        <w:t xml:space="preserve"> may be of no safety benefit to vehicles manufactured several decades into the future. </w:t>
      </w:r>
    </w:p>
    <w:p w14:paraId="274967D2" w14:textId="77777777" w:rsidR="00281D6F" w:rsidRPr="00AE3467" w:rsidRDefault="00281D6F" w:rsidP="00281D6F">
      <w:pPr>
        <w:rPr>
          <w:lang w:val="en-US"/>
        </w:rPr>
      </w:pPr>
      <w:r w:rsidRPr="00AE3467">
        <w:rPr>
          <w:lang w:val="en-US"/>
        </w:rPr>
        <w:t>Importantly, it is noted that though the benefit-cost analysis includes accumulative run-out trauma saving effects from vehicles fitted with A</w:t>
      </w:r>
      <w:r>
        <w:rPr>
          <w:lang w:val="en-US"/>
        </w:rPr>
        <w:t>VAS</w:t>
      </w:r>
      <w:r w:rsidRPr="00AE3467">
        <w:rPr>
          <w:lang w:val="en-US"/>
        </w:rPr>
        <w:t xml:space="preserve"> during the 15-year intervention period for a further 35 years, AEB fitment costs and trauma savings associated with vehicles fitted with AEB after the 15-year policy intervention period are not considered in the benefit-cost analysis. The fitment rate reduction depicted following the 15-year regulatory intervention period has no effect on the analysis.</w:t>
      </w:r>
    </w:p>
    <w:p w14:paraId="4620B470" w14:textId="10B8BBF6" w:rsidR="00BC3432" w:rsidRPr="00266BBD" w:rsidRDefault="00281D6F" w:rsidP="00271A50">
      <w:pPr>
        <w:rPr>
          <w:lang w:val="en-US"/>
        </w:rPr>
      </w:pPr>
      <w:r w:rsidRPr="00AE3467">
        <w:rPr>
          <w:lang w:val="en-US"/>
        </w:rPr>
        <w:t>Accordingly, for Options 2</w:t>
      </w:r>
      <w:r w:rsidR="00D60001">
        <w:rPr>
          <w:lang w:val="en-US"/>
        </w:rPr>
        <w:t>,</w:t>
      </w:r>
      <w:r w:rsidR="009E7E1B">
        <w:rPr>
          <w:lang w:val="en-US"/>
        </w:rPr>
        <w:t xml:space="preserve"> </w:t>
      </w:r>
      <w:r w:rsidR="00D60001">
        <w:rPr>
          <w:lang w:val="en-US"/>
        </w:rPr>
        <w:t xml:space="preserve">3a </w:t>
      </w:r>
      <w:r w:rsidR="009E7E1B">
        <w:rPr>
          <w:lang w:val="en-US"/>
        </w:rPr>
        <w:t>and 3</w:t>
      </w:r>
      <w:r w:rsidR="00D60001">
        <w:rPr>
          <w:lang w:val="en-US"/>
        </w:rPr>
        <w:t>b</w:t>
      </w:r>
      <w:r w:rsidRPr="00AE3467">
        <w:rPr>
          <w:lang w:val="en-US"/>
        </w:rPr>
        <w:t xml:space="preserve">, the effect of intervention is illustrated to </w:t>
      </w:r>
      <w:r w:rsidR="009E7E1B">
        <w:rPr>
          <w:lang w:val="en-US"/>
        </w:rPr>
        <w:t xml:space="preserve">gradually </w:t>
      </w:r>
      <w:r w:rsidRPr="00AE3467">
        <w:rPr>
          <w:lang w:val="en-US"/>
        </w:rPr>
        <w:t xml:space="preserve">reduce to the BAU fitment rate after the policy lifespan (15 years). </w:t>
      </w:r>
      <w:r w:rsidR="009E7E1B">
        <w:rPr>
          <w:lang w:val="en-US"/>
        </w:rPr>
        <w:t>Al</w:t>
      </w:r>
      <w:r w:rsidR="009E7E1B" w:rsidRPr="00AE3467">
        <w:rPr>
          <w:lang w:val="en-US"/>
        </w:rPr>
        <w:t>though</w:t>
      </w:r>
      <w:r w:rsidRPr="00AE3467">
        <w:rPr>
          <w:lang w:val="en-US"/>
        </w:rPr>
        <w:t xml:space="preserve"> fitment rates are known to remain close to 100</w:t>
      </w:r>
      <w:r w:rsidR="006055A5">
        <w:rPr>
          <w:lang w:val="en-US"/>
        </w:rPr>
        <w:t>%</w:t>
      </w:r>
      <w:r w:rsidRPr="00AE3467">
        <w:rPr>
          <w:lang w:val="en-US"/>
        </w:rPr>
        <w:t xml:space="preserve"> after a technology is mandated, a reduction in the fitment rate back to BAU rates after a 15-year policy lifespan is illustrated.</w:t>
      </w:r>
    </w:p>
    <w:p w14:paraId="6FB6FBA9" w14:textId="069D488A" w:rsidR="00271A50" w:rsidRPr="00930D6A" w:rsidRDefault="00281D6F" w:rsidP="00271A50">
      <w:r>
        <w:fldChar w:fldCharType="begin"/>
      </w:r>
      <w:r>
        <w:instrText xml:space="preserve"> REF _Ref90634062 \h </w:instrText>
      </w:r>
      <w:r>
        <w:fldChar w:fldCharType="separate"/>
      </w:r>
      <w:r w:rsidR="005E58C6" w:rsidRPr="00930D6A">
        <w:t xml:space="preserve">Figure </w:t>
      </w:r>
      <w:r w:rsidR="005E58C6">
        <w:rPr>
          <w:noProof/>
        </w:rPr>
        <w:t>6</w:t>
      </w:r>
      <w:r>
        <w:fldChar w:fldCharType="end"/>
      </w:r>
      <w:r w:rsidR="00271A50" w:rsidRPr="00930D6A">
        <w:t xml:space="preserve"> shows the expected fitment rate of AVAS under Options 1</w:t>
      </w:r>
      <w:r w:rsidR="00D60001">
        <w:t>,</w:t>
      </w:r>
      <w:r w:rsidR="00271A50" w:rsidRPr="00930D6A">
        <w:t xml:space="preserve"> 2</w:t>
      </w:r>
      <w:r w:rsidR="00D60001">
        <w:t>, 3a and 3b</w:t>
      </w:r>
      <w:r w:rsidR="00271A50" w:rsidRPr="00930D6A">
        <w:t>.</w:t>
      </w:r>
      <w:r w:rsidR="00D60001">
        <w:t xml:space="preserve"> The fitment rates for options 2, 3a and 3b accelerate </w:t>
      </w:r>
      <w:r w:rsidR="004320F5">
        <w:t>increase from BAU levels to 100</w:t>
      </w:r>
      <w:r w:rsidR="006055A5">
        <w:t>%</w:t>
      </w:r>
      <w:r w:rsidR="004320F5">
        <w:t xml:space="preserve"> </w:t>
      </w:r>
      <w:r w:rsidR="00D60001">
        <w:t>once the proposed vehicle standard becomes mandatory from 2025-2026.</w:t>
      </w:r>
    </w:p>
    <w:p w14:paraId="59E16D77" w14:textId="4D6424F6" w:rsidR="00271A50" w:rsidRDefault="00271A50" w:rsidP="00BC03CA">
      <w:pPr>
        <w:pStyle w:val="Tablefigureheading"/>
      </w:pPr>
      <w:bookmarkStart w:id="101" w:name="_Ref90634062"/>
      <w:bookmarkStart w:id="102" w:name="_Toc128476424"/>
      <w:bookmarkStart w:id="103" w:name="_Ref149050440"/>
      <w:bookmarkStart w:id="104" w:name="_Toc153795482"/>
      <w:r w:rsidRPr="00930D6A">
        <w:lastRenderedPageBreak/>
        <w:t xml:space="preserve">Figure </w:t>
      </w:r>
      <w:fldSimple w:instr=" SEQ Figure \* ARABIC ">
        <w:r w:rsidR="005E58C6">
          <w:rPr>
            <w:noProof/>
          </w:rPr>
          <w:t>6</w:t>
        </w:r>
      </w:fldSimple>
      <w:bookmarkEnd w:id="101"/>
      <w:r w:rsidRPr="00930D6A">
        <w:t>: Expected fitment rate under Option 2</w:t>
      </w:r>
      <w:r w:rsidR="000A7B6F">
        <w:t>, 3a and 3b</w:t>
      </w:r>
      <w:r w:rsidRPr="00930D6A">
        <w:t xml:space="preserve"> (mandatory standards) relative to Option 1 (business as usual)</w:t>
      </w:r>
      <w:bookmarkEnd w:id="102"/>
      <w:bookmarkEnd w:id="103"/>
      <w:bookmarkEnd w:id="104"/>
    </w:p>
    <w:p w14:paraId="38315DCD" w14:textId="1BDFC629" w:rsidR="00271A50" w:rsidRPr="00EF789F" w:rsidRDefault="00550553" w:rsidP="00271A50">
      <w:r w:rsidDel="00550553">
        <w:rPr>
          <w:noProof/>
          <w:lang w:eastAsia="en-AU"/>
        </w:rPr>
        <w:t xml:space="preserve"> </w:t>
      </w:r>
      <w:r>
        <w:rPr>
          <w:noProof/>
          <w:lang w:eastAsia="en-AU"/>
        </w:rPr>
        <w:drawing>
          <wp:inline distT="0" distB="0" distL="0" distR="0" wp14:anchorId="0E4F57CD" wp14:editId="73998D44">
            <wp:extent cx="6017260" cy="4761230"/>
            <wp:effectExtent l="0" t="0" r="2540" b="1270"/>
            <wp:docPr id="8" name="Picture 8" descr="A figure to display the expected fitment rate under mandatory standards relative to business as usual. The x axis represents time in years, the y axis represents the fitment rate in percentages. Plotted by lines are the scenarios represented by Option 1, Option 2, Option 3a and Option 3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7260" cy="4761230"/>
                    </a:xfrm>
                    <a:prstGeom prst="rect">
                      <a:avLst/>
                    </a:prstGeom>
                    <a:noFill/>
                  </pic:spPr>
                </pic:pic>
              </a:graphicData>
            </a:graphic>
          </wp:inline>
        </w:drawing>
      </w:r>
    </w:p>
    <w:p w14:paraId="58E846B5" w14:textId="77777777" w:rsidR="00271A50" w:rsidRPr="00930D6A" w:rsidRDefault="00D337B4" w:rsidP="009729B4">
      <w:pPr>
        <w:pStyle w:val="Heading4"/>
      </w:pPr>
      <w:bookmarkStart w:id="105" w:name="_Toc128476457"/>
      <w:bookmarkStart w:id="106" w:name="_Toc151556409"/>
      <w:bookmarkStart w:id="107" w:name="_Toc153795415"/>
      <w:r>
        <w:t>4</w:t>
      </w:r>
      <w:r w:rsidR="00BC03CA">
        <w:t xml:space="preserve">.1.2 </w:t>
      </w:r>
      <w:r w:rsidR="00271A50" w:rsidRPr="00930D6A">
        <w:t>Effectiveness</w:t>
      </w:r>
      <w:bookmarkEnd w:id="105"/>
      <w:bookmarkEnd w:id="106"/>
      <w:bookmarkEnd w:id="107"/>
    </w:p>
    <w:p w14:paraId="61ED614C" w14:textId="77777777" w:rsidR="00271A50" w:rsidRPr="00930D6A" w:rsidRDefault="00271A50" w:rsidP="00BC03CA">
      <w:pPr>
        <w:keepLines/>
      </w:pPr>
      <w:bookmarkStart w:id="108" w:name="_Hlk148359811"/>
      <w:bookmarkStart w:id="109" w:name="_Hlk148356477"/>
      <w:r w:rsidRPr="00930D6A">
        <w:t xml:space="preserve">To support the benefit-cost analysis for this </w:t>
      </w:r>
      <w:r>
        <w:t>Impact Analysis</w:t>
      </w:r>
      <w:r w:rsidRPr="00930D6A">
        <w:t>, the department engaged MUARC to report on the crash reduction benefits of introducing AVAS for electric vehicles in Australia.</w:t>
      </w:r>
      <w:bookmarkEnd w:id="108"/>
      <w:r w:rsidRPr="00930D6A">
        <w:t xml:space="preserve"> For its analysis, MUARC primarily used police-reported </w:t>
      </w:r>
      <w:r>
        <w:t xml:space="preserve">light vehicle </w:t>
      </w:r>
      <w:r w:rsidRPr="00930D6A">
        <w:t>crash data in Victoria from 2014 to 2018, which it extrapolated for Australia. The department can provide a copy of this report on request</w:t>
      </w:r>
      <w:bookmarkEnd w:id="109"/>
      <w:r w:rsidRPr="00930D6A">
        <w:t>.</w:t>
      </w:r>
    </w:p>
    <w:p w14:paraId="6ABA8EC0" w14:textId="77777777" w:rsidR="00271A50" w:rsidRPr="00930D6A" w:rsidRDefault="00271A50" w:rsidP="00271A50">
      <w:r w:rsidRPr="00930D6A">
        <w:t>The department used a number of key outcomes of this report to estimate the overall effectiveness of AVAS in avoiding pedestrian crashes in Australia.</w:t>
      </w:r>
    </w:p>
    <w:p w14:paraId="12035C68" w14:textId="77777777" w:rsidR="00271A50" w:rsidRPr="00930D6A" w:rsidRDefault="00271A50" w:rsidP="00271A50">
      <w:r w:rsidRPr="00930D6A">
        <w:t>Firstly, MUARC identified the crashes that would be applicable to AVAS. Broadly, these are pedestrian crashes in low speed conditions (up to 20 km/h as set out in UN R138/01). As the available crash data did not include the speed of the vehicle at impact, MUARC identified relevant crash types based on speed zone and vehicle movement. Specifically, MUARC focused on speed zones up to 70 km/h, where the vehicle movement or driver intention was:</w:t>
      </w:r>
    </w:p>
    <w:p w14:paraId="25FCB08A" w14:textId="77777777" w:rsidR="00271A50" w:rsidRPr="00930D6A" w:rsidRDefault="00271A50" w:rsidP="00BC03CA">
      <w:pPr>
        <w:pStyle w:val="Listparagraphbullets"/>
      </w:pPr>
      <w:r w:rsidRPr="00930D6A">
        <w:t>turning left or right,</w:t>
      </w:r>
    </w:p>
    <w:p w14:paraId="6A0D5ECB" w14:textId="77777777" w:rsidR="00271A50" w:rsidRPr="00930D6A" w:rsidRDefault="00271A50" w:rsidP="00BC03CA">
      <w:pPr>
        <w:pStyle w:val="Listparagraphbullets"/>
      </w:pPr>
      <w:r w:rsidRPr="00930D6A">
        <w:t>leaving a driveway,</w:t>
      </w:r>
    </w:p>
    <w:p w14:paraId="1DFA8896" w14:textId="77777777" w:rsidR="00271A50" w:rsidRPr="00930D6A" w:rsidRDefault="00271A50" w:rsidP="00BC03CA">
      <w:pPr>
        <w:pStyle w:val="Listparagraphbullets"/>
      </w:pPr>
      <w:r w:rsidRPr="00930D6A">
        <w:t>undertaking a U-turn,</w:t>
      </w:r>
    </w:p>
    <w:p w14:paraId="2F56991E" w14:textId="77777777" w:rsidR="00271A50" w:rsidRPr="00930D6A" w:rsidRDefault="00271A50" w:rsidP="00BC03CA">
      <w:pPr>
        <w:pStyle w:val="Listparagraphbullets"/>
      </w:pPr>
      <w:r w:rsidRPr="00930D6A">
        <w:t>reversing,</w:t>
      </w:r>
    </w:p>
    <w:p w14:paraId="283CD756" w14:textId="77777777" w:rsidR="00271A50" w:rsidRPr="00930D6A" w:rsidRDefault="00271A50" w:rsidP="00BC03CA">
      <w:pPr>
        <w:pStyle w:val="Listparagraphbullets"/>
      </w:pPr>
      <w:r w:rsidRPr="00930D6A">
        <w:t>parking, or</w:t>
      </w:r>
    </w:p>
    <w:p w14:paraId="411DC400" w14:textId="77777777" w:rsidR="00271A50" w:rsidRPr="00930D6A" w:rsidRDefault="00271A50" w:rsidP="00BC03CA">
      <w:pPr>
        <w:pStyle w:val="Listparagraphbullets"/>
      </w:pPr>
      <w:r w:rsidRPr="00930D6A">
        <w:t>slowing down or stopping.</w:t>
      </w:r>
    </w:p>
    <w:p w14:paraId="2DF511F6" w14:textId="763A5B16" w:rsidR="00271A50" w:rsidRPr="00930D6A" w:rsidRDefault="00271A50" w:rsidP="00271A50">
      <w:r w:rsidRPr="00930D6A">
        <w:lastRenderedPageBreak/>
        <w:t>Applying these criteria to the available crash data, MUARC estimated that 36.8</w:t>
      </w:r>
      <w:r w:rsidR="0097128D">
        <w:t>%</w:t>
      </w:r>
      <w:r w:rsidRPr="00930D6A">
        <w:t xml:space="preserve"> of all light vehicle crashes involving pedestrians occurred in conditions applicable to AVAS. Of these, 1.2</w:t>
      </w:r>
      <w:r w:rsidR="0097128D">
        <w:t xml:space="preserve">% </w:t>
      </w:r>
      <w:r w:rsidRPr="00930D6A">
        <w:t>were fatal, 46.9</w:t>
      </w:r>
      <w:r w:rsidR="0097128D">
        <w:t>% </w:t>
      </w:r>
      <w:r w:rsidRPr="00930D6A">
        <w:t>resulted in serious injury, and 51.9</w:t>
      </w:r>
      <w:r w:rsidR="0097128D">
        <w:t>%</w:t>
      </w:r>
      <w:r w:rsidRPr="00930D6A">
        <w:t xml:space="preserve"> resulted in minor injury (a ratio of 1:39:43).</w:t>
      </w:r>
    </w:p>
    <w:p w14:paraId="2DBEDBAA" w14:textId="37C53F9F" w:rsidR="00271A50" w:rsidRPr="00DC1071" w:rsidRDefault="00271A50" w:rsidP="00271A50">
      <w:r w:rsidRPr="00930D6A">
        <w:t>Secondly, MUARC estimated around 17.7</w:t>
      </w:r>
      <w:r w:rsidR="0097128D">
        <w:t>%</w:t>
      </w:r>
      <w:r w:rsidRPr="00930D6A">
        <w:t xml:space="preserve"> of pedestrian crashes involving an electric vehicle in low speed conditions could be avoided if all electric vehicles in Australia were fitted with an </w:t>
      </w:r>
      <w:r w:rsidRPr="00DC1071">
        <w:t>AVAS. MUARC</w:t>
      </w:r>
      <w:r w:rsidR="00DD1647">
        <w:t>’s</w:t>
      </w:r>
      <w:r w:rsidRPr="00DC1071">
        <w:t xml:space="preserve"> </w:t>
      </w:r>
      <w:r w:rsidR="00DD1647">
        <w:t xml:space="preserve">analysis </w:t>
      </w:r>
      <w:r w:rsidRPr="00DC1071">
        <w:t xml:space="preserve">takes into account the expected crash reduction benefits associated with the </w:t>
      </w:r>
      <w:r w:rsidRPr="008460A8">
        <w:t>introduction of Autonomous Emergency Braking Systems (AEBS), which will be mandatory in new light vehicles in Australia, phased in from 2023 to 2026</w:t>
      </w:r>
      <w:r w:rsidRPr="00550553">
        <w:t>.</w:t>
      </w:r>
      <w:r w:rsidRPr="00550553">
        <w:rPr>
          <w:rStyle w:val="FootnoteReference"/>
        </w:rPr>
        <w:footnoteReference w:id="12"/>
      </w:r>
    </w:p>
    <w:p w14:paraId="0DFDE5AC" w14:textId="4F1032D9" w:rsidR="00271A50" w:rsidRPr="00DC1071" w:rsidRDefault="00271A50" w:rsidP="00271A50">
      <w:bookmarkStart w:id="110" w:name="_Hlk148356491"/>
      <w:r w:rsidRPr="00DC1071">
        <w:t>To estimate the overall effectiveness of AVAS against all light vehicle crashes, the department multiplied the proportion of light vehicle crashes that are applicable to AVAS by the effectiveness of AVAS in avoiding these crashes: 36.8</w:t>
      </w:r>
      <w:r w:rsidR="0097128D">
        <w:t>%</w:t>
      </w:r>
      <w:r w:rsidRPr="00DC1071">
        <w:t xml:space="preserve"> x 18</w:t>
      </w:r>
      <w:r w:rsidR="0097128D">
        <w:t>%</w:t>
      </w:r>
      <w:r w:rsidRPr="00DC1071">
        <w:t xml:space="preserve"> = 6.5</w:t>
      </w:r>
      <w:r w:rsidR="0097128D">
        <w:t>%</w:t>
      </w:r>
      <w:r w:rsidRPr="00DC1071">
        <w:t xml:space="preserve"> overall effectiveness.</w:t>
      </w:r>
    </w:p>
    <w:p w14:paraId="6060B3F3" w14:textId="77777777" w:rsidR="00271A50" w:rsidRPr="00DC1071" w:rsidRDefault="00D337B4" w:rsidP="009729B4">
      <w:pPr>
        <w:pStyle w:val="Heading4"/>
      </w:pPr>
      <w:bookmarkStart w:id="111" w:name="_Toc128476458"/>
      <w:bookmarkStart w:id="112" w:name="_Toc151556410"/>
      <w:bookmarkStart w:id="113" w:name="_Toc153795416"/>
      <w:bookmarkEnd w:id="110"/>
      <w:r>
        <w:t>4</w:t>
      </w:r>
      <w:r w:rsidR="00BC03CA">
        <w:t xml:space="preserve">.1.3 </w:t>
      </w:r>
      <w:r w:rsidR="00271A50" w:rsidRPr="00DC1071">
        <w:t>Reduction in Trauma</w:t>
      </w:r>
      <w:bookmarkEnd w:id="111"/>
      <w:bookmarkEnd w:id="112"/>
      <w:bookmarkEnd w:id="113"/>
    </w:p>
    <w:p w14:paraId="78E46184" w14:textId="6E6D583B" w:rsidR="00271A50" w:rsidRPr="00DC1071" w:rsidRDefault="00271A50" w:rsidP="00271A50">
      <w:r w:rsidRPr="00DC1071">
        <w:t>The department then used this effectiveness value along with the expected fitment rate to determine the overall reduction in road trauma that would be achieved under Option 2</w:t>
      </w:r>
      <w:r w:rsidR="000A7B6F">
        <w:t>, 3a and 3b</w:t>
      </w:r>
      <w:r w:rsidRPr="00DC1071">
        <w:t xml:space="preserve">. </w:t>
      </w:r>
    </w:p>
    <w:p w14:paraId="1706BD12" w14:textId="58CEB6C4" w:rsidR="00CC14A8" w:rsidRPr="00930D6A" w:rsidRDefault="00CC14A8" w:rsidP="00CC14A8">
      <w:r w:rsidRPr="00DC1071">
        <w:t xml:space="preserve">The department calculated option </w:t>
      </w:r>
      <w:r>
        <w:t xml:space="preserve">2 </w:t>
      </w:r>
      <w:r w:rsidRPr="00DC1071">
        <w:t>would avoid 6</w:t>
      </w:r>
      <w:r>
        <w:t>5</w:t>
      </w:r>
      <w:r w:rsidRPr="00DC1071">
        <w:t xml:space="preserve"> deaths, 2,5</w:t>
      </w:r>
      <w:r>
        <w:t>85</w:t>
      </w:r>
      <w:r w:rsidRPr="00DC1071">
        <w:t xml:space="preserve"> serious injuries, and 2,8</w:t>
      </w:r>
      <w:r>
        <w:t>63 </w:t>
      </w:r>
      <w:r w:rsidRPr="00DC1071">
        <w:t>minor</w:t>
      </w:r>
      <w:r w:rsidRPr="00930D6A">
        <w:t xml:space="preserve"> injuries over the 35-year analysis period. This would amount to over $</w:t>
      </w:r>
      <w:r>
        <w:t>372</w:t>
      </w:r>
      <w:r w:rsidRPr="00930D6A">
        <w:t xml:space="preserve"> million </w:t>
      </w:r>
      <w:r>
        <w:t xml:space="preserve">saved </w:t>
      </w:r>
      <w:r w:rsidRPr="00930D6A">
        <w:t>in avoided road trauma costs.</w:t>
      </w:r>
    </w:p>
    <w:p w14:paraId="6CE84F3D" w14:textId="1DF59E47" w:rsidR="00CC14A8" w:rsidRPr="00930D6A" w:rsidRDefault="00CC14A8" w:rsidP="00CC14A8">
      <w:r w:rsidRPr="00DC1071">
        <w:t xml:space="preserve">The department calculated option </w:t>
      </w:r>
      <w:r>
        <w:t xml:space="preserve">3a </w:t>
      </w:r>
      <w:r w:rsidRPr="00DC1071">
        <w:t>would avoid 6</w:t>
      </w:r>
      <w:r>
        <w:t>8</w:t>
      </w:r>
      <w:r w:rsidRPr="00DC1071">
        <w:t xml:space="preserve"> deaths, 2,</w:t>
      </w:r>
      <w:r>
        <w:t>701</w:t>
      </w:r>
      <w:r w:rsidRPr="00DC1071">
        <w:t xml:space="preserve"> serious injuries, and 2,</w:t>
      </w:r>
      <w:r>
        <w:t>991 </w:t>
      </w:r>
      <w:r w:rsidRPr="00DC1071">
        <w:t>minor</w:t>
      </w:r>
      <w:r w:rsidRPr="00930D6A">
        <w:t xml:space="preserve"> injuries over the 35-year analysis period. This would amount to over $</w:t>
      </w:r>
      <w:r>
        <w:t>389</w:t>
      </w:r>
      <w:r w:rsidRPr="00930D6A">
        <w:t xml:space="preserve"> million </w:t>
      </w:r>
      <w:r>
        <w:t xml:space="preserve">saved </w:t>
      </w:r>
      <w:r w:rsidRPr="00930D6A">
        <w:t>in avoided road trauma costs.</w:t>
      </w:r>
    </w:p>
    <w:p w14:paraId="62E456F1" w14:textId="6D4924AE" w:rsidR="00CC14A8" w:rsidRPr="00930D6A" w:rsidRDefault="00CC14A8" w:rsidP="00271A50">
      <w:r w:rsidRPr="00DC1071">
        <w:t xml:space="preserve">The department calculated option </w:t>
      </w:r>
      <w:r>
        <w:t xml:space="preserve">3b </w:t>
      </w:r>
      <w:r w:rsidRPr="00DC1071">
        <w:t>would avoid 6</w:t>
      </w:r>
      <w:r>
        <w:t>8</w:t>
      </w:r>
      <w:r w:rsidRPr="00DC1071">
        <w:t xml:space="preserve"> deaths, 2,</w:t>
      </w:r>
      <w:r>
        <w:t>675</w:t>
      </w:r>
      <w:r w:rsidRPr="00DC1071">
        <w:t xml:space="preserve"> serious injuries, and 2,</w:t>
      </w:r>
      <w:r>
        <w:t>962 </w:t>
      </w:r>
      <w:r w:rsidRPr="00DC1071">
        <w:t>minor</w:t>
      </w:r>
      <w:r w:rsidRPr="00930D6A">
        <w:t xml:space="preserve"> injuries over the 35-year analysis period. This would amount to over $3</w:t>
      </w:r>
      <w:r>
        <w:t>77</w:t>
      </w:r>
      <w:r w:rsidRPr="00930D6A">
        <w:t xml:space="preserve"> million </w:t>
      </w:r>
      <w:r>
        <w:t xml:space="preserve">saved </w:t>
      </w:r>
      <w:r w:rsidRPr="00930D6A">
        <w:t>in avoided road trauma costs.</w:t>
      </w:r>
    </w:p>
    <w:p w14:paraId="3A285AD0" w14:textId="77777777" w:rsidR="00271A50" w:rsidRPr="00930D6A" w:rsidRDefault="00271A50" w:rsidP="00271A50">
      <w:r>
        <w:t>T</w:t>
      </w:r>
      <w:r w:rsidRPr="00930D6A">
        <w:t xml:space="preserve">hese estimated benefits are limited to pedestrian trauma avoided. However, the fitment of AVAS would also reduce the risk of crashes involving other vulnerable road users, such as cyclists. If the incidence of cyclist crashes in Australia was similar </w:t>
      </w:r>
      <w:r w:rsidR="004A1037">
        <w:t xml:space="preserve">in proportion </w:t>
      </w:r>
      <w:r w:rsidRPr="00930D6A">
        <w:t>to that experienced in the United States (NHTSA 201</w:t>
      </w:r>
      <w:r>
        <w:t>7</w:t>
      </w:r>
      <w:r w:rsidRPr="00930D6A">
        <w:t>), the safety benefits of AVAS for cyclists could be of a similar magnitude to that estimated for pedestrians.</w:t>
      </w:r>
    </w:p>
    <w:p w14:paraId="3930AFC2" w14:textId="77777777" w:rsidR="00271A50" w:rsidRPr="00930D6A" w:rsidRDefault="00D337B4" w:rsidP="009729B4">
      <w:pPr>
        <w:pStyle w:val="Heading3"/>
      </w:pPr>
      <w:bookmarkStart w:id="114" w:name="_Toc128476459"/>
      <w:bookmarkStart w:id="115" w:name="_Toc151556411"/>
      <w:bookmarkStart w:id="116" w:name="_Toc153795417"/>
      <w:r>
        <w:t>4</w:t>
      </w:r>
      <w:r w:rsidR="00BC03CA">
        <w:t xml:space="preserve">.2 </w:t>
      </w:r>
      <w:r w:rsidR="00271A50" w:rsidRPr="00930D6A">
        <w:t>Costs</w:t>
      </w:r>
      <w:bookmarkEnd w:id="114"/>
      <w:bookmarkEnd w:id="115"/>
      <w:bookmarkEnd w:id="116"/>
    </w:p>
    <w:p w14:paraId="1BD38949" w14:textId="77777777" w:rsidR="00271A50" w:rsidRPr="00930D6A" w:rsidRDefault="00271A50" w:rsidP="00271A50">
      <w:bookmarkStart w:id="117" w:name="_Hlk148356532"/>
      <w:r w:rsidRPr="00930D6A">
        <w:t>The costs for Option 2 include system development and fitment costs (for manufacturers), and ADR administration costs (for the Government). The department estimated these costs based on research, discussions with manufacturers, and previous experience with ADR development.</w:t>
      </w:r>
    </w:p>
    <w:p w14:paraId="1D4666E6" w14:textId="77777777" w:rsidR="00271A50" w:rsidRPr="00930D6A" w:rsidRDefault="00A34FA2" w:rsidP="009729B4">
      <w:pPr>
        <w:pStyle w:val="Heading4"/>
      </w:pPr>
      <w:bookmarkStart w:id="118" w:name="_Toc128476460"/>
      <w:bookmarkStart w:id="119" w:name="_Toc151556412"/>
      <w:bookmarkStart w:id="120" w:name="_Toc153795418"/>
      <w:bookmarkEnd w:id="117"/>
      <w:r>
        <w:t>4</w:t>
      </w:r>
      <w:r w:rsidR="001B78F5">
        <w:t xml:space="preserve">.2.1 </w:t>
      </w:r>
      <w:r w:rsidR="00271A50" w:rsidRPr="00930D6A">
        <w:t>System Development Costs</w:t>
      </w:r>
      <w:bookmarkEnd w:id="118"/>
      <w:bookmarkEnd w:id="119"/>
      <w:bookmarkEnd w:id="120"/>
    </w:p>
    <w:p w14:paraId="30E653EE" w14:textId="52D02E28" w:rsidR="00271A50" w:rsidRPr="00930D6A" w:rsidRDefault="00271A50" w:rsidP="00271A50">
      <w:r w:rsidRPr="00BF6EF4">
        <w:t>The cost to fully develop an AVAS for a new vehicle model was estimated at around $</w:t>
      </w:r>
      <w:r w:rsidR="001846B5" w:rsidRPr="00BF6EF4">
        <w:t>75</w:t>
      </w:r>
      <w:r w:rsidRPr="00BF6EF4">
        <w:t>,000 to $1</w:t>
      </w:r>
      <w:r w:rsidR="001846B5" w:rsidRPr="00BF6EF4">
        <w:t>5</w:t>
      </w:r>
      <w:r w:rsidRPr="00BF6EF4">
        <w:t>0,000</w:t>
      </w:r>
      <w:r w:rsidR="00D60001" w:rsidRPr="00BF6EF4">
        <w:t xml:space="preserve"> for each new vehicle model</w:t>
      </w:r>
      <w:r w:rsidR="001846B5" w:rsidRPr="00BF6EF4">
        <w:t xml:space="preserve"> supplied to Australia</w:t>
      </w:r>
      <w:r w:rsidRPr="00BF6EF4">
        <w:t>. This cost covers system design, logistics, production line floor area allocation, and other overheads.</w:t>
      </w:r>
    </w:p>
    <w:p w14:paraId="0F2EAB27" w14:textId="6E8BA4AA" w:rsidR="00271A50" w:rsidRPr="009F752F" w:rsidRDefault="00271A50" w:rsidP="00271A50">
      <w:r w:rsidRPr="00930D6A">
        <w:t xml:space="preserve">However, </w:t>
      </w:r>
      <w:r w:rsidR="001846B5">
        <w:t>as</w:t>
      </w:r>
      <w:r w:rsidRPr="00930D6A">
        <w:t xml:space="preserve"> all light vehicles in Australia are imported, and </w:t>
      </w:r>
      <w:r w:rsidR="00D60001">
        <w:t>QRTVs supplied to Australia</w:t>
      </w:r>
      <w:r w:rsidRPr="00930D6A">
        <w:t xml:space="preserve"> </w:t>
      </w:r>
      <w:r w:rsidR="00D60001">
        <w:t>are manufactured in countries that</w:t>
      </w:r>
      <w:r w:rsidRPr="00930D6A">
        <w:t xml:space="preserve"> already mandate UN</w:t>
      </w:r>
      <w:r w:rsidR="00772CA9">
        <w:t xml:space="preserve"> </w:t>
      </w:r>
      <w:r w:rsidRPr="00930D6A">
        <w:t>R</w:t>
      </w:r>
      <w:r w:rsidR="00772CA9">
        <w:t xml:space="preserve"> </w:t>
      </w:r>
      <w:r w:rsidRPr="00930D6A">
        <w:t xml:space="preserve">138/01 (or equivalent standard), the system development cost for </w:t>
      </w:r>
      <w:r w:rsidR="00D60001">
        <w:t xml:space="preserve">adding an </w:t>
      </w:r>
      <w:r w:rsidRPr="00930D6A">
        <w:t xml:space="preserve">AVAS </w:t>
      </w:r>
      <w:r w:rsidR="00D60001">
        <w:t>to</w:t>
      </w:r>
      <w:r w:rsidRPr="00930D6A">
        <w:t xml:space="preserve"> </w:t>
      </w:r>
      <w:r w:rsidR="00D60001">
        <w:t xml:space="preserve">an </w:t>
      </w:r>
      <w:r w:rsidRPr="00930D6A">
        <w:t>Australia</w:t>
      </w:r>
      <w:r w:rsidR="00D60001">
        <w:t>n</w:t>
      </w:r>
      <w:r w:rsidRPr="00930D6A">
        <w:t xml:space="preserve"> </w:t>
      </w:r>
      <w:r w:rsidR="00D60001">
        <w:t xml:space="preserve">model, </w:t>
      </w:r>
      <w:r w:rsidRPr="00930D6A">
        <w:t>would likely be substantially reduced</w:t>
      </w:r>
      <w:r w:rsidR="00D60001">
        <w:t xml:space="preserve">, as the required componentry </w:t>
      </w:r>
      <w:r w:rsidR="001846B5">
        <w:t>will be readily</w:t>
      </w:r>
      <w:r w:rsidR="00D60001">
        <w:t xml:space="preserve"> available</w:t>
      </w:r>
      <w:r w:rsidRPr="00930D6A">
        <w:t xml:space="preserve">. </w:t>
      </w:r>
      <w:r w:rsidR="001846B5">
        <w:t>This means m</w:t>
      </w:r>
      <w:r w:rsidRPr="00930D6A">
        <w:t>anufacturers will largely be able to adapt the AVAS</w:t>
      </w:r>
      <w:r w:rsidR="001846B5">
        <w:t xml:space="preserve"> </w:t>
      </w:r>
      <w:r w:rsidRPr="00930D6A">
        <w:lastRenderedPageBreak/>
        <w:t xml:space="preserve">they already fit to similar models sold in other markets. For this analysis, the department </w:t>
      </w:r>
      <w:r w:rsidR="009F752F">
        <w:t xml:space="preserve">has </w:t>
      </w:r>
      <w:r w:rsidR="001846B5">
        <w:t>estimated</w:t>
      </w:r>
      <w:r w:rsidRPr="00930D6A">
        <w:t xml:space="preserve"> </w:t>
      </w:r>
      <w:r w:rsidR="001846B5">
        <w:t xml:space="preserve">development cost for Australian models would be </w:t>
      </w:r>
      <w:r w:rsidRPr="008460A8">
        <w:t>10</w:t>
      </w:r>
      <w:r w:rsidR="00E96661">
        <w:t>%</w:t>
      </w:r>
      <w:r w:rsidRPr="008460A8">
        <w:t xml:space="preserve"> of the full system development cost</w:t>
      </w:r>
      <w:r w:rsidR="004320F5">
        <w:t xml:space="preserve"> suggested by industry during the public consultation process</w:t>
      </w:r>
      <w:r w:rsidRPr="009F752F">
        <w:t>.</w:t>
      </w:r>
    </w:p>
    <w:p w14:paraId="0C68BAE8" w14:textId="61270084" w:rsidR="00271A50" w:rsidRPr="005E31AD" w:rsidRDefault="00271A50" w:rsidP="00271A50">
      <w:r w:rsidRPr="00FA5A48">
        <w:t>An additional $1</w:t>
      </w:r>
      <w:r w:rsidR="001413AB">
        <w:t>5</w:t>
      </w:r>
      <w:r w:rsidRPr="00FA5A48">
        <w:t xml:space="preserve">,000 per </w:t>
      </w:r>
      <w:r w:rsidR="00C833B6">
        <w:t xml:space="preserve">vehicle </w:t>
      </w:r>
      <w:r w:rsidRPr="00FA5A48">
        <w:t xml:space="preserve">model was added to </w:t>
      </w:r>
      <w:r w:rsidRPr="005E31AD">
        <w:t>cover validation and testing, and a further $1</w:t>
      </w:r>
      <w:r w:rsidR="001413AB">
        <w:t>5</w:t>
      </w:r>
      <w:r w:rsidRPr="005E31AD">
        <w:t>,000</w:t>
      </w:r>
      <w:r w:rsidR="00E96661">
        <w:t> </w:t>
      </w:r>
      <w:r w:rsidRPr="005E31AD">
        <w:t>per model for certification and regulatory expenses to obtain a type approval for the Australian market.</w:t>
      </w:r>
      <w:r w:rsidR="00C833B6">
        <w:t xml:space="preserve"> As the proposed ADR is harmonised with UN Regulation</w:t>
      </w:r>
      <w:r w:rsidR="00E96661">
        <w:t> </w:t>
      </w:r>
      <w:r w:rsidR="00C833B6">
        <w:t>138, manufacturers may already have or be able extend an existing UN type approval to obtain an equivalent type approval in Australia.</w:t>
      </w:r>
    </w:p>
    <w:p w14:paraId="28D7118D" w14:textId="77777777" w:rsidR="00271A50" w:rsidRPr="005E31AD" w:rsidRDefault="00A34FA2" w:rsidP="009729B4">
      <w:pPr>
        <w:pStyle w:val="Heading4"/>
      </w:pPr>
      <w:bookmarkStart w:id="121" w:name="_Toc128476461"/>
      <w:bookmarkStart w:id="122" w:name="_Toc151556413"/>
      <w:bookmarkStart w:id="123" w:name="_Toc153795419"/>
      <w:r w:rsidRPr="005E31AD">
        <w:t>4</w:t>
      </w:r>
      <w:r w:rsidR="001B78F5" w:rsidRPr="005E31AD">
        <w:t xml:space="preserve">.2.2 </w:t>
      </w:r>
      <w:r w:rsidR="00271A50" w:rsidRPr="005E31AD">
        <w:t>Fitment Costs</w:t>
      </w:r>
      <w:bookmarkEnd w:id="121"/>
      <w:bookmarkEnd w:id="122"/>
      <w:bookmarkEnd w:id="123"/>
    </w:p>
    <w:p w14:paraId="5DC91BB2" w14:textId="3F035EB0" w:rsidR="00271A50" w:rsidRPr="00930D6A" w:rsidRDefault="00271A50" w:rsidP="00271A50">
      <w:r w:rsidRPr="008460A8">
        <w:t xml:space="preserve">In 2016, </w:t>
      </w:r>
      <w:r w:rsidR="004A1037" w:rsidRPr="008460A8">
        <w:t xml:space="preserve">the </w:t>
      </w:r>
      <w:r w:rsidRPr="008460A8">
        <w:t>NHTSA estimated the incremental cost of fitting an AVAS would be approximately US$55</w:t>
      </w:r>
      <w:r w:rsidR="00E96661">
        <w:t> </w:t>
      </w:r>
      <w:r w:rsidRPr="008460A8">
        <w:t xml:space="preserve">(A$77) for </w:t>
      </w:r>
      <w:r w:rsidR="00E10462">
        <w:t xml:space="preserve">light </w:t>
      </w:r>
      <w:r w:rsidRPr="008460A8">
        <w:t xml:space="preserve">vehicles where an AVAS has already been developed for it and US$130 (A$182) for vehicles without an AVAS developed. </w:t>
      </w:r>
      <w:r w:rsidR="001846B5" w:rsidRPr="008460A8">
        <w:t>As these systems have been mandated in other market</w:t>
      </w:r>
      <w:r w:rsidR="009E1F94">
        <w:t>s</w:t>
      </w:r>
      <w:r w:rsidR="001846B5" w:rsidRPr="008460A8">
        <w:t xml:space="preserve"> for some time, the department anticipate the </w:t>
      </w:r>
      <w:r w:rsidR="009F752F" w:rsidRPr="008460A8">
        <w:t>nominal</w:t>
      </w:r>
      <w:r w:rsidR="001846B5" w:rsidRPr="008460A8">
        <w:t xml:space="preserve"> cost of fitting an AVAS to an Australia</w:t>
      </w:r>
      <w:r w:rsidR="009E1F94">
        <w:t>n vehicle</w:t>
      </w:r>
      <w:r w:rsidR="001846B5" w:rsidRPr="008460A8">
        <w:t xml:space="preserve"> will be the same.</w:t>
      </w:r>
      <w:r w:rsidR="009F752F" w:rsidRPr="008460A8">
        <w:t xml:space="preserve"> </w:t>
      </w:r>
      <w:r w:rsidRPr="008460A8">
        <w:t>Consultations with vehicle manufacturers suggest the changes required for individual models could range from minor software updates to the addition of a</w:t>
      </w:r>
      <w:r w:rsidR="009E1F94">
        <w:t>n AVAS</w:t>
      </w:r>
      <w:r w:rsidRPr="008460A8">
        <w:t xml:space="preserve"> speaker system, with associated wiring and harnesses.</w:t>
      </w:r>
      <w:r w:rsidR="009F752F" w:rsidRPr="008460A8">
        <w:t xml:space="preserve"> Due to </w:t>
      </w:r>
      <w:r w:rsidR="009F752F">
        <w:t xml:space="preserve">insufficient data </w:t>
      </w:r>
      <w:r w:rsidR="009F752F" w:rsidRPr="00C7028A" w:rsidDel="0061003E">
        <w:t>to undertake a robust cost-benefit analysis for heavy vehicles</w:t>
      </w:r>
      <w:r w:rsidR="009F752F">
        <w:t>, the rough estimates of the costs and benefits of Options 3a and 3b assume the fitment cost for heavy vehicles is the same as for light vehicles, as the same technology will be required.</w:t>
      </w:r>
    </w:p>
    <w:p w14:paraId="073874D4" w14:textId="77777777" w:rsidR="00271A50" w:rsidRPr="00930D6A" w:rsidRDefault="00271A50" w:rsidP="00271A50">
      <w:r w:rsidRPr="00930D6A">
        <w:t>Again, given that all light vehicles in Australia are imported, and that most come from markets that have already mandated UN R138/01 (or equivalent standards), the department assumed, for the main analysis, that fitment costs to meet a new ADR would be at the lower end of this scale (i.e. A$77).</w:t>
      </w:r>
    </w:p>
    <w:p w14:paraId="1BE6917B" w14:textId="77777777" w:rsidR="00271A50" w:rsidRDefault="00271A50" w:rsidP="00271A50">
      <w:r w:rsidRPr="00930D6A">
        <w:t>Sensitivity tests were conducted using the average cost US$</w:t>
      </w:r>
      <w:r>
        <w:t>93</w:t>
      </w:r>
      <w:r w:rsidRPr="00930D6A">
        <w:t xml:space="preserve"> (A$130) and highest cost </w:t>
      </w:r>
      <w:r>
        <w:t xml:space="preserve">US$130 </w:t>
      </w:r>
      <w:r w:rsidRPr="00930D6A">
        <w:t>(A$182) estimates.</w:t>
      </w:r>
    </w:p>
    <w:p w14:paraId="6DF9E51E" w14:textId="3CEC712C" w:rsidR="00900832" w:rsidRDefault="001F43DB" w:rsidP="00271A50">
      <w:r>
        <w:t>The department</w:t>
      </w:r>
      <w:r w:rsidR="00ED3A67">
        <w:t xml:space="preserve"> consider</w:t>
      </w:r>
      <w:r>
        <w:t>ed</w:t>
      </w:r>
      <w:r w:rsidR="00ED3A67">
        <w:t xml:space="preserve"> the lower end of these estimates to be appropriate because all </w:t>
      </w:r>
      <w:r w:rsidR="00BE0D62">
        <w:t xml:space="preserve">light </w:t>
      </w:r>
      <w:r w:rsidR="001A0656">
        <w:t>QRTVs</w:t>
      </w:r>
      <w:r w:rsidR="00ED3A67">
        <w:t xml:space="preserve"> supplied to the Australian market originate from a country that </w:t>
      </w:r>
      <w:r>
        <w:t xml:space="preserve">currently </w:t>
      </w:r>
      <w:r w:rsidR="00ED3A67">
        <w:t>mandates AVAS.</w:t>
      </w:r>
      <w:r w:rsidR="00BE0D62">
        <w:t xml:space="preserve"> Heavy QRTVs supplied to Australia are also likely to be based on models developed and manufactured in these markets.</w:t>
      </w:r>
      <w:r w:rsidR="00DF2ECD">
        <w:t xml:space="preserve"> The</w:t>
      </w:r>
      <w:r w:rsidR="00665959">
        <w:t xml:space="preserve"> Truck Industry Council’s </w:t>
      </w:r>
      <w:r w:rsidR="00900832">
        <w:t>submission</w:t>
      </w:r>
      <w:r w:rsidR="00665959">
        <w:t xml:space="preserve"> in response</w:t>
      </w:r>
      <w:r w:rsidR="00900832">
        <w:t xml:space="preserve"> to the </w:t>
      </w:r>
      <w:r w:rsidR="00665959">
        <w:t>C</w:t>
      </w:r>
      <w:r w:rsidR="00900832">
        <w:t xml:space="preserve">onsultation Impact Analysis </w:t>
      </w:r>
      <w:r w:rsidR="00665959">
        <w:t>suggest</w:t>
      </w:r>
      <w:r w:rsidR="00DF2ECD">
        <w:t>s</w:t>
      </w:r>
      <w:r w:rsidR="00665959">
        <w:t xml:space="preserve"> there would be </w:t>
      </w:r>
      <w:r w:rsidR="00900832">
        <w:t xml:space="preserve">negligible direct cost increase to the public or industry if AVAS </w:t>
      </w:r>
      <w:r w:rsidR="00665959">
        <w:t>was</w:t>
      </w:r>
      <w:r w:rsidR="00900832">
        <w:t xml:space="preserve"> mandated for heavy vehicles</w:t>
      </w:r>
      <w:r w:rsidR="00DF2ECD">
        <w:t>, but a</w:t>
      </w:r>
      <w:r w:rsidR="00900832">
        <w:t xml:space="preserve">dditional costs </w:t>
      </w:r>
      <w:r w:rsidR="00DF2ECD">
        <w:t>would be incurred</w:t>
      </w:r>
      <w:r w:rsidR="00900832">
        <w:t xml:space="preserve"> if AVAS was not applied consistently</w:t>
      </w:r>
      <w:r w:rsidR="00DF2ECD">
        <w:t xml:space="preserve"> to all vehicles supplied to Australia.</w:t>
      </w:r>
      <w:r w:rsidR="00900832">
        <w:t xml:space="preserve"> </w:t>
      </w:r>
    </w:p>
    <w:p w14:paraId="6501A3E0" w14:textId="77777777" w:rsidR="00271A50" w:rsidRPr="00930D6A" w:rsidRDefault="00A34FA2" w:rsidP="009729B4">
      <w:pPr>
        <w:pStyle w:val="Heading4"/>
      </w:pPr>
      <w:bookmarkStart w:id="124" w:name="_Toc128476462"/>
      <w:bookmarkStart w:id="125" w:name="_Toc151556414"/>
      <w:bookmarkStart w:id="126" w:name="_Toc153795420"/>
      <w:r>
        <w:t>4</w:t>
      </w:r>
      <w:r w:rsidR="001B78F5">
        <w:t xml:space="preserve">.2.3 </w:t>
      </w:r>
      <w:r w:rsidR="00271A50" w:rsidRPr="00930D6A">
        <w:t>Government Costs</w:t>
      </w:r>
      <w:bookmarkEnd w:id="124"/>
      <w:bookmarkEnd w:id="125"/>
      <w:bookmarkEnd w:id="126"/>
    </w:p>
    <w:p w14:paraId="0AF8AC68" w14:textId="43A25D60" w:rsidR="00271A50" w:rsidRPr="00930D6A" w:rsidRDefault="00271A50" w:rsidP="00271A50">
      <w:r w:rsidRPr="00930D6A">
        <w:t xml:space="preserve">There would be an estimated cost of $50,000 </w:t>
      </w:r>
      <w:r w:rsidR="001846B5">
        <w:t xml:space="preserve">per year over the </w:t>
      </w:r>
      <w:r w:rsidR="00550553">
        <w:t>15-year</w:t>
      </w:r>
      <w:r w:rsidR="001846B5">
        <w:t xml:space="preserve"> regulation period </w:t>
      </w:r>
      <w:r w:rsidRPr="00930D6A">
        <w:t>for the department to create, implement and maintain a new ADR. This includes costs to draft the ADR and provide ongoing maintenance and interpretation advice.</w:t>
      </w:r>
    </w:p>
    <w:p w14:paraId="00FAD811" w14:textId="77777777" w:rsidR="00271A50" w:rsidRPr="00930D6A" w:rsidRDefault="00A34FA2" w:rsidP="009729B4">
      <w:pPr>
        <w:pStyle w:val="Heading3"/>
      </w:pPr>
      <w:bookmarkStart w:id="127" w:name="_Toc128476463"/>
      <w:bookmarkStart w:id="128" w:name="_Toc151556415"/>
      <w:bookmarkStart w:id="129" w:name="_Toc153795421"/>
      <w:r>
        <w:lastRenderedPageBreak/>
        <w:t>4</w:t>
      </w:r>
      <w:r w:rsidR="001B78F5">
        <w:t xml:space="preserve">.3 </w:t>
      </w:r>
      <w:r w:rsidR="00271A50" w:rsidRPr="00930D6A">
        <w:t>Benefit-Cost Analysis Results</w:t>
      </w:r>
      <w:bookmarkEnd w:id="127"/>
      <w:bookmarkEnd w:id="128"/>
      <w:bookmarkEnd w:id="129"/>
    </w:p>
    <w:p w14:paraId="323FC630" w14:textId="31E1ADD8" w:rsidR="00271A50" w:rsidRPr="00713506" w:rsidRDefault="00271A50" w:rsidP="003C45B0">
      <w:pPr>
        <w:keepNext/>
        <w:keepLines/>
      </w:pPr>
      <w:r w:rsidRPr="00713506">
        <w:fldChar w:fldCharType="begin"/>
      </w:r>
      <w:r w:rsidRPr="00713506">
        <w:instrText xml:space="preserve"> REF _Ref90643464 \h </w:instrText>
      </w:r>
      <w:r>
        <w:instrText xml:space="preserve"> \* MERGEFORMAT </w:instrText>
      </w:r>
      <w:r w:rsidRPr="00713506">
        <w:fldChar w:fldCharType="separate"/>
      </w:r>
      <w:r w:rsidR="005E58C6" w:rsidRPr="00713506">
        <w:t xml:space="preserve">Table </w:t>
      </w:r>
      <w:r w:rsidR="005E58C6">
        <w:t>1</w:t>
      </w:r>
      <w:r w:rsidRPr="00713506">
        <w:fldChar w:fldCharType="end"/>
      </w:r>
      <w:r w:rsidRPr="00713506">
        <w:t xml:space="preserve"> </w:t>
      </w:r>
      <w:bookmarkStart w:id="130" w:name="_Hlk147914764"/>
      <w:r w:rsidRPr="00713506">
        <w:t>details the results for the benefit-cost analysis. A 7</w:t>
      </w:r>
      <w:r w:rsidR="00E96661">
        <w:t>%</w:t>
      </w:r>
      <w:r w:rsidRPr="00713506">
        <w:t xml:space="preserve"> discount rate was used for the options.</w:t>
      </w:r>
      <w:bookmarkEnd w:id="130"/>
    </w:p>
    <w:p w14:paraId="53A2FA40" w14:textId="405F897F" w:rsidR="00271A50" w:rsidRPr="00713506" w:rsidRDefault="00271A50" w:rsidP="003C45B0">
      <w:pPr>
        <w:pStyle w:val="Tablefigureheading"/>
        <w:keepLines/>
      </w:pPr>
      <w:bookmarkStart w:id="131" w:name="_Ref90643464"/>
      <w:bookmarkStart w:id="132" w:name="_Toc128476425"/>
      <w:bookmarkStart w:id="133" w:name="_Toc153795483"/>
      <w:bookmarkStart w:id="134" w:name="_Hlk148436662"/>
      <w:r w:rsidRPr="00713506">
        <w:t xml:space="preserve">Table </w:t>
      </w:r>
      <w:fldSimple w:instr=" SEQ Table \* ARABIC ">
        <w:r w:rsidR="005E58C6">
          <w:rPr>
            <w:noProof/>
          </w:rPr>
          <w:t>1</w:t>
        </w:r>
      </w:fldSimple>
      <w:bookmarkEnd w:id="131"/>
      <w:r w:rsidRPr="00713506">
        <w:t>: Summary of benefits, costs, lives saved and injuries avoided for Option 1</w:t>
      </w:r>
      <w:r w:rsidR="00691792">
        <w:t xml:space="preserve">, </w:t>
      </w:r>
      <w:r w:rsidRPr="00713506">
        <w:t>2</w:t>
      </w:r>
      <w:r w:rsidR="00691792">
        <w:t>, 3a and 3b</w:t>
      </w:r>
      <w:r w:rsidRPr="00713506">
        <w:t xml:space="preserve"> (Likely Case)</w:t>
      </w:r>
      <w:bookmarkEnd w:id="132"/>
      <w:bookmarkEnd w:id="133"/>
    </w:p>
    <w:tbl>
      <w:tblPr>
        <w:tblStyle w:val="DefaultTable1"/>
        <w:tblW w:w="9732" w:type="dxa"/>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081"/>
        <w:gridCol w:w="1081"/>
        <w:gridCol w:w="1082"/>
        <w:gridCol w:w="1081"/>
        <w:gridCol w:w="1081"/>
        <w:gridCol w:w="1082"/>
        <w:gridCol w:w="1081"/>
        <w:gridCol w:w="1081"/>
        <w:gridCol w:w="1082"/>
      </w:tblGrid>
      <w:tr w:rsidR="009E6A55" w:rsidRPr="00713506" w14:paraId="6A5700E9" w14:textId="77777777" w:rsidTr="00432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595959" w:themeColor="text1" w:themeTint="A6"/>
            </w:tcBorders>
            <w:shd w:val="clear" w:color="auto" w:fill="081E3E"/>
          </w:tcPr>
          <w:p w14:paraId="2E675449" w14:textId="77777777" w:rsidR="00271A50" w:rsidRPr="00F44781" w:rsidRDefault="00271A50" w:rsidP="003C45B0">
            <w:pPr>
              <w:pStyle w:val="Tablerowcolumnheading"/>
              <w:keepNext/>
              <w:keepLines/>
              <w:rPr>
                <w:b/>
              </w:rPr>
            </w:pPr>
            <w:r w:rsidRPr="35E123EC">
              <w:t>Case</w:t>
            </w:r>
          </w:p>
        </w:tc>
        <w:tc>
          <w:tcPr>
            <w:tcW w:w="1081" w:type="dxa"/>
            <w:tcBorders>
              <w:bottom w:val="single" w:sz="4" w:space="0" w:color="595959" w:themeColor="text1" w:themeTint="A6"/>
            </w:tcBorders>
            <w:shd w:val="clear" w:color="auto" w:fill="081E3E"/>
          </w:tcPr>
          <w:p w14:paraId="4D194D62"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1082" w:type="dxa"/>
            <w:tcBorders>
              <w:bottom w:val="single" w:sz="4" w:space="0" w:color="595959" w:themeColor="text1" w:themeTint="A6"/>
            </w:tcBorders>
            <w:shd w:val="clear" w:color="auto" w:fill="081E3E"/>
          </w:tcPr>
          <w:p w14:paraId="5EBA92C6"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1081" w:type="dxa"/>
            <w:tcBorders>
              <w:bottom w:val="single" w:sz="4" w:space="0" w:color="595959" w:themeColor="text1" w:themeTint="A6"/>
            </w:tcBorders>
            <w:shd w:val="clear" w:color="auto" w:fill="081E3E"/>
          </w:tcPr>
          <w:p w14:paraId="369D9E88"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1081" w:type="dxa"/>
            <w:tcBorders>
              <w:bottom w:val="single" w:sz="4" w:space="0" w:color="595959" w:themeColor="text1" w:themeTint="A6"/>
            </w:tcBorders>
            <w:shd w:val="clear" w:color="auto" w:fill="081E3E"/>
          </w:tcPr>
          <w:p w14:paraId="57D790C3"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1082" w:type="dxa"/>
            <w:tcBorders>
              <w:bottom w:val="single" w:sz="4" w:space="0" w:color="595959" w:themeColor="text1" w:themeTint="A6"/>
            </w:tcBorders>
            <w:shd w:val="clear" w:color="auto" w:fill="081E3E"/>
          </w:tcPr>
          <w:p w14:paraId="03D95C04"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1081" w:type="dxa"/>
            <w:tcBorders>
              <w:bottom w:val="single" w:sz="4" w:space="0" w:color="595959" w:themeColor="text1" w:themeTint="A6"/>
            </w:tcBorders>
            <w:shd w:val="clear" w:color="auto" w:fill="081E3E"/>
          </w:tcPr>
          <w:p w14:paraId="44ABAA65"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1081" w:type="dxa"/>
            <w:tcBorders>
              <w:bottom w:val="single" w:sz="4" w:space="0" w:color="595959" w:themeColor="text1" w:themeTint="A6"/>
            </w:tcBorders>
            <w:shd w:val="clear" w:color="auto" w:fill="081E3E"/>
          </w:tcPr>
          <w:p w14:paraId="08B4AD3A"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1082" w:type="dxa"/>
            <w:tcBorders>
              <w:bottom w:val="single" w:sz="4" w:space="0" w:color="595959" w:themeColor="text1" w:themeTint="A6"/>
            </w:tcBorders>
            <w:shd w:val="clear" w:color="auto" w:fill="081E3E"/>
          </w:tcPr>
          <w:p w14:paraId="166636F5"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9F752F" w:rsidRPr="00713506" w14:paraId="162868BE" w14:textId="77777777" w:rsidTr="003C45B0">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4BB3B5"/>
            </w:tcBorders>
          </w:tcPr>
          <w:p w14:paraId="26CAD56B" w14:textId="7D2A9DE8" w:rsidR="00271A50" w:rsidRPr="00713506" w:rsidRDefault="00271A50" w:rsidP="003C45B0">
            <w:pPr>
              <w:pStyle w:val="Tabletext"/>
              <w:keepNext/>
              <w:keepLines/>
            </w:pPr>
            <w:r w:rsidRPr="00713506">
              <w:t>Option 1</w:t>
            </w:r>
            <w:r w:rsidR="00BE0D62">
              <w:t xml:space="preserve"> (BAU)</w:t>
            </w:r>
          </w:p>
        </w:tc>
        <w:tc>
          <w:tcPr>
            <w:tcW w:w="1081" w:type="dxa"/>
            <w:tcBorders>
              <w:bottom w:val="single" w:sz="4" w:space="0" w:color="4BB3B5"/>
            </w:tcBorders>
          </w:tcPr>
          <w:p w14:paraId="4E6A3D7E"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5CC5D986"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2D36BFD9"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286ABD54"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21EDFCA9"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42029B43"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790B3832"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3E77D4B8"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r>
      <w:tr w:rsidR="00E4050A" w:rsidRPr="00713506" w14:paraId="12012525" w14:textId="77777777" w:rsidTr="00432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274708F5" w14:textId="4152CBF4" w:rsidR="00271A50" w:rsidRPr="00713506" w:rsidRDefault="00271A50" w:rsidP="003C45B0">
            <w:pPr>
              <w:pStyle w:val="Tabletext"/>
              <w:keepNext/>
              <w:keepLines/>
            </w:pPr>
            <w:r w:rsidRPr="00713506">
              <w:t>Option 2</w:t>
            </w:r>
            <w:r w:rsidR="00BE0D62">
              <w:t xml:space="preserve"> (Light QRTV only from Jan 2025)</w:t>
            </w:r>
          </w:p>
        </w:tc>
        <w:tc>
          <w:tcPr>
            <w:tcW w:w="1081" w:type="dxa"/>
            <w:tcBorders>
              <w:top w:val="single" w:sz="4" w:space="0" w:color="4BB3B5"/>
              <w:bottom w:val="single" w:sz="4" w:space="0" w:color="4BB3B5"/>
            </w:tcBorders>
          </w:tcPr>
          <w:p w14:paraId="6B2F60DD" w14:textId="5BF3DF87"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372.8</w:t>
            </w:r>
          </w:p>
        </w:tc>
        <w:tc>
          <w:tcPr>
            <w:tcW w:w="1082" w:type="dxa"/>
            <w:tcBorders>
              <w:top w:val="single" w:sz="4" w:space="0" w:color="4BB3B5"/>
              <w:bottom w:val="single" w:sz="4" w:space="0" w:color="4BB3B5"/>
            </w:tcBorders>
          </w:tcPr>
          <w:p w14:paraId="13A3F187" w14:textId="4D215DCC"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201.2</w:t>
            </w:r>
          </w:p>
        </w:tc>
        <w:tc>
          <w:tcPr>
            <w:tcW w:w="1081" w:type="dxa"/>
            <w:tcBorders>
              <w:top w:val="single" w:sz="4" w:space="0" w:color="4BB3B5"/>
              <w:bottom w:val="single" w:sz="4" w:space="0" w:color="4BB3B5"/>
            </w:tcBorders>
          </w:tcPr>
          <w:p w14:paraId="1375899C" w14:textId="5BE1F2EF"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171.1</w:t>
            </w:r>
          </w:p>
        </w:tc>
        <w:tc>
          <w:tcPr>
            <w:tcW w:w="1081" w:type="dxa"/>
            <w:tcBorders>
              <w:top w:val="single" w:sz="4" w:space="0" w:color="4BB3B5"/>
              <w:bottom w:val="single" w:sz="4" w:space="0" w:color="4BB3B5"/>
            </w:tcBorders>
          </w:tcPr>
          <w:p w14:paraId="1F2CD6AD" w14:textId="7307C5A5"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0.5</w:t>
            </w:r>
          </w:p>
        </w:tc>
        <w:tc>
          <w:tcPr>
            <w:tcW w:w="1082" w:type="dxa"/>
            <w:tcBorders>
              <w:top w:val="single" w:sz="4" w:space="0" w:color="4BB3B5"/>
              <w:bottom w:val="single" w:sz="4" w:space="0" w:color="4BB3B5"/>
            </w:tcBorders>
          </w:tcPr>
          <w:p w14:paraId="16347CBF" w14:textId="1AF6104B"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2.17</w:t>
            </w:r>
          </w:p>
        </w:tc>
        <w:tc>
          <w:tcPr>
            <w:tcW w:w="1081" w:type="dxa"/>
            <w:tcBorders>
              <w:top w:val="single" w:sz="4" w:space="0" w:color="4BB3B5"/>
              <w:bottom w:val="single" w:sz="4" w:space="0" w:color="4BB3B5"/>
            </w:tcBorders>
          </w:tcPr>
          <w:p w14:paraId="76A27351" w14:textId="4723D7DE"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65</w:t>
            </w:r>
          </w:p>
        </w:tc>
        <w:tc>
          <w:tcPr>
            <w:tcW w:w="1081" w:type="dxa"/>
            <w:tcBorders>
              <w:top w:val="single" w:sz="4" w:space="0" w:color="4BB3B5"/>
              <w:bottom w:val="single" w:sz="4" w:space="0" w:color="4BB3B5"/>
            </w:tcBorders>
          </w:tcPr>
          <w:p w14:paraId="512ED2A6" w14:textId="451D4121"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2,585</w:t>
            </w:r>
          </w:p>
        </w:tc>
        <w:tc>
          <w:tcPr>
            <w:tcW w:w="1082" w:type="dxa"/>
            <w:tcBorders>
              <w:top w:val="single" w:sz="4" w:space="0" w:color="4BB3B5"/>
              <w:bottom w:val="single" w:sz="4" w:space="0" w:color="4BB3B5"/>
            </w:tcBorders>
          </w:tcPr>
          <w:p w14:paraId="0C541D9F" w14:textId="728929DD"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2,863</w:t>
            </w:r>
          </w:p>
        </w:tc>
      </w:tr>
      <w:tr w:rsidR="009F752F" w:rsidRPr="00713506" w14:paraId="27F14576" w14:textId="77777777" w:rsidTr="003C45B0">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50FAC1C0" w14:textId="6E1B4D8A" w:rsidR="00B5033C" w:rsidRPr="00713506" w:rsidRDefault="00B5033C" w:rsidP="003C45B0">
            <w:pPr>
              <w:pStyle w:val="Tabletext"/>
              <w:keepNext/>
              <w:keepLines/>
            </w:pPr>
            <w:r>
              <w:t>Option 3</w:t>
            </w:r>
            <w:r w:rsidR="00BE0D62">
              <w:t>a (Light QRTV from Jan 2025, heavy QRTV from Nov 2025)</w:t>
            </w:r>
          </w:p>
        </w:tc>
        <w:tc>
          <w:tcPr>
            <w:tcW w:w="1081" w:type="dxa"/>
            <w:tcBorders>
              <w:top w:val="single" w:sz="4" w:space="0" w:color="4BB3B5"/>
              <w:bottom w:val="single" w:sz="4" w:space="0" w:color="4BB3B5"/>
            </w:tcBorders>
          </w:tcPr>
          <w:p w14:paraId="3EE7BD44" w14:textId="0B2598FE"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389.3</w:t>
            </w:r>
          </w:p>
        </w:tc>
        <w:tc>
          <w:tcPr>
            <w:tcW w:w="1082" w:type="dxa"/>
            <w:tcBorders>
              <w:top w:val="single" w:sz="4" w:space="0" w:color="4BB3B5"/>
              <w:bottom w:val="single" w:sz="4" w:space="0" w:color="4BB3B5"/>
            </w:tcBorders>
          </w:tcPr>
          <w:p w14:paraId="5B549D5D" w14:textId="6FAA8206"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210.3</w:t>
            </w:r>
          </w:p>
        </w:tc>
        <w:tc>
          <w:tcPr>
            <w:tcW w:w="1081" w:type="dxa"/>
            <w:tcBorders>
              <w:top w:val="single" w:sz="4" w:space="0" w:color="4BB3B5"/>
              <w:bottom w:val="single" w:sz="4" w:space="0" w:color="4BB3B5"/>
            </w:tcBorders>
          </w:tcPr>
          <w:p w14:paraId="5825D372" w14:textId="0854CD53"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178.5</w:t>
            </w:r>
          </w:p>
        </w:tc>
        <w:tc>
          <w:tcPr>
            <w:tcW w:w="1081" w:type="dxa"/>
            <w:tcBorders>
              <w:top w:val="single" w:sz="4" w:space="0" w:color="4BB3B5"/>
              <w:bottom w:val="single" w:sz="4" w:space="0" w:color="4BB3B5"/>
            </w:tcBorders>
          </w:tcPr>
          <w:p w14:paraId="3E2DB460" w14:textId="7469331C" w:rsidR="00B5033C"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0.5</w:t>
            </w:r>
          </w:p>
        </w:tc>
        <w:tc>
          <w:tcPr>
            <w:tcW w:w="1082" w:type="dxa"/>
            <w:tcBorders>
              <w:top w:val="single" w:sz="4" w:space="0" w:color="4BB3B5"/>
              <w:bottom w:val="single" w:sz="4" w:space="0" w:color="4BB3B5"/>
            </w:tcBorders>
          </w:tcPr>
          <w:p w14:paraId="7A6D994B" w14:textId="1BC16CBA" w:rsidR="00B5033C"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2.18</w:t>
            </w:r>
          </w:p>
        </w:tc>
        <w:tc>
          <w:tcPr>
            <w:tcW w:w="1081" w:type="dxa"/>
            <w:tcBorders>
              <w:top w:val="single" w:sz="4" w:space="0" w:color="4BB3B5"/>
              <w:bottom w:val="single" w:sz="4" w:space="0" w:color="4BB3B5"/>
            </w:tcBorders>
          </w:tcPr>
          <w:p w14:paraId="599ECAF4" w14:textId="6674EBBE" w:rsidR="00B5033C" w:rsidRPr="00713506"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68</w:t>
            </w:r>
          </w:p>
        </w:tc>
        <w:tc>
          <w:tcPr>
            <w:tcW w:w="1081" w:type="dxa"/>
            <w:tcBorders>
              <w:top w:val="single" w:sz="4" w:space="0" w:color="4BB3B5"/>
              <w:bottom w:val="single" w:sz="4" w:space="0" w:color="4BB3B5"/>
            </w:tcBorders>
          </w:tcPr>
          <w:p w14:paraId="3BDCE475" w14:textId="2E84D681" w:rsidR="00B5033C"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2,701</w:t>
            </w:r>
          </w:p>
        </w:tc>
        <w:tc>
          <w:tcPr>
            <w:tcW w:w="1082" w:type="dxa"/>
            <w:tcBorders>
              <w:top w:val="single" w:sz="4" w:space="0" w:color="4BB3B5"/>
              <w:bottom w:val="single" w:sz="4" w:space="0" w:color="4BB3B5"/>
            </w:tcBorders>
          </w:tcPr>
          <w:p w14:paraId="243532F9" w14:textId="3925DDB8" w:rsidR="00B5033C" w:rsidRPr="00713506"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2,991</w:t>
            </w:r>
          </w:p>
        </w:tc>
      </w:tr>
      <w:tr w:rsidR="00E4050A" w:rsidRPr="00713506" w14:paraId="37E2313C" w14:textId="77777777" w:rsidTr="00432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2AD351D6" w14:textId="4BDBB8D2" w:rsidR="00BE0D62" w:rsidRDefault="00BE0D62" w:rsidP="003C45B0">
            <w:pPr>
              <w:pStyle w:val="Tabletext"/>
              <w:keepNext/>
              <w:keepLines/>
            </w:pPr>
            <w:r>
              <w:t>Option 3b (Light and heavy QRTV from Nov 2025)</w:t>
            </w:r>
          </w:p>
        </w:tc>
        <w:tc>
          <w:tcPr>
            <w:tcW w:w="1081" w:type="dxa"/>
            <w:tcBorders>
              <w:top w:val="single" w:sz="4" w:space="0" w:color="4BB3B5"/>
              <w:bottom w:val="single" w:sz="4" w:space="0" w:color="4BB3B5"/>
            </w:tcBorders>
          </w:tcPr>
          <w:p w14:paraId="07F73C0A" w14:textId="7CB7A0ED"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377.3</w:t>
            </w:r>
          </w:p>
        </w:tc>
        <w:tc>
          <w:tcPr>
            <w:tcW w:w="1082" w:type="dxa"/>
            <w:tcBorders>
              <w:top w:val="single" w:sz="4" w:space="0" w:color="4BB3B5"/>
              <w:bottom w:val="single" w:sz="4" w:space="0" w:color="4BB3B5"/>
            </w:tcBorders>
          </w:tcPr>
          <w:p w14:paraId="32C6EF13" w14:textId="2BA59012"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208.4</w:t>
            </w:r>
          </w:p>
        </w:tc>
        <w:tc>
          <w:tcPr>
            <w:tcW w:w="1081" w:type="dxa"/>
            <w:tcBorders>
              <w:top w:val="single" w:sz="4" w:space="0" w:color="4BB3B5"/>
              <w:bottom w:val="single" w:sz="4" w:space="0" w:color="4BB3B5"/>
            </w:tcBorders>
          </w:tcPr>
          <w:p w14:paraId="14CE8286" w14:textId="0994D2A4"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168.4</w:t>
            </w:r>
          </w:p>
        </w:tc>
        <w:tc>
          <w:tcPr>
            <w:tcW w:w="1081" w:type="dxa"/>
            <w:tcBorders>
              <w:top w:val="single" w:sz="4" w:space="0" w:color="4BB3B5"/>
              <w:bottom w:val="single" w:sz="4" w:space="0" w:color="4BB3B5"/>
            </w:tcBorders>
          </w:tcPr>
          <w:p w14:paraId="51720141" w14:textId="2D6197B9"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0.5</w:t>
            </w:r>
          </w:p>
        </w:tc>
        <w:tc>
          <w:tcPr>
            <w:tcW w:w="1082" w:type="dxa"/>
            <w:tcBorders>
              <w:top w:val="single" w:sz="4" w:space="0" w:color="4BB3B5"/>
              <w:bottom w:val="single" w:sz="4" w:space="0" w:color="4BB3B5"/>
            </w:tcBorders>
          </w:tcPr>
          <w:p w14:paraId="1DA70BC2" w14:textId="14066C40"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2.23</w:t>
            </w:r>
          </w:p>
        </w:tc>
        <w:tc>
          <w:tcPr>
            <w:tcW w:w="1081" w:type="dxa"/>
            <w:tcBorders>
              <w:top w:val="single" w:sz="4" w:space="0" w:color="4BB3B5"/>
              <w:bottom w:val="single" w:sz="4" w:space="0" w:color="4BB3B5"/>
            </w:tcBorders>
          </w:tcPr>
          <w:p w14:paraId="2C7ACF98" w14:textId="0C5778C7"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68</w:t>
            </w:r>
          </w:p>
        </w:tc>
        <w:tc>
          <w:tcPr>
            <w:tcW w:w="1081" w:type="dxa"/>
            <w:tcBorders>
              <w:top w:val="single" w:sz="4" w:space="0" w:color="4BB3B5"/>
              <w:bottom w:val="single" w:sz="4" w:space="0" w:color="4BB3B5"/>
            </w:tcBorders>
          </w:tcPr>
          <w:p w14:paraId="7E7AC3F2" w14:textId="5CFA6778"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2,675</w:t>
            </w:r>
          </w:p>
        </w:tc>
        <w:tc>
          <w:tcPr>
            <w:tcW w:w="1082" w:type="dxa"/>
            <w:tcBorders>
              <w:top w:val="single" w:sz="4" w:space="0" w:color="4BB3B5"/>
              <w:bottom w:val="single" w:sz="4" w:space="0" w:color="4BB3B5"/>
            </w:tcBorders>
          </w:tcPr>
          <w:p w14:paraId="46BC10ED" w14:textId="2DC49145"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2,962</w:t>
            </w:r>
          </w:p>
        </w:tc>
      </w:tr>
    </w:tbl>
    <w:p w14:paraId="6E0292E3" w14:textId="77777777" w:rsidR="00165856" w:rsidRDefault="00165856" w:rsidP="00165856">
      <w:bookmarkStart w:id="135" w:name="_Toc128476464"/>
      <w:bookmarkEnd w:id="134"/>
    </w:p>
    <w:p w14:paraId="73C9F231" w14:textId="28A108C1" w:rsidR="00570041" w:rsidRDefault="0002330D" w:rsidP="00165856">
      <w:r>
        <w:t>As noted in Section 3.3,</w:t>
      </w:r>
      <w:r w:rsidR="009F752F">
        <w:t xml:space="preserve"> the estimates for Options 3a and 3b are rough estimates, based on the </w:t>
      </w:r>
      <w:r w:rsidR="00550553">
        <w:t>proportion</w:t>
      </w:r>
      <w:r w:rsidR="009F752F">
        <w:t xml:space="preserve"> of new heavy vehicle sales to new light vehicle sal</w:t>
      </w:r>
      <w:r w:rsidR="00A44EE0">
        <w:t>e</w:t>
      </w:r>
      <w:r w:rsidR="00550553">
        <w:t>s</w:t>
      </w:r>
      <w:r w:rsidR="00A44EE0">
        <w:t xml:space="preserve">, </w:t>
      </w:r>
      <w:r w:rsidR="00550553">
        <w:t>as</w:t>
      </w:r>
      <w:r>
        <w:t xml:space="preserve"> insufficient data was available to quantify the </w:t>
      </w:r>
      <w:r w:rsidR="009F752F">
        <w:t xml:space="preserve">specific </w:t>
      </w:r>
      <w:r>
        <w:t xml:space="preserve">costs and benefits </w:t>
      </w:r>
      <w:r w:rsidR="00A44EE0">
        <w:t xml:space="preserve">for </w:t>
      </w:r>
      <w:r>
        <w:t>heavy vehicles.</w:t>
      </w:r>
      <w:r w:rsidR="0014722D">
        <w:t xml:space="preserve"> </w:t>
      </w:r>
      <w:r w:rsidR="006651A3">
        <w:t>Several submissions noted</w:t>
      </w:r>
      <w:r w:rsidR="00570041">
        <w:t xml:space="preserve"> that mandating AVAS for light vehicles only could increase the risk of a heavy electric vehicle bring involved in an incident, by create a false sense of security for </w:t>
      </w:r>
      <w:r w:rsidR="00E96661">
        <w:t>VRUs,</w:t>
      </w:r>
      <w:r w:rsidR="00550553">
        <w:t xml:space="preserve"> and heavy vehicle collisions with VRUs were more likely to result in a serious injury or fatality.</w:t>
      </w:r>
    </w:p>
    <w:p w14:paraId="255D3903" w14:textId="409A514B" w:rsidR="0014722D" w:rsidRDefault="00A44EE0" w:rsidP="00165856">
      <w:r>
        <w:t>Vehicle manufacturers also advised an ADR mandating AVA</w:t>
      </w:r>
      <w:r w:rsidR="00550553">
        <w:t>S</w:t>
      </w:r>
      <w:r>
        <w:t xml:space="preserve"> for heavy vehicles would enable a</w:t>
      </w:r>
      <w:r w:rsidR="00570041">
        <w:t xml:space="preserve"> nationally consistent approach t</w:t>
      </w:r>
      <w:r>
        <w:t xml:space="preserve">o heavy QRTVs. </w:t>
      </w:r>
      <w:r w:rsidR="00E96661">
        <w:t>This</w:t>
      </w:r>
      <w:r w:rsidR="006651A3">
        <w:t xml:space="preserve"> </w:t>
      </w:r>
      <w:r w:rsidR="00570041">
        <w:t>would avoid additional costs that may</w:t>
      </w:r>
      <w:r>
        <w:t xml:space="preserve"> other</w:t>
      </w:r>
      <w:r w:rsidR="00E96661">
        <w:t>wise</w:t>
      </w:r>
      <w:r w:rsidR="00570041">
        <w:t xml:space="preserve"> be borne by a manufacturer if they were required </w:t>
      </w:r>
      <w:r w:rsidR="006651A3">
        <w:t xml:space="preserve">to </w:t>
      </w:r>
      <w:r w:rsidR="00570041">
        <w:t xml:space="preserve">comply with different requirements in each </w:t>
      </w:r>
      <w:r>
        <w:t xml:space="preserve">individual </w:t>
      </w:r>
      <w:r w:rsidR="00570041">
        <w:t>state and territory</w:t>
      </w:r>
      <w:r w:rsidR="006651A3">
        <w:t>.</w:t>
      </w:r>
      <w:r w:rsidR="00570041">
        <w:t xml:space="preserve"> </w:t>
      </w:r>
      <w:r w:rsidR="00550553">
        <w:t xml:space="preserve">These benefits could not be </w:t>
      </w:r>
      <w:r w:rsidR="00065CC5">
        <w:t>quantified</w:t>
      </w:r>
      <w:r w:rsidR="00550553">
        <w:t xml:space="preserve"> in this Impact Analysis.</w:t>
      </w:r>
    </w:p>
    <w:p w14:paraId="046101A2" w14:textId="77777777" w:rsidR="00271A50" w:rsidRPr="00713506" w:rsidRDefault="00A34FA2" w:rsidP="009729B4">
      <w:pPr>
        <w:pStyle w:val="Heading4"/>
      </w:pPr>
      <w:bookmarkStart w:id="136" w:name="_Toc151556416"/>
      <w:bookmarkStart w:id="137" w:name="_Toc153795422"/>
      <w:r>
        <w:lastRenderedPageBreak/>
        <w:t>4</w:t>
      </w:r>
      <w:r w:rsidR="00E52734">
        <w:t xml:space="preserve">.3.1 </w:t>
      </w:r>
      <w:r w:rsidR="00271A50" w:rsidRPr="00713506">
        <w:t>Sensitivity Analysis</w:t>
      </w:r>
      <w:bookmarkEnd w:id="135"/>
      <w:bookmarkEnd w:id="136"/>
      <w:bookmarkEnd w:id="137"/>
    </w:p>
    <w:p w14:paraId="188859A7" w14:textId="7B5BE321" w:rsidR="00271A50" w:rsidRPr="00713506" w:rsidRDefault="00271A50" w:rsidP="003C45B0">
      <w:pPr>
        <w:keepNext/>
        <w:keepLines/>
      </w:pPr>
      <w:r w:rsidRPr="00713506">
        <w:t>A sensitivity analysis was carried out to determine the effects of key variables on the outcome of the benefit-cost analysis</w:t>
      </w:r>
      <w:r w:rsidR="00A44EE0">
        <w:t xml:space="preserve"> for Option 3a, as it was</w:t>
      </w:r>
      <w:r w:rsidR="00550553">
        <w:t xml:space="preserve"> likely</w:t>
      </w:r>
      <w:r w:rsidR="00A44EE0">
        <w:t xml:space="preserve"> to have the highest net benefit.</w:t>
      </w:r>
    </w:p>
    <w:p w14:paraId="41E41F2E" w14:textId="421F2087" w:rsidR="00271A50" w:rsidRPr="00713506" w:rsidRDefault="006651A3" w:rsidP="003C45B0">
      <w:pPr>
        <w:keepNext/>
        <w:keepLines/>
      </w:pPr>
      <w:r>
        <w:t>W</w:t>
      </w:r>
      <w:r w:rsidR="00271A50" w:rsidRPr="00713506">
        <w:t>hile a 7</w:t>
      </w:r>
      <w:r>
        <w:t>%</w:t>
      </w:r>
      <w:r w:rsidR="00271A50" w:rsidRPr="00713506">
        <w:t xml:space="preserve"> real discount rate was used, the benefit cost analysis was also tested with rates of 3</w:t>
      </w:r>
      <w:r w:rsidR="002E7E36">
        <w:t>%</w:t>
      </w:r>
      <w:r w:rsidR="00271A50" w:rsidRPr="00713506">
        <w:t xml:space="preserve"> and 10</w:t>
      </w:r>
      <w:r w:rsidR="002E7E36">
        <w:t>%</w:t>
      </w:r>
      <w:r w:rsidR="004320F5">
        <w:t xml:space="preserve"> in accordance with the Australian Government Guide to Policy Impact Analysis</w:t>
      </w:r>
      <w:r w:rsidR="00271A50" w:rsidRPr="00713506">
        <w:t xml:space="preserve">. </w:t>
      </w:r>
      <w:r w:rsidR="00271A50" w:rsidRPr="00713506">
        <w:fldChar w:fldCharType="begin"/>
      </w:r>
      <w:r w:rsidR="00271A50" w:rsidRPr="00713506">
        <w:instrText xml:space="preserve"> REF _Ref90644657 \h </w:instrText>
      </w:r>
      <w:r w:rsidR="00271A50">
        <w:instrText xml:space="preserve"> \* MERGEFORMAT </w:instrText>
      </w:r>
      <w:r w:rsidR="00271A50" w:rsidRPr="00713506">
        <w:fldChar w:fldCharType="separate"/>
      </w:r>
      <w:r w:rsidR="005E58C6" w:rsidRPr="00713506">
        <w:t xml:space="preserve">Table </w:t>
      </w:r>
      <w:r w:rsidR="005E58C6">
        <w:t>2</w:t>
      </w:r>
      <w:r w:rsidR="00271A50" w:rsidRPr="00713506">
        <w:fldChar w:fldCharType="end"/>
      </w:r>
      <w:r w:rsidR="00271A50" w:rsidRPr="00713506">
        <w:t xml:space="preserve"> shows that the benefit-cost ratio remained positive in both the low and high discount rate scenarios.</w:t>
      </w:r>
      <w:r w:rsidR="001F43DB">
        <w:br/>
      </w:r>
    </w:p>
    <w:p w14:paraId="678CF46F" w14:textId="42D93174" w:rsidR="00271A50" w:rsidRPr="00713506" w:rsidRDefault="00271A50" w:rsidP="001B78F5">
      <w:pPr>
        <w:pStyle w:val="Tablefigureheading"/>
      </w:pPr>
      <w:bookmarkStart w:id="138" w:name="_Ref90644657"/>
      <w:bookmarkStart w:id="139" w:name="_Toc128476426"/>
      <w:bookmarkStart w:id="140" w:name="_Toc153795484"/>
      <w:r w:rsidRPr="00713506">
        <w:t xml:space="preserve">Table </w:t>
      </w:r>
      <w:fldSimple w:instr=" SEQ Table \* ARABIC ">
        <w:r w:rsidR="005E58C6">
          <w:rPr>
            <w:noProof/>
          </w:rPr>
          <w:t>2</w:t>
        </w:r>
      </w:fldSimple>
      <w:bookmarkEnd w:id="138"/>
      <w:r w:rsidRPr="00713506">
        <w:t>: Sensitivity analysis – changes to the real discount rate</w:t>
      </w:r>
      <w:bookmarkEnd w:id="139"/>
      <w:bookmarkEnd w:id="140"/>
    </w:p>
    <w:tbl>
      <w:tblPr>
        <w:tblStyle w:val="DefaultTable1"/>
        <w:tblW w:w="5000" w:type="pct"/>
        <w:tblLook w:val="04A0" w:firstRow="1" w:lastRow="0" w:firstColumn="1" w:lastColumn="0" w:noHBand="0" w:noVBand="1"/>
        <w:tblCaption w:val="Sensitivity analysis of changes to the real discount rate"/>
        <w:tblDescription w:val="Table summarising what the benefit-cost ratio and net benefits (in millions of dollars) would be for Option 2 if the discount rate is changed to 3% and 10%. The base discount rate is 7%."/>
      </w:tblPr>
      <w:tblGrid>
        <w:gridCol w:w="3961"/>
        <w:gridCol w:w="2736"/>
        <w:gridCol w:w="2778"/>
      </w:tblGrid>
      <w:tr w:rsidR="00271A50" w:rsidRPr="00713506" w14:paraId="0E3F143D"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pct"/>
            <w:tcBorders>
              <w:bottom w:val="single" w:sz="4" w:space="0" w:color="595959" w:themeColor="text1" w:themeTint="A6"/>
            </w:tcBorders>
            <w:shd w:val="clear" w:color="auto" w:fill="081E3E"/>
          </w:tcPr>
          <w:p w14:paraId="258A4687" w14:textId="77777777" w:rsidR="00271A50" w:rsidRPr="00713506" w:rsidRDefault="00271A50" w:rsidP="00271A50">
            <w:r w:rsidRPr="00713506">
              <w:t>Case</w:t>
            </w:r>
          </w:p>
        </w:tc>
        <w:tc>
          <w:tcPr>
            <w:tcW w:w="1444" w:type="pct"/>
            <w:tcBorders>
              <w:bottom w:val="single" w:sz="4" w:space="0" w:color="595959" w:themeColor="text1" w:themeTint="A6"/>
            </w:tcBorders>
            <w:shd w:val="clear" w:color="auto" w:fill="081E3E"/>
          </w:tcPr>
          <w:p w14:paraId="44C07AB7"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467" w:type="pct"/>
            <w:tcBorders>
              <w:bottom w:val="single" w:sz="4" w:space="0" w:color="595959" w:themeColor="text1" w:themeTint="A6"/>
            </w:tcBorders>
            <w:shd w:val="clear" w:color="auto" w:fill="081E3E"/>
          </w:tcPr>
          <w:p w14:paraId="273097DF"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7C8B9F7A" w14:textId="77777777" w:rsidTr="003C45B0">
        <w:tc>
          <w:tcPr>
            <w:cnfStyle w:val="001000000000" w:firstRow="0" w:lastRow="0" w:firstColumn="1" w:lastColumn="0" w:oddVBand="0" w:evenVBand="0" w:oddHBand="0" w:evenHBand="0" w:firstRowFirstColumn="0" w:firstRowLastColumn="0" w:lastRowFirstColumn="0" w:lastRowLastColumn="0"/>
            <w:tcW w:w="2090" w:type="pct"/>
            <w:tcBorders>
              <w:bottom w:val="single" w:sz="4" w:space="0" w:color="4BB3B5"/>
            </w:tcBorders>
          </w:tcPr>
          <w:p w14:paraId="24F833EA" w14:textId="77777777" w:rsidR="00271A50" w:rsidRPr="00713506" w:rsidRDefault="00271A50" w:rsidP="00271A50">
            <w:r w:rsidRPr="00713506">
              <w:t>Low discount rate (3 per cent)</w:t>
            </w:r>
          </w:p>
        </w:tc>
        <w:tc>
          <w:tcPr>
            <w:tcW w:w="1444" w:type="pct"/>
            <w:tcBorders>
              <w:bottom w:val="single" w:sz="4" w:space="0" w:color="4BB3B5"/>
            </w:tcBorders>
          </w:tcPr>
          <w:p w14:paraId="60EC63FC" w14:textId="0F257076" w:rsidR="00271A50" w:rsidRPr="00713506" w:rsidRDefault="00105519" w:rsidP="00271A50">
            <w:pPr>
              <w:cnfStyle w:val="000000000000" w:firstRow="0" w:lastRow="0" w:firstColumn="0" w:lastColumn="0" w:oddVBand="0" w:evenVBand="0" w:oddHBand="0" w:evenHBand="0" w:firstRowFirstColumn="0" w:firstRowLastColumn="0" w:lastRowFirstColumn="0" w:lastRowLastColumn="0"/>
            </w:pPr>
            <w:r>
              <w:t>3.</w:t>
            </w:r>
            <w:r w:rsidR="00B417A5">
              <w:t>47</w:t>
            </w:r>
          </w:p>
        </w:tc>
        <w:tc>
          <w:tcPr>
            <w:tcW w:w="1467" w:type="pct"/>
            <w:tcBorders>
              <w:bottom w:val="single" w:sz="4" w:space="0" w:color="4BB3B5"/>
            </w:tcBorders>
          </w:tcPr>
          <w:p w14:paraId="67C49B6D" w14:textId="1B63F53A" w:rsidR="00271A50" w:rsidRPr="00713506" w:rsidRDefault="00B417A5" w:rsidP="00271A50">
            <w:pPr>
              <w:cnfStyle w:val="000000000000" w:firstRow="0" w:lastRow="0" w:firstColumn="0" w:lastColumn="0" w:oddVBand="0" w:evenVBand="0" w:oddHBand="0" w:evenHBand="0" w:firstRowFirstColumn="0" w:firstRowLastColumn="0" w:lastRowFirstColumn="0" w:lastRowLastColumn="0"/>
            </w:pPr>
            <w:r>
              <w:t>615.6</w:t>
            </w:r>
          </w:p>
        </w:tc>
      </w:tr>
      <w:tr w:rsidR="00271A50" w:rsidRPr="00713506" w14:paraId="4D6F03C1"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pct"/>
            <w:tcBorders>
              <w:top w:val="single" w:sz="4" w:space="0" w:color="4BB3B5"/>
              <w:bottom w:val="single" w:sz="4" w:space="0" w:color="4BB3B5"/>
            </w:tcBorders>
          </w:tcPr>
          <w:p w14:paraId="13720754" w14:textId="77777777" w:rsidR="00271A50" w:rsidRPr="00713506" w:rsidRDefault="00271A50" w:rsidP="00271A50">
            <w:r w:rsidRPr="00713506">
              <w:t>Base case discount rate (7 per cent)</w:t>
            </w:r>
          </w:p>
        </w:tc>
        <w:tc>
          <w:tcPr>
            <w:tcW w:w="1444" w:type="pct"/>
            <w:tcBorders>
              <w:top w:val="single" w:sz="4" w:space="0" w:color="4BB3B5"/>
              <w:bottom w:val="single" w:sz="4" w:space="0" w:color="4BB3B5"/>
            </w:tcBorders>
          </w:tcPr>
          <w:p w14:paraId="188FECAC" w14:textId="64C3817E" w:rsidR="00271A50" w:rsidRPr="00713506" w:rsidRDefault="004D01DE" w:rsidP="00271A50">
            <w:pPr>
              <w:cnfStyle w:val="000000010000" w:firstRow="0" w:lastRow="0" w:firstColumn="0" w:lastColumn="0" w:oddVBand="0" w:evenVBand="0" w:oddHBand="0" w:evenHBand="1" w:firstRowFirstColumn="0" w:firstRowLastColumn="0" w:lastRowFirstColumn="0" w:lastRowLastColumn="0"/>
            </w:pPr>
            <w:r>
              <w:t>2.</w:t>
            </w:r>
            <w:r w:rsidR="00B417A5">
              <w:t>1</w:t>
            </w:r>
            <w:r w:rsidR="00065CC5">
              <w:t>8</w:t>
            </w:r>
          </w:p>
        </w:tc>
        <w:tc>
          <w:tcPr>
            <w:tcW w:w="1467" w:type="pct"/>
            <w:tcBorders>
              <w:top w:val="single" w:sz="4" w:space="0" w:color="4BB3B5"/>
              <w:bottom w:val="single" w:sz="4" w:space="0" w:color="4BB3B5"/>
            </w:tcBorders>
          </w:tcPr>
          <w:p w14:paraId="64773D14" w14:textId="05E872F8" w:rsidR="00271A50" w:rsidRPr="00713506" w:rsidRDefault="00B417A5" w:rsidP="00271A50">
            <w:pPr>
              <w:cnfStyle w:val="000000010000" w:firstRow="0" w:lastRow="0" w:firstColumn="0" w:lastColumn="0" w:oddVBand="0" w:evenVBand="0" w:oddHBand="0" w:evenHBand="1" w:firstRowFirstColumn="0" w:firstRowLastColumn="0" w:lastRowFirstColumn="0" w:lastRowLastColumn="0"/>
            </w:pPr>
            <w:r>
              <w:t>21</w:t>
            </w:r>
            <w:r w:rsidR="00065CC5">
              <w:t>0.3</w:t>
            </w:r>
          </w:p>
        </w:tc>
      </w:tr>
      <w:tr w:rsidR="00271A50" w:rsidRPr="00713506" w14:paraId="6C8065DB" w14:textId="77777777" w:rsidTr="003C45B0">
        <w:tc>
          <w:tcPr>
            <w:cnfStyle w:val="001000000000" w:firstRow="0" w:lastRow="0" w:firstColumn="1" w:lastColumn="0" w:oddVBand="0" w:evenVBand="0" w:oddHBand="0" w:evenHBand="0" w:firstRowFirstColumn="0" w:firstRowLastColumn="0" w:lastRowFirstColumn="0" w:lastRowLastColumn="0"/>
            <w:tcW w:w="2090" w:type="pct"/>
            <w:tcBorders>
              <w:top w:val="single" w:sz="4" w:space="0" w:color="4BB3B5"/>
              <w:bottom w:val="single" w:sz="4" w:space="0" w:color="4BB3B5"/>
            </w:tcBorders>
          </w:tcPr>
          <w:p w14:paraId="36EFD4A3" w14:textId="77777777" w:rsidR="00271A50" w:rsidRPr="00713506" w:rsidRDefault="00271A50" w:rsidP="00271A50">
            <w:r w:rsidRPr="00713506">
              <w:t>High discount rate (10 per cent)</w:t>
            </w:r>
          </w:p>
        </w:tc>
        <w:tc>
          <w:tcPr>
            <w:tcW w:w="1444" w:type="pct"/>
            <w:tcBorders>
              <w:top w:val="single" w:sz="4" w:space="0" w:color="4BB3B5"/>
              <w:bottom w:val="single" w:sz="4" w:space="0" w:color="4BB3B5"/>
            </w:tcBorders>
          </w:tcPr>
          <w:p w14:paraId="29BD3CAB" w14:textId="418F56A1"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1.</w:t>
            </w:r>
            <w:r w:rsidR="00B417A5">
              <w:t>63</w:t>
            </w:r>
          </w:p>
        </w:tc>
        <w:tc>
          <w:tcPr>
            <w:tcW w:w="1467" w:type="pct"/>
            <w:tcBorders>
              <w:top w:val="single" w:sz="4" w:space="0" w:color="4BB3B5"/>
              <w:bottom w:val="single" w:sz="4" w:space="0" w:color="4BB3B5"/>
            </w:tcBorders>
          </w:tcPr>
          <w:p w14:paraId="5BCD4296" w14:textId="32FB43B8" w:rsidR="00271A50" w:rsidRPr="00713506" w:rsidRDefault="00B417A5" w:rsidP="00271A50">
            <w:pPr>
              <w:cnfStyle w:val="000000000000" w:firstRow="0" w:lastRow="0" w:firstColumn="0" w:lastColumn="0" w:oddVBand="0" w:evenVBand="0" w:oddHBand="0" w:evenHBand="0" w:firstRowFirstColumn="0" w:firstRowLastColumn="0" w:lastRowFirstColumn="0" w:lastRowLastColumn="0"/>
            </w:pPr>
            <w:r>
              <w:t>89.6</w:t>
            </w:r>
          </w:p>
        </w:tc>
      </w:tr>
    </w:tbl>
    <w:p w14:paraId="14D07BF2" w14:textId="4906C770" w:rsidR="00271A50" w:rsidRPr="00713506" w:rsidRDefault="00271A50" w:rsidP="00E52734">
      <w:pPr>
        <w:spacing w:before="240"/>
      </w:pPr>
      <w:r w:rsidRPr="00713506">
        <w:t>Next, the business as usual fitment rate was subjected to a sensitivity analysis, including both a high and a low fitment rate scenario (business as usual fitment curves adjusted +/- 10</w:t>
      </w:r>
      <w:r w:rsidR="002E7E36">
        <w:t>%</w:t>
      </w:r>
      <w:r w:rsidRPr="00713506">
        <w:t xml:space="preserve">), to account for variations in the market uptake of light vehicle AVAS. As shown in </w:t>
      </w:r>
      <w:r w:rsidRPr="00713506">
        <w:fldChar w:fldCharType="begin"/>
      </w:r>
      <w:r w:rsidRPr="00713506">
        <w:instrText xml:space="preserve"> REF _Ref90972509 \h </w:instrText>
      </w:r>
      <w:r>
        <w:instrText xml:space="preserve"> \* MERGEFORMAT </w:instrText>
      </w:r>
      <w:r w:rsidRPr="00713506">
        <w:fldChar w:fldCharType="separate"/>
      </w:r>
      <w:r w:rsidR="005E58C6" w:rsidRPr="00713506">
        <w:t xml:space="preserve">Table </w:t>
      </w:r>
      <w:r w:rsidR="005E58C6">
        <w:t>3</w:t>
      </w:r>
      <w:r w:rsidRPr="00713506">
        <w:fldChar w:fldCharType="end"/>
      </w:r>
      <w:r w:rsidRPr="00713506">
        <w:t>, the net benefits remained positive in both the high and the low fitment rate scenarios.</w:t>
      </w:r>
    </w:p>
    <w:p w14:paraId="1D2FB048" w14:textId="17C6DCE4" w:rsidR="00271A50" w:rsidRPr="00713506" w:rsidRDefault="00271A50" w:rsidP="001B78F5">
      <w:pPr>
        <w:pStyle w:val="Tablefigureheading"/>
      </w:pPr>
      <w:bookmarkStart w:id="141" w:name="_Ref90972509"/>
      <w:bookmarkStart w:id="142" w:name="_Toc128476427"/>
      <w:bookmarkStart w:id="143" w:name="_Toc153795485"/>
      <w:r w:rsidRPr="00713506">
        <w:t xml:space="preserve">Table </w:t>
      </w:r>
      <w:fldSimple w:instr=" SEQ Table \* ARABIC ">
        <w:r w:rsidR="005E58C6">
          <w:rPr>
            <w:noProof/>
          </w:rPr>
          <w:t>3</w:t>
        </w:r>
      </w:fldSimple>
      <w:bookmarkEnd w:id="141"/>
      <w:r w:rsidRPr="00713506">
        <w:t>: Sensitivity analysis - changes to business as usual fitment rate</w:t>
      </w:r>
      <w:bookmarkEnd w:id="142"/>
      <w:bookmarkEnd w:id="143"/>
    </w:p>
    <w:tbl>
      <w:tblPr>
        <w:tblStyle w:val="DefaultTable1"/>
        <w:tblW w:w="5000" w:type="pct"/>
        <w:tblLook w:val="04A0" w:firstRow="1" w:lastRow="0" w:firstColumn="1" w:lastColumn="0" w:noHBand="0" w:noVBand="1"/>
        <w:tblCaption w:val="Sensitivity analysis of changes to the business as usual fitment rate"/>
        <w:tblDescription w:val="Table summarising what the benefit-cost ratio and net benefits (in millions of dollars) would be for Option 2 if the business as usual fitment rate was decreased by 10% or increased by 10%."/>
      </w:tblPr>
      <w:tblGrid>
        <w:gridCol w:w="4135"/>
        <w:gridCol w:w="2649"/>
        <w:gridCol w:w="2691"/>
      </w:tblGrid>
      <w:tr w:rsidR="00271A50" w:rsidRPr="00713506" w14:paraId="699C6F0B"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pct"/>
            <w:tcBorders>
              <w:bottom w:val="single" w:sz="4" w:space="0" w:color="595959" w:themeColor="text1" w:themeTint="A6"/>
            </w:tcBorders>
            <w:shd w:val="clear" w:color="auto" w:fill="081E3E"/>
          </w:tcPr>
          <w:p w14:paraId="498A8AEE" w14:textId="77777777" w:rsidR="00271A50" w:rsidRPr="00713506" w:rsidRDefault="00271A50" w:rsidP="00271A50">
            <w:r w:rsidRPr="00713506">
              <w:t>Case</w:t>
            </w:r>
          </w:p>
        </w:tc>
        <w:tc>
          <w:tcPr>
            <w:tcW w:w="1398" w:type="pct"/>
            <w:tcBorders>
              <w:bottom w:val="single" w:sz="4" w:space="0" w:color="595959" w:themeColor="text1" w:themeTint="A6"/>
            </w:tcBorders>
            <w:shd w:val="clear" w:color="auto" w:fill="081E3E"/>
          </w:tcPr>
          <w:p w14:paraId="63009EF5"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420" w:type="pct"/>
            <w:tcBorders>
              <w:bottom w:val="single" w:sz="4" w:space="0" w:color="595959" w:themeColor="text1" w:themeTint="A6"/>
            </w:tcBorders>
            <w:shd w:val="clear" w:color="auto" w:fill="081E3E"/>
          </w:tcPr>
          <w:p w14:paraId="29DEF652"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021146A2" w14:textId="77777777" w:rsidTr="003C45B0">
        <w:tc>
          <w:tcPr>
            <w:cnfStyle w:val="001000000000" w:firstRow="0" w:lastRow="0" w:firstColumn="1" w:lastColumn="0" w:oddVBand="0" w:evenVBand="0" w:oddHBand="0" w:evenHBand="0" w:firstRowFirstColumn="0" w:firstRowLastColumn="0" w:lastRowFirstColumn="0" w:lastRowLastColumn="0"/>
            <w:tcW w:w="2182" w:type="pct"/>
            <w:tcBorders>
              <w:bottom w:val="single" w:sz="4" w:space="0" w:color="4BB3B5"/>
            </w:tcBorders>
          </w:tcPr>
          <w:p w14:paraId="315CEF3C" w14:textId="77777777" w:rsidR="00271A50" w:rsidRPr="00713506" w:rsidRDefault="00271A50" w:rsidP="00271A50">
            <w:r w:rsidRPr="00713506">
              <w:t>Low fitment rate (-10 per cent)</w:t>
            </w:r>
          </w:p>
        </w:tc>
        <w:tc>
          <w:tcPr>
            <w:tcW w:w="1398" w:type="pct"/>
            <w:tcBorders>
              <w:bottom w:val="single" w:sz="4" w:space="0" w:color="4BB3B5"/>
            </w:tcBorders>
          </w:tcPr>
          <w:p w14:paraId="55529C66" w14:textId="6C61AC87" w:rsidR="00271A50" w:rsidRPr="00713506" w:rsidRDefault="002A6FAA" w:rsidP="00271A50">
            <w:pPr>
              <w:cnfStyle w:val="000000000000" w:firstRow="0" w:lastRow="0" w:firstColumn="0" w:lastColumn="0" w:oddVBand="0" w:evenVBand="0" w:oddHBand="0" w:evenHBand="0" w:firstRowFirstColumn="0" w:firstRowLastColumn="0" w:lastRowFirstColumn="0" w:lastRowLastColumn="0"/>
            </w:pPr>
            <w:r>
              <w:t>2.</w:t>
            </w:r>
            <w:r w:rsidR="0095025B">
              <w:t>2</w:t>
            </w:r>
            <w:r w:rsidR="00B417A5">
              <w:t>5</w:t>
            </w:r>
          </w:p>
        </w:tc>
        <w:tc>
          <w:tcPr>
            <w:tcW w:w="1420" w:type="pct"/>
            <w:tcBorders>
              <w:bottom w:val="single" w:sz="4" w:space="0" w:color="4BB3B5"/>
            </w:tcBorders>
          </w:tcPr>
          <w:p w14:paraId="5D46D975" w14:textId="7A24AA34" w:rsidR="00271A50" w:rsidRPr="00713506" w:rsidRDefault="0002330D" w:rsidP="00271A50">
            <w:pPr>
              <w:cnfStyle w:val="000000000000" w:firstRow="0" w:lastRow="0" w:firstColumn="0" w:lastColumn="0" w:oddVBand="0" w:evenVBand="0" w:oddHBand="0" w:evenHBand="0" w:firstRowFirstColumn="0" w:firstRowLastColumn="0" w:lastRowFirstColumn="0" w:lastRowLastColumn="0"/>
            </w:pPr>
            <w:r>
              <w:t>2</w:t>
            </w:r>
            <w:r w:rsidR="001413AB">
              <w:t>4</w:t>
            </w:r>
            <w:r w:rsidR="00065CC5">
              <w:t>2</w:t>
            </w:r>
            <w:r w:rsidR="001413AB">
              <w:t>.</w:t>
            </w:r>
            <w:r w:rsidR="00065CC5">
              <w:t>1</w:t>
            </w:r>
          </w:p>
        </w:tc>
      </w:tr>
      <w:tr w:rsidR="0002330D" w:rsidRPr="00713506" w14:paraId="6044FD1D"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pct"/>
            <w:tcBorders>
              <w:top w:val="single" w:sz="4" w:space="0" w:color="4BB3B5"/>
              <w:bottom w:val="single" w:sz="4" w:space="0" w:color="4BB3B5"/>
            </w:tcBorders>
          </w:tcPr>
          <w:p w14:paraId="6BCF6241" w14:textId="77777777" w:rsidR="0002330D" w:rsidRPr="00713506" w:rsidRDefault="0002330D" w:rsidP="0002330D">
            <w:r w:rsidRPr="00713506">
              <w:t>Base case fitment rate</w:t>
            </w:r>
          </w:p>
        </w:tc>
        <w:tc>
          <w:tcPr>
            <w:tcW w:w="1398" w:type="pct"/>
            <w:tcBorders>
              <w:top w:val="single" w:sz="4" w:space="0" w:color="4BB3B5"/>
              <w:bottom w:val="single" w:sz="4" w:space="0" w:color="4BB3B5"/>
            </w:tcBorders>
          </w:tcPr>
          <w:p w14:paraId="0DF95AAB" w14:textId="6BA29422" w:rsidR="0002330D" w:rsidRPr="00713506" w:rsidRDefault="0002330D" w:rsidP="0002330D">
            <w:pPr>
              <w:cnfStyle w:val="000000010000" w:firstRow="0" w:lastRow="0" w:firstColumn="0" w:lastColumn="0" w:oddVBand="0" w:evenVBand="0" w:oddHBand="0" w:evenHBand="1" w:firstRowFirstColumn="0" w:firstRowLastColumn="0" w:lastRowFirstColumn="0" w:lastRowLastColumn="0"/>
            </w:pPr>
            <w:r>
              <w:t>2.</w:t>
            </w:r>
            <w:r w:rsidR="001413AB">
              <w:t>1</w:t>
            </w:r>
            <w:r w:rsidR="00065CC5">
              <w:t>8</w:t>
            </w:r>
          </w:p>
        </w:tc>
        <w:tc>
          <w:tcPr>
            <w:tcW w:w="1420" w:type="pct"/>
            <w:tcBorders>
              <w:top w:val="single" w:sz="4" w:space="0" w:color="4BB3B5"/>
              <w:bottom w:val="single" w:sz="4" w:space="0" w:color="4BB3B5"/>
            </w:tcBorders>
          </w:tcPr>
          <w:p w14:paraId="321810B0" w14:textId="7DAB79E3" w:rsidR="0002330D" w:rsidRPr="00713506" w:rsidRDefault="001413AB" w:rsidP="0002330D">
            <w:pPr>
              <w:cnfStyle w:val="000000010000" w:firstRow="0" w:lastRow="0" w:firstColumn="0" w:lastColumn="0" w:oddVBand="0" w:evenVBand="0" w:oddHBand="0" w:evenHBand="1" w:firstRowFirstColumn="0" w:firstRowLastColumn="0" w:lastRowFirstColumn="0" w:lastRowLastColumn="0"/>
            </w:pPr>
            <w:r>
              <w:t>21</w:t>
            </w:r>
            <w:r w:rsidR="00065CC5">
              <w:t>0.3</w:t>
            </w:r>
          </w:p>
        </w:tc>
      </w:tr>
      <w:tr w:rsidR="00271A50" w:rsidRPr="00713506" w14:paraId="63D22DCD" w14:textId="77777777" w:rsidTr="003C45B0">
        <w:tc>
          <w:tcPr>
            <w:cnfStyle w:val="001000000000" w:firstRow="0" w:lastRow="0" w:firstColumn="1" w:lastColumn="0" w:oddVBand="0" w:evenVBand="0" w:oddHBand="0" w:evenHBand="0" w:firstRowFirstColumn="0" w:firstRowLastColumn="0" w:lastRowFirstColumn="0" w:lastRowLastColumn="0"/>
            <w:tcW w:w="2182" w:type="pct"/>
            <w:tcBorders>
              <w:top w:val="single" w:sz="4" w:space="0" w:color="4BB3B5"/>
              <w:bottom w:val="single" w:sz="4" w:space="0" w:color="4BB3B5"/>
            </w:tcBorders>
          </w:tcPr>
          <w:p w14:paraId="51AF1ED2" w14:textId="77777777" w:rsidR="00271A50" w:rsidRPr="00713506" w:rsidRDefault="00271A50" w:rsidP="00271A50">
            <w:r w:rsidRPr="00713506">
              <w:t>High fitment rate (+10 per cent)</w:t>
            </w:r>
          </w:p>
        </w:tc>
        <w:tc>
          <w:tcPr>
            <w:tcW w:w="1398" w:type="pct"/>
            <w:tcBorders>
              <w:top w:val="single" w:sz="4" w:space="0" w:color="4BB3B5"/>
              <w:bottom w:val="single" w:sz="4" w:space="0" w:color="4BB3B5"/>
            </w:tcBorders>
          </w:tcPr>
          <w:p w14:paraId="463E3D99" w14:textId="366FF612" w:rsidR="00271A50" w:rsidRPr="00713506" w:rsidRDefault="0095025B" w:rsidP="00271A50">
            <w:pPr>
              <w:cnfStyle w:val="000000000000" w:firstRow="0" w:lastRow="0" w:firstColumn="0" w:lastColumn="0" w:oddVBand="0" w:evenVBand="0" w:oddHBand="0" w:evenHBand="0" w:firstRowFirstColumn="0" w:firstRowLastColumn="0" w:lastRowFirstColumn="0" w:lastRowLastColumn="0"/>
            </w:pPr>
            <w:r>
              <w:t>2.</w:t>
            </w:r>
            <w:r w:rsidR="001413AB">
              <w:t>11</w:t>
            </w:r>
          </w:p>
        </w:tc>
        <w:tc>
          <w:tcPr>
            <w:tcW w:w="1420" w:type="pct"/>
            <w:tcBorders>
              <w:top w:val="single" w:sz="4" w:space="0" w:color="4BB3B5"/>
              <w:bottom w:val="single" w:sz="4" w:space="0" w:color="4BB3B5"/>
            </w:tcBorders>
          </w:tcPr>
          <w:p w14:paraId="5CCDF238" w14:textId="2F76D841" w:rsidR="00271A50" w:rsidRPr="00713506" w:rsidRDefault="001413AB" w:rsidP="00271A50">
            <w:pPr>
              <w:cnfStyle w:val="000000000000" w:firstRow="0" w:lastRow="0" w:firstColumn="0" w:lastColumn="0" w:oddVBand="0" w:evenVBand="0" w:oddHBand="0" w:evenHBand="0" w:firstRowFirstColumn="0" w:firstRowLastColumn="0" w:lastRowFirstColumn="0" w:lastRowLastColumn="0"/>
            </w:pPr>
            <w:r>
              <w:t>17</w:t>
            </w:r>
            <w:r w:rsidR="00065CC5">
              <w:t>8.5</w:t>
            </w:r>
          </w:p>
        </w:tc>
      </w:tr>
    </w:tbl>
    <w:p w14:paraId="1133FB0D" w14:textId="42056265" w:rsidR="00271A50" w:rsidRPr="00713506" w:rsidRDefault="00271A50" w:rsidP="00E52734">
      <w:pPr>
        <w:spacing w:before="240"/>
      </w:pPr>
      <w:r w:rsidRPr="00713506">
        <w:t>Finally, the fitment cost range was varied, based on the average and highest cost estimates by</w:t>
      </w:r>
      <w:r w:rsidR="00620AD9">
        <w:t xml:space="preserve"> the</w:t>
      </w:r>
      <w:r w:rsidRPr="00713506">
        <w:t xml:space="preserve"> NHTSA. As shown in </w:t>
      </w:r>
      <w:r w:rsidRPr="00713506">
        <w:fldChar w:fldCharType="begin"/>
      </w:r>
      <w:r w:rsidRPr="00713506">
        <w:instrText xml:space="preserve"> REF _Ref90972556 \h </w:instrText>
      </w:r>
      <w:r>
        <w:instrText xml:space="preserve"> \* MERGEFORMAT </w:instrText>
      </w:r>
      <w:r w:rsidRPr="00713506">
        <w:fldChar w:fldCharType="separate"/>
      </w:r>
      <w:r w:rsidR="005E58C6" w:rsidRPr="00713506">
        <w:t xml:space="preserve">Table </w:t>
      </w:r>
      <w:r w:rsidR="005E58C6">
        <w:t>4</w:t>
      </w:r>
      <w:r w:rsidRPr="00713506">
        <w:fldChar w:fldCharType="end"/>
      </w:r>
      <w:r w:rsidRPr="00713506">
        <w:t>, the net benefits using the average cost estimate remained positive. However, if all vehicles experienced the maximum cost increase estimated by</w:t>
      </w:r>
      <w:r w:rsidR="00620AD9">
        <w:t xml:space="preserve"> the</w:t>
      </w:r>
      <w:r w:rsidRPr="00713506">
        <w:t xml:space="preserve"> NHTSA, there would be a net cost.</w:t>
      </w:r>
    </w:p>
    <w:p w14:paraId="1232D294" w14:textId="7FFE9288" w:rsidR="00271A50" w:rsidRPr="00713506" w:rsidRDefault="00271A50" w:rsidP="001B78F5">
      <w:pPr>
        <w:pStyle w:val="Tablefigureheading"/>
      </w:pPr>
      <w:bookmarkStart w:id="144" w:name="_Ref90972556"/>
      <w:bookmarkStart w:id="145" w:name="_Toc128476428"/>
      <w:bookmarkStart w:id="146" w:name="_Toc153795486"/>
      <w:r w:rsidRPr="00713506">
        <w:t xml:space="preserve">Table </w:t>
      </w:r>
      <w:fldSimple w:instr=" SEQ Table \* ARABIC ">
        <w:r w:rsidR="005E58C6">
          <w:rPr>
            <w:noProof/>
          </w:rPr>
          <w:t>4</w:t>
        </w:r>
      </w:fldSimple>
      <w:bookmarkEnd w:id="144"/>
      <w:r w:rsidRPr="00713506">
        <w:t>: Sensitivity analysis - changes to fitment costs</w:t>
      </w:r>
      <w:bookmarkEnd w:id="145"/>
      <w:bookmarkEnd w:id="146"/>
    </w:p>
    <w:tbl>
      <w:tblPr>
        <w:tblStyle w:val="DefaultTable1"/>
        <w:tblW w:w="5000" w:type="pct"/>
        <w:tblLook w:val="04A0" w:firstRow="1" w:lastRow="0" w:firstColumn="1" w:lastColumn="0" w:noHBand="0" w:noVBand="1"/>
        <w:tblCaption w:val="Sensitivity analysis of changes to the fitment costs"/>
        <w:tblDescription w:val="Table summarising what the benefit-cost ratio and net benefits (in million of dollars) would be for Option 2 if the fitment cost was increased to the average of the cost estimates by NHTSA, and to the highest of the cost estimates by NHTSA. The base case uses the lowest of the cost estimates."/>
      </w:tblPr>
      <w:tblGrid>
        <w:gridCol w:w="3184"/>
        <w:gridCol w:w="3121"/>
        <w:gridCol w:w="3170"/>
      </w:tblGrid>
      <w:tr w:rsidR="00271A50" w:rsidRPr="00713506" w14:paraId="0F7E706C"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Borders>
              <w:bottom w:val="single" w:sz="4" w:space="0" w:color="595959" w:themeColor="text1" w:themeTint="A6"/>
            </w:tcBorders>
            <w:shd w:val="clear" w:color="auto" w:fill="081E3E"/>
          </w:tcPr>
          <w:p w14:paraId="42C53BBA" w14:textId="77777777" w:rsidR="00271A50" w:rsidRPr="00713506" w:rsidRDefault="00271A50" w:rsidP="00271A50">
            <w:r w:rsidRPr="00713506">
              <w:t>Case</w:t>
            </w:r>
          </w:p>
        </w:tc>
        <w:tc>
          <w:tcPr>
            <w:tcW w:w="1647" w:type="pct"/>
            <w:tcBorders>
              <w:bottom w:val="single" w:sz="4" w:space="0" w:color="595959" w:themeColor="text1" w:themeTint="A6"/>
            </w:tcBorders>
            <w:shd w:val="clear" w:color="auto" w:fill="081E3E"/>
          </w:tcPr>
          <w:p w14:paraId="23911EBF"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673" w:type="pct"/>
            <w:tcBorders>
              <w:bottom w:val="single" w:sz="4" w:space="0" w:color="595959" w:themeColor="text1" w:themeTint="A6"/>
            </w:tcBorders>
            <w:shd w:val="clear" w:color="auto" w:fill="081E3E"/>
          </w:tcPr>
          <w:p w14:paraId="11554681"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3AED820A" w14:textId="77777777" w:rsidTr="003C45B0">
        <w:tc>
          <w:tcPr>
            <w:cnfStyle w:val="001000000000" w:firstRow="0" w:lastRow="0" w:firstColumn="1" w:lastColumn="0" w:oddVBand="0" w:evenVBand="0" w:oddHBand="0" w:evenHBand="0" w:firstRowFirstColumn="0" w:firstRowLastColumn="0" w:lastRowFirstColumn="0" w:lastRowLastColumn="0"/>
            <w:tcW w:w="1680" w:type="pct"/>
            <w:tcBorders>
              <w:bottom w:val="single" w:sz="4" w:space="0" w:color="4BB3B5"/>
              <w:right w:val="nil"/>
            </w:tcBorders>
          </w:tcPr>
          <w:p w14:paraId="00ABA380" w14:textId="77777777" w:rsidR="00271A50" w:rsidRPr="00713506" w:rsidRDefault="00271A50" w:rsidP="00271A50">
            <w:r w:rsidRPr="00713506">
              <w:t>Base case fitment cost ($77)</w:t>
            </w:r>
          </w:p>
        </w:tc>
        <w:tc>
          <w:tcPr>
            <w:tcW w:w="1647" w:type="pct"/>
            <w:tcBorders>
              <w:left w:val="nil"/>
              <w:bottom w:val="single" w:sz="4" w:space="0" w:color="4BB3B5"/>
              <w:right w:val="nil"/>
            </w:tcBorders>
          </w:tcPr>
          <w:p w14:paraId="53AC04D2" w14:textId="7D531419" w:rsidR="00271A50" w:rsidRPr="00713506" w:rsidRDefault="008B7C12" w:rsidP="00271A50">
            <w:pPr>
              <w:cnfStyle w:val="000000000000" w:firstRow="0" w:lastRow="0" w:firstColumn="0" w:lastColumn="0" w:oddVBand="0" w:evenVBand="0" w:oddHBand="0" w:evenHBand="0" w:firstRowFirstColumn="0" w:firstRowLastColumn="0" w:lastRowFirstColumn="0" w:lastRowLastColumn="0"/>
            </w:pPr>
            <w:r>
              <w:t>2.</w:t>
            </w:r>
            <w:r w:rsidR="001413AB">
              <w:t>1</w:t>
            </w:r>
            <w:r w:rsidR="00065CC5">
              <w:t>8</w:t>
            </w:r>
          </w:p>
        </w:tc>
        <w:tc>
          <w:tcPr>
            <w:tcW w:w="1673" w:type="pct"/>
            <w:tcBorders>
              <w:left w:val="nil"/>
              <w:bottom w:val="single" w:sz="4" w:space="0" w:color="4BB3B5"/>
            </w:tcBorders>
          </w:tcPr>
          <w:p w14:paraId="0941C349" w14:textId="1135DF58" w:rsidR="00271A50" w:rsidRPr="00713506" w:rsidRDefault="001413AB" w:rsidP="00271A50">
            <w:pPr>
              <w:cnfStyle w:val="000000000000" w:firstRow="0" w:lastRow="0" w:firstColumn="0" w:lastColumn="0" w:oddVBand="0" w:evenVBand="0" w:oddHBand="0" w:evenHBand="0" w:firstRowFirstColumn="0" w:firstRowLastColumn="0" w:lastRowFirstColumn="0" w:lastRowLastColumn="0"/>
            </w:pPr>
            <w:r>
              <w:t>21</w:t>
            </w:r>
            <w:r w:rsidR="00065CC5">
              <w:t>0.3</w:t>
            </w:r>
          </w:p>
        </w:tc>
      </w:tr>
      <w:tr w:rsidR="00271A50" w:rsidRPr="00713506" w14:paraId="7F216690"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Borders>
              <w:top w:val="single" w:sz="4" w:space="0" w:color="4BB3B5"/>
              <w:bottom w:val="single" w:sz="4" w:space="0" w:color="4BB3B5"/>
              <w:right w:val="nil"/>
            </w:tcBorders>
          </w:tcPr>
          <w:p w14:paraId="44A28E27" w14:textId="77777777" w:rsidR="00271A50" w:rsidRPr="00713506" w:rsidRDefault="00271A50" w:rsidP="00271A50">
            <w:r w:rsidRPr="00713506">
              <w:t>Average fitment cost ($130)</w:t>
            </w:r>
          </w:p>
        </w:tc>
        <w:tc>
          <w:tcPr>
            <w:tcW w:w="1647" w:type="pct"/>
            <w:tcBorders>
              <w:top w:val="single" w:sz="4" w:space="0" w:color="4BB3B5"/>
              <w:left w:val="nil"/>
              <w:bottom w:val="single" w:sz="4" w:space="0" w:color="4BB3B5"/>
              <w:right w:val="nil"/>
            </w:tcBorders>
          </w:tcPr>
          <w:p w14:paraId="2B3443D0" w14:textId="5AC60085" w:rsidR="00271A50" w:rsidRPr="00713506" w:rsidRDefault="00271A50" w:rsidP="00271A50">
            <w:pPr>
              <w:cnfStyle w:val="000000010000" w:firstRow="0" w:lastRow="0" w:firstColumn="0" w:lastColumn="0" w:oddVBand="0" w:evenVBand="0" w:oddHBand="0" w:evenHBand="1" w:firstRowFirstColumn="0" w:firstRowLastColumn="0" w:lastRowFirstColumn="0" w:lastRowLastColumn="0"/>
            </w:pPr>
            <w:r w:rsidRPr="00713506">
              <w:t>1.</w:t>
            </w:r>
            <w:r w:rsidR="00E333BB">
              <w:t>30</w:t>
            </w:r>
          </w:p>
        </w:tc>
        <w:tc>
          <w:tcPr>
            <w:tcW w:w="1673" w:type="pct"/>
            <w:tcBorders>
              <w:top w:val="single" w:sz="4" w:space="0" w:color="4BB3B5"/>
              <w:left w:val="nil"/>
              <w:bottom w:val="single" w:sz="4" w:space="0" w:color="4BB3B5"/>
            </w:tcBorders>
          </w:tcPr>
          <w:p w14:paraId="0F1A4DA5" w14:textId="790EC814" w:rsidR="00271A50" w:rsidRPr="00713506" w:rsidRDefault="00065CC5" w:rsidP="00271A50">
            <w:pPr>
              <w:cnfStyle w:val="000000010000" w:firstRow="0" w:lastRow="0" w:firstColumn="0" w:lastColumn="0" w:oddVBand="0" w:evenVBand="0" w:oddHBand="0" w:evenHBand="1" w:firstRowFirstColumn="0" w:firstRowLastColumn="0" w:lastRowFirstColumn="0" w:lastRowLastColumn="0"/>
            </w:pPr>
            <w:r>
              <w:t>89.4</w:t>
            </w:r>
          </w:p>
        </w:tc>
      </w:tr>
      <w:tr w:rsidR="00271A50" w:rsidRPr="00713506" w14:paraId="72EFA7CA" w14:textId="77777777" w:rsidTr="003C45B0">
        <w:tc>
          <w:tcPr>
            <w:cnfStyle w:val="001000000000" w:firstRow="0" w:lastRow="0" w:firstColumn="1" w:lastColumn="0" w:oddVBand="0" w:evenVBand="0" w:oddHBand="0" w:evenHBand="0" w:firstRowFirstColumn="0" w:firstRowLastColumn="0" w:lastRowFirstColumn="0" w:lastRowLastColumn="0"/>
            <w:tcW w:w="1680" w:type="pct"/>
            <w:tcBorders>
              <w:top w:val="single" w:sz="4" w:space="0" w:color="4BB3B5"/>
              <w:bottom w:val="single" w:sz="4" w:space="0" w:color="4BB3B5"/>
              <w:right w:val="nil"/>
            </w:tcBorders>
          </w:tcPr>
          <w:p w14:paraId="3F68A849" w14:textId="77777777" w:rsidR="00271A50" w:rsidRPr="00713506" w:rsidRDefault="00271A50" w:rsidP="00271A50">
            <w:r w:rsidRPr="00713506">
              <w:t>High fitment cost ($182)</w:t>
            </w:r>
          </w:p>
        </w:tc>
        <w:tc>
          <w:tcPr>
            <w:tcW w:w="1647" w:type="pct"/>
            <w:tcBorders>
              <w:top w:val="single" w:sz="4" w:space="0" w:color="4BB3B5"/>
              <w:left w:val="nil"/>
              <w:bottom w:val="single" w:sz="4" w:space="0" w:color="4BB3B5"/>
              <w:right w:val="nil"/>
            </w:tcBorders>
          </w:tcPr>
          <w:p w14:paraId="2D0CC9AB" w14:textId="471E9855"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0.</w:t>
            </w:r>
            <w:r w:rsidR="001413AB">
              <w:t>93</w:t>
            </w:r>
          </w:p>
        </w:tc>
        <w:tc>
          <w:tcPr>
            <w:tcW w:w="1673" w:type="pct"/>
            <w:tcBorders>
              <w:top w:val="single" w:sz="4" w:space="0" w:color="4BB3B5"/>
              <w:left w:val="nil"/>
              <w:bottom w:val="single" w:sz="4" w:space="0" w:color="4BB3B5"/>
            </w:tcBorders>
          </w:tcPr>
          <w:p w14:paraId="5EA17418" w14:textId="7BC6D276"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w:t>
            </w:r>
            <w:r w:rsidR="001413AB">
              <w:t>3</w:t>
            </w:r>
            <w:r w:rsidR="00065CC5">
              <w:t>1.6</w:t>
            </w:r>
          </w:p>
        </w:tc>
      </w:tr>
    </w:tbl>
    <w:p w14:paraId="6F04DFE0" w14:textId="77777777" w:rsidR="00271A50" w:rsidRPr="00713506" w:rsidRDefault="00A34FA2" w:rsidP="009729B4">
      <w:pPr>
        <w:pStyle w:val="Heading3"/>
      </w:pPr>
      <w:bookmarkStart w:id="147" w:name="_Toc128476465"/>
      <w:bookmarkStart w:id="148" w:name="_Toc151556417"/>
      <w:bookmarkStart w:id="149" w:name="_Toc153795423"/>
      <w:r>
        <w:lastRenderedPageBreak/>
        <w:t>4</w:t>
      </w:r>
      <w:r w:rsidR="00C415C2">
        <w:t xml:space="preserve">.4 </w:t>
      </w:r>
      <w:r w:rsidR="00271A50" w:rsidRPr="00713506">
        <w:t>Analysis</w:t>
      </w:r>
      <w:r w:rsidR="00271A50">
        <w:t xml:space="preserve"> of impacts</w:t>
      </w:r>
      <w:bookmarkEnd w:id="147"/>
      <w:bookmarkEnd w:id="148"/>
      <w:bookmarkEnd w:id="149"/>
    </w:p>
    <w:p w14:paraId="047D6F92" w14:textId="4B9A8955" w:rsidR="00BC0FB4" w:rsidRDefault="00271A50" w:rsidP="003C45B0">
      <w:pPr>
        <w:keepNext/>
        <w:keepLines/>
      </w:pPr>
      <w:r>
        <w:t>This section</w:t>
      </w:r>
      <w:r w:rsidRPr="00713506">
        <w:t xml:space="preserve"> considers </w:t>
      </w:r>
      <w:r>
        <w:t>how</w:t>
      </w:r>
      <w:r w:rsidRPr="00713506">
        <w:t xml:space="preserve"> </w:t>
      </w:r>
      <w:r>
        <w:t xml:space="preserve">the </w:t>
      </w:r>
      <w:r w:rsidRPr="00713506">
        <w:t>benefits and costs of Option 2</w:t>
      </w:r>
      <w:r w:rsidR="00AB538E">
        <w:t>, 3a and 3b</w:t>
      </w:r>
      <w:r w:rsidRPr="00713506">
        <w:t xml:space="preserve"> </w:t>
      </w:r>
      <w:r>
        <w:t xml:space="preserve">may be distributed </w:t>
      </w:r>
      <w:r w:rsidRPr="00713506">
        <w:t>among affected parties.</w:t>
      </w:r>
    </w:p>
    <w:p w14:paraId="04E7F31C" w14:textId="77777777" w:rsidR="00271A50" w:rsidRPr="00713506" w:rsidRDefault="00A34FA2" w:rsidP="009729B4">
      <w:pPr>
        <w:pStyle w:val="Heading4"/>
      </w:pPr>
      <w:bookmarkStart w:id="150" w:name="_Toc128476466"/>
      <w:bookmarkStart w:id="151" w:name="_Toc151556418"/>
      <w:bookmarkStart w:id="152" w:name="_Toc153795424"/>
      <w:r>
        <w:t>4</w:t>
      </w:r>
      <w:r w:rsidR="00C415C2">
        <w:t xml:space="preserve">.4.1 </w:t>
      </w:r>
      <w:r w:rsidR="00271A50" w:rsidRPr="00713506">
        <w:t>Business</w:t>
      </w:r>
      <w:bookmarkEnd w:id="150"/>
      <w:bookmarkEnd w:id="151"/>
      <w:bookmarkEnd w:id="152"/>
    </w:p>
    <w:p w14:paraId="4ABA96C2" w14:textId="3BF98D4D" w:rsidR="00E333BB" w:rsidRDefault="00C03CED" w:rsidP="003C45B0">
      <w:pPr>
        <w:pStyle w:val="Heading5"/>
        <w:keepLines/>
      </w:pPr>
      <w:r>
        <w:t>Benefits</w:t>
      </w:r>
    </w:p>
    <w:p w14:paraId="5269E3CA" w14:textId="22EAF1F1" w:rsidR="00E333BB" w:rsidRDefault="00E333BB" w:rsidP="003C45B0">
      <w:pPr>
        <w:keepNext/>
        <w:keepLines/>
      </w:pPr>
      <w:r>
        <w:t xml:space="preserve">As the requirements of </w:t>
      </w:r>
      <w:r w:rsidR="00243D4A">
        <w:t xml:space="preserve">the </w:t>
      </w:r>
      <w:r>
        <w:t xml:space="preserve">proposed ADR will </w:t>
      </w:r>
      <w:r w:rsidR="00243D4A">
        <w:t xml:space="preserve">increase </w:t>
      </w:r>
      <w:r>
        <w:t>harmonis</w:t>
      </w:r>
      <w:r w:rsidR="00243D4A">
        <w:t>ation</w:t>
      </w:r>
      <w:r>
        <w:t xml:space="preserve"> with UN vehicle regulations, </w:t>
      </w:r>
      <w:r w:rsidR="00243D4A">
        <w:t xml:space="preserve">and harmonisation across jurisdictions within Australia, </w:t>
      </w:r>
      <w:r>
        <w:t>vehicle manufacturers will benefit from reduced technical barriers to trade</w:t>
      </w:r>
      <w:r w:rsidR="00243D4A">
        <w:t xml:space="preserve">. Under the UN 1958 Agreement, </w:t>
      </w:r>
      <w:r>
        <w:t>UN type approval</w:t>
      </w:r>
      <w:r w:rsidR="00243D4A">
        <w:t xml:space="preserve">s </w:t>
      </w:r>
      <w:r>
        <w:t xml:space="preserve">a granted by </w:t>
      </w:r>
      <w:r w:rsidR="00243D4A">
        <w:t>an</w:t>
      </w:r>
      <w:r>
        <w:t xml:space="preserve">other contracting parties applying this regulation will be automatically </w:t>
      </w:r>
      <w:r w:rsidR="00243D4A">
        <w:t>accepted by the department as complying the equivalent ADR.</w:t>
      </w:r>
    </w:p>
    <w:p w14:paraId="5613E1C3" w14:textId="44AE1E9D" w:rsidR="00271A50" w:rsidRDefault="00271A50" w:rsidP="00271A50">
      <w:r w:rsidRPr="00713506">
        <w:t>Component suppliers (mostly international) would benefit directly in terms of increased revenue from supplying additional equipment to manufacturers.</w:t>
      </w:r>
    </w:p>
    <w:p w14:paraId="53C8DFF0" w14:textId="5AC1313E" w:rsidR="00271A50" w:rsidRDefault="00271A50" w:rsidP="00271A50">
      <w:r w:rsidRPr="00BF6EF4">
        <w:t xml:space="preserve">There would be an indirect benefit to businesses as a result of the reduction in the number of work days lost due to </w:t>
      </w:r>
      <w:r w:rsidR="00243D4A" w:rsidRPr="00BF6EF4">
        <w:t>the reduced likelihood of</w:t>
      </w:r>
      <w:r w:rsidRPr="00BF6EF4">
        <w:t xml:space="preserve"> employees being </w:t>
      </w:r>
      <w:r w:rsidR="00243D4A" w:rsidRPr="00BF6EF4">
        <w:t>involved in road trauma involving QRTVs</w:t>
      </w:r>
      <w:r w:rsidRPr="00BF6EF4">
        <w:t xml:space="preserve">. </w:t>
      </w:r>
      <w:r w:rsidR="00243D4A" w:rsidRPr="00BF6EF4">
        <w:t>This</w:t>
      </w:r>
      <w:r w:rsidR="00243D4A">
        <w:t xml:space="preserve"> could</w:t>
      </w:r>
      <w:r>
        <w:t xml:space="preserve"> </w:t>
      </w:r>
      <w:r w:rsidR="002E7E36">
        <w:t xml:space="preserve">save </w:t>
      </w:r>
      <w:r>
        <w:t xml:space="preserve">recruitment, training and development costs associated with the replacement of employees killed or permanently incapacitated by </w:t>
      </w:r>
      <w:r w:rsidR="00243D4A">
        <w:t>road trauma</w:t>
      </w:r>
      <w:r>
        <w:t>.</w:t>
      </w:r>
    </w:p>
    <w:p w14:paraId="5C43DBD1" w14:textId="72C5C25C" w:rsidR="00271A50" w:rsidRDefault="00271A50" w:rsidP="00271A50">
      <w:r>
        <w:t xml:space="preserve">There would be negative impacts to businesses in the event that a </w:t>
      </w:r>
      <w:r w:rsidR="00243D4A">
        <w:t xml:space="preserve">QRTV </w:t>
      </w:r>
      <w:r>
        <w:t>not fitted with an AVAS is involved in a pedestrian collision</w:t>
      </w:r>
      <w:r w:rsidR="00DF2ECD">
        <w:t>, which would increase in line with the number of QRTVs not fitted with AVAS</w:t>
      </w:r>
      <w:r>
        <w:t xml:space="preserve">. This </w:t>
      </w:r>
      <w:r w:rsidR="00DF2ECD">
        <w:t>could</w:t>
      </w:r>
      <w:r>
        <w:t xml:space="preserve"> include financial losses as a result of reputational damage for vehicle manufacturers</w:t>
      </w:r>
      <w:r w:rsidR="00243D4A">
        <w:t>, higher insurance premiums and impacts on the</w:t>
      </w:r>
      <w:r>
        <w:t xml:space="preserve"> ability of business owners to conduct their trade </w:t>
      </w:r>
      <w:r w:rsidR="00243D4A">
        <w:t>if a vehicle involved in a collision is out of service</w:t>
      </w:r>
      <w:r>
        <w:t>.</w:t>
      </w:r>
    </w:p>
    <w:p w14:paraId="3254D4C4" w14:textId="77777777" w:rsidR="00271A50" w:rsidRPr="00713506" w:rsidRDefault="00271A50" w:rsidP="00271A50">
      <w:r>
        <w:t>Other benefits to business include the creation of a level playing field for all vehicle manufacturers as AVAS requirements are standardised across the new vehicle fleet.</w:t>
      </w:r>
    </w:p>
    <w:p w14:paraId="7B7335FF" w14:textId="77777777" w:rsidR="00271A50" w:rsidRDefault="00271A50" w:rsidP="00C415C2">
      <w:pPr>
        <w:pStyle w:val="Heading5"/>
      </w:pPr>
      <w:r>
        <w:t>Costs</w:t>
      </w:r>
    </w:p>
    <w:p w14:paraId="0DEB6CD4" w14:textId="27BE48F2" w:rsidR="00271A50" w:rsidRPr="00713506" w:rsidRDefault="00271A50" w:rsidP="00271A50">
      <w:r w:rsidRPr="00713506">
        <w:t xml:space="preserve">There would be a direct cost to vehicle manufacturers </w:t>
      </w:r>
      <w:r w:rsidR="00243D4A">
        <w:t>that do not currently fit AVAS to Australian models</w:t>
      </w:r>
      <w:r w:rsidRPr="00713506">
        <w:t xml:space="preserve"> </w:t>
      </w:r>
      <w:r w:rsidR="00243D4A">
        <w:t xml:space="preserve">(estimated to be less than $100 per vehicle) </w:t>
      </w:r>
      <w:r w:rsidRPr="00713506">
        <w:t xml:space="preserve">as a result of design, development, fitment and testing costs for the additional vehicles fitted with AVAS. </w:t>
      </w:r>
      <w:r w:rsidR="00243D4A">
        <w:t>To the extent that market forces allow, m</w:t>
      </w:r>
      <w:r w:rsidRPr="00713506">
        <w:t xml:space="preserve">anufacturers </w:t>
      </w:r>
      <w:r w:rsidR="00243D4A">
        <w:t xml:space="preserve">could </w:t>
      </w:r>
      <w:r w:rsidRPr="00713506">
        <w:t xml:space="preserve">pass </w:t>
      </w:r>
      <w:r w:rsidR="00243D4A">
        <w:t xml:space="preserve">on </w:t>
      </w:r>
      <w:r w:rsidRPr="00713506">
        <w:t xml:space="preserve">this increase in </w:t>
      </w:r>
      <w:r w:rsidR="00243D4A">
        <w:t xml:space="preserve">vehicle supply </w:t>
      </w:r>
      <w:r w:rsidRPr="00713506">
        <w:t xml:space="preserve">costs </w:t>
      </w:r>
      <w:r w:rsidR="00243D4A">
        <w:t>to new vehicle purchases through higher vehicle prices</w:t>
      </w:r>
      <w:r w:rsidRPr="00713506">
        <w:t xml:space="preserve">. </w:t>
      </w:r>
      <w:r w:rsidR="00BF6EF4">
        <w:t>While some manufacturers may pass on fitment costs to consumers, fitment costs for new technologies tend to decrease as the technology becomes commonplace</w:t>
      </w:r>
    </w:p>
    <w:p w14:paraId="1BBAB7CA" w14:textId="77777777" w:rsidR="00271A50" w:rsidRPr="00713506" w:rsidRDefault="009E7891" w:rsidP="009729B4">
      <w:pPr>
        <w:pStyle w:val="Heading4"/>
      </w:pPr>
      <w:bookmarkStart w:id="153" w:name="_Toc128476467"/>
      <w:bookmarkStart w:id="154" w:name="_Toc151556419"/>
      <w:bookmarkStart w:id="155" w:name="_Toc153795425"/>
      <w:r>
        <w:t>4</w:t>
      </w:r>
      <w:r w:rsidR="00C415C2">
        <w:t xml:space="preserve">.4.2 </w:t>
      </w:r>
      <w:r w:rsidR="00271A50" w:rsidRPr="00713506">
        <w:t>Consumers</w:t>
      </w:r>
      <w:bookmarkEnd w:id="153"/>
      <w:bookmarkEnd w:id="154"/>
      <w:bookmarkEnd w:id="155"/>
    </w:p>
    <w:p w14:paraId="652991C1" w14:textId="77777777" w:rsidR="00271A50" w:rsidRDefault="00271A50" w:rsidP="00C415C2">
      <w:pPr>
        <w:pStyle w:val="Heading5"/>
      </w:pPr>
      <w:r>
        <w:t>Benefits</w:t>
      </w:r>
    </w:p>
    <w:p w14:paraId="06C97CFF" w14:textId="52658BFB" w:rsidR="00271A50" w:rsidRDefault="00271A50" w:rsidP="00271A50">
      <w:r w:rsidRPr="00713506">
        <w:t xml:space="preserve">There would be a direct benefit for </w:t>
      </w:r>
      <w:r w:rsidR="00AF4B60">
        <w:t xml:space="preserve">new </w:t>
      </w:r>
      <w:r w:rsidRPr="00713506">
        <w:t>vehicle owners from fewer pedestrian crashes</w:t>
      </w:r>
      <w:r w:rsidR="00AF4B60">
        <w:t xml:space="preserve"> involving QRTVs</w:t>
      </w:r>
      <w:r w:rsidRPr="00713506">
        <w:t>. Owners would save on costs like vehicle repair and replacement, compensation, and legal costs, as well as avoid the significant mental trauma involved with these crashes.</w:t>
      </w:r>
    </w:p>
    <w:p w14:paraId="7ACCFAFB" w14:textId="77777777" w:rsidR="00271A50" w:rsidRDefault="00271A50" w:rsidP="00271A50">
      <w:r>
        <w:t>There would also be a direct benefit for the wider Australian community. Fewer individuals, and their families and friends, would have to deal with the physical and mental trauma, medical costs and lost income of being involved in a crash.</w:t>
      </w:r>
    </w:p>
    <w:p w14:paraId="24C55FCE" w14:textId="77777777" w:rsidR="00783DD0" w:rsidRDefault="00271A50" w:rsidP="00271A50">
      <w:r>
        <w:t>A new ADR for AVAS would particularly benefit the blind and low vision community, by giving them greater confidence to walk on and near roads, allowing them to participate more in social and economic activities. This would have flow-on mental health benefits, particularly with respect to reduced anxiety and depression. (</w:t>
      </w:r>
      <w:r w:rsidRPr="00713506">
        <w:t>Liu et al 2018)</w:t>
      </w:r>
    </w:p>
    <w:p w14:paraId="42F9159D" w14:textId="1B24DF10" w:rsidR="00783DD0" w:rsidRDefault="00095363" w:rsidP="00271A50">
      <w:r w:rsidRPr="00183CD8">
        <w:rPr>
          <w:lang w:val="en-GB"/>
        </w:rPr>
        <w:lastRenderedPageBreak/>
        <w:t>An additional benefit that cannot be quantified surrounds facilitating a more inclusive environment where blind and low vision persons can participate in a healthy social lifestyle with confidence.</w:t>
      </w:r>
    </w:p>
    <w:p w14:paraId="68BEEF37" w14:textId="77777777" w:rsidR="00271A50" w:rsidRDefault="00271A50" w:rsidP="00C415C2">
      <w:pPr>
        <w:pStyle w:val="Heading5"/>
      </w:pPr>
      <w:r>
        <w:t>Costs</w:t>
      </w:r>
    </w:p>
    <w:p w14:paraId="7FEC003F" w14:textId="708E21D5" w:rsidR="00271A50" w:rsidRPr="00713506" w:rsidRDefault="00271A50" w:rsidP="00271A50">
      <w:r w:rsidRPr="00713506">
        <w:t xml:space="preserve">There </w:t>
      </w:r>
      <w:r w:rsidR="00CC2354">
        <w:t>may</w:t>
      </w:r>
      <w:r w:rsidR="00CC2354" w:rsidRPr="00713506">
        <w:t xml:space="preserve"> </w:t>
      </w:r>
      <w:r w:rsidRPr="00713506">
        <w:t>be an indirect cost for consumers buying new vehicles, due to manufacturers passing on the costs of meeting the new ADR. However, as noted above, the extent to which this may happen is influenced by a highly competitive vehicle market in Australia.</w:t>
      </w:r>
    </w:p>
    <w:p w14:paraId="1BD266FA" w14:textId="77777777" w:rsidR="00271A50" w:rsidRPr="00713506" w:rsidRDefault="009E7891" w:rsidP="009729B4">
      <w:pPr>
        <w:pStyle w:val="Heading4"/>
      </w:pPr>
      <w:bookmarkStart w:id="156" w:name="_Toc128476468"/>
      <w:bookmarkStart w:id="157" w:name="_Toc151556420"/>
      <w:bookmarkStart w:id="158" w:name="_Toc153795426"/>
      <w:r>
        <w:t>4</w:t>
      </w:r>
      <w:r w:rsidR="00C415C2">
        <w:t xml:space="preserve">.4.3 </w:t>
      </w:r>
      <w:r w:rsidR="00271A50" w:rsidRPr="00713506">
        <w:t>Governments</w:t>
      </w:r>
      <w:bookmarkEnd w:id="156"/>
      <w:bookmarkEnd w:id="157"/>
      <w:bookmarkEnd w:id="158"/>
    </w:p>
    <w:p w14:paraId="71C5427C" w14:textId="77777777" w:rsidR="00271A50" w:rsidRDefault="00271A50" w:rsidP="00C415C2">
      <w:pPr>
        <w:pStyle w:val="Heading5"/>
      </w:pPr>
      <w:r>
        <w:t>Benefits</w:t>
      </w:r>
    </w:p>
    <w:p w14:paraId="37947BB2" w14:textId="17B4CAFD" w:rsidR="00271A50" w:rsidRDefault="00271A50" w:rsidP="00271A50">
      <w:r w:rsidRPr="00713506">
        <w:t>There would be an indirect benefit to governments from fewer pedestrian crashes, through reduced burden on public health systems.</w:t>
      </w:r>
    </w:p>
    <w:p w14:paraId="565A1DD3" w14:textId="0A604681" w:rsidR="00271A50" w:rsidRPr="00EE4123" w:rsidRDefault="00271A50" w:rsidP="00271A50">
      <w:r w:rsidRPr="00EE4123">
        <w:t xml:space="preserve">There would </w:t>
      </w:r>
      <w:r w:rsidR="00CC2354">
        <w:t xml:space="preserve">also </w:t>
      </w:r>
      <w:r w:rsidRPr="00EE4123">
        <w:t xml:space="preserve">be an indirect benefit to the Australian Government by supporting its commitments under the </w:t>
      </w:r>
      <w:r w:rsidRPr="35E123EC">
        <w:rPr>
          <w:i/>
        </w:rPr>
        <w:t xml:space="preserve">UN Convention on the Rights of Persons with Disabilities </w:t>
      </w:r>
      <w:r w:rsidRPr="00EE4123">
        <w:t>(UN CRPD). In 2008, Australia ratified the UN CRPD, which establishes normative standards and principles for the treatment of people with disability under international human rights law.</w:t>
      </w:r>
    </w:p>
    <w:p w14:paraId="5A371067" w14:textId="77777777" w:rsidR="00271A50" w:rsidRDefault="00271A50" w:rsidP="00271A50">
      <w:r w:rsidRPr="00FE0C48">
        <w:t xml:space="preserve">In line with Australia’s commitments under the UN CRPD, </w:t>
      </w:r>
      <w:r>
        <w:t xml:space="preserve">the national disability policy framework - </w:t>
      </w:r>
      <w:r w:rsidRPr="00FE0C48">
        <w:t>Australia’s Disability Strategy 2021</w:t>
      </w:r>
      <w:r w:rsidR="00495354">
        <w:t>–</w:t>
      </w:r>
      <w:r w:rsidRPr="00FE0C48">
        <w:t>2031</w:t>
      </w:r>
      <w:r>
        <w:t xml:space="preserve"> – plays an important role in protecting, promoting and </w:t>
      </w:r>
      <w:r w:rsidRPr="00FE0C48">
        <w:t>realising the human rights of people with disability.</w:t>
      </w:r>
    </w:p>
    <w:p w14:paraId="0D7D16B6" w14:textId="77777777" w:rsidR="00271A50" w:rsidRDefault="00271A50" w:rsidP="00271A50">
      <w:r w:rsidRPr="00FE0C48">
        <w:t xml:space="preserve">The </w:t>
      </w:r>
      <w:r>
        <w:t>s</w:t>
      </w:r>
      <w:r w:rsidRPr="00FE0C48">
        <w:t>trategy identifie</w:t>
      </w:r>
      <w:r>
        <w:t>s</w:t>
      </w:r>
      <w:r w:rsidRPr="00FE0C48">
        <w:t xml:space="preserve"> accessibility of transport systems as a policy priority area, necessary to ensure people with disability have economic security and enabling them to plan for the future and exercise choice and control over their lives.</w:t>
      </w:r>
      <w:r>
        <w:t xml:space="preserve"> A new ADR for AVAS would support this priority area, by giving the blind and low vision community greater confidence to walk on and near roads.</w:t>
      </w:r>
    </w:p>
    <w:p w14:paraId="12DD0F0C" w14:textId="77777777" w:rsidR="00271A50" w:rsidRDefault="00271A50" w:rsidP="00C415C2">
      <w:pPr>
        <w:pStyle w:val="Heading5"/>
      </w:pPr>
      <w:r>
        <w:t>Costs</w:t>
      </w:r>
    </w:p>
    <w:p w14:paraId="45970B69" w14:textId="77777777" w:rsidR="00271A50" w:rsidRPr="00930D6A" w:rsidRDefault="00271A50" w:rsidP="00271A50">
      <w:r w:rsidRPr="00713506">
        <w:t>The Australian Government would incur administrative costs to develop, implement and maintain the new ADR.</w:t>
      </w:r>
    </w:p>
    <w:p w14:paraId="4E9DA2FF" w14:textId="77777777" w:rsidR="00271A50" w:rsidRPr="00930D6A" w:rsidRDefault="00B85F6F" w:rsidP="009729B4">
      <w:pPr>
        <w:pStyle w:val="Heading3"/>
      </w:pPr>
      <w:bookmarkStart w:id="159" w:name="_Toc128476469"/>
      <w:bookmarkStart w:id="160" w:name="_Toc151556421"/>
      <w:bookmarkStart w:id="161" w:name="_Toc153795427"/>
      <w:r>
        <w:t xml:space="preserve">4.5 </w:t>
      </w:r>
      <w:r w:rsidR="00271A50" w:rsidRPr="00930D6A">
        <w:t>Regulatory Burden and Cost Offsets</w:t>
      </w:r>
      <w:bookmarkEnd w:id="159"/>
      <w:bookmarkEnd w:id="160"/>
      <w:bookmarkEnd w:id="161"/>
    </w:p>
    <w:p w14:paraId="1082E10A" w14:textId="77777777" w:rsidR="00271A50" w:rsidRPr="00930D6A" w:rsidRDefault="00271A50" w:rsidP="00271A50">
      <w:r w:rsidRPr="00930D6A">
        <w:t xml:space="preserve">The Australian Government Guide to </w:t>
      </w:r>
      <w:r w:rsidR="00592447">
        <w:t>Policy</w:t>
      </w:r>
      <w:r w:rsidR="00592447" w:rsidRPr="00930D6A">
        <w:t xml:space="preserve"> </w:t>
      </w:r>
      <w:r w:rsidRPr="00930D6A">
        <w:t>Impact Analysis (202</w:t>
      </w:r>
      <w:r w:rsidR="00592447">
        <w:t>3</w:t>
      </w:r>
      <w:r w:rsidRPr="00930D6A">
        <w:t>) requires that all new regulatory options are costed using the Regulatory Burden Measurement (RBM) Framework. Under the RBM Framework, the regulatory burden is the cost of a proposal to business and the community (not including the cost to government). It is calculated in a prescribed manner that usually results in it being different to the overall costs of a proposal in the benefit-cost analysis.</w:t>
      </w:r>
    </w:p>
    <w:p w14:paraId="07FFEC4A" w14:textId="0DDC00E3" w:rsidR="00271A50" w:rsidRPr="00930D6A" w:rsidRDefault="00271A50" w:rsidP="00271A50">
      <w:r w:rsidRPr="00930D6A">
        <w:t xml:space="preserve">In line with the RBM Framework, the average annual regulatory costs </w:t>
      </w:r>
      <w:r w:rsidR="00C833B6">
        <w:t xml:space="preserve">for options 2, 3a and 3b </w:t>
      </w:r>
      <w:r w:rsidRPr="00930D6A">
        <w:t>were calculated for this proposal by totalling the undiscounted (nominal) cost (including fitment cost</w:t>
      </w:r>
      <w:r w:rsidR="00FB7FD1">
        <w:t xml:space="preserve"> ($77 per vehicle affected in each year)</w:t>
      </w:r>
      <w:r w:rsidR="00FD5BDE">
        <w:t>,</w:t>
      </w:r>
      <w:r w:rsidRPr="00930D6A">
        <w:t xml:space="preserve"> </w:t>
      </w:r>
      <w:r w:rsidR="00FD5BDE" w:rsidRPr="00930D6A">
        <w:t xml:space="preserve">development </w:t>
      </w:r>
      <w:r w:rsidR="00FD5BDE">
        <w:t xml:space="preserve">costs </w:t>
      </w:r>
      <w:r w:rsidR="00FB7FD1">
        <w:t xml:space="preserve">($37,000 per year) </w:t>
      </w:r>
      <w:r w:rsidR="00FD5BDE" w:rsidRPr="00930D6A">
        <w:t>and</w:t>
      </w:r>
      <w:r w:rsidR="00FD5BDE">
        <w:t xml:space="preserve"> certification </w:t>
      </w:r>
      <w:r w:rsidRPr="00930D6A">
        <w:t>cost</w:t>
      </w:r>
      <w:r w:rsidR="00FD5BDE">
        <w:t>s</w:t>
      </w:r>
      <w:r w:rsidR="00FB7FD1">
        <w:t xml:space="preserve"> ($99,000 per year</w:t>
      </w:r>
      <w:r w:rsidRPr="00930D6A">
        <w:t xml:space="preserve">) over the 10-year period </w:t>
      </w:r>
      <w:r w:rsidRPr="00613BBF">
        <w:t>2025</w:t>
      </w:r>
      <w:r w:rsidR="00495354">
        <w:t>–</w:t>
      </w:r>
      <w:r w:rsidRPr="00613BBF">
        <w:t xml:space="preserve">2034 </w:t>
      </w:r>
      <w:r w:rsidR="00FD5BDE">
        <w:t>for options 2 and 3a (2026-2035 for option 3b)</w:t>
      </w:r>
      <w:r w:rsidRPr="00613BBF">
        <w:t xml:space="preserve"> inclusive</w:t>
      </w:r>
      <w:r w:rsidRPr="00930D6A">
        <w:t>, and then dividing this total by 10.</w:t>
      </w:r>
    </w:p>
    <w:p w14:paraId="00189A72" w14:textId="4A852FFD" w:rsidR="00271A50" w:rsidRPr="00930D6A" w:rsidRDefault="00271A50" w:rsidP="00271A50">
      <w:bookmarkStart w:id="162" w:name="_Hlk148357606"/>
      <w:r w:rsidRPr="003C45B0">
        <w:t>The average annual regulatory costs are estimated to be $</w:t>
      </w:r>
      <w:r w:rsidR="00FD5BDE" w:rsidRPr="003C45B0">
        <w:t xml:space="preserve">16.9 million for Option 2, </w:t>
      </w:r>
      <w:r w:rsidR="00FB7FD1" w:rsidRPr="003C45B0">
        <w:t xml:space="preserve">$17.6 million for Option 3a and </w:t>
      </w:r>
      <w:r w:rsidR="00F73137" w:rsidRPr="003C45B0">
        <w:t xml:space="preserve">$19.3 </w:t>
      </w:r>
      <w:r w:rsidR="00FB7FD1" w:rsidRPr="003C45B0">
        <w:t>million</w:t>
      </w:r>
      <w:r w:rsidR="00F73137" w:rsidRPr="003C45B0">
        <w:t xml:space="preserve"> for Option 3b</w:t>
      </w:r>
      <w:r w:rsidR="00FB7FD1" w:rsidRPr="003C45B0">
        <w:t xml:space="preserve"> (as more vehicles are affected in the first 10 years)</w:t>
      </w:r>
      <w:r w:rsidR="001F0001">
        <w:t>.</w:t>
      </w:r>
      <w:r w:rsidRPr="00930D6A">
        <w:t xml:space="preserve"> There are no </w:t>
      </w:r>
      <w:r w:rsidR="00AB0379">
        <w:t xml:space="preserve">additional </w:t>
      </w:r>
      <w:r w:rsidRPr="00930D6A">
        <w:t>costs associated with Option 1 as it is the status quo.</w:t>
      </w:r>
    </w:p>
    <w:bookmarkEnd w:id="162"/>
    <w:p w14:paraId="4AE9A66F" w14:textId="77777777" w:rsidR="00271A50" w:rsidRPr="00930D6A" w:rsidRDefault="00271A50" w:rsidP="00271A50">
      <w:r w:rsidRPr="00930D6A">
        <w:t xml:space="preserve">The Australian Government Guide to </w:t>
      </w:r>
      <w:r w:rsidR="00592447">
        <w:t>Policy</w:t>
      </w:r>
      <w:r w:rsidR="00592447" w:rsidRPr="00930D6A">
        <w:t xml:space="preserve"> </w:t>
      </w:r>
      <w:r w:rsidRPr="00930D6A">
        <w:t xml:space="preserve">Impact Analysis further states that where a proposal leads to higher regulatory compliance burdens, departments need to investigate options to offset these burdens. It is anticipated that regulatory savings from further alignment of the ADRs with international standards will offset the additional RBM costs of this measure. </w:t>
      </w:r>
    </w:p>
    <w:p w14:paraId="00A2D1D0" w14:textId="72E10478" w:rsidR="00271A50" w:rsidRPr="00930D6A" w:rsidRDefault="00271A50" w:rsidP="00C415C2">
      <w:pPr>
        <w:pStyle w:val="Tablefigureheading"/>
      </w:pPr>
      <w:bookmarkStart w:id="163" w:name="_Toc128476429"/>
      <w:bookmarkStart w:id="164" w:name="_Toc153795487"/>
      <w:r w:rsidRPr="00930D6A">
        <w:lastRenderedPageBreak/>
        <w:t xml:space="preserve">Table </w:t>
      </w:r>
      <w:fldSimple w:instr=" SEQ Table \* ARABIC ">
        <w:r w:rsidR="005E58C6">
          <w:rPr>
            <w:noProof/>
          </w:rPr>
          <w:t>5</w:t>
        </w:r>
      </w:fldSimple>
      <w:r w:rsidRPr="00930D6A">
        <w:t>: Average annual regulatory costs for Option</w:t>
      </w:r>
      <w:r w:rsidR="00C833B6">
        <w:t>s</w:t>
      </w:r>
      <w:r w:rsidRPr="00930D6A">
        <w:t xml:space="preserve"> 2</w:t>
      </w:r>
      <w:bookmarkEnd w:id="163"/>
      <w:r w:rsidR="00C833B6">
        <w:t>, 3a and 3b</w:t>
      </w:r>
      <w:bookmarkEnd w:id="164"/>
    </w:p>
    <w:tbl>
      <w:tblPr>
        <w:tblStyle w:val="DefaultTable1"/>
        <w:tblW w:w="0" w:type="auto"/>
        <w:tblLook w:val="04E0" w:firstRow="1" w:lastRow="1" w:firstColumn="1" w:lastColumn="0" w:noHBand="0" w:noVBand="1"/>
        <w:tblCaption w:val="Average annual regulatory costs for Option 2"/>
        <w:tblDescription w:val="Table summarising the average annual regulatory costs for Option 2 calculated using the Australian Government’s Regulatory Burden Measurement Framework."/>
      </w:tblPr>
      <w:tblGrid>
        <w:gridCol w:w="2349"/>
        <w:gridCol w:w="1932"/>
        <w:gridCol w:w="1932"/>
        <w:gridCol w:w="1932"/>
      </w:tblGrid>
      <w:tr w:rsidR="00271A50" w:rsidRPr="00930D6A" w14:paraId="566146B4" w14:textId="4EB7993B" w:rsidTr="00AB0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595959" w:themeColor="text1" w:themeTint="A6"/>
            </w:tcBorders>
            <w:shd w:val="clear" w:color="auto" w:fill="081E3E"/>
          </w:tcPr>
          <w:p w14:paraId="0157BF61" w14:textId="77777777" w:rsidR="00271A50" w:rsidRPr="00930D6A" w:rsidRDefault="00271A50" w:rsidP="003C45B0">
            <w:pPr>
              <w:keepNext/>
            </w:pPr>
            <w:r w:rsidRPr="00930D6A">
              <w:t>Sector</w:t>
            </w:r>
          </w:p>
        </w:tc>
        <w:tc>
          <w:tcPr>
            <w:tcW w:w="0" w:type="auto"/>
            <w:tcBorders>
              <w:bottom w:val="single" w:sz="4" w:space="0" w:color="595959" w:themeColor="text1" w:themeTint="A6"/>
            </w:tcBorders>
            <w:shd w:val="clear" w:color="auto" w:fill="081E3E"/>
          </w:tcPr>
          <w:p w14:paraId="4A1F0D3F" w14:textId="77777777" w:rsidR="00AB0379" w:rsidRDefault="00271A50"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1E55A32A" w14:textId="4F137FB6" w:rsidR="00271A50" w:rsidRPr="00930D6A" w:rsidRDefault="00AB0379" w:rsidP="003C45B0">
            <w:pPr>
              <w:keepNext/>
              <w:cnfStyle w:val="100000000000" w:firstRow="1" w:lastRow="0" w:firstColumn="0" w:lastColumn="0" w:oddVBand="0" w:evenVBand="0" w:oddHBand="0" w:evenHBand="0" w:firstRowFirstColumn="0" w:firstRowLastColumn="0" w:lastRowFirstColumn="0" w:lastRowLastColumn="0"/>
            </w:pPr>
            <w:r>
              <w:t>Option 2</w:t>
            </w:r>
          </w:p>
        </w:tc>
        <w:tc>
          <w:tcPr>
            <w:tcW w:w="0" w:type="auto"/>
            <w:tcBorders>
              <w:bottom w:val="single" w:sz="4" w:space="0" w:color="595959" w:themeColor="text1" w:themeTint="A6"/>
            </w:tcBorders>
            <w:shd w:val="clear" w:color="auto" w:fill="081E3E"/>
          </w:tcPr>
          <w:p w14:paraId="04738FEB" w14:textId="77777777" w:rsidR="00AB0379" w:rsidRDefault="00AB0379"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433369D9" w14:textId="567BC36D" w:rsidR="00AB0379" w:rsidRPr="00930D6A" w:rsidRDefault="00AB0379">
            <w:pPr>
              <w:keepNext/>
              <w:cnfStyle w:val="100000000000" w:firstRow="1" w:lastRow="0" w:firstColumn="0" w:lastColumn="0" w:oddVBand="0" w:evenVBand="0" w:oddHBand="0" w:evenHBand="0" w:firstRowFirstColumn="0" w:firstRowLastColumn="0" w:lastRowFirstColumn="0" w:lastRowLastColumn="0"/>
            </w:pPr>
            <w:r>
              <w:t>Option 3a</w:t>
            </w:r>
          </w:p>
        </w:tc>
        <w:tc>
          <w:tcPr>
            <w:tcW w:w="0" w:type="auto"/>
            <w:tcBorders>
              <w:bottom w:val="single" w:sz="4" w:space="0" w:color="595959" w:themeColor="text1" w:themeTint="A6"/>
            </w:tcBorders>
            <w:shd w:val="clear" w:color="auto" w:fill="081E3E"/>
          </w:tcPr>
          <w:p w14:paraId="2DDBBF50" w14:textId="77777777" w:rsidR="00AB0379" w:rsidRDefault="00AB0379"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2FC224EF" w14:textId="2750899D" w:rsidR="00AB0379" w:rsidRPr="00930D6A" w:rsidRDefault="00AB0379">
            <w:pPr>
              <w:keepNext/>
              <w:cnfStyle w:val="100000000000" w:firstRow="1" w:lastRow="0" w:firstColumn="0" w:lastColumn="0" w:oddVBand="0" w:evenVBand="0" w:oddHBand="0" w:evenHBand="0" w:firstRowFirstColumn="0" w:firstRowLastColumn="0" w:lastRowFirstColumn="0" w:lastRowLastColumn="0"/>
            </w:pPr>
            <w:r>
              <w:t>Option 3b</w:t>
            </w:r>
          </w:p>
        </w:tc>
      </w:tr>
      <w:tr w:rsidR="00271A50" w:rsidRPr="00930D6A" w14:paraId="7E94B1D4" w14:textId="0DB34C0B" w:rsidTr="00AB0379">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4BB3B5"/>
            </w:tcBorders>
          </w:tcPr>
          <w:p w14:paraId="6CE23AAC" w14:textId="77777777" w:rsidR="00271A50" w:rsidRPr="00930D6A" w:rsidRDefault="00271A50" w:rsidP="003C45B0">
            <w:pPr>
              <w:pStyle w:val="Tabletext"/>
              <w:keepNext/>
            </w:pPr>
            <w:r w:rsidRPr="00930D6A">
              <w:t>Business</w:t>
            </w:r>
          </w:p>
        </w:tc>
        <w:tc>
          <w:tcPr>
            <w:tcW w:w="0" w:type="auto"/>
            <w:tcBorders>
              <w:bottom w:val="single" w:sz="4" w:space="0" w:color="4BB3B5"/>
            </w:tcBorders>
          </w:tcPr>
          <w:p w14:paraId="3DF1C162" w14:textId="51499685" w:rsidR="00271A50" w:rsidRPr="00095363" w:rsidRDefault="00AB0379" w:rsidP="003C45B0">
            <w:pPr>
              <w:pStyle w:val="Tabletextcentred"/>
              <w:keepNext/>
              <w:cnfStyle w:val="000000000000" w:firstRow="0" w:lastRow="0" w:firstColumn="0" w:lastColumn="0" w:oddVBand="0" w:evenVBand="0" w:oddHBand="0" w:evenHBand="0" w:firstRowFirstColumn="0" w:firstRowLastColumn="0" w:lastRowFirstColumn="0" w:lastRowLastColumn="0"/>
            </w:pPr>
            <w:r>
              <w:t>16.9</w:t>
            </w:r>
          </w:p>
        </w:tc>
        <w:tc>
          <w:tcPr>
            <w:tcW w:w="0" w:type="auto"/>
            <w:tcBorders>
              <w:bottom w:val="single" w:sz="4" w:space="0" w:color="4BB3B5"/>
            </w:tcBorders>
          </w:tcPr>
          <w:p w14:paraId="3F73DF61" w14:textId="6DCFBF63" w:rsidR="00AB0379" w:rsidRDefault="00AB0379">
            <w:pPr>
              <w:pStyle w:val="Tabletextcentred"/>
              <w:keepNext/>
              <w:cnfStyle w:val="000000000000" w:firstRow="0" w:lastRow="0" w:firstColumn="0" w:lastColumn="0" w:oddVBand="0" w:evenVBand="0" w:oddHBand="0" w:evenHBand="0" w:firstRowFirstColumn="0" w:firstRowLastColumn="0" w:lastRowFirstColumn="0" w:lastRowLastColumn="0"/>
            </w:pPr>
            <w:r>
              <w:t>17.6</w:t>
            </w:r>
          </w:p>
        </w:tc>
        <w:tc>
          <w:tcPr>
            <w:tcW w:w="0" w:type="auto"/>
            <w:tcBorders>
              <w:bottom w:val="single" w:sz="4" w:space="0" w:color="4BB3B5"/>
            </w:tcBorders>
          </w:tcPr>
          <w:p w14:paraId="77FB027C" w14:textId="7B53513E" w:rsidR="00AB0379" w:rsidRDefault="00AB0379">
            <w:pPr>
              <w:pStyle w:val="Tabletextcentred"/>
              <w:keepNext/>
              <w:cnfStyle w:val="000000000000" w:firstRow="0" w:lastRow="0" w:firstColumn="0" w:lastColumn="0" w:oddVBand="0" w:evenVBand="0" w:oddHBand="0" w:evenHBand="0" w:firstRowFirstColumn="0" w:firstRowLastColumn="0" w:lastRowFirstColumn="0" w:lastRowLastColumn="0"/>
            </w:pPr>
            <w:r>
              <w:t>19.3</w:t>
            </w:r>
          </w:p>
        </w:tc>
      </w:tr>
      <w:tr w:rsidR="00271A50" w:rsidRPr="00930D6A" w14:paraId="6195225E" w14:textId="70A9D4DE" w:rsidTr="00AB0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2976FB11" w14:textId="77777777" w:rsidR="00271A50" w:rsidRPr="00930D6A" w:rsidRDefault="00271A50" w:rsidP="003C45B0">
            <w:pPr>
              <w:pStyle w:val="Tabletext"/>
              <w:keepNext/>
            </w:pPr>
            <w:r w:rsidRPr="00930D6A">
              <w:t>Community organisations</w:t>
            </w:r>
          </w:p>
        </w:tc>
        <w:tc>
          <w:tcPr>
            <w:tcW w:w="0" w:type="auto"/>
            <w:tcBorders>
              <w:top w:val="single" w:sz="4" w:space="0" w:color="4BB3B5"/>
              <w:bottom w:val="single" w:sz="4" w:space="0" w:color="4BB3B5"/>
            </w:tcBorders>
          </w:tcPr>
          <w:p w14:paraId="548A8820" w14:textId="77777777" w:rsidR="00271A50" w:rsidRPr="00095363" w:rsidRDefault="00271A50" w:rsidP="003C45B0">
            <w:pPr>
              <w:pStyle w:val="Tabletextcentred"/>
              <w:keepNext/>
              <w:cnfStyle w:val="000000010000" w:firstRow="0" w:lastRow="0" w:firstColumn="0" w:lastColumn="0" w:oddVBand="0" w:evenVBand="0" w:oddHBand="0" w:evenHBand="1" w:firstRowFirstColumn="0" w:firstRowLastColumn="0" w:lastRowFirstColumn="0" w:lastRowLastColumn="0"/>
            </w:pPr>
            <w:r w:rsidRPr="00095363">
              <w:t>-</w:t>
            </w:r>
          </w:p>
        </w:tc>
        <w:tc>
          <w:tcPr>
            <w:tcW w:w="0" w:type="auto"/>
            <w:tcBorders>
              <w:top w:val="single" w:sz="4" w:space="0" w:color="4BB3B5"/>
              <w:bottom w:val="single" w:sz="4" w:space="0" w:color="4BB3B5"/>
            </w:tcBorders>
          </w:tcPr>
          <w:p w14:paraId="7ED737EC" w14:textId="77777777" w:rsidR="00AB0379" w:rsidRPr="00095363" w:rsidRDefault="00AB0379">
            <w:pPr>
              <w:pStyle w:val="Tabletextcentred"/>
              <w:keepNext/>
              <w:cnfStyle w:val="000000010000" w:firstRow="0" w:lastRow="0" w:firstColumn="0" w:lastColumn="0" w:oddVBand="0" w:evenVBand="0" w:oddHBand="0" w:evenHBand="1" w:firstRowFirstColumn="0" w:firstRowLastColumn="0" w:lastRowFirstColumn="0" w:lastRowLastColumn="0"/>
            </w:pPr>
          </w:p>
        </w:tc>
        <w:tc>
          <w:tcPr>
            <w:tcW w:w="0" w:type="auto"/>
            <w:tcBorders>
              <w:top w:val="single" w:sz="4" w:space="0" w:color="4BB3B5"/>
              <w:bottom w:val="single" w:sz="4" w:space="0" w:color="4BB3B5"/>
            </w:tcBorders>
          </w:tcPr>
          <w:p w14:paraId="6D9E7608" w14:textId="77777777" w:rsidR="00AB0379" w:rsidRPr="00095363" w:rsidRDefault="00AB0379">
            <w:pPr>
              <w:pStyle w:val="Tabletextcentred"/>
              <w:keepNext/>
              <w:cnfStyle w:val="000000010000" w:firstRow="0" w:lastRow="0" w:firstColumn="0" w:lastColumn="0" w:oddVBand="0" w:evenVBand="0" w:oddHBand="0" w:evenHBand="1" w:firstRowFirstColumn="0" w:firstRowLastColumn="0" w:lastRowFirstColumn="0" w:lastRowLastColumn="0"/>
            </w:pPr>
          </w:p>
        </w:tc>
      </w:tr>
      <w:tr w:rsidR="00271A50" w:rsidRPr="00930D6A" w14:paraId="75DBDF7E" w14:textId="2039BEE1" w:rsidTr="00AB037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31545BD2" w14:textId="77777777" w:rsidR="00271A50" w:rsidRPr="00930D6A" w:rsidRDefault="00271A50" w:rsidP="003C45B0">
            <w:pPr>
              <w:pStyle w:val="Tabletext"/>
              <w:keepNext/>
            </w:pPr>
            <w:r w:rsidRPr="00930D6A">
              <w:t>Individuals</w:t>
            </w:r>
          </w:p>
        </w:tc>
        <w:tc>
          <w:tcPr>
            <w:tcW w:w="0" w:type="auto"/>
            <w:tcBorders>
              <w:top w:val="single" w:sz="4" w:space="0" w:color="4BB3B5"/>
              <w:bottom w:val="single" w:sz="4" w:space="0" w:color="4BB3B5"/>
            </w:tcBorders>
          </w:tcPr>
          <w:p w14:paraId="0C5361CE" w14:textId="77777777" w:rsidR="00271A50" w:rsidRPr="00095363" w:rsidRDefault="00271A50" w:rsidP="003C45B0">
            <w:pPr>
              <w:pStyle w:val="Tabletextcentred"/>
              <w:keepNext/>
              <w:cnfStyle w:val="000000000000" w:firstRow="0" w:lastRow="0" w:firstColumn="0" w:lastColumn="0" w:oddVBand="0" w:evenVBand="0" w:oddHBand="0" w:evenHBand="0" w:firstRowFirstColumn="0" w:firstRowLastColumn="0" w:lastRowFirstColumn="0" w:lastRowLastColumn="0"/>
            </w:pPr>
            <w:r w:rsidRPr="00095363">
              <w:t>-</w:t>
            </w:r>
          </w:p>
        </w:tc>
        <w:tc>
          <w:tcPr>
            <w:tcW w:w="0" w:type="auto"/>
            <w:tcBorders>
              <w:top w:val="single" w:sz="4" w:space="0" w:color="4BB3B5"/>
              <w:bottom w:val="single" w:sz="4" w:space="0" w:color="4BB3B5"/>
            </w:tcBorders>
          </w:tcPr>
          <w:p w14:paraId="23C6A7DC" w14:textId="77777777" w:rsidR="00AB0379" w:rsidRPr="00095363" w:rsidRDefault="00AB0379">
            <w:pPr>
              <w:pStyle w:val="Tabletextcentred"/>
              <w:keepNext/>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4BB3B5"/>
              <w:bottom w:val="single" w:sz="4" w:space="0" w:color="4BB3B5"/>
            </w:tcBorders>
          </w:tcPr>
          <w:p w14:paraId="7492DCEF" w14:textId="77777777" w:rsidR="00AB0379" w:rsidRPr="00095363" w:rsidRDefault="00AB0379">
            <w:pPr>
              <w:pStyle w:val="Tabletextcentred"/>
              <w:keepNext/>
              <w:cnfStyle w:val="000000000000" w:firstRow="0" w:lastRow="0" w:firstColumn="0" w:lastColumn="0" w:oddVBand="0" w:evenVBand="0" w:oddHBand="0" w:evenHBand="0" w:firstRowFirstColumn="0" w:firstRowLastColumn="0" w:lastRowFirstColumn="0" w:lastRowLastColumn="0"/>
            </w:pPr>
          </w:p>
        </w:tc>
      </w:tr>
      <w:tr w:rsidR="00271A50" w:rsidRPr="00930D6A" w14:paraId="44C833B4" w14:textId="3168C08A" w:rsidTr="00AB03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0F19E5CE" w14:textId="77777777" w:rsidR="00271A50" w:rsidRPr="00930D6A" w:rsidRDefault="00271A50" w:rsidP="003C45B0">
            <w:pPr>
              <w:pStyle w:val="Tabletext"/>
              <w:keepNext/>
            </w:pPr>
            <w:r w:rsidRPr="00930D6A">
              <w:t>Total change in costs</w:t>
            </w:r>
          </w:p>
        </w:tc>
        <w:tc>
          <w:tcPr>
            <w:tcW w:w="0" w:type="auto"/>
            <w:tcBorders>
              <w:top w:val="single" w:sz="4" w:space="0" w:color="4BB3B5"/>
              <w:bottom w:val="single" w:sz="4" w:space="0" w:color="4BB3B5"/>
            </w:tcBorders>
          </w:tcPr>
          <w:p w14:paraId="6F91BB38" w14:textId="66AB819F" w:rsidR="00271A50" w:rsidRPr="00095363" w:rsidRDefault="00065CC5" w:rsidP="003C45B0">
            <w:pPr>
              <w:pStyle w:val="Tabletextcentred"/>
              <w:keepNext/>
              <w:cnfStyle w:val="010000000000" w:firstRow="0" w:lastRow="1" w:firstColumn="0" w:lastColumn="0" w:oddVBand="0" w:evenVBand="0" w:oddHBand="0" w:evenHBand="0" w:firstRowFirstColumn="0" w:firstRowLastColumn="0" w:lastRowFirstColumn="0" w:lastRowLastColumn="0"/>
            </w:pPr>
            <w:r>
              <w:t>16.9</w:t>
            </w:r>
          </w:p>
        </w:tc>
        <w:tc>
          <w:tcPr>
            <w:tcW w:w="0" w:type="auto"/>
            <w:tcBorders>
              <w:top w:val="single" w:sz="4" w:space="0" w:color="4BB3B5"/>
              <w:bottom w:val="single" w:sz="4" w:space="0" w:color="4BB3B5"/>
            </w:tcBorders>
          </w:tcPr>
          <w:p w14:paraId="15723319" w14:textId="3C0CA8A8" w:rsidR="00AB0379" w:rsidRPr="00095363" w:rsidRDefault="00065CC5">
            <w:pPr>
              <w:pStyle w:val="Tabletextcentred"/>
              <w:keepNext/>
              <w:cnfStyle w:val="010000000000" w:firstRow="0" w:lastRow="1" w:firstColumn="0" w:lastColumn="0" w:oddVBand="0" w:evenVBand="0" w:oddHBand="0" w:evenHBand="0" w:firstRowFirstColumn="0" w:firstRowLastColumn="0" w:lastRowFirstColumn="0" w:lastRowLastColumn="0"/>
            </w:pPr>
            <w:r>
              <w:t>17.6</w:t>
            </w:r>
          </w:p>
        </w:tc>
        <w:tc>
          <w:tcPr>
            <w:tcW w:w="0" w:type="auto"/>
            <w:tcBorders>
              <w:top w:val="single" w:sz="4" w:space="0" w:color="4BB3B5"/>
              <w:bottom w:val="single" w:sz="4" w:space="0" w:color="4BB3B5"/>
            </w:tcBorders>
          </w:tcPr>
          <w:p w14:paraId="487666E3" w14:textId="4CAF1670" w:rsidR="00AB0379" w:rsidRPr="00095363" w:rsidRDefault="00065CC5">
            <w:pPr>
              <w:pStyle w:val="Tabletextcentred"/>
              <w:keepNext/>
              <w:cnfStyle w:val="010000000000" w:firstRow="0" w:lastRow="1" w:firstColumn="0" w:lastColumn="0" w:oddVBand="0" w:evenVBand="0" w:oddHBand="0" w:evenHBand="0" w:firstRowFirstColumn="0" w:firstRowLastColumn="0" w:lastRowFirstColumn="0" w:lastRowLastColumn="0"/>
            </w:pPr>
            <w:r>
              <w:t>19.3</w:t>
            </w:r>
          </w:p>
        </w:tc>
      </w:tr>
    </w:tbl>
    <w:p w14:paraId="7E9BEAF0" w14:textId="77777777" w:rsidR="00271A50" w:rsidRPr="00930D6A" w:rsidRDefault="00271A50" w:rsidP="00271A50">
      <w:r w:rsidRPr="00930D6A">
        <w:br w:type="page"/>
      </w:r>
    </w:p>
    <w:p w14:paraId="3E90EC94" w14:textId="77777777" w:rsidR="00271A50" w:rsidRDefault="004D40F8" w:rsidP="009729B4">
      <w:pPr>
        <w:pStyle w:val="Heading2"/>
      </w:pPr>
      <w:bookmarkStart w:id="165" w:name="_Toc128476470"/>
      <w:bookmarkStart w:id="166" w:name="_Toc151556422"/>
      <w:bookmarkStart w:id="167" w:name="_Toc153795428"/>
      <w:r>
        <w:lastRenderedPageBreak/>
        <w:t>5</w:t>
      </w:r>
      <w:r w:rsidR="00CE75A2">
        <w:t xml:space="preserve">. </w:t>
      </w:r>
      <w:r w:rsidR="00271A50" w:rsidRPr="00930D6A">
        <w:t>Consultation</w:t>
      </w:r>
      <w:bookmarkEnd w:id="165"/>
      <w:bookmarkEnd w:id="166"/>
      <w:bookmarkEnd w:id="167"/>
    </w:p>
    <w:p w14:paraId="58D0B91D" w14:textId="45509FE7" w:rsidR="00EE7CAD" w:rsidRDefault="00951CFB" w:rsidP="00EE7CAD">
      <w:r>
        <w:t>Earl</w:t>
      </w:r>
      <w:r w:rsidR="002E0CBD">
        <w:t>i</w:t>
      </w:r>
      <w:r>
        <w:t>er this year</w:t>
      </w:r>
      <w:r w:rsidR="00EE7CAD">
        <w:t xml:space="preserve">, the Australian Government released for public consultation a </w:t>
      </w:r>
      <w:r w:rsidR="00DF2ECD">
        <w:t>Consultation</w:t>
      </w:r>
      <w:r w:rsidR="00EE7CAD">
        <w:t xml:space="preserve"> Impact Analysis</w:t>
      </w:r>
      <w:r w:rsidR="00DF2ECD">
        <w:t xml:space="preserve">, which considered </w:t>
      </w:r>
      <w:r w:rsidR="00EE7CAD">
        <w:t xml:space="preserve">whether AVAS should be fitted to </w:t>
      </w:r>
      <w:r w:rsidR="00DF2ECD">
        <w:t>QRTVs</w:t>
      </w:r>
      <w:r w:rsidR="00EE7CAD">
        <w:t xml:space="preserve"> to help reduce potential pedestrian collisions.</w:t>
      </w:r>
    </w:p>
    <w:p w14:paraId="5A5A7516" w14:textId="7A0773A6" w:rsidR="00AB0A12" w:rsidRDefault="00DF2ECD" w:rsidP="00EE7CAD">
      <w:r>
        <w:t>This Consultation Impact Analysis</w:t>
      </w:r>
      <w:r w:rsidR="00AB0A12" w:rsidRPr="003A4E8A">
        <w:t xml:space="preserve"> only proposed two options, that is Option 1: No Regulatory Intervention (business as usual) and Option 2: Introduce a new ADR aligned with United Nations Regulation No. 1</w:t>
      </w:r>
      <w:r>
        <w:t>3</w:t>
      </w:r>
      <w:r w:rsidR="00AB0A12" w:rsidRPr="003A4E8A">
        <w:t>8</w:t>
      </w:r>
      <w:r>
        <w:t>/01</w:t>
      </w:r>
      <w:r w:rsidR="00AB0A12" w:rsidRPr="003A4E8A">
        <w:t>. Hence, the responses received only considered these two policy options</w:t>
      </w:r>
      <w:r w:rsidR="00AB0A12">
        <w:t xml:space="preserve"> </w:t>
      </w:r>
      <w:r w:rsidR="00AB0A12" w:rsidRPr="003A4E8A">
        <w:t xml:space="preserve">– that is to either mandate the fitment of </w:t>
      </w:r>
      <w:r w:rsidR="00292280">
        <w:t>AVAS</w:t>
      </w:r>
      <w:r w:rsidR="00AB0A12" w:rsidRPr="003A4E8A">
        <w:t xml:space="preserve"> to all vehicles or to let market forces increase the fitment of </w:t>
      </w:r>
      <w:r w:rsidR="00292280">
        <w:t>AVAS</w:t>
      </w:r>
      <w:r w:rsidR="00AB0A12" w:rsidRPr="003A4E8A">
        <w:t xml:space="preserve"> across the new Australian vehicle fleet.</w:t>
      </w:r>
    </w:p>
    <w:p w14:paraId="5B4AA7E1" w14:textId="0AEC8F62" w:rsidR="000F6494" w:rsidRDefault="000F6494" w:rsidP="000F6494">
      <w:r>
        <w:t xml:space="preserve">The </w:t>
      </w:r>
      <w:r w:rsidR="00DF2ECD">
        <w:t>C</w:t>
      </w:r>
      <w:r>
        <w:t xml:space="preserve">onsultation </w:t>
      </w:r>
      <w:r w:rsidR="002E0CBD">
        <w:t>I</w:t>
      </w:r>
      <w:r>
        <w:t xml:space="preserve">mpact </w:t>
      </w:r>
      <w:r w:rsidR="002E0CBD">
        <w:t>A</w:t>
      </w:r>
      <w:r>
        <w:t xml:space="preserve">nalysis was available for public comment from 28 March 2023 to 26 May 2023.The department sought specific feedback on: </w:t>
      </w:r>
    </w:p>
    <w:p w14:paraId="5A17493D" w14:textId="77777777" w:rsidR="000F6494" w:rsidRPr="00930D6A" w:rsidRDefault="000F6494" w:rsidP="000F6494">
      <w:pPr>
        <w:pStyle w:val="Listparagraphbullets"/>
      </w:pPr>
      <w:r w:rsidRPr="00930D6A">
        <w:t>Support for the proposed introduction of AVAS for new light electric vehicles in Australia.</w:t>
      </w:r>
    </w:p>
    <w:p w14:paraId="4A619595" w14:textId="77777777" w:rsidR="000F6494" w:rsidRPr="00930D6A" w:rsidRDefault="000F6494" w:rsidP="000F6494">
      <w:pPr>
        <w:pStyle w:val="Listparagraphbullets"/>
      </w:pPr>
      <w:r w:rsidRPr="00930D6A">
        <w:t>The benefit-cost analysis, including the assumptions on effectiveness of the technology, the costs, and the benefits.</w:t>
      </w:r>
    </w:p>
    <w:p w14:paraId="1CB4489A" w14:textId="77777777" w:rsidR="000F6494" w:rsidRPr="00930D6A" w:rsidRDefault="000F6494" w:rsidP="000F6494">
      <w:pPr>
        <w:pStyle w:val="Listparagraphbullets"/>
      </w:pPr>
      <w:r w:rsidRPr="00930D6A">
        <w:t>The suitability of UN Regulation 138/01 for adoption under the ADRs, including any concerns on functional and/or performance requirements and test requirements.</w:t>
      </w:r>
    </w:p>
    <w:p w14:paraId="4B51FCC2" w14:textId="77777777" w:rsidR="000F6494" w:rsidRPr="00930D6A" w:rsidRDefault="000F6494" w:rsidP="000F6494">
      <w:pPr>
        <w:pStyle w:val="Listparagraphbullets"/>
      </w:pPr>
      <w:r w:rsidRPr="00930D6A">
        <w:t>Applicable vehicle categories</w:t>
      </w:r>
      <w:r>
        <w:t>,</w:t>
      </w:r>
      <w:r w:rsidRPr="00930D6A">
        <w:t xml:space="preserve"> implementation timeframes</w:t>
      </w:r>
      <w:r>
        <w:t>, alternative standards.</w:t>
      </w:r>
    </w:p>
    <w:p w14:paraId="235A7CE3" w14:textId="70BEBB05" w:rsidR="000F6494" w:rsidRPr="00930D6A" w:rsidRDefault="000F6494" w:rsidP="000F6494">
      <w:pPr>
        <w:pStyle w:val="Listparagraphbullets"/>
      </w:pPr>
      <w:r w:rsidRPr="00930D6A">
        <w:t>Costs, benefits, and feasibility of mandating AVAS for heavy vehicles in Australia.</w:t>
      </w:r>
    </w:p>
    <w:p w14:paraId="6175E535" w14:textId="77777777" w:rsidR="000F6494" w:rsidRDefault="000F6494" w:rsidP="006406C3">
      <w:pPr>
        <w:pStyle w:val="Listparagraphbullets"/>
      </w:pPr>
      <w:r w:rsidRPr="00930D6A">
        <w:t>Any other relevant views or information which could assist decision-making.</w:t>
      </w:r>
    </w:p>
    <w:p w14:paraId="02E70CCE" w14:textId="77777777" w:rsidR="00093E55" w:rsidRDefault="00093E55" w:rsidP="00093E55">
      <w:r>
        <w:t xml:space="preserve">The department provided three ways for members of the public, industry and jurisdictions to voice their opinions which included: 1) Completing the webform and attaching the feedback form on the department’s website; 2) Emailing the feedback form to the </w:t>
      </w:r>
      <w:r w:rsidR="00584764">
        <w:t>Sustainable Transport</w:t>
      </w:r>
      <w:r>
        <w:t xml:space="preserve"> Section email address; or 3) Mailing the feedback form to the </w:t>
      </w:r>
      <w:r w:rsidR="00584764">
        <w:t xml:space="preserve">Sustainable Transport </w:t>
      </w:r>
      <w:r>
        <w:t>Section postal address.</w:t>
      </w:r>
    </w:p>
    <w:p w14:paraId="74E2F98C" w14:textId="32006D3C" w:rsidR="00584764" w:rsidRDefault="00093E55" w:rsidP="00093E55">
      <w:r>
        <w:t xml:space="preserve">The </w:t>
      </w:r>
      <w:r w:rsidR="00C818C3">
        <w:t xml:space="preserve">release </w:t>
      </w:r>
      <w:r>
        <w:t xml:space="preserve">of the </w:t>
      </w:r>
      <w:r w:rsidR="00C818C3">
        <w:t>Impact Analysis</w:t>
      </w:r>
      <w:r>
        <w:t xml:space="preserve"> for public comment is an integral part of the consultation process. This provides an opportunity for businesses and road user groups, as well as other interested parties</w:t>
      </w:r>
      <w:r w:rsidR="00C818C3">
        <w:t>,</w:t>
      </w:r>
      <w:r>
        <w:t xml:space="preserve"> to respond to the proposal by writing or otherwise submitting their comments to the department. Analysing proposals through the </w:t>
      </w:r>
      <w:r w:rsidR="00C818C3">
        <w:t>Impact Analysis</w:t>
      </w:r>
      <w:r>
        <w:t xml:space="preserve"> process assist</w:t>
      </w:r>
      <w:r w:rsidR="00C818C3">
        <w:t>s</w:t>
      </w:r>
      <w:r>
        <w:t xml:space="preserve"> stakeholders in identifying the likely impacts of the proposals and enables more informed debate on </w:t>
      </w:r>
      <w:r w:rsidR="00C818C3">
        <w:t xml:space="preserve">policy and regulatory </w:t>
      </w:r>
      <w:r>
        <w:t xml:space="preserve">issues. </w:t>
      </w:r>
    </w:p>
    <w:p w14:paraId="428C7157" w14:textId="65DC4CC9" w:rsidR="00093E55" w:rsidRPr="003E1F73" w:rsidRDefault="00093E55" w:rsidP="00093E55">
      <w:r>
        <w:t xml:space="preserve">The Government received 392 submissions from governments, organisations, and individuals, with strong representation from the blind and low vision community. </w:t>
      </w:r>
      <w:r w:rsidR="003E1F73" w:rsidRPr="003C45B0">
        <w:fldChar w:fldCharType="begin"/>
      </w:r>
      <w:r w:rsidR="003E1F73" w:rsidRPr="00266BBD">
        <w:rPr>
          <w:sz w:val="16"/>
        </w:rPr>
        <w:instrText xml:space="preserve"> REF _Ref149660605 \h </w:instrText>
      </w:r>
      <w:r w:rsidR="003E1F73" w:rsidRPr="00266BBD">
        <w:rPr>
          <w:sz w:val="16"/>
          <w:highlight w:val="yellow"/>
        </w:rPr>
        <w:instrText xml:space="preserve"> \* MERGEFORMAT </w:instrText>
      </w:r>
      <w:r w:rsidR="003E1F73" w:rsidRPr="003C45B0">
        <w:rPr>
          <w:sz w:val="16"/>
          <w:highlight w:val="yellow"/>
        </w:rPr>
        <w:fldChar w:fldCharType="separate"/>
      </w:r>
      <w:r w:rsidR="005E58C6" w:rsidRPr="005E58C6">
        <w:rPr>
          <w:rFonts w:eastAsia="SimSun" w:cs="Times New Roman"/>
          <w:color w:val="081E3E"/>
        </w:rPr>
        <w:t>Appendix A</w:t>
      </w:r>
      <w:r w:rsidR="005E58C6" w:rsidRPr="005E58C6">
        <w:rPr>
          <w:sz w:val="14"/>
          <w:szCs w:val="14"/>
        </w:rPr>
        <w:t>—</w:t>
      </w:r>
      <w:r w:rsidR="005E58C6" w:rsidRPr="005E58C6">
        <w:rPr>
          <w:rFonts w:eastAsia="SimSun" w:cs="Times New Roman"/>
          <w:color w:val="081E3E"/>
        </w:rPr>
        <w:t>Summary of Submissions</w:t>
      </w:r>
      <w:r w:rsidR="003E1F73" w:rsidRPr="003C45B0">
        <w:fldChar w:fldCharType="end"/>
      </w:r>
      <w:r w:rsidR="003E1F73">
        <w:t xml:space="preserve"> provides an overview of the feedback received during the public consultation period.</w:t>
      </w:r>
    </w:p>
    <w:p w14:paraId="20E4DC5E" w14:textId="25358B7A" w:rsidR="000F6494" w:rsidRDefault="0065123B" w:rsidP="000F6494">
      <w:r w:rsidRPr="0065123B">
        <w:t xml:space="preserve">During the consultation period, feedback was received from members of the public, state government agencies, industry and not-for-profit organisations. A </w:t>
      </w:r>
      <w:r w:rsidR="000F6494" w:rsidRPr="0001047C">
        <w:t xml:space="preserve">majority of </w:t>
      </w:r>
      <w:r w:rsidRPr="0065123B">
        <w:t>the feedback strongly supported the implementation of Option 2.</w:t>
      </w:r>
      <w:r w:rsidR="000F6494" w:rsidRPr="0001047C">
        <w:t xml:space="preserve"> Specifically, individual responses from the blind and low vision community (as well as from organisations and governments) were overwhelmingly supportive of introducing AVAS sooner</w:t>
      </w:r>
      <w:r w:rsidR="00C818C3">
        <w:t>,</w:t>
      </w:r>
      <w:r w:rsidR="000F6494" w:rsidRPr="0001047C">
        <w:t xml:space="preserve"> as opposed to a prolonged process. </w:t>
      </w:r>
    </w:p>
    <w:p w14:paraId="06E6B9C0" w14:textId="145A1F93" w:rsidR="00EE7CAD" w:rsidRDefault="00EE7CAD" w:rsidP="00EE7CAD">
      <w:r>
        <w:t>Submissions from individuals were more mixed, with around 60</w:t>
      </w:r>
      <w:r w:rsidR="00C818C3">
        <w:t>%</w:t>
      </w:r>
      <w:r>
        <w:t xml:space="preserve"> supporting AVAS, and 40</w:t>
      </w:r>
      <w:r w:rsidR="00C818C3">
        <w:t>%</w:t>
      </w:r>
      <w:r>
        <w:t xml:space="preserve"> not supporting it.</w:t>
      </w:r>
    </w:p>
    <w:p w14:paraId="5C70A5AF" w14:textId="422A5CA1" w:rsidR="00EE7CAD" w:rsidRDefault="00EE7CAD" w:rsidP="00EE7CAD">
      <w:r>
        <w:t xml:space="preserve">Of those in support, there were many stories of near collisions and collisions with ‘silent’ electric vehicles, from </w:t>
      </w:r>
      <w:r w:rsidR="00C818C3">
        <w:t xml:space="preserve">both </w:t>
      </w:r>
      <w:r>
        <w:t>blind and vision impaired</w:t>
      </w:r>
      <w:r w:rsidR="00C818C3">
        <w:t xml:space="preserve">, and </w:t>
      </w:r>
      <w:r>
        <w:t>sighted</w:t>
      </w:r>
      <w:r w:rsidR="00C818C3">
        <w:t>,</w:t>
      </w:r>
      <w:r>
        <w:t xml:space="preserve"> pedestrians.</w:t>
      </w:r>
    </w:p>
    <w:p w14:paraId="6891077C" w14:textId="601999BD" w:rsidR="00AE1F00" w:rsidRDefault="001F43DB" w:rsidP="00EE7CAD">
      <w:r>
        <w:t>Individual submissions that did</w:t>
      </w:r>
      <w:r w:rsidR="00EE7CAD">
        <w:t xml:space="preserve"> not support </w:t>
      </w:r>
      <w:r>
        <w:t xml:space="preserve">mandating </w:t>
      </w:r>
      <w:r w:rsidR="00EE7CAD">
        <w:t xml:space="preserve">AVAS were mainly concerned about the possible increase in noise pollution in urban areas. However, in a number of these submissions, individuals did not seem to be aware that the AVAS would only be active at low speeds, and would </w:t>
      </w:r>
      <w:r>
        <w:t>still be subject to the</w:t>
      </w:r>
      <w:r w:rsidR="00EE7CAD">
        <w:t xml:space="preserve"> maximum noise limit</w:t>
      </w:r>
      <w:r w:rsidR="00182892">
        <w:t>s</w:t>
      </w:r>
      <w:r>
        <w:t xml:space="preserve"> specified in A</w:t>
      </w:r>
      <w:r w:rsidR="00DF2ECD">
        <w:t>DR</w:t>
      </w:r>
      <w:r>
        <w:t xml:space="preserve"> 83/00.</w:t>
      </w:r>
    </w:p>
    <w:p w14:paraId="1ED902E1" w14:textId="4ECD38FA" w:rsidR="00EB28F0" w:rsidRDefault="006F7DFD" w:rsidP="00EE7CAD">
      <w:r>
        <w:lastRenderedPageBreak/>
        <w:t xml:space="preserve">The United States National Highway Traffic Safety Administration (NHTSA) </w:t>
      </w:r>
      <w:r w:rsidR="008A0D89">
        <w:t xml:space="preserve">calculated the environmental impacts of sound emissions </w:t>
      </w:r>
      <w:r w:rsidR="00EB28F0">
        <w:t xml:space="preserve">from AVAS systems. The report concluded there would not be noticeable noise impacts to humans, however single vehicles passing in non-urban regions could be heard up </w:t>
      </w:r>
      <w:r w:rsidR="00C818C3">
        <w:t xml:space="preserve">to </w:t>
      </w:r>
      <w:r w:rsidR="00EB28F0">
        <w:t>7.5</w:t>
      </w:r>
      <w:r w:rsidR="001F43DB">
        <w:t> </w:t>
      </w:r>
      <w:r w:rsidR="00EB28F0">
        <w:t>m</w:t>
      </w:r>
      <w:r w:rsidR="00C818C3">
        <w:t xml:space="preserve"> away</w:t>
      </w:r>
      <w:r w:rsidR="00EB28F0">
        <w:t>.</w:t>
      </w:r>
    </w:p>
    <w:p w14:paraId="06503B9F" w14:textId="05A2F642" w:rsidR="000F6494" w:rsidRDefault="000F6494" w:rsidP="00EE7CAD">
      <w:r>
        <w:t>Follow</w:t>
      </w:r>
      <w:r w:rsidR="00637339">
        <w:t>-</w:t>
      </w:r>
      <w:r>
        <w:t xml:space="preserve">up consultation with the bus industry stakeholders also revealed noise concerns, however these issues were limited to the internal noise </w:t>
      </w:r>
      <w:r w:rsidR="00C818C3">
        <w:t xml:space="preserve">that </w:t>
      </w:r>
      <w:r>
        <w:t>drivers would be exposed to w</w:t>
      </w:r>
      <w:r w:rsidR="001F43DB">
        <w:t>hen the vehicle is operating.  Measures to address these concerns are beyond the scope of this Impact Analysis.</w:t>
      </w:r>
    </w:p>
    <w:p w14:paraId="4F0BF9FC" w14:textId="77777777" w:rsidR="00271A50" w:rsidRPr="00930D6A" w:rsidRDefault="004D40F8" w:rsidP="009729B4">
      <w:pPr>
        <w:pStyle w:val="Heading3"/>
      </w:pPr>
      <w:bookmarkStart w:id="168" w:name="_Toc128476471"/>
      <w:bookmarkStart w:id="169" w:name="_Toc151556423"/>
      <w:bookmarkStart w:id="170" w:name="_Toc153795429"/>
      <w:r>
        <w:t>5</w:t>
      </w:r>
      <w:r w:rsidR="00CE75A2">
        <w:t xml:space="preserve">.1 </w:t>
      </w:r>
      <w:r w:rsidR="00271A50" w:rsidRPr="00930D6A">
        <w:t>Previous Consultation</w:t>
      </w:r>
      <w:bookmarkEnd w:id="168"/>
      <w:bookmarkEnd w:id="169"/>
      <w:bookmarkEnd w:id="170"/>
    </w:p>
    <w:p w14:paraId="52B2C8CC" w14:textId="0A25FF02" w:rsidR="00271A50" w:rsidRPr="00930D6A" w:rsidRDefault="003D5318" w:rsidP="00271A50">
      <w:r>
        <w:t xml:space="preserve">In addition to the public consultation </w:t>
      </w:r>
      <w:r w:rsidR="00EC4B3F">
        <w:t xml:space="preserve">on the Consultation Impact Analysis </w:t>
      </w:r>
      <w:r w:rsidR="00CC14A8">
        <w:t xml:space="preserve">released for public comment </w:t>
      </w:r>
      <w:r w:rsidR="00EC4B3F">
        <w:t xml:space="preserve">from </w:t>
      </w:r>
      <w:r w:rsidR="00CC14A8">
        <w:t xml:space="preserve">28 </w:t>
      </w:r>
      <w:r w:rsidR="00EC4B3F">
        <w:t xml:space="preserve">March </w:t>
      </w:r>
      <w:r w:rsidR="00CC14A8">
        <w:t xml:space="preserve">to 26 </w:t>
      </w:r>
      <w:r w:rsidR="00EC4B3F">
        <w:t>May 2023</w:t>
      </w:r>
      <w:r>
        <w:t xml:space="preserve">, </w:t>
      </w:r>
      <w:r w:rsidR="00EC4B3F">
        <w:t>consideration of</w:t>
      </w:r>
      <w:r w:rsidR="00271A50" w:rsidRPr="00930D6A">
        <w:t xml:space="preserve"> mandat</w:t>
      </w:r>
      <w:r w:rsidR="00EC4B3F">
        <w:t>ing</w:t>
      </w:r>
      <w:r w:rsidR="00271A50" w:rsidRPr="00930D6A">
        <w:t xml:space="preserve"> AVAS for new vehicles in Australia </w:t>
      </w:r>
      <w:r>
        <w:t>was</w:t>
      </w:r>
      <w:r w:rsidR="00271A50" w:rsidRPr="00930D6A">
        <w:t xml:space="preserve"> discussed a number of times at meetings of the peak vehicle standards consultative forum, the </w:t>
      </w:r>
      <w:r w:rsidR="00171321">
        <w:t>Vehicle Standards Consultative Forum (VSCF</w:t>
      </w:r>
      <w:r w:rsidR="000F066E">
        <w:t xml:space="preserve">) (formerly known as the </w:t>
      </w:r>
      <w:r w:rsidR="00271A50" w:rsidRPr="00930D6A">
        <w:t>Strategic Vehicle Safety and Environment Group</w:t>
      </w:r>
      <w:r w:rsidR="001F43DB">
        <w:t xml:space="preserve"> </w:t>
      </w:r>
      <w:r w:rsidR="00A827B8">
        <w:t>[</w:t>
      </w:r>
      <w:r w:rsidR="001F43DB">
        <w:t>SVSEG</w:t>
      </w:r>
      <w:r w:rsidR="00A827B8">
        <w:t>]</w:t>
      </w:r>
      <w:r w:rsidR="000F066E">
        <w:t>)</w:t>
      </w:r>
      <w:r w:rsidR="00271A50" w:rsidRPr="00930D6A">
        <w:t xml:space="preserve">. </w:t>
      </w:r>
      <w:r w:rsidR="000F066E">
        <w:t xml:space="preserve">VSCF </w:t>
      </w:r>
      <w:r w:rsidR="00271A50" w:rsidRPr="00930D6A">
        <w:t xml:space="preserve">consists of senior representatives of government (Australian and state/territory), the manufacturing and operational arms of the industry (including organisations such as </w:t>
      </w:r>
      <w:r>
        <w:t>FCAI</w:t>
      </w:r>
      <w:r w:rsidR="00271A50" w:rsidRPr="00930D6A">
        <w:t xml:space="preserve">, </w:t>
      </w:r>
      <w:r>
        <w:t xml:space="preserve">TIC </w:t>
      </w:r>
      <w:r w:rsidR="00271A50" w:rsidRPr="00930D6A">
        <w:t>and the Australian Trucking Association), and consumer and road user organisations (including the Australian Automobile Association).</w:t>
      </w:r>
    </w:p>
    <w:p w14:paraId="2FCE2BED" w14:textId="30F5B255" w:rsidR="00972BBE" w:rsidRPr="001F0001" w:rsidRDefault="00271A50" w:rsidP="001F0001">
      <w:r w:rsidRPr="00930D6A">
        <w:t>The proposal has also been raised within the Infrastructure and</w:t>
      </w:r>
      <w:r w:rsidR="00972BBE">
        <w:t xml:space="preserve"> </w:t>
      </w:r>
      <w:r w:rsidRPr="00930D6A">
        <w:t>Transport Ministers’ Meetings (ITMM). The ITMM bring</w:t>
      </w:r>
      <w:r w:rsidR="00CC14A8">
        <w:t>s</w:t>
      </w:r>
      <w:r w:rsidRPr="00930D6A">
        <w:t xml:space="preserve"> together Commonwealth, state, territory and New Zealand ministers with responsibility for transport and infrastructure, as well as the Australian Local Government Association. </w:t>
      </w:r>
    </w:p>
    <w:p w14:paraId="1377F991" w14:textId="77777777" w:rsidR="009378AE" w:rsidRPr="00930D6A" w:rsidRDefault="009378AE" w:rsidP="009729B4">
      <w:pPr>
        <w:pStyle w:val="Heading3"/>
      </w:pPr>
      <w:bookmarkStart w:id="171" w:name="_Toc151556424"/>
      <w:bookmarkStart w:id="172" w:name="_Toc153795430"/>
      <w:r>
        <w:t>5.</w:t>
      </w:r>
      <w:r w:rsidR="00664BF8">
        <w:t>2</w:t>
      </w:r>
      <w:r>
        <w:t xml:space="preserve"> How was public feedback incorporated</w:t>
      </w:r>
      <w:bookmarkEnd w:id="171"/>
      <w:bookmarkEnd w:id="172"/>
    </w:p>
    <w:p w14:paraId="7CADFAAD" w14:textId="77777777" w:rsidR="008F4CB4" w:rsidRDefault="008F4CB4" w:rsidP="008F4CB4">
      <w:r>
        <w:t xml:space="preserve">There were </w:t>
      </w:r>
      <w:r w:rsidR="009B78CF">
        <w:t xml:space="preserve">three key themes that emerged from the public consultation process that were either able to be incorporated within the revised proposal, or required follow up engagement to ascertain specific stakeholder views. </w:t>
      </w:r>
    </w:p>
    <w:p w14:paraId="3976B83B" w14:textId="2FE236CD" w:rsidR="009B78CF" w:rsidRDefault="00C8368C" w:rsidP="008F4CB4">
      <w:r>
        <w:t>First, i</w:t>
      </w:r>
      <w:r w:rsidR="009B78CF">
        <w:t xml:space="preserve">t was clear from some stakeholder submissions that AVAS should be mandated for heavy vehicles </w:t>
      </w:r>
      <w:r w:rsidR="00EC4B3F">
        <w:t xml:space="preserve">as well as </w:t>
      </w:r>
      <w:r w:rsidR="009B78CF">
        <w:t>light vehicles. Follow up engagement was conducted with TIC and BIC</w:t>
      </w:r>
      <w:r w:rsidR="00EC4B3F">
        <w:t>,</w:t>
      </w:r>
      <w:r w:rsidR="009B78CF">
        <w:t xml:space="preserve"> who were of the view it was reasonable to </w:t>
      </w:r>
      <w:r w:rsidR="00EC4B3F">
        <w:t xml:space="preserve">expect and AVAS to be fitted to </w:t>
      </w:r>
      <w:r w:rsidR="009B78CF">
        <w:t>heav</w:t>
      </w:r>
      <w:r w:rsidR="00EC4B3F">
        <w:t>y</w:t>
      </w:r>
      <w:r w:rsidR="009B78CF">
        <w:t xml:space="preserve"> vehicles</w:t>
      </w:r>
      <w:r w:rsidR="00EC4B3F">
        <w:t>, as well as light vehicles</w:t>
      </w:r>
      <w:r w:rsidR="009B78CF">
        <w:t>. Subsequently,</w:t>
      </w:r>
      <w:r w:rsidR="00AB0379">
        <w:t xml:space="preserve"> this </w:t>
      </w:r>
      <w:r w:rsidR="003D5318">
        <w:t>I</w:t>
      </w:r>
      <w:r w:rsidR="00AB0379">
        <w:t xml:space="preserve">mpact </w:t>
      </w:r>
      <w:r w:rsidR="003D5318">
        <w:t>A</w:t>
      </w:r>
      <w:r w:rsidR="00AB0379">
        <w:t xml:space="preserve">nalysis </w:t>
      </w:r>
      <w:r w:rsidR="00EC4B3F">
        <w:t xml:space="preserve">was updated to </w:t>
      </w:r>
      <w:r w:rsidR="00AB0379">
        <w:t>consider the costs and benefit of mandating AVAS for</w:t>
      </w:r>
      <w:r w:rsidR="009B78CF">
        <w:t xml:space="preserve"> both light and heavy vehicles.</w:t>
      </w:r>
      <w:r w:rsidR="00AB0379">
        <w:t xml:space="preserve"> In the absence of independent data on the specific costs and benefits for heavy vehicles, </w:t>
      </w:r>
      <w:r w:rsidR="003D5318">
        <w:t>an</w:t>
      </w:r>
      <w:r w:rsidR="00AB0379">
        <w:t xml:space="preserve"> estimate based on the proportion </w:t>
      </w:r>
      <w:r w:rsidR="003D5318">
        <w:t xml:space="preserve">of </w:t>
      </w:r>
      <w:r w:rsidR="00AB0379">
        <w:t xml:space="preserve">new heavy vehicle sales to light vehicle sales has been included in </w:t>
      </w:r>
      <w:r w:rsidR="003D5318">
        <w:t xml:space="preserve">the </w:t>
      </w:r>
      <w:r w:rsidR="00AB0379">
        <w:t>analysis (as Option 3a and 3b).</w:t>
      </w:r>
    </w:p>
    <w:p w14:paraId="0F3A589D" w14:textId="145D211B" w:rsidR="00F85F6C" w:rsidRDefault="00C8368C" w:rsidP="008F4CB4">
      <w:r>
        <w:t xml:space="preserve">Second, feedback </w:t>
      </w:r>
      <w:r w:rsidR="00AB0379">
        <w:t>received from vehicle manufacturer</w:t>
      </w:r>
      <w:r w:rsidR="003D5318">
        <w:t>s</w:t>
      </w:r>
      <w:r w:rsidR="00AB0379">
        <w:t xml:space="preserve"> advised that the proposed timeframe of January 2025 </w:t>
      </w:r>
      <w:r w:rsidR="003D5318">
        <w:t>(</w:t>
      </w:r>
      <w:r w:rsidR="00AB0379">
        <w:t>for newly approved models</w:t>
      </w:r>
      <w:r w:rsidR="003D5318">
        <w:t>)</w:t>
      </w:r>
      <w:r w:rsidR="00AB0379">
        <w:t xml:space="preserve"> and January 2026 </w:t>
      </w:r>
      <w:r w:rsidR="003D5318">
        <w:t xml:space="preserve">(new vehicles) </w:t>
      </w:r>
      <w:r w:rsidR="00AB0379">
        <w:t>may not allow sufficient time for manufacturers to update, test and recertify their vehicle models</w:t>
      </w:r>
      <w:r>
        <w:t xml:space="preserve">. </w:t>
      </w:r>
      <w:r w:rsidR="00AB0379">
        <w:t xml:space="preserve">As there is a strong desire by </w:t>
      </w:r>
      <w:r w:rsidR="003D5318">
        <w:t>g</w:t>
      </w:r>
      <w:r w:rsidR="00AB0379">
        <w:t>overnments to reduce the timeframes for the implementation on new ADRs, particularly for light vehicles, Option 3a considers the costs and benefits of mandating AVAS from January 2025 for light vehicles and November 2025 for heavy vehicles.</w:t>
      </w:r>
    </w:p>
    <w:p w14:paraId="1A86932A" w14:textId="4BADE546" w:rsidR="00C8368C" w:rsidRDefault="00036B50" w:rsidP="008F4CB4">
      <w:r>
        <w:t xml:space="preserve">To determine the costs and benefits of long lead time preferred by industry, </w:t>
      </w:r>
      <w:r w:rsidR="00F85F6C">
        <w:t xml:space="preserve">an </w:t>
      </w:r>
      <w:r>
        <w:t xml:space="preserve">Option 3b </w:t>
      </w:r>
      <w:r w:rsidR="00F85F6C">
        <w:t xml:space="preserve">was added to </w:t>
      </w:r>
      <w:r>
        <w:t>consider the costs and benefits of mandating AVAS from November 2025 for both light and heavy vehicles. As Option 3b</w:t>
      </w:r>
      <w:r w:rsidR="00C8368C">
        <w:t xml:space="preserve"> would align with the introduction of ADR 109</w:t>
      </w:r>
      <w:r w:rsidR="001F1F76">
        <w:t xml:space="preserve">/01 </w:t>
      </w:r>
      <w:r w:rsidR="00C8368C">
        <w:t xml:space="preserve">for </w:t>
      </w:r>
      <w:r w:rsidR="001F1F76">
        <w:t xml:space="preserve">newly approved vehicles and the introduction of ADR 110/00 for all </w:t>
      </w:r>
      <w:r w:rsidR="00AE2A22">
        <w:t xml:space="preserve">new </w:t>
      </w:r>
      <w:r w:rsidR="00C8368C">
        <w:t>hydrogen vehicles respectively</w:t>
      </w:r>
      <w:r>
        <w:t xml:space="preserve">, this would help reduce </w:t>
      </w:r>
      <w:r w:rsidR="00EC4B3F">
        <w:t xml:space="preserve">administrative burden, by reducing </w:t>
      </w:r>
      <w:r>
        <w:t>the number of applications manufacturers need to submit to update their vehicle type approva</w:t>
      </w:r>
      <w:r w:rsidR="00C03CED">
        <w:t>l</w:t>
      </w:r>
      <w:r>
        <w:t>s.</w:t>
      </w:r>
    </w:p>
    <w:p w14:paraId="22579C68" w14:textId="416412FB" w:rsidR="00AE2A22" w:rsidRDefault="00E608B7" w:rsidP="00CC14A8">
      <w:pPr>
        <w:keepLines/>
      </w:pPr>
      <w:r>
        <w:lastRenderedPageBreak/>
        <w:t>Lastly</w:t>
      </w:r>
      <w:r w:rsidR="00C8368C">
        <w:t xml:space="preserve">, </w:t>
      </w:r>
      <w:r w:rsidR="00CB2383">
        <w:t>s</w:t>
      </w:r>
      <w:r w:rsidR="00CB2383" w:rsidRPr="00CB2383">
        <w:t>ome submissions mentioned that several cost variables (i.e. fitment cost, cost to test a system to regulation and governmental costs) were underestimated.</w:t>
      </w:r>
      <w:r w:rsidR="00CB2383">
        <w:t xml:space="preserve"> </w:t>
      </w:r>
      <w:r w:rsidR="00036B50">
        <w:t xml:space="preserve">The </w:t>
      </w:r>
      <w:r w:rsidR="00AE2A22">
        <w:t>benefit cost analys</w:t>
      </w:r>
      <w:r w:rsidR="007B09D9">
        <w:t>e</w:t>
      </w:r>
      <w:r w:rsidR="00AE2A22">
        <w:t xml:space="preserve">s </w:t>
      </w:r>
      <w:r w:rsidR="00036B50">
        <w:t xml:space="preserve">for Options 2, 3a and 3b </w:t>
      </w:r>
      <w:r w:rsidR="00AE2A22">
        <w:t>reflect additional information provided on development and testing costs for</w:t>
      </w:r>
      <w:r>
        <w:t xml:space="preserve"> manufacturers, fitment costs,</w:t>
      </w:r>
      <w:r w:rsidR="00B73D06">
        <w:t xml:space="preserve"> and</w:t>
      </w:r>
      <w:r>
        <w:t xml:space="preserve"> updat</w:t>
      </w:r>
      <w:r w:rsidR="00AE2A22">
        <w:t>ed cost estimates</w:t>
      </w:r>
      <w:r>
        <w:t xml:space="preserve"> </w:t>
      </w:r>
      <w:r w:rsidR="00036B50">
        <w:t>for</w:t>
      </w:r>
      <w:r>
        <w:t xml:space="preserve"> fatalit</w:t>
      </w:r>
      <w:r w:rsidR="00AE2A22">
        <w:t>ies</w:t>
      </w:r>
      <w:r>
        <w:t xml:space="preserve"> and minor</w:t>
      </w:r>
      <w:r w:rsidR="00AE2A22">
        <w:t xml:space="preserve"> injuries</w:t>
      </w:r>
      <w:r w:rsidR="007B09D9">
        <w:t>.</w:t>
      </w:r>
      <w:r w:rsidR="00AE2A22">
        <w:br w:type="page"/>
      </w:r>
    </w:p>
    <w:p w14:paraId="1617F4BC" w14:textId="4A8609A0" w:rsidR="004D40F8" w:rsidRPr="00930D6A" w:rsidRDefault="004D40F8" w:rsidP="009729B4">
      <w:pPr>
        <w:pStyle w:val="Heading2"/>
      </w:pPr>
      <w:bookmarkStart w:id="173" w:name="_Toc151556425"/>
      <w:bookmarkStart w:id="174" w:name="_Toc153795431"/>
      <w:r>
        <w:lastRenderedPageBreak/>
        <w:t xml:space="preserve">6. </w:t>
      </w:r>
      <w:r w:rsidR="00C03CED">
        <w:t>What is the best option from those that have been considered, and how will it be implemented?</w:t>
      </w:r>
      <w:bookmarkEnd w:id="173"/>
      <w:bookmarkEnd w:id="174"/>
    </w:p>
    <w:p w14:paraId="618ECD02" w14:textId="3E131495" w:rsidR="00EC4B3F" w:rsidRDefault="00EC4B3F" w:rsidP="009729B4">
      <w:pPr>
        <w:pStyle w:val="Heading3"/>
      </w:pPr>
      <w:bookmarkStart w:id="175" w:name="_Toc134605320"/>
      <w:bookmarkStart w:id="176" w:name="_Toc135674270"/>
      <w:bookmarkStart w:id="177" w:name="_Toc143178070"/>
      <w:bookmarkStart w:id="178" w:name="_Toc153795432"/>
      <w:r>
        <w:t>6.1</w:t>
      </w:r>
      <w:r>
        <w:tab/>
      </w:r>
      <w:r w:rsidRPr="0096652B">
        <w:t>Best option considered</w:t>
      </w:r>
      <w:bookmarkEnd w:id="175"/>
      <w:bookmarkEnd w:id="176"/>
      <w:bookmarkEnd w:id="177"/>
      <w:bookmarkEnd w:id="178"/>
    </w:p>
    <w:p w14:paraId="74FFA926" w14:textId="4B20AEBF" w:rsidR="00B60848" w:rsidRPr="0096652B" w:rsidRDefault="00B60848" w:rsidP="00B60848">
      <w:r w:rsidRPr="0096652B">
        <w:t xml:space="preserve">The decision rule for this analysis is that the recommended option should be the option with the highest net benefit in line with the </w:t>
      </w:r>
      <w:r w:rsidRPr="00C40A30">
        <w:rPr>
          <w:i/>
        </w:rPr>
        <w:t xml:space="preserve">Australian Government Guide to </w:t>
      </w:r>
      <w:r>
        <w:rPr>
          <w:i/>
        </w:rPr>
        <w:t>Policy</w:t>
      </w:r>
      <w:r w:rsidRPr="00C40A30">
        <w:rPr>
          <w:i/>
        </w:rPr>
        <w:t xml:space="preserve"> Impact Analysis</w:t>
      </w:r>
      <w:r w:rsidRPr="0096652B">
        <w:t>.</w:t>
      </w:r>
    </w:p>
    <w:p w14:paraId="4BF75BEE" w14:textId="68C7A229" w:rsidR="0075685D" w:rsidRDefault="002E0CBD">
      <w:pPr>
        <w:spacing w:line="259" w:lineRule="auto"/>
      </w:pPr>
      <w:r>
        <w:t xml:space="preserve">We have established that </w:t>
      </w:r>
      <w:r w:rsidR="00036B50">
        <w:t>QRTVs</w:t>
      </w:r>
      <w:r>
        <w:t xml:space="preserve"> travelling at low speeds</w:t>
      </w:r>
      <w:r w:rsidR="001F3D02">
        <w:t xml:space="preserve"> pose a</w:t>
      </w:r>
      <w:r w:rsidR="00036B50">
        <w:t xml:space="preserve">n increased safety </w:t>
      </w:r>
      <w:r w:rsidR="001F3D02">
        <w:t xml:space="preserve">risk to </w:t>
      </w:r>
      <w:r w:rsidR="00036B50">
        <w:t xml:space="preserve">pedestrians and other </w:t>
      </w:r>
      <w:r w:rsidR="00A827B8">
        <w:t>VRUs</w:t>
      </w:r>
      <w:r w:rsidR="00036B50">
        <w:t xml:space="preserve"> due to their reduced audibility</w:t>
      </w:r>
      <w:r w:rsidR="001F3D02">
        <w:t xml:space="preserve">. </w:t>
      </w:r>
      <w:r w:rsidR="00B60848">
        <w:t>If QRTVs are not fitted with</w:t>
      </w:r>
      <w:r w:rsidR="002A63AD">
        <w:t xml:space="preserve"> AVAS</w:t>
      </w:r>
      <w:r w:rsidR="001F3D02">
        <w:t xml:space="preserve"> there is a strong likelihood that </w:t>
      </w:r>
      <w:r w:rsidR="00B60848">
        <w:t xml:space="preserve">the Australian community will experience an increase in road trauma involving </w:t>
      </w:r>
      <w:r w:rsidR="00A827B8">
        <w:t>VRUs</w:t>
      </w:r>
      <w:r w:rsidR="00036B50">
        <w:t>, particular</w:t>
      </w:r>
      <w:r w:rsidR="00B60848">
        <w:t>ly</w:t>
      </w:r>
      <w:r w:rsidR="00036B50">
        <w:t xml:space="preserve"> those who are blind or have low vision</w:t>
      </w:r>
      <w:r w:rsidR="00B60848" w:rsidRPr="00B60848">
        <w:t xml:space="preserve"> </w:t>
      </w:r>
      <w:r w:rsidR="00B60848">
        <w:t>in line with number</w:t>
      </w:r>
      <w:r w:rsidR="0075685D">
        <w:t xml:space="preserve"> of QRTVs entering the Australian vehicle fleet</w:t>
      </w:r>
      <w:r w:rsidR="000D7407">
        <w:t>.</w:t>
      </w:r>
    </w:p>
    <w:p w14:paraId="4EDEA3FE" w14:textId="4C0CF64A" w:rsidR="0075685D" w:rsidRDefault="0075685D">
      <w:pPr>
        <w:spacing w:line="259" w:lineRule="auto"/>
      </w:pPr>
      <w:r w:rsidRPr="00C52F9B">
        <w:t xml:space="preserve">There is a strong case for mandatory standards to </w:t>
      </w:r>
      <w:r>
        <w:t>improve the audibility of QRTVs supplied to Australia</w:t>
      </w:r>
      <w:r w:rsidRPr="00C52F9B">
        <w:t xml:space="preserve">. </w:t>
      </w:r>
      <w:r>
        <w:t>As the fitment of AVAS does not provide a direct benefit to motorists and increases vehicle production costs, there is no commercial incentive for manufacturers to fit AVAS to QRTVs supplied to Australia, if it is not required by regulation</w:t>
      </w:r>
      <w:r w:rsidRPr="00C52F9B">
        <w:t>. As such, the problem will not be addressed effectively by market forces alone, as there is no commercial reason to do so.</w:t>
      </w:r>
    </w:p>
    <w:p w14:paraId="7AAC605E" w14:textId="0C2663C0" w:rsidR="0075685D" w:rsidRPr="0096652B" w:rsidRDefault="0075685D" w:rsidP="0075685D">
      <w:r w:rsidRPr="00C52F9B">
        <w:t>Our analysis found that there were significant benefits for the Australian community to be gained from</w:t>
      </w:r>
      <w:r>
        <w:t xml:space="preserve"> mandating AVAS for light and heavy QRTVs supplied to Australia</w:t>
      </w:r>
      <w:r w:rsidRPr="00C52F9B">
        <w:t xml:space="preserve">. These benefits would not otherwise be realised </w:t>
      </w:r>
      <w:r>
        <w:t>under existing policy settings (Option 1)</w:t>
      </w:r>
      <w:r w:rsidRPr="0096652B">
        <w:t>.</w:t>
      </w:r>
    </w:p>
    <w:p w14:paraId="73C55A55" w14:textId="1480BB5E" w:rsidR="0075685D" w:rsidRDefault="0075685D" w:rsidP="00CC14A8">
      <w:pPr>
        <w:pStyle w:val="Listparagraphbullets"/>
        <w:ind w:left="567" w:hanging="567"/>
      </w:pPr>
      <w:r w:rsidRPr="0096652B">
        <w:t xml:space="preserve">If </w:t>
      </w:r>
      <w:r>
        <w:t>Option 2</w:t>
      </w:r>
      <w:r w:rsidRPr="0096652B">
        <w:t xml:space="preserve"> </w:t>
      </w:r>
      <w:r w:rsidR="007E7058">
        <w:t xml:space="preserve">(mandate AVAS for new light vehicle models from January 2025 and all new light vehicles supplied from January 2026) </w:t>
      </w:r>
      <w:r w:rsidRPr="0096652B">
        <w:t xml:space="preserve">was adopted, it would avoid </w:t>
      </w:r>
      <w:r>
        <w:t>road trauma</w:t>
      </w:r>
      <w:r w:rsidRPr="0096652B">
        <w:t xml:space="preserve"> costs of $</w:t>
      </w:r>
      <w:r w:rsidR="007E7058">
        <w:t>372.8</w:t>
      </w:r>
      <w:r>
        <w:t xml:space="preserve"> </w:t>
      </w:r>
      <w:r w:rsidRPr="0096652B">
        <w:t>million</w:t>
      </w:r>
      <w:r w:rsidR="007E7058">
        <w:t xml:space="preserve"> by 2060 by avoiding 65 fatalities, 2,585 serious injuries and 2,863 minor injuries</w:t>
      </w:r>
      <w:r w:rsidRPr="0096652B">
        <w:t>. These savings outweigh any increased costs of $</w:t>
      </w:r>
      <w:r w:rsidR="007E7058">
        <w:t>171.6</w:t>
      </w:r>
      <w:r w:rsidRPr="0096652B">
        <w:t> million. The net present value was estimated to be $2</w:t>
      </w:r>
      <w:r w:rsidR="007E7058">
        <w:t>01.2</w:t>
      </w:r>
      <w:r w:rsidRPr="0096652B">
        <w:t xml:space="preserve"> million, with a BCR </w:t>
      </w:r>
      <w:r w:rsidRPr="0096652B" w:rsidDel="00324DE3">
        <w:t>of</w:t>
      </w:r>
      <w:r w:rsidRPr="0096652B">
        <w:t> </w:t>
      </w:r>
      <w:r w:rsidR="007E7058">
        <w:t>2.17</w:t>
      </w:r>
      <w:r w:rsidRPr="0096652B">
        <w:t>.</w:t>
      </w:r>
    </w:p>
    <w:p w14:paraId="2E581B84" w14:textId="0476DF1B" w:rsidR="007E7058" w:rsidRDefault="007E7058" w:rsidP="007E7058">
      <w:pPr>
        <w:pStyle w:val="Listparagraphbullets"/>
        <w:ind w:left="567" w:hanging="567"/>
      </w:pPr>
      <w:r w:rsidRPr="0096652B">
        <w:t xml:space="preserve">If </w:t>
      </w:r>
      <w:r>
        <w:t>Option 3a</w:t>
      </w:r>
      <w:r w:rsidRPr="0096652B">
        <w:t xml:space="preserve"> </w:t>
      </w:r>
      <w:r>
        <w:t xml:space="preserve">(mandate AVAS for new light vehicle models from January 2025 and all new light vehicles supplied from January 2026 plus new heavy vehicle models supplied from November 2025 and all new heavy vehicles supplied from November 2026) </w:t>
      </w:r>
      <w:r w:rsidRPr="0096652B">
        <w:t xml:space="preserve">was adopted, it would avoid </w:t>
      </w:r>
      <w:r>
        <w:t>road trauma</w:t>
      </w:r>
      <w:r w:rsidRPr="0096652B">
        <w:t xml:space="preserve"> costs of $</w:t>
      </w:r>
      <w:r>
        <w:t xml:space="preserve">389.3 </w:t>
      </w:r>
      <w:r w:rsidRPr="0096652B">
        <w:t>million</w:t>
      </w:r>
      <w:r>
        <w:t xml:space="preserve"> by 2060 by avoiding 68 fatalities, 2,701 serious injuries and 2,991 minor injuries</w:t>
      </w:r>
      <w:r w:rsidRPr="0096652B">
        <w:t>. These savings outweigh any increased costs of $</w:t>
      </w:r>
      <w:r>
        <w:t>179</w:t>
      </w:r>
      <w:r w:rsidRPr="0096652B">
        <w:t> million. The net present value was estimated to be $2</w:t>
      </w:r>
      <w:r>
        <w:t>10.3</w:t>
      </w:r>
      <w:r w:rsidRPr="0096652B">
        <w:t xml:space="preserve"> million, with a BCR </w:t>
      </w:r>
      <w:r w:rsidRPr="0096652B" w:rsidDel="00324DE3">
        <w:t>of</w:t>
      </w:r>
      <w:r w:rsidRPr="0096652B">
        <w:t> </w:t>
      </w:r>
      <w:r>
        <w:t>2.18</w:t>
      </w:r>
      <w:r w:rsidRPr="0096652B">
        <w:t>.</w:t>
      </w:r>
    </w:p>
    <w:p w14:paraId="5CFC684C" w14:textId="23B1F296" w:rsidR="007E7058" w:rsidRDefault="007E7058" w:rsidP="00CC14A8">
      <w:pPr>
        <w:pStyle w:val="Listparagraphbullets"/>
        <w:ind w:left="567" w:hanging="567"/>
      </w:pPr>
      <w:r w:rsidRPr="0096652B">
        <w:t xml:space="preserve">If </w:t>
      </w:r>
      <w:r>
        <w:t>Option 3b</w:t>
      </w:r>
      <w:r w:rsidRPr="0096652B">
        <w:t xml:space="preserve"> </w:t>
      </w:r>
      <w:r>
        <w:t xml:space="preserve">(mandate AVAS for new light </w:t>
      </w:r>
      <w:r w:rsidR="00AE7E8C">
        <w:t xml:space="preserve">and heavy </w:t>
      </w:r>
      <w:r>
        <w:t xml:space="preserve">vehicle models from </w:t>
      </w:r>
      <w:r w:rsidR="00AE7E8C">
        <w:t>November</w:t>
      </w:r>
      <w:r>
        <w:t xml:space="preserve"> 2025 and all new light</w:t>
      </w:r>
      <w:r w:rsidR="00AE7E8C">
        <w:t xml:space="preserve"> and heavy</w:t>
      </w:r>
      <w:r>
        <w:t xml:space="preserve"> vehicles supplied from </w:t>
      </w:r>
      <w:r w:rsidR="00AE7E8C">
        <w:t>November</w:t>
      </w:r>
      <w:r>
        <w:t xml:space="preserve"> 2026) </w:t>
      </w:r>
      <w:r w:rsidRPr="0096652B">
        <w:t xml:space="preserve">was adopted, it would avoid </w:t>
      </w:r>
      <w:r>
        <w:t>road trauma</w:t>
      </w:r>
      <w:r w:rsidRPr="0096652B">
        <w:t xml:space="preserve"> costs of $</w:t>
      </w:r>
      <w:r w:rsidR="00AE7E8C">
        <w:t>377.3</w:t>
      </w:r>
      <w:r>
        <w:t xml:space="preserve"> </w:t>
      </w:r>
      <w:r w:rsidRPr="0096652B">
        <w:t>million</w:t>
      </w:r>
      <w:r>
        <w:t xml:space="preserve"> by 2060 by avoiding 68 fatalities, 2,</w:t>
      </w:r>
      <w:r w:rsidR="00AE7E8C">
        <w:t>675</w:t>
      </w:r>
      <w:r>
        <w:t xml:space="preserve"> serious injuries and 2,9</w:t>
      </w:r>
      <w:r w:rsidR="00AE7E8C">
        <w:t>62</w:t>
      </w:r>
      <w:r>
        <w:t xml:space="preserve"> minor injuries</w:t>
      </w:r>
      <w:r w:rsidRPr="0096652B">
        <w:t>. These savings outweigh any increased costs of $</w:t>
      </w:r>
      <w:r>
        <w:t>1</w:t>
      </w:r>
      <w:r w:rsidR="00AE7E8C">
        <w:t>68.9</w:t>
      </w:r>
      <w:r w:rsidRPr="0096652B">
        <w:t> million. The net present value was estimated to be $2</w:t>
      </w:r>
      <w:r w:rsidR="00AE7E8C">
        <w:t>08.4</w:t>
      </w:r>
      <w:r w:rsidRPr="0096652B">
        <w:t xml:space="preserve"> million, with a BCR </w:t>
      </w:r>
      <w:r w:rsidRPr="0096652B" w:rsidDel="00324DE3">
        <w:t>of</w:t>
      </w:r>
      <w:r w:rsidRPr="0096652B">
        <w:t> </w:t>
      </w:r>
      <w:r>
        <w:t>2.18</w:t>
      </w:r>
      <w:r w:rsidRPr="0096652B">
        <w:t>.</w:t>
      </w:r>
    </w:p>
    <w:p w14:paraId="5EDCE45A" w14:textId="4F7B8DFD" w:rsidR="007E7058" w:rsidRDefault="007E7058" w:rsidP="00CC14A8">
      <w:pPr>
        <w:pStyle w:val="Listparagraphbullets"/>
        <w:numPr>
          <w:ilvl w:val="0"/>
          <w:numId w:val="0"/>
        </w:numPr>
      </w:pPr>
    </w:p>
    <w:p w14:paraId="1CEA6545" w14:textId="50787E0B" w:rsidR="007E7058" w:rsidRDefault="007E7058" w:rsidP="00CC14A8">
      <w:pPr>
        <w:pStyle w:val="Listparagraphbullets"/>
        <w:numPr>
          <w:ilvl w:val="0"/>
          <w:numId w:val="0"/>
        </w:numPr>
      </w:pPr>
      <w:r>
        <w:t xml:space="preserve">The Australian Government Guide to Policy Impact Analysis advises the preferred option should generally be the option with the highest net benefit. On this basis, this Impact Analysis </w:t>
      </w:r>
      <w:r w:rsidR="00AE7E8C">
        <w:t xml:space="preserve">notionally </w:t>
      </w:r>
      <w:r>
        <w:t>recommends implementing Option 3a</w:t>
      </w:r>
      <w:r w:rsidR="00AE7E8C">
        <w:t>, as this would</w:t>
      </w:r>
      <w:r>
        <w:t xml:space="preserve"> deliver the greatest safety benefits in terms of avoided fatal, serious and minor injury crashes involving VRUs.</w:t>
      </w:r>
    </w:p>
    <w:p w14:paraId="0AFA5319" w14:textId="17F7D3B0" w:rsidR="0075685D" w:rsidRDefault="00AE7E8C" w:rsidP="0075685D">
      <w:r>
        <w:t>However, l</w:t>
      </w:r>
      <w:r w:rsidR="0075685D">
        <w:t>ight v</w:t>
      </w:r>
      <w:r w:rsidR="0075685D" w:rsidRPr="00C52F9B">
        <w:t xml:space="preserve">ehicle </w:t>
      </w:r>
      <w:r w:rsidR="0075685D">
        <w:t>manufacturers</w:t>
      </w:r>
      <w:r w:rsidR="0075685D" w:rsidRPr="00C52F9B">
        <w:t xml:space="preserve">’ </w:t>
      </w:r>
      <w:r>
        <w:t>have advised</w:t>
      </w:r>
      <w:r w:rsidR="0075685D" w:rsidRPr="00C52F9B">
        <w:t xml:space="preserve"> </w:t>
      </w:r>
      <w:r w:rsidR="0075685D">
        <w:t>Option 3a</w:t>
      </w:r>
      <w:r w:rsidR="0075685D" w:rsidRPr="00C52F9B">
        <w:t xml:space="preserve"> </w:t>
      </w:r>
      <w:r>
        <w:t>would</w:t>
      </w:r>
      <w:r w:rsidR="007E7058">
        <w:t xml:space="preserve"> not allow</w:t>
      </w:r>
      <w:r w:rsidR="0075685D">
        <w:t xml:space="preserve"> sufficient time </w:t>
      </w:r>
      <w:r w:rsidR="007E7058">
        <w:t xml:space="preserve">for manufacturers </w:t>
      </w:r>
      <w:r w:rsidR="0075685D">
        <w:t>to update</w:t>
      </w:r>
      <w:r w:rsidR="007E7058">
        <w:t>, test</w:t>
      </w:r>
      <w:r w:rsidR="0075685D">
        <w:t xml:space="preserve"> and recertify existing </w:t>
      </w:r>
      <w:r w:rsidR="007E7058">
        <w:t xml:space="preserve">models that do not currently comply with the proposed </w:t>
      </w:r>
      <w:r>
        <w:t xml:space="preserve">ADR </w:t>
      </w:r>
      <w:r w:rsidR="007E7058">
        <w:t>requirements</w:t>
      </w:r>
      <w:r>
        <w:t xml:space="preserve"> and may be forced to suspend the delivery of affected models to Australian customers until these models can be recertified. T</w:t>
      </w:r>
      <w:r w:rsidR="0066025C">
        <w:t>o mitigate t</w:t>
      </w:r>
      <w:r w:rsidR="007E7058">
        <w:t>his risk</w:t>
      </w:r>
      <w:r w:rsidR="0066025C">
        <w:t xml:space="preserve">, the department recommends </w:t>
      </w:r>
      <w:r w:rsidR="007E7058">
        <w:t>implementing Option 3b</w:t>
      </w:r>
      <w:r>
        <w:t>, which would allow light vehicles an additional 10 months to comply with the new ADR and would align the introduction of the ADR for light vehicles with the proposed introduction of the ADR for heavy vehicles. It would also align with the introduction date of ADR 109/01 for new approved electric vehicle models and ADR 110/00 for all new hydrogen fuel cell vehicles.</w:t>
      </w:r>
    </w:p>
    <w:p w14:paraId="7DD68578" w14:textId="1218EFC2" w:rsidR="00EC4B3F" w:rsidRPr="0096652B" w:rsidRDefault="00AE5A04" w:rsidP="009729B4">
      <w:pPr>
        <w:pStyle w:val="Heading3"/>
      </w:pPr>
      <w:bookmarkStart w:id="179" w:name="_Toc134605326"/>
      <w:bookmarkStart w:id="180" w:name="_Toc135674275"/>
      <w:bookmarkStart w:id="181" w:name="_Toc143178075"/>
      <w:bookmarkStart w:id="182" w:name="_Toc153795433"/>
      <w:r>
        <w:lastRenderedPageBreak/>
        <w:t>6</w:t>
      </w:r>
      <w:r w:rsidR="00EC4B3F">
        <w:t>.</w:t>
      </w:r>
      <w:r>
        <w:t>2</w:t>
      </w:r>
      <w:r w:rsidR="00EC4B3F">
        <w:tab/>
      </w:r>
      <w:r w:rsidR="00EC4B3F" w:rsidRPr="00C40A30">
        <w:t xml:space="preserve">Implementation </w:t>
      </w:r>
      <w:bookmarkEnd w:id="179"/>
      <w:bookmarkEnd w:id="180"/>
      <w:bookmarkEnd w:id="181"/>
      <w:r w:rsidR="0066025C">
        <w:t>of the preferred option</w:t>
      </w:r>
      <w:bookmarkEnd w:id="182"/>
    </w:p>
    <w:p w14:paraId="425AA619" w14:textId="370E0EB0" w:rsidR="0066025C" w:rsidRDefault="007E7058" w:rsidP="00EC4B3F">
      <w:r>
        <w:t xml:space="preserve">If the Australian Government chooses to implement </w:t>
      </w:r>
      <w:r w:rsidR="0066025C">
        <w:t>Option 2, 3a or 3b, this would be</w:t>
      </w:r>
      <w:r>
        <w:t xml:space="preserve"> done by adopting </w:t>
      </w:r>
      <w:r w:rsidR="0066025C">
        <w:t xml:space="preserve">a </w:t>
      </w:r>
      <w:r>
        <w:t xml:space="preserve">new national vehicle standard </w:t>
      </w:r>
      <w:r w:rsidR="0066025C">
        <w:t xml:space="preserve">to be known as </w:t>
      </w:r>
      <w:r>
        <w:t>Australian Design Rules</w:t>
      </w:r>
      <w:r w:rsidR="0066025C">
        <w:t xml:space="preserve"> 113/00</w:t>
      </w:r>
      <w:r>
        <w:t xml:space="preserve"> under the </w:t>
      </w:r>
      <w:r w:rsidRPr="008163A2">
        <w:rPr>
          <w:i/>
        </w:rPr>
        <w:t>Road Vehicle Standards Act 2018</w:t>
      </w:r>
      <w:r>
        <w:rPr>
          <w:i/>
        </w:rPr>
        <w:t xml:space="preserve"> (RVSA)</w:t>
      </w:r>
      <w:r w:rsidRPr="008163A2">
        <w:rPr>
          <w:i/>
        </w:rPr>
        <w:t>.</w:t>
      </w:r>
      <w:r>
        <w:rPr>
          <w:i/>
        </w:rPr>
        <w:t xml:space="preserve"> </w:t>
      </w:r>
      <w:r>
        <w:t>Section 12 of the RVSA allows the responsible Minister to make new ADRs, or amend existing ADRs to make road vehicles safe to use while benefiting other road users</w:t>
      </w:r>
    </w:p>
    <w:p w14:paraId="29CB4861" w14:textId="5859A152" w:rsidR="00EC4B3F" w:rsidRPr="0096652B" w:rsidRDefault="00EC4B3F" w:rsidP="00EC4B3F">
      <w:r w:rsidRPr="0096652B">
        <w:t>Table sets out the</w:t>
      </w:r>
      <w:r w:rsidR="0066025C">
        <w:t xml:space="preserve"> intend</w:t>
      </w:r>
      <w:r w:rsidRPr="0096652B">
        <w:t xml:space="preserve"> implementation milestones fo</w:t>
      </w:r>
      <w:r w:rsidR="0066025C">
        <w:t>r the preferred option</w:t>
      </w:r>
      <w:r w:rsidRPr="0096652B">
        <w:t>.</w:t>
      </w:r>
    </w:p>
    <w:p w14:paraId="76A46769" w14:textId="45FA3CC2" w:rsidR="00EC4B3F" w:rsidRPr="0096652B" w:rsidRDefault="00EC4B3F" w:rsidP="00EC4B3F">
      <w:pPr>
        <w:pStyle w:val="Tablefigureheading"/>
      </w:pPr>
      <w:bookmarkStart w:id="183" w:name="_Toc133570368"/>
      <w:bookmarkStart w:id="184" w:name="_Toc134619109"/>
      <w:bookmarkStart w:id="185" w:name="_Toc135674313"/>
      <w:bookmarkStart w:id="186" w:name="_Toc143179057"/>
      <w:bookmarkStart w:id="187" w:name="_Toc153795488"/>
      <w:r w:rsidRPr="0096652B">
        <w:t>Table</w:t>
      </w:r>
      <w:r w:rsidR="00AE5A04">
        <w:t xml:space="preserve"> 6</w:t>
      </w:r>
      <w:r w:rsidRPr="0096652B">
        <w:t>: Implementation timeline</w:t>
      </w:r>
      <w:bookmarkEnd w:id="183"/>
      <w:bookmarkEnd w:id="184"/>
      <w:bookmarkEnd w:id="185"/>
      <w:bookmarkEnd w:id="186"/>
      <w:bookmarkEnd w:id="187"/>
    </w:p>
    <w:tbl>
      <w:tblPr>
        <w:tblStyle w:val="GHDFinancialTable"/>
        <w:tblW w:w="9161" w:type="dxa"/>
        <w:tblInd w:w="0" w:type="dxa"/>
        <w:tblLook w:val="04A0" w:firstRow="1" w:lastRow="0" w:firstColumn="1" w:lastColumn="0" w:noHBand="0" w:noVBand="1"/>
        <w:tblCaption w:val="Table 24 - Implementation timeline"/>
        <w:tblDescription w:val="Legislation to implement the new and amended standard - July 2023.&#10;Reduced aromatics limit commences December 2025&#10;Euro 6d mandatory for newly approved models from December 2025&#10;Euro 6d mandatory for all new light vehicles supplied from July 2028&#10;A review of the policy package is proposed in 2030&#10;"/>
      </w:tblPr>
      <w:tblGrid>
        <w:gridCol w:w="2552"/>
        <w:gridCol w:w="6609"/>
      </w:tblGrid>
      <w:tr w:rsidR="00EC4B3F" w:rsidRPr="0096652B" w14:paraId="23A83238" w14:textId="77777777" w:rsidTr="00EC4B3F">
        <w:trPr>
          <w:cnfStyle w:val="100000000000" w:firstRow="1" w:lastRow="0" w:firstColumn="0" w:lastColumn="0" w:oddVBand="0" w:evenVBand="0" w:oddHBand="0" w:evenHBand="0" w:firstRowFirstColumn="0" w:firstRowLastColumn="0" w:lastRowFirstColumn="0" w:lastRowLastColumn="0"/>
          <w:trHeight w:val="39"/>
          <w:tblHeader/>
        </w:trPr>
        <w:tc>
          <w:tcPr>
            <w:cnfStyle w:val="001000000000" w:firstRow="0" w:lastRow="0" w:firstColumn="1" w:lastColumn="0" w:oddVBand="0" w:evenVBand="0" w:oddHBand="0" w:evenHBand="0" w:firstRowFirstColumn="0" w:firstRowLastColumn="0" w:lastRowFirstColumn="0" w:lastRowLastColumn="0"/>
            <w:tcW w:w="2552" w:type="dxa"/>
          </w:tcPr>
          <w:p w14:paraId="1C200D80" w14:textId="77777777" w:rsidR="00EC4B3F" w:rsidRPr="00CF16C9" w:rsidRDefault="00EC4B3F"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sidRPr="00CF16C9">
              <w:rPr>
                <w:rFonts w:asciiTheme="majorHAnsi" w:hAnsiTheme="majorHAnsi" w:cstheme="majorHAnsi"/>
                <w:b/>
                <w:i/>
                <w:color w:val="auto"/>
              </w:rPr>
              <w:t>Date</w:t>
            </w:r>
          </w:p>
        </w:tc>
        <w:tc>
          <w:tcPr>
            <w:tcW w:w="6609" w:type="dxa"/>
          </w:tcPr>
          <w:p w14:paraId="14B29FC6" w14:textId="77777777" w:rsidR="00EC4B3F" w:rsidRPr="00CF16C9" w:rsidRDefault="00EC4B3F" w:rsidP="00EC4B3F">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i/>
                <w:color w:val="auto"/>
              </w:rPr>
            </w:pPr>
            <w:r w:rsidRPr="00CF16C9">
              <w:rPr>
                <w:rFonts w:asciiTheme="majorHAnsi" w:hAnsiTheme="majorHAnsi" w:cstheme="majorHAnsi"/>
                <w:b/>
                <w:i/>
                <w:color w:val="auto"/>
              </w:rPr>
              <w:t>Milestone</w:t>
            </w:r>
          </w:p>
        </w:tc>
      </w:tr>
      <w:tr w:rsidR="00EC4B3F" w:rsidRPr="0096652B" w14:paraId="56F5426A" w14:textId="77777777" w:rsidTr="00EC4B3F">
        <w:trPr>
          <w:trHeight w:val="39"/>
        </w:trPr>
        <w:tc>
          <w:tcPr>
            <w:cnfStyle w:val="001000000000" w:firstRow="0" w:lastRow="0" w:firstColumn="1" w:lastColumn="0" w:oddVBand="0" w:evenVBand="0" w:oddHBand="0" w:evenHBand="0" w:firstRowFirstColumn="0" w:firstRowLastColumn="0" w:lastRowFirstColumn="0" w:lastRowLastColumn="0"/>
            <w:tcW w:w="2552" w:type="dxa"/>
          </w:tcPr>
          <w:p w14:paraId="069B462B" w14:textId="2A7635EA" w:rsidR="00EC4B3F" w:rsidRPr="00CF16C9" w:rsidRDefault="00EC4B3F"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sidRPr="00CF16C9">
              <w:rPr>
                <w:rFonts w:asciiTheme="majorHAnsi" w:hAnsiTheme="majorHAnsi" w:cstheme="majorHAnsi"/>
                <w:b/>
                <w:i/>
                <w:color w:val="auto"/>
              </w:rPr>
              <w:t>J</w:t>
            </w:r>
            <w:r>
              <w:rPr>
                <w:rFonts w:asciiTheme="majorHAnsi" w:hAnsiTheme="majorHAnsi" w:cstheme="majorHAnsi"/>
                <w:b/>
                <w:i/>
                <w:color w:val="auto"/>
              </w:rPr>
              <w:t>anuary 2024</w:t>
            </w:r>
          </w:p>
        </w:tc>
        <w:tc>
          <w:tcPr>
            <w:tcW w:w="6609" w:type="dxa"/>
          </w:tcPr>
          <w:p w14:paraId="0DDF9F77" w14:textId="433B6D81" w:rsidR="00EC4B3F" w:rsidRPr="00CF16C9" w:rsidRDefault="0066025C" w:rsidP="00EC4B3F">
            <w:pPr>
              <w:suppressAutoHyphens/>
              <w:autoSpaceDE w:val="0"/>
              <w:autoSpaceDN w:val="0"/>
              <w:adjustRightInd w:val="0"/>
              <w:spacing w:before="40" w:after="12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Adopt new ADR 113/00 mandating AVAS for new vehicle models supplied from 1 November 2025 and all new </w:t>
            </w:r>
            <w:r w:rsidR="00AE5A04">
              <w:rPr>
                <w:rFonts w:asciiTheme="majorHAnsi" w:hAnsiTheme="majorHAnsi" w:cstheme="majorHAnsi"/>
              </w:rPr>
              <w:t>vehicles supplied from 1 November 2026.</w:t>
            </w:r>
          </w:p>
        </w:tc>
      </w:tr>
      <w:tr w:rsidR="00EC4B3F" w:rsidRPr="0096652B" w14:paraId="6A4949A3" w14:textId="77777777" w:rsidTr="00EC4B3F">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552" w:type="dxa"/>
          </w:tcPr>
          <w:p w14:paraId="63449EB6" w14:textId="75D185BF" w:rsidR="00EC4B3F" w:rsidRPr="00CF16C9" w:rsidRDefault="0066025C"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Novem</w:t>
            </w:r>
            <w:r w:rsidR="00EC4B3F" w:rsidRPr="00CF16C9">
              <w:rPr>
                <w:rFonts w:asciiTheme="majorHAnsi" w:hAnsiTheme="majorHAnsi" w:cstheme="majorHAnsi"/>
                <w:b/>
                <w:i/>
                <w:color w:val="auto"/>
              </w:rPr>
              <w:t>ber 2025</w:t>
            </w:r>
          </w:p>
        </w:tc>
        <w:tc>
          <w:tcPr>
            <w:tcW w:w="6609" w:type="dxa"/>
          </w:tcPr>
          <w:p w14:paraId="5A898F3F" w14:textId="60D263BD" w:rsidR="00EC4B3F" w:rsidRPr="00CF16C9" w:rsidRDefault="0066025C" w:rsidP="00EC4B3F">
            <w:pPr>
              <w:suppressAutoHyphens/>
              <w:autoSpaceDE w:val="0"/>
              <w:autoSpaceDN w:val="0"/>
              <w:adjustRightInd w:val="0"/>
              <w:spacing w:before="40" w:after="120"/>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Pr>
                <w:rFonts w:asciiTheme="majorHAnsi" w:hAnsiTheme="majorHAnsi" w:cstheme="majorHAnsi"/>
              </w:rPr>
              <w:t>A</w:t>
            </w:r>
            <w:r w:rsidR="00EC4B3F" w:rsidRPr="00CF16C9">
              <w:rPr>
                <w:rFonts w:asciiTheme="majorHAnsi" w:hAnsiTheme="majorHAnsi" w:cstheme="majorHAnsi"/>
              </w:rPr>
              <w:t>ll newly approved vehicle models</w:t>
            </w:r>
            <w:r>
              <w:rPr>
                <w:rFonts w:asciiTheme="majorHAnsi" w:hAnsiTheme="majorHAnsi" w:cstheme="majorHAnsi"/>
              </w:rPr>
              <w:t xml:space="preserve"> </w:t>
            </w:r>
            <w:r w:rsidR="00AE5A04">
              <w:rPr>
                <w:rFonts w:asciiTheme="majorHAnsi" w:hAnsiTheme="majorHAnsi" w:cstheme="majorHAnsi"/>
              </w:rPr>
              <w:t xml:space="preserve">supplied for the first time from this date </w:t>
            </w:r>
            <w:r>
              <w:rPr>
                <w:rFonts w:asciiTheme="majorHAnsi" w:hAnsiTheme="majorHAnsi" w:cstheme="majorHAnsi"/>
              </w:rPr>
              <w:t xml:space="preserve">required to </w:t>
            </w:r>
            <w:r w:rsidR="00AE5A04">
              <w:rPr>
                <w:rFonts w:asciiTheme="majorHAnsi" w:hAnsiTheme="majorHAnsi" w:cstheme="majorHAnsi"/>
              </w:rPr>
              <w:t>comply.</w:t>
            </w:r>
          </w:p>
        </w:tc>
      </w:tr>
      <w:tr w:rsidR="0066025C" w:rsidRPr="0096652B" w14:paraId="46889079" w14:textId="77777777" w:rsidTr="00EC4B3F">
        <w:trPr>
          <w:trHeight w:val="688"/>
        </w:trPr>
        <w:tc>
          <w:tcPr>
            <w:cnfStyle w:val="001000000000" w:firstRow="0" w:lastRow="0" w:firstColumn="1" w:lastColumn="0" w:oddVBand="0" w:evenVBand="0" w:oddHBand="0" w:evenHBand="0" w:firstRowFirstColumn="0" w:firstRowLastColumn="0" w:lastRowFirstColumn="0" w:lastRowLastColumn="0"/>
            <w:tcW w:w="2552" w:type="dxa"/>
          </w:tcPr>
          <w:p w14:paraId="189AE5AF" w14:textId="56E18C80" w:rsidR="0066025C" w:rsidRPr="00CF16C9" w:rsidRDefault="0066025C" w:rsidP="0066025C">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Novem</w:t>
            </w:r>
            <w:r w:rsidRPr="00CF16C9">
              <w:rPr>
                <w:rFonts w:asciiTheme="majorHAnsi" w:hAnsiTheme="majorHAnsi" w:cstheme="majorHAnsi"/>
                <w:b/>
                <w:i/>
                <w:color w:val="auto"/>
              </w:rPr>
              <w:t>ber 202</w:t>
            </w:r>
            <w:r>
              <w:rPr>
                <w:rFonts w:asciiTheme="majorHAnsi" w:hAnsiTheme="majorHAnsi" w:cstheme="majorHAnsi"/>
                <w:b/>
                <w:i/>
                <w:color w:val="auto"/>
              </w:rPr>
              <w:t>6</w:t>
            </w:r>
          </w:p>
        </w:tc>
        <w:tc>
          <w:tcPr>
            <w:tcW w:w="6609" w:type="dxa"/>
          </w:tcPr>
          <w:p w14:paraId="096A1A88" w14:textId="0E5F6D2A" w:rsidR="0066025C" w:rsidRPr="00CF16C9" w:rsidRDefault="0066025C" w:rsidP="0066025C">
            <w:pPr>
              <w:suppressAutoHyphens/>
              <w:autoSpaceDE w:val="0"/>
              <w:autoSpaceDN w:val="0"/>
              <w:adjustRightInd w:val="0"/>
              <w:spacing w:before="40" w:after="12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w:t>
            </w:r>
            <w:r w:rsidRPr="00CF16C9">
              <w:rPr>
                <w:rFonts w:asciiTheme="majorHAnsi" w:hAnsiTheme="majorHAnsi" w:cstheme="majorHAnsi"/>
              </w:rPr>
              <w:t xml:space="preserve">ll </w:t>
            </w:r>
            <w:r w:rsidR="00AE5A04">
              <w:rPr>
                <w:rFonts w:asciiTheme="majorHAnsi" w:hAnsiTheme="majorHAnsi" w:cstheme="majorHAnsi"/>
              </w:rPr>
              <w:t>new</w:t>
            </w:r>
            <w:r w:rsidRPr="00CF16C9">
              <w:rPr>
                <w:rFonts w:asciiTheme="majorHAnsi" w:hAnsiTheme="majorHAnsi" w:cstheme="majorHAnsi"/>
              </w:rPr>
              <w:t xml:space="preserve"> vehicle</w:t>
            </w:r>
            <w:r w:rsidR="00AE5A04">
              <w:rPr>
                <w:rFonts w:asciiTheme="majorHAnsi" w:hAnsiTheme="majorHAnsi" w:cstheme="majorHAnsi"/>
              </w:rPr>
              <w:t>s</w:t>
            </w:r>
            <w:r>
              <w:rPr>
                <w:rFonts w:asciiTheme="majorHAnsi" w:hAnsiTheme="majorHAnsi" w:cstheme="majorHAnsi"/>
              </w:rPr>
              <w:t xml:space="preserve"> supplied from this date required to</w:t>
            </w:r>
            <w:r w:rsidR="00AE5A04">
              <w:rPr>
                <w:rFonts w:asciiTheme="majorHAnsi" w:hAnsiTheme="majorHAnsi" w:cstheme="majorHAnsi"/>
              </w:rPr>
              <w:t xml:space="preserve"> comply</w:t>
            </w:r>
            <w:r>
              <w:rPr>
                <w:rFonts w:asciiTheme="majorHAnsi" w:hAnsiTheme="majorHAnsi" w:cstheme="majorHAnsi"/>
              </w:rPr>
              <w:t>.</w:t>
            </w:r>
          </w:p>
        </w:tc>
      </w:tr>
      <w:tr w:rsidR="00EC4B3F" w:rsidRPr="0096652B" w14:paraId="4AA687F8" w14:textId="77777777" w:rsidTr="00EC4B3F">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52" w:type="dxa"/>
          </w:tcPr>
          <w:p w14:paraId="001B4D39" w14:textId="6F6E96AD" w:rsidR="00EC4B3F" w:rsidRPr="00CF16C9" w:rsidRDefault="0066025C"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Ongoing</w:t>
            </w:r>
            <w:r w:rsidR="00AE5A04">
              <w:rPr>
                <w:rFonts w:asciiTheme="majorHAnsi" w:hAnsiTheme="majorHAnsi" w:cstheme="majorHAnsi"/>
                <w:b/>
                <w:i/>
                <w:color w:val="auto"/>
              </w:rPr>
              <w:t xml:space="preserve"> to 2030</w:t>
            </w:r>
          </w:p>
        </w:tc>
        <w:tc>
          <w:tcPr>
            <w:tcW w:w="6609" w:type="dxa"/>
          </w:tcPr>
          <w:p w14:paraId="326E4053" w14:textId="7C40FB14" w:rsidR="00EC4B3F" w:rsidRPr="00CF16C9" w:rsidRDefault="0066025C" w:rsidP="00EC4B3F">
            <w:pPr>
              <w:suppressAutoHyphens/>
              <w:autoSpaceDE w:val="0"/>
              <w:autoSpaceDN w:val="0"/>
              <w:adjustRightInd w:val="0"/>
              <w:spacing w:before="40" w:after="120"/>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Pr>
                <w:rFonts w:asciiTheme="majorHAnsi" w:hAnsiTheme="majorHAnsi" w:cstheme="majorHAnsi"/>
              </w:rPr>
              <w:t>E</w:t>
            </w:r>
            <w:r w:rsidR="00EC4B3F" w:rsidRPr="00CF16C9">
              <w:rPr>
                <w:rFonts w:asciiTheme="majorHAnsi" w:hAnsiTheme="majorHAnsi" w:cstheme="majorHAnsi"/>
              </w:rPr>
              <w:t>valuation</w:t>
            </w:r>
            <w:r w:rsidR="00AE5A04">
              <w:rPr>
                <w:rFonts w:asciiTheme="majorHAnsi" w:hAnsiTheme="majorHAnsi" w:cstheme="majorHAnsi"/>
              </w:rPr>
              <w:t xml:space="preserve"> of</w:t>
            </w:r>
            <w:r w:rsidR="00EC4B3F" w:rsidRPr="00CF16C9">
              <w:rPr>
                <w:rFonts w:asciiTheme="majorHAnsi" w:hAnsiTheme="majorHAnsi" w:cstheme="majorHAnsi"/>
              </w:rPr>
              <w:t xml:space="preserve"> </w:t>
            </w:r>
            <w:r w:rsidR="00AE5A04">
              <w:rPr>
                <w:rFonts w:asciiTheme="majorHAnsi" w:hAnsiTheme="majorHAnsi" w:cstheme="majorHAnsi"/>
              </w:rPr>
              <w:t>the National Road Safety Strategy, Action Plan and associated measures to support its implementation (including ADR 113/00)</w:t>
            </w:r>
          </w:p>
        </w:tc>
      </w:tr>
    </w:tbl>
    <w:p w14:paraId="118CB392" w14:textId="77777777" w:rsidR="0066025C" w:rsidRDefault="0066025C" w:rsidP="00BF6EF4"/>
    <w:p w14:paraId="43A13A34" w14:textId="3FCD941D" w:rsidR="007A365D" w:rsidRDefault="007A365D" w:rsidP="007A365D">
      <w:pPr>
        <w:rPr>
          <w:lang w:bidi="he-IL"/>
        </w:rPr>
      </w:pPr>
      <w:r>
        <w:rPr>
          <w:lang w:bidi="he-IL"/>
        </w:rPr>
        <w:fldChar w:fldCharType="begin"/>
      </w:r>
      <w:r>
        <w:rPr>
          <w:lang w:bidi="he-IL"/>
        </w:rPr>
        <w:instrText xml:space="preserve"> REF _Ref151387170 \h </w:instrText>
      </w:r>
      <w:r>
        <w:rPr>
          <w:lang w:bidi="he-IL"/>
        </w:rPr>
      </w:r>
      <w:r>
        <w:rPr>
          <w:lang w:bidi="he-IL"/>
        </w:rPr>
        <w:fldChar w:fldCharType="separate"/>
      </w:r>
      <w:r w:rsidR="005E58C6">
        <w:rPr>
          <w:noProof/>
        </w:rPr>
        <w:t>Table 6</w:t>
      </w:r>
      <w:r>
        <w:rPr>
          <w:lang w:bidi="he-IL"/>
        </w:rPr>
        <w:fldChar w:fldCharType="end"/>
      </w:r>
      <w:r>
        <w:rPr>
          <w:lang w:bidi="he-IL"/>
        </w:rPr>
        <w:t xml:space="preserve"> highlights possible implementation risks and proposed mitigation strategies for of the preferred package of policies.</w:t>
      </w:r>
    </w:p>
    <w:p w14:paraId="686E35D8" w14:textId="172CB8C7" w:rsidR="006633EC" w:rsidRDefault="006633EC">
      <w:pPr>
        <w:spacing w:line="259" w:lineRule="auto"/>
      </w:pPr>
    </w:p>
    <w:p w14:paraId="7F9FBC52" w14:textId="6DE1055C" w:rsidR="007A365D" w:rsidRDefault="007A365D">
      <w:pPr>
        <w:spacing w:line="259" w:lineRule="auto"/>
        <w:sectPr w:rsidR="007A365D" w:rsidSect="00796AB4">
          <w:headerReference w:type="default" r:id="rId26"/>
          <w:headerReference w:type="first" r:id="rId27"/>
          <w:footerReference w:type="first" r:id="rId28"/>
          <w:pgSz w:w="11906" w:h="16838"/>
          <w:pgMar w:top="1276" w:right="991" w:bottom="1276" w:left="1440" w:header="567" w:footer="0" w:gutter="0"/>
          <w:cols w:space="708"/>
          <w:titlePg/>
          <w:docGrid w:linePitch="360"/>
        </w:sectPr>
      </w:pPr>
    </w:p>
    <w:p w14:paraId="13B5EBE1" w14:textId="692D36BA" w:rsidR="007A365D" w:rsidRPr="00930D6A" w:rsidRDefault="007A365D" w:rsidP="00BF6EF4">
      <w:pPr>
        <w:pStyle w:val="Tablefigureheading"/>
        <w:rPr>
          <w:noProof/>
        </w:rPr>
      </w:pPr>
      <w:bookmarkStart w:id="188" w:name="_Ref151387170"/>
      <w:bookmarkStart w:id="189" w:name="_Toc153795489"/>
      <w:r>
        <w:rPr>
          <w:noProof/>
        </w:rPr>
        <w:lastRenderedPageBreak/>
        <w:t xml:space="preserve">Table </w:t>
      </w:r>
      <w:r>
        <w:rPr>
          <w:noProof/>
        </w:rPr>
        <w:fldChar w:fldCharType="begin"/>
      </w:r>
      <w:r>
        <w:rPr>
          <w:noProof/>
        </w:rPr>
        <w:instrText xml:space="preserve"> SEQ Table \* ARABIC </w:instrText>
      </w:r>
      <w:r>
        <w:rPr>
          <w:noProof/>
        </w:rPr>
        <w:fldChar w:fldCharType="separate"/>
      </w:r>
      <w:r w:rsidR="005E58C6">
        <w:rPr>
          <w:noProof/>
        </w:rPr>
        <w:t>6</w:t>
      </w:r>
      <w:r>
        <w:rPr>
          <w:noProof/>
        </w:rPr>
        <w:fldChar w:fldCharType="end"/>
      </w:r>
      <w:bookmarkEnd w:id="188"/>
      <w:r w:rsidRPr="00930D6A">
        <w:rPr>
          <w:noProof/>
        </w:rPr>
        <w:t xml:space="preserve">: </w:t>
      </w:r>
      <w:r>
        <w:rPr>
          <w:noProof/>
        </w:rPr>
        <w:t>Possible Implementation risks and proposed controls</w:t>
      </w:r>
      <w:bookmarkEnd w:id="189"/>
    </w:p>
    <w:tbl>
      <w:tblPr>
        <w:tblStyle w:val="PlainTable1"/>
        <w:tblW w:w="0" w:type="auto"/>
        <w:tblLook w:val="04A0" w:firstRow="1" w:lastRow="0" w:firstColumn="1" w:lastColumn="0" w:noHBand="0" w:noVBand="1"/>
        <w:tblCaption w:val="Implementation risks"/>
        <w:tblDescription w:val="This table details how a range of risks will be managed including:&#10;If refineries are unable to meet the December 2025 timeframe&#10;Possible operability issues for vehicles requiring 98RON petrol&#10;Poor compliance with improved standards&#10;Consumer confusion"/>
      </w:tblPr>
      <w:tblGrid>
        <w:gridCol w:w="370"/>
        <w:gridCol w:w="2230"/>
        <w:gridCol w:w="2701"/>
        <w:gridCol w:w="884"/>
        <w:gridCol w:w="4040"/>
        <w:gridCol w:w="955"/>
        <w:gridCol w:w="1195"/>
        <w:gridCol w:w="851"/>
        <w:gridCol w:w="1050"/>
      </w:tblGrid>
      <w:tr w:rsidR="006633EC" w14:paraId="0BCD3EDB" w14:textId="77777777" w:rsidTr="00CC14A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hideMark/>
          </w:tcPr>
          <w:p w14:paraId="662CB059"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ID</w:t>
            </w:r>
          </w:p>
        </w:tc>
        <w:tc>
          <w:tcPr>
            <w:tcW w:w="0" w:type="auto"/>
            <w:hideMark/>
          </w:tcPr>
          <w:p w14:paraId="5B762F7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Description</w:t>
            </w:r>
          </w:p>
        </w:tc>
        <w:tc>
          <w:tcPr>
            <w:tcW w:w="0" w:type="auto"/>
            <w:hideMark/>
          </w:tcPr>
          <w:p w14:paraId="60076F46"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Business Impact</w:t>
            </w:r>
          </w:p>
        </w:tc>
        <w:tc>
          <w:tcPr>
            <w:tcW w:w="0" w:type="auto"/>
            <w:hideMark/>
          </w:tcPr>
          <w:p w14:paraId="1844AD1E"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Owner</w:t>
            </w:r>
          </w:p>
        </w:tc>
        <w:tc>
          <w:tcPr>
            <w:tcW w:w="0" w:type="auto"/>
            <w:hideMark/>
          </w:tcPr>
          <w:p w14:paraId="1DB225D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Controls</w:t>
            </w:r>
          </w:p>
        </w:tc>
        <w:tc>
          <w:tcPr>
            <w:tcW w:w="0" w:type="auto"/>
            <w:hideMark/>
          </w:tcPr>
          <w:p w14:paraId="5661E5E5"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Likelihood</w:t>
            </w:r>
          </w:p>
        </w:tc>
        <w:tc>
          <w:tcPr>
            <w:tcW w:w="0" w:type="auto"/>
            <w:hideMark/>
          </w:tcPr>
          <w:p w14:paraId="04BD5EA8"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Consequence</w:t>
            </w:r>
          </w:p>
        </w:tc>
        <w:tc>
          <w:tcPr>
            <w:tcW w:w="0" w:type="auto"/>
            <w:hideMark/>
          </w:tcPr>
          <w:p w14:paraId="6FE50C0D"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Rating</w:t>
            </w:r>
          </w:p>
        </w:tc>
        <w:tc>
          <w:tcPr>
            <w:tcW w:w="0" w:type="auto"/>
            <w:hideMark/>
          </w:tcPr>
          <w:p w14:paraId="410C315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acceptable</w:t>
            </w:r>
          </w:p>
        </w:tc>
      </w:tr>
      <w:tr w:rsidR="006633EC" w14:paraId="1AD1C846" w14:textId="77777777" w:rsidTr="007A365D">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0" w:type="auto"/>
            <w:hideMark/>
          </w:tcPr>
          <w:p w14:paraId="5BF11B24"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1</w:t>
            </w:r>
          </w:p>
        </w:tc>
        <w:tc>
          <w:tcPr>
            <w:tcW w:w="0" w:type="auto"/>
            <w:hideMark/>
          </w:tcPr>
          <w:p w14:paraId="4BAB2E23"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Insufficient time for manufacturers to comply with ADR implementation timing.</w:t>
            </w:r>
          </w:p>
        </w:tc>
        <w:tc>
          <w:tcPr>
            <w:tcW w:w="0" w:type="auto"/>
            <w:hideMark/>
          </w:tcPr>
          <w:p w14:paraId="0115CA70"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Affected models do not comply by required dates. Type approvals suspended. Manufacturers suspend or delay the supply of affected models to Australia.</w:t>
            </w:r>
          </w:p>
        </w:tc>
        <w:tc>
          <w:tcPr>
            <w:tcW w:w="0" w:type="auto"/>
            <w:hideMark/>
          </w:tcPr>
          <w:p w14:paraId="3C03D65F"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7A43D061" w14:textId="0801BC88"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ADR made as soon as possible after policy decision. Consultation on draft ADR text</w:t>
            </w:r>
            <w:r w:rsidR="0066025C">
              <w:rPr>
                <w:rFonts w:asciiTheme="majorHAnsi" w:hAnsiTheme="majorHAnsi" w:cstheme="majorHAnsi"/>
                <w:sz w:val="18"/>
                <w:szCs w:val="18"/>
              </w:rPr>
              <w:t xml:space="preserve"> undertaken</w:t>
            </w:r>
            <w:r w:rsidR="00EC4B3F">
              <w:rPr>
                <w:rFonts w:asciiTheme="majorHAnsi" w:hAnsiTheme="majorHAnsi" w:cstheme="majorHAnsi"/>
                <w:sz w:val="18"/>
                <w:szCs w:val="18"/>
              </w:rPr>
              <w:t xml:space="preserve"> through the VSCF</w:t>
            </w:r>
            <w:r>
              <w:rPr>
                <w:rFonts w:asciiTheme="majorHAnsi" w:hAnsiTheme="majorHAnsi" w:cstheme="majorHAnsi"/>
                <w:sz w:val="18"/>
                <w:szCs w:val="18"/>
              </w:rPr>
              <w:t>.</w:t>
            </w:r>
          </w:p>
          <w:p w14:paraId="169E04B0"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New ADR requirements communicated to registered users of the department’s Road Vehicle Regulator system and the department’s website.</w:t>
            </w:r>
          </w:p>
        </w:tc>
        <w:sdt>
          <w:sdtPr>
            <w:rPr>
              <w:rFonts w:asciiTheme="majorHAnsi" w:hAnsiTheme="majorHAnsi" w:cstheme="majorHAnsi"/>
              <w:b/>
              <w:bCs/>
              <w:sz w:val="18"/>
              <w:szCs w:val="18"/>
            </w:rPr>
            <w:id w:val="304443219"/>
            <w:placeholder>
              <w:docPart w:val="43957E7A51CB481E8C07D3423DEA1AC6"/>
            </w:placeholder>
            <w:dropDownList>
              <w:listItem w:value="Choose an item."/>
              <w:listItem w:displayText="Unlikely" w:value="Unlikely"/>
              <w:listItem w:displayText="Possible" w:value="Possible"/>
              <w:listItem w:displayText="Likely" w:value="Likely"/>
            </w:dropDownList>
          </w:sdtPr>
          <w:sdtEndPr/>
          <w:sdtContent>
            <w:tc>
              <w:tcPr>
                <w:tcW w:w="0" w:type="auto"/>
                <w:hideMark/>
              </w:tcPr>
              <w:p w14:paraId="472699B2"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Possible</w:t>
                </w:r>
              </w:p>
            </w:tc>
          </w:sdtContent>
        </w:sdt>
        <w:sdt>
          <w:sdtPr>
            <w:rPr>
              <w:rFonts w:asciiTheme="majorHAnsi" w:hAnsiTheme="majorHAnsi" w:cstheme="majorHAnsi"/>
              <w:b/>
              <w:bCs/>
              <w:sz w:val="18"/>
              <w:szCs w:val="18"/>
            </w:rPr>
            <w:id w:val="334811275"/>
            <w:placeholder>
              <w:docPart w:val="A361EC911C824CE59354DD4EBA68A004"/>
            </w:placeholder>
            <w:dropDownList>
              <w:listItem w:value="Choose an item."/>
              <w:listItem w:displayText="Minimal" w:value="Minimal"/>
              <w:listItem w:displayText="Moderate" w:value="Moderate"/>
              <w:listItem w:displayText="Substantial" w:value="Substantial"/>
            </w:dropDownList>
          </w:sdtPr>
          <w:sdtEndPr/>
          <w:sdtContent>
            <w:tc>
              <w:tcPr>
                <w:tcW w:w="0" w:type="auto"/>
                <w:hideMark/>
              </w:tcPr>
              <w:p w14:paraId="2EE31FA0"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Moderate</w:t>
                </w:r>
              </w:p>
            </w:tc>
          </w:sdtContent>
        </w:sdt>
        <w:sdt>
          <w:sdtPr>
            <w:rPr>
              <w:rFonts w:asciiTheme="majorHAnsi" w:hAnsiTheme="majorHAnsi" w:cstheme="majorHAnsi"/>
              <w:b/>
              <w:bCs/>
              <w:sz w:val="18"/>
              <w:szCs w:val="18"/>
            </w:rPr>
            <w:id w:val="-586689946"/>
            <w:placeholder>
              <w:docPart w:val="CD92E9A394184B50BF2DF3E3D83BCEC3"/>
            </w:placeholder>
            <w:dropDownList>
              <w:listItem w:value="Choose an item."/>
              <w:listItem w:displayText="Low" w:value="Low"/>
              <w:listItem w:displayText="Medium" w:value="Medium"/>
              <w:listItem w:displayText="High" w:value="High"/>
            </w:dropDownList>
          </w:sdtPr>
          <w:sdtEndPr/>
          <w:sdtContent>
            <w:tc>
              <w:tcPr>
                <w:tcW w:w="0" w:type="auto"/>
                <w:hideMark/>
              </w:tcPr>
              <w:p w14:paraId="5A410E6C"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Medium</w:t>
                </w:r>
              </w:p>
            </w:tc>
          </w:sdtContent>
        </w:sdt>
        <w:tc>
          <w:tcPr>
            <w:tcW w:w="0" w:type="auto"/>
            <w:hideMark/>
          </w:tcPr>
          <w:p w14:paraId="0CD32226"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75B23"/>
                <w:sz w:val="18"/>
                <w:szCs w:val="18"/>
              </w:rPr>
            </w:pPr>
            <w:r>
              <w:rPr>
                <w:rFonts w:asciiTheme="majorHAnsi" w:eastAsia="Times New Roman" w:hAnsiTheme="majorHAnsi" w:cstheme="majorHAnsi"/>
                <w:color w:val="275B23"/>
                <w:sz w:val="18"/>
                <w:szCs w:val="18"/>
              </w:rPr>
              <w:t>Yes</w:t>
            </w:r>
          </w:p>
        </w:tc>
      </w:tr>
      <w:tr w:rsidR="006633EC" w14:paraId="2B1D7D08" w14:textId="77777777" w:rsidTr="00CC14A8">
        <w:trPr>
          <w:trHeight w:val="831"/>
        </w:trPr>
        <w:tc>
          <w:tcPr>
            <w:cnfStyle w:val="001000000000" w:firstRow="0" w:lastRow="0" w:firstColumn="1" w:lastColumn="0" w:oddVBand="0" w:evenVBand="0" w:oddHBand="0" w:evenHBand="0" w:firstRowFirstColumn="0" w:firstRowLastColumn="0" w:lastRowFirstColumn="0" w:lastRowLastColumn="0"/>
            <w:tcW w:w="0" w:type="auto"/>
            <w:hideMark/>
          </w:tcPr>
          <w:p w14:paraId="7CFCEF4E"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2</w:t>
            </w:r>
          </w:p>
        </w:tc>
        <w:tc>
          <w:tcPr>
            <w:tcW w:w="0" w:type="auto"/>
            <w:hideMark/>
          </w:tcPr>
          <w:p w14:paraId="0E75874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Cost of AVAS development and fitment may be passed onto the consumer</w:t>
            </w:r>
          </w:p>
        </w:tc>
        <w:tc>
          <w:tcPr>
            <w:tcW w:w="0" w:type="auto"/>
            <w:hideMark/>
          </w:tcPr>
          <w:p w14:paraId="4DD3D06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Increased cost to manufacturers for AVAS development and fitment to models that do not currently comply.</w:t>
            </w:r>
          </w:p>
        </w:tc>
        <w:tc>
          <w:tcPr>
            <w:tcW w:w="0" w:type="auto"/>
            <w:hideMark/>
          </w:tcPr>
          <w:p w14:paraId="51EF44A1"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tcPr>
          <w:p w14:paraId="6328B153"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Most manufacturers will be able to adapt AVAS systems fitted to overseas models for Australian models that do not currently comply, as AVAS is already mandated in countries that supply QRTVs to Australia. For this reason, the impact on vehicle prices is expected to be less than $100.</w:t>
            </w:r>
          </w:p>
        </w:tc>
        <w:sdt>
          <w:sdtPr>
            <w:rPr>
              <w:rFonts w:asciiTheme="majorHAnsi" w:hAnsiTheme="majorHAnsi" w:cstheme="majorHAnsi"/>
              <w:b/>
              <w:bCs/>
              <w:sz w:val="18"/>
              <w:szCs w:val="18"/>
            </w:rPr>
            <w:id w:val="55524606"/>
            <w:placeholder>
              <w:docPart w:val="A33D2E3E4C5C4204828D77E8BFB0ABF3"/>
            </w:placeholder>
            <w:dropDownList>
              <w:listItem w:value="Choose an item."/>
              <w:listItem w:displayText="Unlikely" w:value="Unlikely"/>
              <w:listItem w:displayText="Possible" w:value="Possible"/>
              <w:listItem w:displayText="Likely" w:value="Likely"/>
            </w:dropDownList>
          </w:sdtPr>
          <w:sdtEndPr/>
          <w:sdtContent>
            <w:tc>
              <w:tcPr>
                <w:tcW w:w="0" w:type="auto"/>
                <w:hideMark/>
              </w:tcPr>
              <w:p w14:paraId="2B279904" w14:textId="77777777" w:rsidR="006633EC" w:rsidRDefault="008D349D"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Likely</w:t>
                </w:r>
              </w:p>
            </w:tc>
          </w:sdtContent>
        </w:sdt>
        <w:tc>
          <w:tcPr>
            <w:tcW w:w="0" w:type="auto"/>
            <w:hideMark/>
          </w:tcPr>
          <w:p w14:paraId="2925FC75" w14:textId="77777777" w:rsidR="006633EC" w:rsidRDefault="00263819"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080565136"/>
                <w:placeholder>
                  <w:docPart w:val="F01D5D6A54D0407FB262DF4E48A64DE8"/>
                </w:placeholder>
                <w:dropDownList>
                  <w:listItem w:value="Choose an item."/>
                  <w:listItem w:displayText="Minimal" w:value="Minimal"/>
                  <w:listItem w:displayText="Moderate" w:value="Moderate"/>
                  <w:listItem w:displayText="Substantial" w:value="Substantial"/>
                </w:dropDownList>
              </w:sdtPr>
              <w:sdtEndPr/>
              <w:sdtContent>
                <w:r w:rsidR="008D349D">
                  <w:rPr>
                    <w:rFonts w:asciiTheme="majorHAnsi" w:hAnsiTheme="majorHAnsi" w:cstheme="majorHAnsi"/>
                    <w:sz w:val="18"/>
                    <w:szCs w:val="18"/>
                  </w:rPr>
                  <w:t>Minimal</w:t>
                </w:r>
              </w:sdtContent>
            </w:sdt>
          </w:p>
        </w:tc>
        <w:tc>
          <w:tcPr>
            <w:tcW w:w="0" w:type="auto"/>
            <w:hideMark/>
          </w:tcPr>
          <w:p w14:paraId="3152CB5A" w14:textId="77777777" w:rsidR="006633EC" w:rsidRDefault="00263819"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857427497"/>
                <w:placeholder>
                  <w:docPart w:val="0A018DEA34F440E794B069B52A73D482"/>
                </w:placeholder>
                <w:dropDownList>
                  <w:listItem w:value="Choose an item."/>
                  <w:listItem w:displayText="Low" w:value="Low"/>
                  <w:listItem w:displayText="Medium" w:value="Medium"/>
                  <w:listItem w:displayText="High" w:value="High"/>
                </w:dropDownList>
              </w:sdtPr>
              <w:sdtEndPr/>
              <w:sdtContent>
                <w:r w:rsidR="008D349D">
                  <w:rPr>
                    <w:rFonts w:asciiTheme="majorHAnsi" w:hAnsiTheme="majorHAnsi" w:cstheme="majorHAnsi"/>
                    <w:sz w:val="18"/>
                    <w:szCs w:val="18"/>
                  </w:rPr>
                  <w:t>Low</w:t>
                </w:r>
              </w:sdtContent>
            </w:sdt>
          </w:p>
        </w:tc>
        <w:tc>
          <w:tcPr>
            <w:tcW w:w="0" w:type="auto"/>
            <w:hideMark/>
          </w:tcPr>
          <w:p w14:paraId="50501409"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8D349D" w14:paraId="384686BE" w14:textId="77777777" w:rsidTr="007A365D">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0" w:type="auto"/>
            <w:hideMark/>
          </w:tcPr>
          <w:p w14:paraId="255254A1"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3</w:t>
            </w:r>
          </w:p>
        </w:tc>
        <w:tc>
          <w:tcPr>
            <w:tcW w:w="0" w:type="auto"/>
            <w:hideMark/>
          </w:tcPr>
          <w:p w14:paraId="62856B38"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Poor compliance</w:t>
            </w:r>
          </w:p>
        </w:tc>
        <w:tc>
          <w:tcPr>
            <w:tcW w:w="0" w:type="auto"/>
            <w:hideMark/>
          </w:tcPr>
          <w:p w14:paraId="336F2F2B"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Models supplied without AVAS installed. Increased risk of road trauma involving QRTVs</w:t>
            </w:r>
          </w:p>
        </w:tc>
        <w:tc>
          <w:tcPr>
            <w:tcW w:w="0" w:type="auto"/>
            <w:hideMark/>
          </w:tcPr>
          <w:p w14:paraId="4B7146B5"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53B26F89"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Vehicle manufacturers are required to implement procedures to ensure conformity of production and quality management, as a condition of their type approval.</w:t>
            </w:r>
          </w:p>
          <w:p w14:paraId="7F6DB62E"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Non-compliant vehicles supplied will be subject to recalls. Provisions to suspend or cancel type approvals for non-compliant vehicles.</w:t>
            </w:r>
          </w:p>
        </w:tc>
        <w:sdt>
          <w:sdtPr>
            <w:rPr>
              <w:rFonts w:asciiTheme="majorHAnsi" w:hAnsiTheme="majorHAnsi" w:cstheme="majorHAnsi"/>
              <w:b/>
              <w:bCs/>
              <w:sz w:val="18"/>
              <w:szCs w:val="18"/>
            </w:rPr>
            <w:id w:val="-655453358"/>
            <w:placeholder>
              <w:docPart w:val="EC4A5305D3A344E39F8D19C57A7DD4A3"/>
            </w:placeholder>
            <w:dropDownList>
              <w:listItem w:value="Choose an item."/>
              <w:listItem w:displayText="Unlikely" w:value="Unlikely"/>
              <w:listItem w:displayText="Possible" w:value="Possible"/>
              <w:listItem w:displayText="Likely" w:value="Likely"/>
            </w:dropDownList>
          </w:sdtPr>
          <w:sdtEndPr/>
          <w:sdtContent>
            <w:tc>
              <w:tcPr>
                <w:tcW w:w="0" w:type="auto"/>
                <w:hideMark/>
              </w:tcPr>
              <w:p w14:paraId="2EF2F3A1"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Unlikely</w:t>
                </w:r>
              </w:p>
            </w:tc>
          </w:sdtContent>
        </w:sdt>
        <w:sdt>
          <w:sdtPr>
            <w:rPr>
              <w:rFonts w:asciiTheme="majorHAnsi" w:hAnsiTheme="majorHAnsi" w:cstheme="majorHAnsi"/>
              <w:sz w:val="18"/>
              <w:szCs w:val="18"/>
            </w:rPr>
            <w:id w:val="211856659"/>
            <w:placeholder>
              <w:docPart w:val="E4EBBE8684034D6386A276E6C970C275"/>
            </w:placeholder>
            <w:dropDownList>
              <w:listItem w:value="Choose an item."/>
              <w:listItem w:displayText="Minimal" w:value="Minimal"/>
              <w:listItem w:displayText="Moderate" w:value="Moderate"/>
              <w:listItem w:displayText="Substantial" w:value="Substantial"/>
            </w:dropDownList>
          </w:sdtPr>
          <w:sdtEndPr/>
          <w:sdtContent>
            <w:tc>
              <w:tcPr>
                <w:tcW w:w="0" w:type="auto"/>
                <w:hideMark/>
              </w:tcPr>
              <w:p w14:paraId="39793723"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Substantial</w:t>
                </w:r>
              </w:p>
            </w:tc>
          </w:sdtContent>
        </w:sdt>
        <w:sdt>
          <w:sdtPr>
            <w:rPr>
              <w:rFonts w:asciiTheme="majorHAnsi" w:hAnsiTheme="majorHAnsi" w:cstheme="majorHAnsi"/>
              <w:sz w:val="18"/>
              <w:szCs w:val="18"/>
            </w:rPr>
            <w:id w:val="648403789"/>
            <w:placeholder>
              <w:docPart w:val="CE39C6C3CECA4B5FBB6F9A6C27643685"/>
            </w:placeholder>
            <w:dropDownList>
              <w:listItem w:value="Choose an item."/>
              <w:listItem w:displayText="Low" w:value="Low"/>
              <w:listItem w:displayText="Medium" w:value="Medium"/>
              <w:listItem w:displayText="High" w:value="High"/>
            </w:dropDownList>
          </w:sdtPr>
          <w:sdtEndPr/>
          <w:sdtContent>
            <w:tc>
              <w:tcPr>
                <w:tcW w:w="0" w:type="auto"/>
                <w:hideMark/>
              </w:tcPr>
              <w:p w14:paraId="7A4516C6"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Low</w:t>
                </w:r>
              </w:p>
            </w:tc>
          </w:sdtContent>
        </w:sdt>
        <w:tc>
          <w:tcPr>
            <w:tcW w:w="0" w:type="auto"/>
            <w:hideMark/>
          </w:tcPr>
          <w:p w14:paraId="47879AB2"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6633EC" w14:paraId="11379B48" w14:textId="77777777" w:rsidTr="00CC14A8">
        <w:trPr>
          <w:trHeight w:val="934"/>
        </w:trPr>
        <w:tc>
          <w:tcPr>
            <w:cnfStyle w:val="001000000000" w:firstRow="0" w:lastRow="0" w:firstColumn="1" w:lastColumn="0" w:oddVBand="0" w:evenVBand="0" w:oddHBand="0" w:evenHBand="0" w:firstRowFirstColumn="0" w:firstRowLastColumn="0" w:lastRowFirstColumn="0" w:lastRowLastColumn="0"/>
            <w:tcW w:w="0" w:type="auto"/>
            <w:hideMark/>
          </w:tcPr>
          <w:p w14:paraId="04ABE5F8"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4</w:t>
            </w:r>
          </w:p>
        </w:tc>
        <w:tc>
          <w:tcPr>
            <w:tcW w:w="0" w:type="auto"/>
            <w:hideMark/>
          </w:tcPr>
          <w:p w14:paraId="51A1FE62"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Community concerns about noise pollution</w:t>
            </w:r>
          </w:p>
        </w:tc>
        <w:tc>
          <w:tcPr>
            <w:tcW w:w="0" w:type="auto"/>
            <w:hideMark/>
          </w:tcPr>
          <w:p w14:paraId="4EA8E4A5"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Concerns about noise pollution raised by the community. Opposition to AVAS mandate.</w:t>
            </w:r>
          </w:p>
        </w:tc>
        <w:tc>
          <w:tcPr>
            <w:tcW w:w="0" w:type="auto"/>
            <w:hideMark/>
          </w:tcPr>
          <w:p w14:paraId="40586F20"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1BABE8A8"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AVAS will only be active at low speeds (less than 20-30km/h)</w:t>
            </w:r>
          </w:p>
          <w:p w14:paraId="2D093A31"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Vehicles fitted with AVAS will still be required to comply with maximum noise limits specified in ADR 83/00.</w:t>
            </w:r>
          </w:p>
        </w:tc>
        <w:tc>
          <w:tcPr>
            <w:tcW w:w="0" w:type="auto"/>
            <w:hideMark/>
          </w:tcPr>
          <w:p w14:paraId="560A3660" w14:textId="77777777" w:rsidR="006633EC" w:rsidRDefault="00263819"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b/>
                  <w:bCs/>
                  <w:sz w:val="18"/>
                  <w:szCs w:val="18"/>
                </w:rPr>
                <w:id w:val="-2100550039"/>
                <w:placeholder>
                  <w:docPart w:val="9ADFD25D5951422E9003D293572EB062"/>
                </w:placeholder>
                <w:dropDownList>
                  <w:listItem w:value="Choose an item."/>
                  <w:listItem w:displayText="Unlikely" w:value="Unlikely"/>
                  <w:listItem w:displayText="Possible" w:value="Possible"/>
                  <w:listItem w:displayText="Likely" w:value="Likely"/>
                </w:dropDownList>
              </w:sdtPr>
              <w:sdtEndPr/>
              <w:sdtContent>
                <w:r w:rsidR="008D349D">
                  <w:rPr>
                    <w:rFonts w:asciiTheme="majorHAnsi" w:hAnsiTheme="majorHAnsi" w:cstheme="majorHAnsi"/>
                    <w:b/>
                    <w:bCs/>
                    <w:sz w:val="18"/>
                    <w:szCs w:val="18"/>
                  </w:rPr>
                  <w:t>Possible</w:t>
                </w:r>
              </w:sdtContent>
            </w:sdt>
          </w:p>
        </w:tc>
        <w:sdt>
          <w:sdtPr>
            <w:rPr>
              <w:rFonts w:asciiTheme="majorHAnsi" w:hAnsiTheme="majorHAnsi" w:cstheme="majorHAnsi"/>
              <w:sz w:val="18"/>
              <w:szCs w:val="18"/>
            </w:rPr>
            <w:id w:val="-623230341"/>
            <w:placeholder>
              <w:docPart w:val="8BA6C72E098E40808B514A080EBB7B01"/>
            </w:placeholder>
            <w:dropDownList>
              <w:listItem w:value="Choose an item."/>
              <w:listItem w:displayText="Minimal" w:value="Minimal"/>
              <w:listItem w:displayText="Moderate" w:value="Moderate"/>
              <w:listItem w:displayText="Substantial" w:value="Substantial"/>
            </w:dropDownList>
          </w:sdtPr>
          <w:sdtEndPr/>
          <w:sdtContent>
            <w:tc>
              <w:tcPr>
                <w:tcW w:w="0" w:type="auto"/>
                <w:hideMark/>
              </w:tcPr>
              <w:p w14:paraId="60D4F324" w14:textId="77777777" w:rsidR="006633EC" w:rsidRDefault="008D349D"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Minimal</w:t>
                </w:r>
              </w:p>
            </w:tc>
          </w:sdtContent>
        </w:sdt>
        <w:tc>
          <w:tcPr>
            <w:tcW w:w="0" w:type="auto"/>
            <w:hideMark/>
          </w:tcPr>
          <w:p w14:paraId="648085FD" w14:textId="77777777" w:rsidR="006633EC" w:rsidRDefault="00263819"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245646238"/>
                <w:placeholder>
                  <w:docPart w:val="801D0E907A96442EA1B77DA071C0B6D6"/>
                </w:placeholder>
                <w:dropDownList>
                  <w:listItem w:value="Choose an item."/>
                  <w:listItem w:displayText="Low" w:value="Low"/>
                  <w:listItem w:displayText="Medium" w:value="Medium"/>
                  <w:listItem w:displayText="High" w:value="High"/>
                </w:dropDownList>
              </w:sdtPr>
              <w:sdtEndPr/>
              <w:sdtContent>
                <w:r w:rsidR="008D349D">
                  <w:rPr>
                    <w:rFonts w:asciiTheme="majorHAnsi" w:hAnsiTheme="majorHAnsi" w:cstheme="majorHAnsi"/>
                    <w:sz w:val="18"/>
                    <w:szCs w:val="18"/>
                  </w:rPr>
                  <w:t>Low</w:t>
                </w:r>
              </w:sdtContent>
            </w:sdt>
          </w:p>
        </w:tc>
        <w:tc>
          <w:tcPr>
            <w:tcW w:w="0" w:type="auto"/>
            <w:hideMark/>
          </w:tcPr>
          <w:p w14:paraId="31A139E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6633EC" w14:paraId="69CAA077" w14:textId="77777777" w:rsidTr="007A365D">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auto"/>
          </w:tcPr>
          <w:p w14:paraId="1D4CC165"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5</w:t>
            </w:r>
          </w:p>
        </w:tc>
        <w:tc>
          <w:tcPr>
            <w:tcW w:w="0" w:type="auto"/>
          </w:tcPr>
          <w:p w14:paraId="24A407ED" w14:textId="0F5F4CF0"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Confusion over staged implementation dates for light and heavy vehicles</w:t>
            </w:r>
            <w:r w:rsidR="0066025C">
              <w:rPr>
                <w:rFonts w:asciiTheme="majorHAnsi" w:hAnsiTheme="majorHAnsi" w:cstheme="majorHAnsi"/>
                <w:sz w:val="18"/>
                <w:szCs w:val="18"/>
              </w:rPr>
              <w:t xml:space="preserve"> (if option 3a implemented)</w:t>
            </w:r>
          </w:p>
        </w:tc>
        <w:tc>
          <w:tcPr>
            <w:tcW w:w="0" w:type="auto"/>
          </w:tcPr>
          <w:p w14:paraId="43D0C678"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Affected models do not comply by required dates. Type approvals suspended. Manufacturers suspend the supply of affected models to Australia.</w:t>
            </w:r>
          </w:p>
        </w:tc>
        <w:tc>
          <w:tcPr>
            <w:tcW w:w="0" w:type="auto"/>
          </w:tcPr>
          <w:p w14:paraId="3B5ACC5A"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tcPr>
          <w:p w14:paraId="255E5B9C"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The new ADR requirements will be communicated to registered users of the department’s Road Vehicle Regulator System and the department’s website.</w:t>
            </w:r>
          </w:p>
        </w:tc>
        <w:sdt>
          <w:sdtPr>
            <w:rPr>
              <w:rFonts w:asciiTheme="majorHAnsi" w:hAnsiTheme="majorHAnsi" w:cstheme="majorHAnsi"/>
              <w:b/>
              <w:bCs/>
              <w:sz w:val="18"/>
              <w:szCs w:val="18"/>
            </w:rPr>
            <w:id w:val="-43988448"/>
            <w:placeholder>
              <w:docPart w:val="DA5C58CDB5AB44A18FBFEE645AD08AA2"/>
            </w:placeholder>
            <w:dropDownList>
              <w:listItem w:value="Choose an item."/>
              <w:listItem w:displayText="Unlikely" w:value="Unlikely"/>
              <w:listItem w:displayText="Possible" w:value="Possible"/>
              <w:listItem w:displayText="Likely" w:value="Likely"/>
            </w:dropDownList>
          </w:sdtPr>
          <w:sdtEndPr/>
          <w:sdtContent>
            <w:tc>
              <w:tcPr>
                <w:tcW w:w="0" w:type="auto"/>
              </w:tcPr>
              <w:p w14:paraId="2FED2B04"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b/>
                    <w:bCs/>
                    <w:sz w:val="18"/>
                    <w:szCs w:val="18"/>
                  </w:rPr>
                  <w:t>Possible</w:t>
                </w:r>
              </w:p>
            </w:tc>
          </w:sdtContent>
        </w:sdt>
        <w:sdt>
          <w:sdtPr>
            <w:rPr>
              <w:rFonts w:asciiTheme="majorHAnsi" w:hAnsiTheme="majorHAnsi" w:cstheme="majorHAnsi"/>
              <w:sz w:val="18"/>
              <w:szCs w:val="18"/>
            </w:rPr>
            <w:id w:val="-1564483656"/>
            <w:placeholder>
              <w:docPart w:val="20DD687EBD654785BEBAA729E4D28A13"/>
            </w:placeholder>
            <w:dropDownList>
              <w:listItem w:value="Choose an item."/>
              <w:listItem w:displayText="Minimal" w:value="Minimal"/>
              <w:listItem w:displayText="Moderate" w:value="Moderate"/>
              <w:listItem w:displayText="Substantial" w:value="Substantial"/>
            </w:dropDownList>
          </w:sdtPr>
          <w:sdtEndPr/>
          <w:sdtContent>
            <w:tc>
              <w:tcPr>
                <w:tcW w:w="0" w:type="auto"/>
              </w:tcPr>
              <w:p w14:paraId="38980CE6"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Moderate</w:t>
                </w:r>
              </w:p>
            </w:tc>
          </w:sdtContent>
        </w:sdt>
        <w:tc>
          <w:tcPr>
            <w:tcW w:w="0" w:type="auto"/>
          </w:tcPr>
          <w:p w14:paraId="3C33A23B" w14:textId="77777777" w:rsidR="006633EC" w:rsidRDefault="00263819"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39165115"/>
                <w:placeholder>
                  <w:docPart w:val="95F98F0DCB844AF8B6C9AC844C4C3AF4"/>
                </w:placeholder>
                <w:dropDownList>
                  <w:listItem w:value="Choose an item."/>
                  <w:listItem w:displayText="Low" w:value="Low"/>
                  <w:listItem w:displayText="Medium" w:value="Medium"/>
                  <w:listItem w:displayText="High" w:value="High"/>
                </w:dropDownList>
              </w:sdtPr>
              <w:sdtEndPr/>
              <w:sdtContent>
                <w:r w:rsidR="008D349D">
                  <w:rPr>
                    <w:rFonts w:asciiTheme="majorHAnsi" w:hAnsiTheme="majorHAnsi" w:cstheme="majorHAnsi"/>
                    <w:sz w:val="18"/>
                    <w:szCs w:val="18"/>
                  </w:rPr>
                  <w:t>Medium</w:t>
                </w:r>
              </w:sdtContent>
            </w:sdt>
          </w:p>
        </w:tc>
        <w:tc>
          <w:tcPr>
            <w:tcW w:w="0" w:type="auto"/>
          </w:tcPr>
          <w:p w14:paraId="23E380A3"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bl>
    <w:p w14:paraId="1D7AD85D" w14:textId="77777777" w:rsidR="006633EC" w:rsidRDefault="006633EC" w:rsidP="006633EC">
      <w:pPr>
        <w:sectPr w:rsidR="006633EC" w:rsidSect="003C45B0">
          <w:pgSz w:w="16838" w:h="11906" w:orient="landscape"/>
          <w:pgMar w:top="1440" w:right="1276" w:bottom="992" w:left="1276" w:header="567" w:footer="0" w:gutter="0"/>
          <w:cols w:space="708"/>
          <w:titlePg/>
          <w:docGrid w:linePitch="360"/>
        </w:sectPr>
      </w:pPr>
    </w:p>
    <w:p w14:paraId="63C68E71" w14:textId="77C7AD68" w:rsidR="00AE2A22" w:rsidRDefault="006633EC" w:rsidP="009729B4">
      <w:pPr>
        <w:pStyle w:val="Heading2"/>
      </w:pPr>
      <w:bookmarkStart w:id="190" w:name="_Toc151556426"/>
      <w:bookmarkStart w:id="191" w:name="_Toc153795434"/>
      <w:r>
        <w:lastRenderedPageBreak/>
        <w:t>7. How will implementation be evaluated against the success metrics?</w:t>
      </w:r>
      <w:bookmarkEnd w:id="190"/>
      <w:bookmarkEnd w:id="191"/>
    </w:p>
    <w:p w14:paraId="1E306C63" w14:textId="548BE295" w:rsidR="00E23B8C" w:rsidRDefault="000F5489" w:rsidP="005A4E5F">
      <w:r w:rsidRPr="000F5489">
        <w:t xml:space="preserve">As </w:t>
      </w:r>
      <w:r w:rsidR="00E048D7">
        <w:t>with most</w:t>
      </w:r>
      <w:r w:rsidRPr="000F5489">
        <w:t xml:space="preserve"> Australian Government regulations, ADRs are subject to review </w:t>
      </w:r>
      <w:r w:rsidR="006633EC">
        <w:t xml:space="preserve">at least </w:t>
      </w:r>
      <w:r w:rsidRPr="000F5489">
        <w:t>every ten years as resources permit. This ensures that they remain relevant, cost effective and do not become a barrier to the importation of safer vehicles and vehicle components. A</w:t>
      </w:r>
      <w:r w:rsidR="000D0ED4">
        <w:t>DR 113/00</w:t>
      </w:r>
      <w:r w:rsidRPr="000F5489">
        <w:t xml:space="preserve"> would be scheduled for a full review on an ongoing basis and in line with this practice.</w:t>
      </w:r>
    </w:p>
    <w:p w14:paraId="5466D91C" w14:textId="09394048" w:rsidR="006633EC" w:rsidRDefault="006633EC" w:rsidP="006633EC">
      <w:r>
        <w:t xml:space="preserve">Reviews of the ADRs ensure the ongoing effectiveness of a nationally consistent system of technical regulations, closely aligned, wherever appropriate with leading international standards such as UN Regulations. Aligning with such standards enable the rapid introduction of the latest safety devices and technological advances into the Australian market in a </w:t>
      </w:r>
      <w:r w:rsidR="00A827B8">
        <w:t>cost-effective</w:t>
      </w:r>
      <w:r>
        <w:t xml:space="preserve"> manner. This new ADR for AVAS would be scheduled for a full review on an ongoing basis and in line with this practice, including an evaluation of whether the ADR will still be required in the future. </w:t>
      </w:r>
    </w:p>
    <w:p w14:paraId="08370D3C" w14:textId="607519B6" w:rsidR="000D0ED4" w:rsidRPr="0096652B" w:rsidRDefault="000D0ED4" w:rsidP="000D0ED4">
      <w:pPr>
        <w:rPr>
          <w:lang w:bidi="he-IL"/>
        </w:rPr>
      </w:pPr>
      <w:r>
        <w:t xml:space="preserve">A review of ADR 113/00 would </w:t>
      </w:r>
      <w:r w:rsidR="009729B4">
        <w:t xml:space="preserve">rely on </w:t>
      </w:r>
      <w:r w:rsidRPr="00C52F9B">
        <w:t>data from a r</w:t>
      </w:r>
      <w:r w:rsidRPr="0096652B">
        <w:rPr>
          <w:lang w:bidi="he-IL"/>
        </w:rPr>
        <w:t>ange of existing sources including, but not limited to:</w:t>
      </w:r>
    </w:p>
    <w:p w14:paraId="4303748A" w14:textId="487036E0" w:rsidR="000D0ED4" w:rsidRPr="0096652B" w:rsidRDefault="000D0ED4" w:rsidP="000D0ED4">
      <w:pPr>
        <w:pStyle w:val="Listparagraphbullets"/>
        <w:ind w:left="567" w:hanging="567"/>
        <w:rPr>
          <w:lang w:bidi="he-IL"/>
        </w:rPr>
      </w:pPr>
      <w:r>
        <w:rPr>
          <w:lang w:bidi="he-IL"/>
        </w:rPr>
        <w:t>road trauma data collected by the department and state/territory governments and research organisations, such as MUARC.</w:t>
      </w:r>
    </w:p>
    <w:p w14:paraId="7463D18F" w14:textId="13F614C2" w:rsidR="000D0ED4" w:rsidRDefault="000D0ED4" w:rsidP="009729B4">
      <w:pPr>
        <w:pStyle w:val="Listparagraphbullets"/>
        <w:ind w:left="567" w:hanging="567"/>
        <w:rPr>
          <w:lang w:bidi="he-IL"/>
        </w:rPr>
      </w:pPr>
      <w:r w:rsidRPr="0096652B">
        <w:rPr>
          <w:lang w:bidi="he-IL"/>
        </w:rPr>
        <w:t>new research</w:t>
      </w:r>
      <w:r w:rsidRPr="0096652B">
        <w:t xml:space="preserve"> by government and non-government organisations in Australia and overseas</w:t>
      </w:r>
      <w:r>
        <w:t>, including the UN Working Party on Tyres and Noise</w:t>
      </w:r>
      <w:r w:rsidRPr="0096652B">
        <w:t>.</w:t>
      </w:r>
    </w:p>
    <w:p w14:paraId="1F463097" w14:textId="628700BC" w:rsidR="00930939" w:rsidRPr="00930939" w:rsidRDefault="00930939" w:rsidP="00930939">
      <w:r w:rsidRPr="00930939">
        <w:t xml:space="preserve">A key mechanism for evaluating the success of implementing AVAS for new vehicles </w:t>
      </w:r>
      <w:r w:rsidR="00AE5A04">
        <w:t xml:space="preserve">over the period to 2030 </w:t>
      </w:r>
      <w:r w:rsidRPr="00930939">
        <w:t xml:space="preserve">will be monitoring the </w:t>
      </w:r>
      <w:r w:rsidR="00BE6394">
        <w:t>success</w:t>
      </w:r>
      <w:r w:rsidRPr="00930939">
        <w:t xml:space="preserve"> of the National Road Safety Strategy 2021-30 </w:t>
      </w:r>
      <w:r>
        <w:t xml:space="preserve">and its Action Plan </w:t>
      </w:r>
      <w:r w:rsidRPr="00930939">
        <w:t>over time</w:t>
      </w:r>
      <w:r w:rsidR="00BE6394">
        <w:t>, in particular whether there is a reduction in deaths and serious injuries of pedestrians once the ADR takes effect</w:t>
      </w:r>
      <w:r w:rsidRPr="00930939">
        <w:t>.</w:t>
      </w:r>
      <w:r w:rsidR="00D41B83">
        <w:t xml:space="preserve"> </w:t>
      </w:r>
      <w:r w:rsidRPr="00930939">
        <w:t xml:space="preserve">Progress measures </w:t>
      </w:r>
      <w:r w:rsidR="00BE6394">
        <w:t xml:space="preserve">of the Strategy </w:t>
      </w:r>
      <w:r w:rsidRPr="00930939">
        <w:t>fall under two categories:</w:t>
      </w:r>
    </w:p>
    <w:p w14:paraId="62C2E3B9" w14:textId="70341738" w:rsidR="00930939" w:rsidRPr="00930939" w:rsidRDefault="00930939" w:rsidP="00930939">
      <w:pPr>
        <w:numPr>
          <w:ilvl w:val="0"/>
          <w:numId w:val="40"/>
        </w:numPr>
      </w:pPr>
      <w:r w:rsidRPr="00930939">
        <w:t>Primary outcome indicators</w:t>
      </w:r>
      <w:r w:rsidRPr="00930939">
        <w:softHyphen/>
        <w:t xml:space="preserve"> – measures that inform the assessment of overall progress in the reduction of road trauma</w:t>
      </w:r>
    </w:p>
    <w:p w14:paraId="69A72C5C" w14:textId="77777777" w:rsidR="00930939" w:rsidRPr="00930939" w:rsidRDefault="00930939" w:rsidP="00930939">
      <w:pPr>
        <w:numPr>
          <w:ilvl w:val="0"/>
          <w:numId w:val="40"/>
        </w:numPr>
      </w:pPr>
      <w:r w:rsidRPr="00930939">
        <w:t>Safety performance indicators – measures that inform the assessment of interventions in the system to address priority areas identified by the Strategy</w:t>
      </w:r>
    </w:p>
    <w:p w14:paraId="71CE3FF3" w14:textId="196BA0E7" w:rsidR="00E13C1A" w:rsidRDefault="00930939" w:rsidP="00930939">
      <w:r w:rsidRPr="00930939">
        <w:t>Primary outcome indicators will be measured and reported on annually against a baseline to track progress towards the targets in the Strategy, including ‘Zero deaths in city CBD areas’ (most of which are vulnerable road users).</w:t>
      </w:r>
      <w:r w:rsidR="00E13C1A">
        <w:t xml:space="preserve"> </w:t>
      </w:r>
      <w:r w:rsidRPr="00930939">
        <w:t xml:space="preserve">Safety performance indicators inform the assessment of road safety interventions and understanding of gaps. </w:t>
      </w:r>
    </w:p>
    <w:p w14:paraId="2153BE39" w14:textId="51088493" w:rsidR="00930939" w:rsidRPr="00930939" w:rsidRDefault="00930939" w:rsidP="00930939">
      <w:bookmarkStart w:id="192" w:name="_Hlk153528182"/>
      <w:r>
        <w:t xml:space="preserve">The Road Safety Data </w:t>
      </w:r>
      <w:r w:rsidR="0049468E">
        <w:t>Working Group, which includes representatives from the Australian and all</w:t>
      </w:r>
      <w:r>
        <w:t xml:space="preserve"> state and territory governments</w:t>
      </w:r>
      <w:r w:rsidR="0049468E">
        <w:t>, is working to make</w:t>
      </w:r>
      <w:r>
        <w:t xml:space="preserve"> data </w:t>
      </w:r>
      <w:r w:rsidR="0049468E">
        <w:t>available to measure performance</w:t>
      </w:r>
      <w:r>
        <w:t xml:space="preserve"> of </w:t>
      </w:r>
      <w:r w:rsidR="0049468E">
        <w:t xml:space="preserve">the </w:t>
      </w:r>
      <w:r>
        <w:t xml:space="preserve">Strategy and Action Plan. This includes deaths and serious injuries </w:t>
      </w:r>
      <w:r w:rsidR="00E13C1A">
        <w:t>of pedestrians and other VRUs, although the granular detail of vehicle type involved may not extend to record the vehicle’s powertrain (i</w:t>
      </w:r>
      <w:r w:rsidR="00EC4B3F">
        <w:t>.</w:t>
      </w:r>
      <w:r w:rsidR="00E13C1A">
        <w:t>e</w:t>
      </w:r>
      <w:r w:rsidR="00EC4B3F">
        <w:t>.</w:t>
      </w:r>
      <w:r w:rsidR="00E13C1A">
        <w:t xml:space="preserve"> whether the involved vehicle was electric, hybrid or ICE powered).</w:t>
      </w:r>
      <w:r w:rsidR="00BE6394">
        <w:t xml:space="preserve"> Data may also not record whether the pedestrian had low vision, or was distracted at the time.</w:t>
      </w:r>
    </w:p>
    <w:bookmarkEnd w:id="192"/>
    <w:p w14:paraId="3DBE8257" w14:textId="35E1BC16" w:rsidR="00B72196" w:rsidRDefault="00BE6394" w:rsidP="005A4E5F">
      <w:r w:rsidRPr="00BE6394">
        <w:t>The National Road Safety Action Plan 2023-25 will be evaluated through the provision of a National Road Safety Annual Progress Report to Infrastructure and Transport Ministers’ Meeting which will detail progress of its implementation</w:t>
      </w:r>
      <w:r>
        <w:t>.</w:t>
      </w:r>
    </w:p>
    <w:p w14:paraId="663C20C7" w14:textId="48677CC8" w:rsidR="00806F29" w:rsidRDefault="00E23B8C" w:rsidP="00806F29">
      <w:pPr>
        <w:sectPr w:rsidR="00806F29" w:rsidSect="00796AB4">
          <w:pgSz w:w="11906" w:h="16838"/>
          <w:pgMar w:top="1276" w:right="991" w:bottom="1276" w:left="1440" w:header="567" w:footer="0" w:gutter="0"/>
          <w:cols w:space="708"/>
          <w:titlePg/>
          <w:docGrid w:linePitch="360"/>
        </w:sectPr>
      </w:pPr>
      <w:r>
        <w:t>.</w:t>
      </w:r>
    </w:p>
    <w:p w14:paraId="15455603" w14:textId="77777777" w:rsidR="00271A50" w:rsidRPr="00930D6A" w:rsidRDefault="00271A50" w:rsidP="00CE75A2">
      <w:pPr>
        <w:pStyle w:val="Heading2"/>
      </w:pPr>
      <w:bookmarkStart w:id="193" w:name="_Toc128476473"/>
      <w:bookmarkStart w:id="194" w:name="_Toc151556427"/>
      <w:bookmarkStart w:id="195" w:name="_Toc153795435"/>
      <w:r w:rsidRPr="00930D6A">
        <w:lastRenderedPageBreak/>
        <w:t>References</w:t>
      </w:r>
      <w:bookmarkEnd w:id="193"/>
      <w:bookmarkEnd w:id="194"/>
      <w:bookmarkEnd w:id="195"/>
    </w:p>
    <w:p w14:paraId="200172A8" w14:textId="77777777" w:rsidR="00271A50" w:rsidRPr="00930D6A" w:rsidRDefault="00271A50" w:rsidP="00271A50">
      <w:r w:rsidRPr="00930D6A">
        <w:t xml:space="preserve">Australasian New Car Assessment Program (ANCAP) (2022), </w:t>
      </w:r>
      <w:r w:rsidRPr="35E123EC">
        <w:rPr>
          <w:i/>
        </w:rPr>
        <w:t xml:space="preserve">ANCAP Safety Ratings Explained, retrieved from </w:t>
      </w:r>
      <w:r w:rsidRPr="00930D6A">
        <w:t>https://www.ancap.com.au/safety-ratings-explained</w:t>
      </w:r>
      <w:r>
        <w:t>.</w:t>
      </w:r>
    </w:p>
    <w:p w14:paraId="72984808" w14:textId="77777777" w:rsidR="00271A50" w:rsidRPr="00930D6A" w:rsidRDefault="00271A50" w:rsidP="00271A50">
      <w:pPr>
        <w:autoSpaceDE w:val="0"/>
        <w:autoSpaceDN w:val="0"/>
        <w:adjustRightInd w:val="0"/>
        <w:spacing w:before="120" w:after="120"/>
        <w:rPr>
          <w:rFonts w:eastAsia="Calibri" w:cs="Calibri"/>
          <w:color w:val="000000"/>
        </w:rPr>
      </w:pPr>
      <w:r w:rsidRPr="00930D6A">
        <w:rPr>
          <w:rFonts w:eastAsia="Calibri" w:cs="Calibri"/>
          <w:color w:val="000000"/>
        </w:rPr>
        <w:t xml:space="preserve">Australian Bureau of Statistics (2020), </w:t>
      </w:r>
      <w:r w:rsidRPr="35E123EC">
        <w:rPr>
          <w:rFonts w:eastAsia="Calibri" w:cs="Calibri"/>
          <w:i/>
          <w:color w:val="000000"/>
        </w:rPr>
        <w:t>Motor Vehicle Census, Australia, 31 Jan 2020</w:t>
      </w:r>
      <w:r w:rsidRPr="00930D6A">
        <w:rPr>
          <w:rFonts w:eastAsia="Calibri" w:cs="Calibri"/>
          <w:color w:val="000000"/>
        </w:rPr>
        <w:t>. Report No. 9309.0, retrieved from https://www.abs.gov.au/statistics/industry/tourism-and-transport/motor-vehicle-census-australia/31-jan-2020.</w:t>
      </w:r>
    </w:p>
    <w:p w14:paraId="5710532A" w14:textId="77777777" w:rsidR="00271A50" w:rsidRPr="00930D6A" w:rsidRDefault="00271A50" w:rsidP="00271A50">
      <w:pPr>
        <w:autoSpaceDE w:val="0"/>
        <w:autoSpaceDN w:val="0"/>
        <w:adjustRightInd w:val="0"/>
        <w:spacing w:before="120" w:after="120"/>
      </w:pPr>
      <w:r w:rsidRPr="00930D6A">
        <w:rPr>
          <w:rFonts w:eastAsia="Calibri" w:cs="Calibri"/>
          <w:color w:val="000000"/>
        </w:rPr>
        <w:t>Australian Government (202</w:t>
      </w:r>
      <w:r w:rsidR="00C2792B">
        <w:rPr>
          <w:rFonts w:eastAsia="Calibri" w:cs="Calibri"/>
          <w:color w:val="000000"/>
        </w:rPr>
        <w:t>3</w:t>
      </w:r>
      <w:r w:rsidRPr="00930D6A">
        <w:rPr>
          <w:rFonts w:eastAsia="Calibri" w:cs="Calibri"/>
          <w:color w:val="000000"/>
        </w:rPr>
        <w:t xml:space="preserve">), </w:t>
      </w:r>
      <w:r w:rsidRPr="35E123EC">
        <w:rPr>
          <w:rFonts w:eastAsia="Calibri" w:cs="Calibri"/>
          <w:i/>
          <w:color w:val="000000"/>
        </w:rPr>
        <w:t xml:space="preserve">Australian Government Guide to </w:t>
      </w:r>
      <w:r w:rsidR="00592447" w:rsidRPr="35E123EC">
        <w:rPr>
          <w:rFonts w:eastAsia="Calibri" w:cs="Calibri"/>
          <w:i/>
          <w:color w:val="000000"/>
        </w:rPr>
        <w:t xml:space="preserve">Policy </w:t>
      </w:r>
      <w:r w:rsidRPr="35E123EC">
        <w:rPr>
          <w:rFonts w:eastAsia="Calibri" w:cs="Calibri"/>
          <w:i/>
          <w:color w:val="000000"/>
        </w:rPr>
        <w:t>Impact Analysis</w:t>
      </w:r>
      <w:r w:rsidRPr="00930D6A">
        <w:rPr>
          <w:rFonts w:eastAsia="Calibri" w:cs="Calibri"/>
          <w:color w:val="000000"/>
        </w:rPr>
        <w:t>, r</w:t>
      </w:r>
      <w:r w:rsidRPr="00930D6A">
        <w:rPr>
          <w:rFonts w:eastAsia="Calibri" w:cs="Times New Roman"/>
        </w:rPr>
        <w:t xml:space="preserve">etrieved from </w:t>
      </w:r>
      <w:r w:rsidR="00592447" w:rsidRPr="00592447">
        <w:rPr>
          <w:rFonts w:eastAsia="Calibri" w:cs="Times New Roman"/>
        </w:rPr>
        <w:t>https://oia.pmc.gov.au/resources/guidance-impact-analysis/australian-government-guide-policy-impact-</w:t>
      </w:r>
      <w:r w:rsidRPr="00930D6A">
        <w:t>.</w:t>
      </w:r>
    </w:p>
    <w:p w14:paraId="285360A1" w14:textId="77777777" w:rsidR="000E0C48" w:rsidRPr="000E0C48" w:rsidRDefault="000E0C48" w:rsidP="00271A50">
      <w:r>
        <w:t xml:space="preserve">Australian National University (2022), </w:t>
      </w:r>
      <w:r w:rsidRPr="35E123EC">
        <w:rPr>
          <w:i/>
        </w:rPr>
        <w:t>Social Cost of Road Crashes</w:t>
      </w:r>
      <w:r>
        <w:t>. Report for Bureau of Infrastructure and Transport Research Economics (BITRE)</w:t>
      </w:r>
      <w:r w:rsidR="00961EF6">
        <w:t xml:space="preserve">, retrieved from </w:t>
      </w:r>
      <w:r w:rsidR="00961EF6" w:rsidRPr="00AA2B7A">
        <w:t>https://www.bitre.gov.au/sites/default/files/documents/social-cost-of-road-crashes.pdf</w:t>
      </w:r>
      <w:r w:rsidR="00961EF6">
        <w:t xml:space="preserve"> </w:t>
      </w:r>
    </w:p>
    <w:p w14:paraId="21AEC952" w14:textId="77777777" w:rsidR="00271A50" w:rsidRPr="00930D6A" w:rsidRDefault="00271A50" w:rsidP="00271A50">
      <w:r w:rsidRPr="00930D6A">
        <w:t xml:space="preserve">Bureau of Infrastructure, Transport and Regional Economics (BITRE) (2019), </w:t>
      </w:r>
      <w:r w:rsidRPr="35E123EC">
        <w:rPr>
          <w:i/>
        </w:rPr>
        <w:t>Electric Vehicle Uptake: Modelling a Global Phenomenon</w:t>
      </w:r>
      <w:r w:rsidRPr="00930D6A">
        <w:t xml:space="preserve">, retrieved from https://www.bitre.gov.au/publications/2019/bitre-report-151. </w:t>
      </w:r>
    </w:p>
    <w:p w14:paraId="496E178B" w14:textId="77777777" w:rsidR="00271A50" w:rsidRPr="00930D6A" w:rsidRDefault="00271A50" w:rsidP="00271A50">
      <w:r w:rsidRPr="00930D6A">
        <w:t xml:space="preserve">Bureau of Infrastructure and Transport Research Economics (BITRE) (2020), </w:t>
      </w:r>
      <w:r w:rsidRPr="35E123EC">
        <w:rPr>
          <w:i/>
        </w:rPr>
        <w:t>Road Trauma Australia – 2019 Statistical Summary</w:t>
      </w:r>
      <w:r w:rsidRPr="00930D6A">
        <w:t xml:space="preserve">, retrieved from https://www.bitre.gov.au/sites/default/files/documents/road_trauma_australia_2019_statistical_summary.pdf. </w:t>
      </w:r>
    </w:p>
    <w:p w14:paraId="1F8A17A6" w14:textId="77777777" w:rsidR="00271A50" w:rsidRPr="00930D6A" w:rsidRDefault="00271A50" w:rsidP="00271A50">
      <w:r w:rsidRPr="00930D6A">
        <w:t xml:space="preserve">Bureau of Infrastructure and Transport Research Economics (BITRE) (2021), </w:t>
      </w:r>
      <w:r w:rsidRPr="35E123EC">
        <w:rPr>
          <w:i/>
        </w:rPr>
        <w:t>Road Safety Statistics – Hospitalised Injuries</w:t>
      </w:r>
      <w:r w:rsidRPr="00930D6A">
        <w:t>, retrieved from https://www.bitre.gov.au/statistics/safety.</w:t>
      </w:r>
    </w:p>
    <w:p w14:paraId="0FBA0137" w14:textId="77777777" w:rsidR="00271A50" w:rsidRPr="00930D6A" w:rsidRDefault="00271A50" w:rsidP="00271A50">
      <w:r w:rsidRPr="00930D6A">
        <w:t xml:space="preserve">Federal Chamber of Automotive Industries (FCAI) (2020). </w:t>
      </w:r>
      <w:r w:rsidRPr="35E123EC">
        <w:rPr>
          <w:i/>
        </w:rPr>
        <w:t>New Vehicle Sales – Monthly Reports.</w:t>
      </w:r>
      <w:r w:rsidRPr="00930D6A">
        <w:t xml:space="preserve"> VFACTS National Reports.</w:t>
      </w:r>
    </w:p>
    <w:p w14:paraId="6DCD6083" w14:textId="77777777" w:rsidR="00271A50" w:rsidRPr="00930D6A" w:rsidRDefault="00271A50" w:rsidP="00271A50">
      <w:r w:rsidRPr="00930D6A">
        <w:t xml:space="preserve">Lawrence, B., Fitzharris, M., Liu, S., and Newstead, S. (2020), </w:t>
      </w:r>
      <w:r w:rsidRPr="35E123EC">
        <w:rPr>
          <w:i/>
        </w:rPr>
        <w:t>Enhancing the Safety of Quiet Road Transport Vehicles (QRTV) – Crash Reduction Benefits of the Fitment of Acoustic Vehicle Alerting Systems in Australia</w:t>
      </w:r>
      <w:r w:rsidRPr="00930D6A">
        <w:t>, Clayton: Monash University Accident Research Centre.</w:t>
      </w:r>
    </w:p>
    <w:p w14:paraId="7AFC7101" w14:textId="77777777" w:rsidR="00271A50" w:rsidRPr="00930D6A" w:rsidRDefault="00271A50" w:rsidP="00271A50">
      <w:r w:rsidRPr="00930D6A">
        <w:t xml:space="preserve">Liu, S., Fitzharris, M., Oxley, J., and Edwards, C. (2018). </w:t>
      </w:r>
      <w:r w:rsidRPr="35E123EC">
        <w:rPr>
          <w:i/>
        </w:rPr>
        <w:t>The impact of electric/hybrid vehicles and bicycles on pedestrians who are blind or have low vision</w:t>
      </w:r>
      <w:r w:rsidRPr="00930D6A">
        <w:t>. Clayton: Monash University Accident Research Centre.</w:t>
      </w:r>
    </w:p>
    <w:p w14:paraId="41883776" w14:textId="77777777" w:rsidR="00271A50" w:rsidRPr="00930D6A" w:rsidRDefault="00271A50" w:rsidP="00271A50">
      <w:r w:rsidRPr="00930D6A">
        <w:t xml:space="preserve">National Highway Traffic Safety Administration (NHTSA) (2016), </w:t>
      </w:r>
      <w:r w:rsidRPr="35E123EC">
        <w:rPr>
          <w:i/>
        </w:rPr>
        <w:t>49 CFR Parts 571 and 585 - Federal Motor Vehicle Safety Standards - Minimum Sound Requirements for Hybrid and Electric Vehicles</w:t>
      </w:r>
      <w:r w:rsidRPr="00930D6A">
        <w:t>, Federal Register / Vol. 81, No. 240 / Wednesday, December 14, 2016 / Rules and Regulations [Docket No. NHTSA–2016–0125]</w:t>
      </w:r>
      <w:r>
        <w:t>.</w:t>
      </w:r>
    </w:p>
    <w:p w14:paraId="21C48CB3" w14:textId="77777777" w:rsidR="00271A50" w:rsidRPr="00930D6A" w:rsidRDefault="00271A50" w:rsidP="00271A50">
      <w:r w:rsidRPr="00930D6A">
        <w:t xml:space="preserve">National Highway Traffic Safety Administration (NHTSA) (2017), </w:t>
      </w:r>
      <w:r w:rsidRPr="35E123EC">
        <w:rPr>
          <w:i/>
        </w:rPr>
        <w:t>Updated analysis of pedestrian and pedal cyclist crashes with hybrid vehicles</w:t>
      </w:r>
      <w:r w:rsidRPr="00930D6A">
        <w:t>, NHTSA Traffic Safety Facts, Research note, DOT HS 812 371.</w:t>
      </w:r>
    </w:p>
    <w:p w14:paraId="0C5678E9" w14:textId="77777777" w:rsidR="00271A50" w:rsidRDefault="00271A50" w:rsidP="00271A50">
      <w:r>
        <w:t xml:space="preserve">Osbourne, R., Horberry, T., Young, K. (2020). </w:t>
      </w:r>
      <w:r w:rsidRPr="35E123EC">
        <w:rPr>
          <w:i/>
        </w:rPr>
        <w:t>Pedestrian distraction from smartphones,</w:t>
      </w:r>
      <w:r>
        <w:t xml:space="preserve"> </w:t>
      </w:r>
      <w:r w:rsidRPr="00930D6A">
        <w:t>Clayton: Monash University Accident Research Centre</w:t>
      </w:r>
      <w:r>
        <w:t>.</w:t>
      </w:r>
    </w:p>
    <w:p w14:paraId="6C6939DD" w14:textId="6FB78E67" w:rsidR="00F75F6A" w:rsidRPr="00ED40B7" w:rsidRDefault="00F75F6A" w:rsidP="00271A50">
      <w:r>
        <w:t>Roy Morgan (2023) Article No 9258, 20 June 2023</w:t>
      </w:r>
      <w:r w:rsidR="005D05C5">
        <w:t xml:space="preserve"> </w:t>
      </w:r>
      <w:hyperlink r:id="rId29" w:history="1">
        <w:r w:rsidR="005D05C5" w:rsidRPr="005D05C5">
          <w:rPr>
            <w:rStyle w:val="Hyperlink"/>
          </w:rPr>
          <w:t>Over half a million Australians plan to buy a new electric vehicle in the next four years - Roy Morgan Research</w:t>
        </w:r>
      </w:hyperlink>
    </w:p>
    <w:p w14:paraId="1BDDCE78" w14:textId="77777777" w:rsidR="00271A50" w:rsidRPr="00930D6A" w:rsidRDefault="00271A50" w:rsidP="00271A50">
      <w:r w:rsidRPr="00930D6A">
        <w:t xml:space="preserve">United Nations (2017), </w:t>
      </w:r>
      <w:r w:rsidRPr="35E123EC">
        <w:rPr>
          <w:i/>
        </w:rPr>
        <w:t>Uniform provisions concerning the approval of Quiet Road Transport Vehicles with regard to their reduced audibility</w:t>
      </w:r>
      <w:r w:rsidRPr="00930D6A">
        <w:t xml:space="preserve">, UN Regulation No. 138 Revision 1, 01 series of amendments– Date of entry into force: 10 October 2017, retrieved from https://www.unece.org/fileadmin/DAM/trans/main/wp29/wp29regs/2017/R138r1e.pdf. </w:t>
      </w:r>
    </w:p>
    <w:p w14:paraId="27469CC0" w14:textId="77777777" w:rsidR="00271A50" w:rsidRDefault="00271A50" w:rsidP="00271A50">
      <w:r w:rsidRPr="00930D6A">
        <w:lastRenderedPageBreak/>
        <w:t xml:space="preserve">Victorian Government – Department of Transport (2020), </w:t>
      </w:r>
      <w:r w:rsidRPr="35E123EC">
        <w:rPr>
          <w:i/>
        </w:rPr>
        <w:t xml:space="preserve">Victorian Road Safety Strategy </w:t>
      </w:r>
      <w:r w:rsidR="00495354" w:rsidRPr="35E123EC">
        <w:rPr>
          <w:i/>
        </w:rPr>
        <w:t>2021–2030</w:t>
      </w:r>
      <w:r w:rsidRPr="00930D6A">
        <w:t xml:space="preserve">, retrieved from </w:t>
      </w:r>
      <w:r w:rsidRPr="00727C8A">
        <w:t>https://www.tac.vic.gov.au/road-safety/victorian-road-safety-strategy/victorian-road-safety-strategy-</w:t>
      </w:r>
      <w:r w:rsidR="00495354">
        <w:t>2021–2030</w:t>
      </w:r>
      <w:r>
        <w:t>.</w:t>
      </w:r>
    </w:p>
    <w:p w14:paraId="5AF82C58" w14:textId="77777777" w:rsidR="00271A50" w:rsidRPr="00727C8A" w:rsidRDefault="00271A50" w:rsidP="00271A50">
      <w:r>
        <w:t xml:space="preserve">Vision Australia (2018). Media release: </w:t>
      </w:r>
      <w:r w:rsidRPr="35E123EC">
        <w:rPr>
          <w:i/>
        </w:rPr>
        <w:t>Electric and hybrid cars putting pedestrians at risk</w:t>
      </w:r>
      <w:r>
        <w:t xml:space="preserve">, retrieved from </w:t>
      </w:r>
      <w:r w:rsidRPr="00727C8A">
        <w:t>https://www.visionaustralia.org/news/2019-08-23/electric-and-hybrid-cars-putting-pedestrians-risk</w:t>
      </w:r>
      <w:r>
        <w:t>.</w:t>
      </w:r>
    </w:p>
    <w:p w14:paraId="7DCA0774" w14:textId="77777777" w:rsidR="003E1F73" w:rsidRDefault="00271A50">
      <w:pPr>
        <w:spacing w:line="259" w:lineRule="auto"/>
      </w:pPr>
      <w:r w:rsidRPr="00930D6A">
        <w:br w:type="page"/>
      </w:r>
    </w:p>
    <w:p w14:paraId="4A8CE507" w14:textId="77777777" w:rsidR="003E1F73" w:rsidRPr="00266BBD" w:rsidRDefault="003E1F73" w:rsidP="00266BBD">
      <w:pPr>
        <w:pStyle w:val="Heading2"/>
      </w:pPr>
      <w:bookmarkStart w:id="196" w:name="_Ref149660605"/>
      <w:bookmarkStart w:id="197" w:name="_Toc151556428"/>
      <w:bookmarkStart w:id="198" w:name="_Toc153795436"/>
      <w:r w:rsidRPr="00266BBD">
        <w:lastRenderedPageBreak/>
        <w:t>Appendix A</w:t>
      </w:r>
      <w:r>
        <w:t>—</w:t>
      </w:r>
      <w:r w:rsidRPr="00266BBD">
        <w:t>Summary of Submissions</w:t>
      </w:r>
      <w:bookmarkEnd w:id="196"/>
      <w:bookmarkEnd w:id="197"/>
      <w:bookmarkEnd w:id="198"/>
    </w:p>
    <w:tbl>
      <w:tblPr>
        <w:tblStyle w:val="TableGrid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ummary of submissions"/>
        <w:tblDescription w:val="This table provides a summary of comments made in submissions received during the public consultation process. Sixty per cent of submissions received supported the proposed standard.  Submissions from state and territory governments and the blind and low vision community strongly supported the proposed standard. Vehicle manufacturers also supported the proposed, if sufficient time was provided to update and recertify vehicle models. Some submissions from the community had concerns that the new standard could increase noise pollution."/>
      </w:tblPr>
      <w:tblGrid>
        <w:gridCol w:w="1932"/>
        <w:gridCol w:w="1142"/>
        <w:gridCol w:w="1681"/>
        <w:gridCol w:w="125"/>
        <w:gridCol w:w="1531"/>
        <w:gridCol w:w="3064"/>
      </w:tblGrid>
      <w:tr w:rsidR="003E1F73" w:rsidRPr="003E1F73" w14:paraId="65D4F51A" w14:textId="77777777" w:rsidTr="003C45B0">
        <w:tc>
          <w:tcPr>
            <w:tcW w:w="15388" w:type="dxa"/>
            <w:gridSpan w:val="6"/>
            <w:shd w:val="clear" w:color="auto" w:fill="4472C4" w:themeFill="accent5"/>
          </w:tcPr>
          <w:p w14:paraId="1A3B0900" w14:textId="77777777" w:rsidR="003E1F73" w:rsidRPr="003E1F73" w:rsidRDefault="003E1F73">
            <w:pPr>
              <w:spacing w:before="60" w:after="60"/>
              <w:rPr>
                <w:rFonts w:eastAsia="Calibri" w:cs="Times New Roman"/>
                <w:b/>
              </w:rPr>
            </w:pPr>
            <w:r w:rsidRPr="35E123EC">
              <w:rPr>
                <w:rFonts w:eastAsia="Calibri" w:cs="Times New Roman"/>
                <w:b/>
                <w:color w:val="FFFFFF"/>
              </w:rPr>
              <w:t>Organisations</w:t>
            </w:r>
          </w:p>
        </w:tc>
      </w:tr>
      <w:tr w:rsidR="003E1F73" w:rsidRPr="003E1F73" w14:paraId="2CF1D329" w14:textId="77777777" w:rsidTr="003C45B0">
        <w:tc>
          <w:tcPr>
            <w:tcW w:w="2694" w:type="dxa"/>
            <w:tcBorders>
              <w:bottom w:val="single" w:sz="4" w:space="0" w:color="auto"/>
            </w:tcBorders>
            <w:shd w:val="clear" w:color="auto" w:fill="B4C6E7" w:themeFill="accent5" w:themeFillTint="66"/>
          </w:tcPr>
          <w:p w14:paraId="35CBD7D0" w14:textId="77777777" w:rsidR="003E1F73" w:rsidRPr="003E1F73" w:rsidRDefault="003E1F73" w:rsidP="003E1F73">
            <w:pPr>
              <w:spacing w:before="60" w:after="60"/>
              <w:rPr>
                <w:rFonts w:eastAsia="Calibri" w:cs="Times New Roman"/>
              </w:rPr>
            </w:pPr>
            <w:r w:rsidRPr="003E1F73">
              <w:rPr>
                <w:rFonts w:eastAsia="Calibri" w:cs="Times New Roman"/>
              </w:rPr>
              <w:t>Name</w:t>
            </w:r>
          </w:p>
        </w:tc>
        <w:tc>
          <w:tcPr>
            <w:tcW w:w="5000" w:type="dxa"/>
            <w:gridSpan w:val="3"/>
            <w:tcBorders>
              <w:bottom w:val="single" w:sz="4" w:space="0" w:color="auto"/>
            </w:tcBorders>
            <w:shd w:val="clear" w:color="auto" w:fill="B4C6E7" w:themeFill="accent5" w:themeFillTint="66"/>
          </w:tcPr>
          <w:p w14:paraId="68231995" w14:textId="77777777" w:rsidR="003E1F73" w:rsidRPr="003E1F73" w:rsidRDefault="003E1F73" w:rsidP="003E1F73">
            <w:pPr>
              <w:spacing w:before="60" w:after="60"/>
              <w:rPr>
                <w:rFonts w:eastAsia="Calibri" w:cs="Times New Roman"/>
              </w:rPr>
            </w:pPr>
            <w:r w:rsidRPr="003E1F73">
              <w:rPr>
                <w:rFonts w:eastAsia="Calibri" w:cs="Times New Roman"/>
              </w:rPr>
              <w:t>About</w:t>
            </w:r>
          </w:p>
        </w:tc>
        <w:tc>
          <w:tcPr>
            <w:tcW w:w="2654" w:type="dxa"/>
            <w:tcBorders>
              <w:bottom w:val="single" w:sz="4" w:space="0" w:color="auto"/>
            </w:tcBorders>
            <w:shd w:val="clear" w:color="auto" w:fill="B4C6E7" w:themeFill="accent5" w:themeFillTint="66"/>
          </w:tcPr>
          <w:p w14:paraId="25994CDC" w14:textId="77777777" w:rsidR="003E1F73" w:rsidRPr="003E1F73" w:rsidRDefault="003E1F73" w:rsidP="003E1F73">
            <w:pPr>
              <w:spacing w:before="60" w:after="60"/>
              <w:rPr>
                <w:rFonts w:eastAsia="Calibri" w:cs="Times New Roman"/>
              </w:rPr>
            </w:pPr>
            <w:r w:rsidRPr="003E1F73">
              <w:rPr>
                <w:rFonts w:eastAsia="Calibri" w:cs="Times New Roman"/>
              </w:rPr>
              <w:t>Support / Not Support</w:t>
            </w:r>
          </w:p>
        </w:tc>
        <w:tc>
          <w:tcPr>
            <w:tcW w:w="5040" w:type="dxa"/>
            <w:tcBorders>
              <w:bottom w:val="single" w:sz="4" w:space="0" w:color="auto"/>
            </w:tcBorders>
            <w:shd w:val="clear" w:color="auto" w:fill="B4C6E7" w:themeFill="accent5" w:themeFillTint="66"/>
          </w:tcPr>
          <w:p w14:paraId="052664B3" w14:textId="77777777" w:rsidR="003E1F73" w:rsidRPr="003E1F73" w:rsidRDefault="003E1F73" w:rsidP="003E1F73">
            <w:pPr>
              <w:spacing w:before="60" w:after="60"/>
              <w:rPr>
                <w:rFonts w:eastAsia="Calibri" w:cs="Times New Roman"/>
              </w:rPr>
            </w:pPr>
            <w:r w:rsidRPr="003E1F73">
              <w:rPr>
                <w:rFonts w:eastAsia="Calibri" w:cs="Times New Roman"/>
              </w:rPr>
              <w:t>Commentary</w:t>
            </w:r>
          </w:p>
        </w:tc>
      </w:tr>
      <w:tr w:rsidR="003E1F73" w:rsidRPr="003E1F73" w14:paraId="0254CFE1" w14:textId="77777777" w:rsidTr="003C45B0">
        <w:tc>
          <w:tcPr>
            <w:tcW w:w="15388" w:type="dxa"/>
            <w:gridSpan w:val="6"/>
            <w:tcBorders>
              <w:top w:val="single" w:sz="4" w:space="0" w:color="auto"/>
              <w:bottom w:val="nil"/>
            </w:tcBorders>
          </w:tcPr>
          <w:p w14:paraId="543EA535" w14:textId="77777777" w:rsidR="003E1F73" w:rsidRPr="003E1F73" w:rsidRDefault="003E1F73" w:rsidP="003E1F73">
            <w:pPr>
              <w:spacing w:before="60" w:after="60"/>
              <w:rPr>
                <w:rFonts w:eastAsia="Calibri" w:cs="Times New Roman"/>
              </w:rPr>
            </w:pPr>
            <w:r w:rsidRPr="35E123EC">
              <w:rPr>
                <w:rFonts w:eastAsia="Calibri" w:cs="Times New Roman"/>
                <w:b/>
              </w:rPr>
              <w:t>Vehicle industry organisations</w:t>
            </w:r>
          </w:p>
        </w:tc>
      </w:tr>
      <w:tr w:rsidR="003E1F73" w:rsidRPr="003E1F73" w14:paraId="1DEAE45C" w14:textId="77777777" w:rsidTr="003C45B0">
        <w:tc>
          <w:tcPr>
            <w:tcW w:w="2694" w:type="dxa"/>
            <w:tcBorders>
              <w:top w:val="nil"/>
            </w:tcBorders>
          </w:tcPr>
          <w:p w14:paraId="0AB79441" w14:textId="77777777" w:rsidR="003E1F73" w:rsidRPr="003E1F73" w:rsidRDefault="003E1F73" w:rsidP="003E1F73">
            <w:pPr>
              <w:spacing w:before="60" w:after="60"/>
              <w:rPr>
                <w:rFonts w:eastAsia="Calibri" w:cs="Times New Roman"/>
              </w:rPr>
            </w:pPr>
            <w:r w:rsidRPr="003E1F73">
              <w:rPr>
                <w:rFonts w:eastAsia="Calibri" w:cs="Times New Roman"/>
              </w:rPr>
              <w:t>Federal Chamber of Automotive Industries (FCAI)</w:t>
            </w:r>
          </w:p>
        </w:tc>
        <w:tc>
          <w:tcPr>
            <w:tcW w:w="5000" w:type="dxa"/>
            <w:gridSpan w:val="3"/>
            <w:tcBorders>
              <w:top w:val="nil"/>
            </w:tcBorders>
          </w:tcPr>
          <w:p w14:paraId="3FBF26DB" w14:textId="77777777" w:rsidR="003E1F73" w:rsidRPr="003E1F73" w:rsidRDefault="003E1F73" w:rsidP="003E1F73">
            <w:pPr>
              <w:spacing w:before="60" w:after="60"/>
              <w:rPr>
                <w:rFonts w:eastAsia="Calibri" w:cs="Times New Roman"/>
              </w:rPr>
            </w:pPr>
            <w:r w:rsidRPr="003E1F73">
              <w:rPr>
                <w:rFonts w:eastAsia="Calibri" w:cs="Times New Roman"/>
              </w:rPr>
              <w:t>Represents importers and distributors of light passenger and light commercial vehicles and motorcycles to the Australian market</w:t>
            </w:r>
          </w:p>
        </w:tc>
        <w:tc>
          <w:tcPr>
            <w:tcW w:w="2654" w:type="dxa"/>
            <w:tcBorders>
              <w:top w:val="nil"/>
            </w:tcBorders>
            <w:shd w:val="clear" w:color="auto" w:fill="92D050"/>
            <w:vAlign w:val="center"/>
          </w:tcPr>
          <w:p w14:paraId="23427498"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477FBBFE"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Proposes a longer lead time, of two years for new models and a further two years for all models, after final publication of ADR</w:t>
            </w:r>
          </w:p>
          <w:p w14:paraId="0A5BD1C6"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Supports adoption of UN R138/01 and allowing the US standard FMVSS 141 as an alternative</w:t>
            </w:r>
          </w:p>
          <w:p w14:paraId="7F8B4BE1"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Considers some of the estimated administrative costs in the Impact Analysis are understated</w:t>
            </w:r>
          </w:p>
        </w:tc>
      </w:tr>
      <w:tr w:rsidR="003E1F73" w:rsidRPr="003E1F73" w14:paraId="25D00967" w14:textId="77777777" w:rsidTr="003C45B0">
        <w:tc>
          <w:tcPr>
            <w:tcW w:w="2694" w:type="dxa"/>
          </w:tcPr>
          <w:p w14:paraId="57476D5F" w14:textId="77777777" w:rsidR="003E1F73" w:rsidRPr="003E1F73" w:rsidRDefault="003E1F73" w:rsidP="003E1F73">
            <w:pPr>
              <w:spacing w:before="60" w:after="60"/>
              <w:rPr>
                <w:rFonts w:eastAsia="Calibri" w:cs="Times New Roman"/>
              </w:rPr>
            </w:pPr>
            <w:r w:rsidRPr="003E1F73">
              <w:rPr>
                <w:rFonts w:eastAsia="Calibri" w:cs="Times New Roman"/>
              </w:rPr>
              <w:t>Truck Industry Council (TIC)</w:t>
            </w:r>
          </w:p>
        </w:tc>
        <w:tc>
          <w:tcPr>
            <w:tcW w:w="5000" w:type="dxa"/>
            <w:gridSpan w:val="3"/>
          </w:tcPr>
          <w:p w14:paraId="6A3BA815" w14:textId="77777777" w:rsidR="003E1F73" w:rsidRPr="003E1F73" w:rsidRDefault="003E1F73" w:rsidP="003E1F73">
            <w:pPr>
              <w:spacing w:before="60" w:after="60"/>
              <w:rPr>
                <w:rFonts w:eastAsia="Calibri" w:cs="Times New Roman"/>
              </w:rPr>
            </w:pPr>
            <w:r w:rsidRPr="003E1F73">
              <w:rPr>
                <w:rFonts w:eastAsia="Calibri" w:cs="Times New Roman"/>
              </w:rPr>
              <w:t>Represents truck manufacturers, importers and distributors in Australia. Its members represented 99 per cent of all truck sales in 2022</w:t>
            </w:r>
          </w:p>
        </w:tc>
        <w:tc>
          <w:tcPr>
            <w:tcW w:w="2654" w:type="dxa"/>
            <w:shd w:val="clear" w:color="auto" w:fill="92D050"/>
            <w:vAlign w:val="center"/>
          </w:tcPr>
          <w:p w14:paraId="0DAC0DE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1C9E8D25"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Strongly supports mandating AVAS for all heavy electric vehicles (trucks and buses), noting there would be negligible direct costs to the public or industry</w:t>
            </w:r>
          </w:p>
          <w:p w14:paraId="099994B1"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Nearly 70 per cent of heavy electric vehicles offered by TIC members already have, or can be fitted with AVAS</w:t>
            </w:r>
          </w:p>
          <w:p w14:paraId="63EA1261"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Concerns that any delays may lead to jurisdictions mandating AVAS separately and inconsistently (e.g. NSW requiring AVAS within its bus contracts), which has safety implications</w:t>
            </w:r>
          </w:p>
        </w:tc>
      </w:tr>
      <w:tr w:rsidR="003E1F73" w:rsidRPr="003E1F73" w14:paraId="76F70D94" w14:textId="77777777" w:rsidTr="003C45B0">
        <w:tc>
          <w:tcPr>
            <w:tcW w:w="2694" w:type="dxa"/>
          </w:tcPr>
          <w:p w14:paraId="3905790E" w14:textId="77777777" w:rsidR="003E1F73" w:rsidRPr="003E1F73" w:rsidRDefault="003E1F73" w:rsidP="003E1F73">
            <w:pPr>
              <w:spacing w:before="60" w:after="60"/>
              <w:rPr>
                <w:rFonts w:eastAsia="Calibri" w:cs="Times New Roman"/>
              </w:rPr>
            </w:pPr>
            <w:r w:rsidRPr="003E1F73">
              <w:rPr>
                <w:rFonts w:eastAsia="Calibri" w:cs="Times New Roman"/>
              </w:rPr>
              <w:t>Bus Industry Confederation (BIC)</w:t>
            </w:r>
          </w:p>
        </w:tc>
        <w:tc>
          <w:tcPr>
            <w:tcW w:w="5000" w:type="dxa"/>
            <w:gridSpan w:val="3"/>
          </w:tcPr>
          <w:p w14:paraId="2201D040" w14:textId="77777777" w:rsidR="003E1F73" w:rsidRPr="003E1F73" w:rsidRDefault="003E1F73" w:rsidP="003E1F73">
            <w:pPr>
              <w:spacing w:before="60" w:after="60"/>
              <w:rPr>
                <w:rFonts w:eastAsia="Calibri" w:cs="Times New Roman"/>
              </w:rPr>
            </w:pPr>
            <w:r w:rsidRPr="003E1F73">
              <w:rPr>
                <w:rFonts w:eastAsia="Calibri" w:cs="Times New Roman"/>
              </w:rPr>
              <w:t>Represents Australian bus and coach manufacturers and suppliers on national policy and regulation issues</w:t>
            </w:r>
          </w:p>
        </w:tc>
        <w:tc>
          <w:tcPr>
            <w:tcW w:w="2654" w:type="dxa"/>
            <w:shd w:val="clear" w:color="auto" w:fill="92D050"/>
            <w:vAlign w:val="center"/>
          </w:tcPr>
          <w:p w14:paraId="3A9EE9A3"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7D75E981"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More than 50 per cent of electric buses sold in Australia have AVAS fitted, or are pre-wired for future fitment</w:t>
            </w:r>
          </w:p>
          <w:p w14:paraId="2F8BEB28"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AVAS is often requested by both state government and many private bus customers</w:t>
            </w:r>
          </w:p>
          <w:p w14:paraId="25C92996"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If AVAS is mandated for heavy vehicles, requests some concessions be made for certification testing in Australia</w:t>
            </w:r>
          </w:p>
          <w:p w14:paraId="314D20FB"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lastRenderedPageBreak/>
              <w:t>The impact of increasing noise on transport workers and environmental amenity should be considered</w:t>
            </w:r>
          </w:p>
        </w:tc>
      </w:tr>
      <w:tr w:rsidR="003E1F73" w:rsidRPr="003E1F73" w14:paraId="39DCE493" w14:textId="77777777" w:rsidTr="003C45B0">
        <w:tc>
          <w:tcPr>
            <w:tcW w:w="2694" w:type="dxa"/>
          </w:tcPr>
          <w:p w14:paraId="7ED0E325" w14:textId="77777777" w:rsidR="003E1F73" w:rsidRPr="003E1F73" w:rsidRDefault="003E1F73" w:rsidP="003E1F73">
            <w:pPr>
              <w:spacing w:before="60" w:after="60"/>
              <w:rPr>
                <w:rFonts w:eastAsia="Calibri" w:cs="Times New Roman"/>
              </w:rPr>
            </w:pPr>
            <w:r w:rsidRPr="003E1F73">
              <w:rPr>
                <w:rFonts w:eastAsia="Calibri" w:cs="Times New Roman"/>
              </w:rPr>
              <w:lastRenderedPageBreak/>
              <w:t>International Organization of Motor Vehicle Manufacturers (OICA)</w:t>
            </w:r>
          </w:p>
        </w:tc>
        <w:tc>
          <w:tcPr>
            <w:tcW w:w="5000" w:type="dxa"/>
            <w:gridSpan w:val="3"/>
          </w:tcPr>
          <w:p w14:paraId="2EA6F05D" w14:textId="77777777" w:rsidR="003E1F73" w:rsidRPr="003E1F73" w:rsidRDefault="003E1F73" w:rsidP="003E1F73">
            <w:pPr>
              <w:spacing w:before="60" w:after="60"/>
              <w:rPr>
                <w:rFonts w:eastAsia="Calibri" w:cs="Times New Roman"/>
              </w:rPr>
            </w:pPr>
            <w:r w:rsidRPr="003E1F73">
              <w:rPr>
                <w:rFonts w:eastAsia="Calibri" w:cs="Times New Roman"/>
              </w:rPr>
              <w:t>Represents the international automotive industry. Its membership consists of 36 national trade associations, including both the FCAI and TIC</w:t>
            </w:r>
          </w:p>
        </w:tc>
        <w:tc>
          <w:tcPr>
            <w:tcW w:w="2654" w:type="dxa"/>
            <w:shd w:val="clear" w:color="auto" w:fill="92D050"/>
            <w:vAlign w:val="center"/>
          </w:tcPr>
          <w:p w14:paraId="555FE53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AEA63F9" w14:textId="77777777" w:rsidR="003E1F73" w:rsidRPr="003E1F73" w:rsidRDefault="003E1F73" w:rsidP="00C20920">
            <w:pPr>
              <w:numPr>
                <w:ilvl w:val="0"/>
                <w:numId w:val="19"/>
              </w:numPr>
              <w:spacing w:before="60" w:after="60"/>
              <w:contextualSpacing/>
              <w:rPr>
                <w:rFonts w:eastAsia="Calibri" w:cs="Times New Roman"/>
              </w:rPr>
            </w:pPr>
            <w:r w:rsidRPr="003E1F73">
              <w:rPr>
                <w:rFonts w:eastAsia="Calibri" w:cs="Times New Roman"/>
              </w:rPr>
              <w:t>Important step towards improving the safety of vulnerable road users</w:t>
            </w:r>
          </w:p>
          <w:p w14:paraId="6D0A293C" w14:textId="77777777" w:rsidR="003E1F73" w:rsidRPr="003E1F73" w:rsidRDefault="003E1F73" w:rsidP="00C20920">
            <w:pPr>
              <w:numPr>
                <w:ilvl w:val="0"/>
                <w:numId w:val="19"/>
              </w:numPr>
              <w:spacing w:before="60" w:after="60"/>
              <w:contextualSpacing/>
              <w:rPr>
                <w:rFonts w:eastAsia="Calibri" w:cs="Times New Roman"/>
              </w:rPr>
            </w:pPr>
            <w:r w:rsidRPr="003E1F73">
              <w:rPr>
                <w:rFonts w:eastAsia="Calibri" w:cs="Times New Roman"/>
              </w:rPr>
              <w:t>Welcomes adoption of the already established UN R138/01</w:t>
            </w:r>
          </w:p>
        </w:tc>
      </w:tr>
      <w:tr w:rsidR="003E1F73" w:rsidRPr="003E1F73" w14:paraId="5288F67D" w14:textId="77777777" w:rsidTr="003C45B0">
        <w:tc>
          <w:tcPr>
            <w:tcW w:w="2694" w:type="dxa"/>
          </w:tcPr>
          <w:p w14:paraId="6A39A5F4" w14:textId="77777777" w:rsidR="003E1F73" w:rsidRPr="003E1F73" w:rsidRDefault="003E1F73" w:rsidP="003E1F73">
            <w:pPr>
              <w:spacing w:before="60" w:after="60"/>
              <w:rPr>
                <w:rFonts w:eastAsia="Calibri" w:cs="Times New Roman"/>
              </w:rPr>
            </w:pPr>
            <w:r w:rsidRPr="003E1F73">
              <w:rPr>
                <w:rFonts w:eastAsia="Calibri" w:cs="Times New Roman"/>
              </w:rPr>
              <w:t>Electric Vehicle Council (EVC)</w:t>
            </w:r>
          </w:p>
        </w:tc>
        <w:tc>
          <w:tcPr>
            <w:tcW w:w="5000" w:type="dxa"/>
            <w:gridSpan w:val="3"/>
          </w:tcPr>
          <w:p w14:paraId="40A07794" w14:textId="77777777" w:rsidR="003E1F73" w:rsidRPr="003E1F73" w:rsidRDefault="003E1F73" w:rsidP="003E1F73">
            <w:pPr>
              <w:spacing w:before="60" w:after="60"/>
              <w:rPr>
                <w:rFonts w:eastAsia="Calibri" w:cs="Times New Roman"/>
              </w:rPr>
            </w:pPr>
            <w:r w:rsidRPr="003E1F73">
              <w:rPr>
                <w:rFonts w:eastAsia="Calibri" w:cs="Times New Roman"/>
              </w:rPr>
              <w:t>Peak national body for the electric vehicle industry in Australia, representing electric car, bus and truck manufacturers, importers, operators, charging infrastructure suppliers, battery reuse and recycling companies, financiers, and network providers</w:t>
            </w:r>
          </w:p>
        </w:tc>
        <w:tc>
          <w:tcPr>
            <w:tcW w:w="2654" w:type="dxa"/>
            <w:shd w:val="clear" w:color="auto" w:fill="92D050"/>
            <w:vAlign w:val="center"/>
          </w:tcPr>
          <w:p w14:paraId="67183EDB"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28304C73" w14:textId="77777777" w:rsidR="003E1F73" w:rsidRPr="003E1F73" w:rsidRDefault="003E1F73" w:rsidP="00C20920">
            <w:pPr>
              <w:numPr>
                <w:ilvl w:val="0"/>
                <w:numId w:val="20"/>
              </w:numPr>
              <w:spacing w:before="60" w:after="60"/>
              <w:contextualSpacing/>
              <w:rPr>
                <w:rFonts w:eastAsia="Calibri" w:cs="Times New Roman"/>
              </w:rPr>
            </w:pPr>
            <w:r w:rsidRPr="003E1F73">
              <w:rPr>
                <w:rFonts w:eastAsia="Calibri" w:cs="Times New Roman"/>
              </w:rPr>
              <w:t>Considers an 18 to 24-month transition period (as proposed in the impact analysis) appropriate, seeing many light electric vehicles in Australia already have AVAS fitted</w:t>
            </w:r>
          </w:p>
          <w:p w14:paraId="5FF1990A" w14:textId="77777777" w:rsidR="003E1F73" w:rsidRPr="003E1F73" w:rsidRDefault="003E1F73" w:rsidP="00C20920">
            <w:pPr>
              <w:numPr>
                <w:ilvl w:val="0"/>
                <w:numId w:val="20"/>
              </w:numPr>
              <w:spacing w:before="60" w:after="60"/>
              <w:contextualSpacing/>
              <w:rPr>
                <w:rFonts w:eastAsia="Calibri" w:cs="Times New Roman"/>
              </w:rPr>
            </w:pPr>
            <w:r w:rsidRPr="003E1F73">
              <w:rPr>
                <w:rFonts w:eastAsia="Calibri" w:cs="Times New Roman"/>
              </w:rPr>
              <w:t>Committed to engaging with the Government and heavy vehicle manufacturers to support progressing mandating AVAS for heavy electric vehicles</w:t>
            </w:r>
          </w:p>
        </w:tc>
      </w:tr>
      <w:tr w:rsidR="003E1F73" w:rsidRPr="003E1F73" w14:paraId="673D8E03" w14:textId="77777777" w:rsidTr="003C45B0">
        <w:tc>
          <w:tcPr>
            <w:tcW w:w="2694" w:type="dxa"/>
          </w:tcPr>
          <w:p w14:paraId="6B64FBCA" w14:textId="77777777" w:rsidR="003E1F73" w:rsidRPr="003E1F73" w:rsidRDefault="003E1F73" w:rsidP="003E1F73">
            <w:pPr>
              <w:spacing w:before="60" w:after="60"/>
              <w:rPr>
                <w:rFonts w:eastAsia="Calibri" w:cs="Times New Roman"/>
              </w:rPr>
            </w:pPr>
            <w:r w:rsidRPr="003E1F73">
              <w:rPr>
                <w:rFonts w:eastAsia="Calibri" w:cs="Times New Roman"/>
              </w:rPr>
              <w:t>Australian Electric Vehicle Association (AEVA)</w:t>
            </w:r>
          </w:p>
        </w:tc>
        <w:tc>
          <w:tcPr>
            <w:tcW w:w="5000" w:type="dxa"/>
            <w:gridSpan w:val="3"/>
          </w:tcPr>
          <w:p w14:paraId="1C1C612E" w14:textId="77777777" w:rsidR="003E1F73" w:rsidRPr="003E1F73" w:rsidRDefault="003E1F73" w:rsidP="003E1F73">
            <w:pPr>
              <w:spacing w:before="60" w:after="60"/>
              <w:rPr>
                <w:rFonts w:eastAsia="Calibri" w:cs="Times New Roman"/>
              </w:rPr>
            </w:pPr>
            <w:r w:rsidRPr="003E1F73">
              <w:rPr>
                <w:rFonts w:eastAsia="Calibri" w:cs="Times New Roman"/>
              </w:rPr>
              <w:t>Volunteer-run organisation aimed at advancing the case for full electrification of our transport networks. It primarily represents current and aspiring electric vehicle owners</w:t>
            </w:r>
          </w:p>
        </w:tc>
        <w:tc>
          <w:tcPr>
            <w:tcW w:w="2654" w:type="dxa"/>
            <w:shd w:val="clear" w:color="auto" w:fill="92D050"/>
            <w:vAlign w:val="center"/>
          </w:tcPr>
          <w:p w14:paraId="07C8F1A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42EBB2F7"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Supports mandating AVAS in principle, but wants drivers to have the ability to turn the system off</w:t>
            </w:r>
          </w:p>
        </w:tc>
      </w:tr>
      <w:tr w:rsidR="003E1F73" w:rsidRPr="003E1F73" w14:paraId="5ECE72C9" w14:textId="77777777" w:rsidTr="003C45B0">
        <w:tc>
          <w:tcPr>
            <w:tcW w:w="2694" w:type="dxa"/>
            <w:tcBorders>
              <w:bottom w:val="single" w:sz="4" w:space="0" w:color="auto"/>
            </w:tcBorders>
          </w:tcPr>
          <w:p w14:paraId="3F7DF297" w14:textId="77777777" w:rsidR="003E1F73" w:rsidRPr="003E1F73" w:rsidRDefault="003E1F73" w:rsidP="003E1F73">
            <w:pPr>
              <w:spacing w:before="60" w:after="60"/>
              <w:rPr>
                <w:rFonts w:eastAsia="Calibri" w:cs="Times New Roman"/>
              </w:rPr>
            </w:pPr>
            <w:r w:rsidRPr="003E1F73">
              <w:rPr>
                <w:rFonts w:eastAsia="Calibri" w:cs="Times New Roman"/>
              </w:rPr>
              <w:t>Revora</w:t>
            </w:r>
          </w:p>
        </w:tc>
        <w:tc>
          <w:tcPr>
            <w:tcW w:w="5000" w:type="dxa"/>
            <w:gridSpan w:val="3"/>
            <w:tcBorders>
              <w:bottom w:val="single" w:sz="4" w:space="0" w:color="auto"/>
            </w:tcBorders>
          </w:tcPr>
          <w:p w14:paraId="5DD05B1A" w14:textId="77777777" w:rsidR="003E1F73" w:rsidRPr="003E1F73" w:rsidRDefault="003E1F73" w:rsidP="003E1F73">
            <w:pPr>
              <w:spacing w:before="60" w:after="60"/>
              <w:rPr>
                <w:rFonts w:eastAsia="Calibri" w:cs="Times New Roman"/>
              </w:rPr>
            </w:pPr>
            <w:r w:rsidRPr="003E1F73">
              <w:rPr>
                <w:rFonts w:eastAsia="Calibri" w:cs="Times New Roman"/>
              </w:rPr>
              <w:t>Electric refrigerated truck body builder</w:t>
            </w:r>
          </w:p>
        </w:tc>
        <w:tc>
          <w:tcPr>
            <w:tcW w:w="2654" w:type="dxa"/>
            <w:tcBorders>
              <w:bottom w:val="single" w:sz="4" w:space="0" w:color="auto"/>
            </w:tcBorders>
            <w:shd w:val="clear" w:color="auto" w:fill="92D050"/>
            <w:vAlign w:val="center"/>
          </w:tcPr>
          <w:p w14:paraId="1D43E2E4"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506414A0"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Considers UN R138/01 strikes a good balance between making enough noise for pedestrians, while retaining the benefits of quieter vehicles</w:t>
            </w:r>
          </w:p>
          <w:p w14:paraId="2A782920"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AVAS should also apply to heavy vehicles. Notes the majority of trucks operate in urban environments and there is expected to be a significant increase in the number of electric trucks in the near future</w:t>
            </w:r>
          </w:p>
        </w:tc>
      </w:tr>
      <w:tr w:rsidR="003E1F73" w:rsidRPr="003E1F73" w14:paraId="451769DC" w14:textId="77777777" w:rsidTr="003C45B0">
        <w:tc>
          <w:tcPr>
            <w:tcW w:w="15388" w:type="dxa"/>
            <w:gridSpan w:val="6"/>
            <w:tcBorders>
              <w:top w:val="single" w:sz="4" w:space="0" w:color="auto"/>
              <w:bottom w:val="nil"/>
            </w:tcBorders>
          </w:tcPr>
          <w:p w14:paraId="311671C5" w14:textId="77777777" w:rsidR="003E1F73" w:rsidRPr="003E1F73" w:rsidRDefault="003E1F73">
            <w:pPr>
              <w:spacing w:before="60" w:after="60"/>
              <w:rPr>
                <w:rFonts w:eastAsia="Calibri" w:cs="Times New Roman"/>
                <w:b/>
              </w:rPr>
            </w:pPr>
            <w:r w:rsidRPr="35E123EC">
              <w:rPr>
                <w:rFonts w:eastAsia="Calibri" w:cs="Times New Roman"/>
                <w:b/>
              </w:rPr>
              <w:t>Blind and low vision and other community organisations</w:t>
            </w:r>
          </w:p>
        </w:tc>
      </w:tr>
      <w:tr w:rsidR="003E1F73" w:rsidRPr="003E1F73" w14:paraId="233B328E" w14:textId="77777777" w:rsidTr="003C45B0">
        <w:tc>
          <w:tcPr>
            <w:tcW w:w="2694" w:type="dxa"/>
            <w:tcBorders>
              <w:top w:val="nil"/>
            </w:tcBorders>
          </w:tcPr>
          <w:p w14:paraId="2E44E7DA" w14:textId="77777777" w:rsidR="003E1F73" w:rsidRPr="003E1F73" w:rsidRDefault="003E1F73" w:rsidP="003E1F73">
            <w:pPr>
              <w:spacing w:before="60" w:after="60"/>
              <w:rPr>
                <w:rFonts w:eastAsia="Calibri" w:cs="Times New Roman"/>
              </w:rPr>
            </w:pPr>
            <w:r w:rsidRPr="003E1F73">
              <w:rPr>
                <w:rFonts w:eastAsia="Calibri" w:cs="Times New Roman"/>
              </w:rPr>
              <w:t>Blind Citizens Australia</w:t>
            </w:r>
          </w:p>
        </w:tc>
        <w:tc>
          <w:tcPr>
            <w:tcW w:w="5000" w:type="dxa"/>
            <w:gridSpan w:val="3"/>
            <w:tcBorders>
              <w:top w:val="nil"/>
            </w:tcBorders>
          </w:tcPr>
          <w:p w14:paraId="247F6240" w14:textId="77777777" w:rsidR="003E1F73" w:rsidRPr="003E1F73" w:rsidRDefault="003E1F73" w:rsidP="003E1F73">
            <w:pPr>
              <w:spacing w:before="60" w:after="60"/>
              <w:rPr>
                <w:rFonts w:eastAsia="Calibri" w:cs="Times New Roman"/>
              </w:rPr>
            </w:pPr>
            <w:r w:rsidRPr="003E1F73">
              <w:rPr>
                <w:rFonts w:eastAsia="Calibri" w:cs="Times New Roman"/>
              </w:rPr>
              <w:t xml:space="preserve">Peak national representative organisation of and for the over 500,000 people in </w:t>
            </w:r>
            <w:r w:rsidRPr="003E1F73">
              <w:rPr>
                <w:rFonts w:eastAsia="Calibri" w:cs="Times New Roman"/>
              </w:rPr>
              <w:lastRenderedPageBreak/>
              <w:t>Australia who are blind or vision impaired</w:t>
            </w:r>
          </w:p>
        </w:tc>
        <w:tc>
          <w:tcPr>
            <w:tcW w:w="2654" w:type="dxa"/>
            <w:tcBorders>
              <w:top w:val="nil"/>
            </w:tcBorders>
            <w:shd w:val="clear" w:color="auto" w:fill="92D050"/>
            <w:vAlign w:val="center"/>
          </w:tcPr>
          <w:p w14:paraId="45E8F2BD" w14:textId="77777777" w:rsidR="003E1F73" w:rsidRPr="003E1F73" w:rsidRDefault="003E1F73" w:rsidP="003E1F73">
            <w:pPr>
              <w:spacing w:before="60" w:after="60"/>
              <w:jc w:val="center"/>
              <w:rPr>
                <w:rFonts w:eastAsia="Calibri" w:cs="Times New Roman"/>
              </w:rPr>
            </w:pPr>
            <w:r w:rsidRPr="003E1F73">
              <w:rPr>
                <w:rFonts w:eastAsia="Calibri" w:cs="Times New Roman"/>
              </w:rPr>
              <w:lastRenderedPageBreak/>
              <w:t>Support</w:t>
            </w:r>
          </w:p>
        </w:tc>
        <w:tc>
          <w:tcPr>
            <w:tcW w:w="5040" w:type="dxa"/>
            <w:tcBorders>
              <w:top w:val="nil"/>
            </w:tcBorders>
          </w:tcPr>
          <w:p w14:paraId="14B50D10"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t>Emphasises the wider social benefits of mandating AVAS, particularly for the blind and low vision community</w:t>
            </w:r>
          </w:p>
          <w:p w14:paraId="00C2CE79"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lastRenderedPageBreak/>
              <w:t>The increased weight of electric vehicles (because of batteries) makes them an even greater pedestrian safety risk</w:t>
            </w:r>
          </w:p>
          <w:p w14:paraId="4C779926"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t>AVAS should also apply to heavy electric vehicles</w:t>
            </w:r>
          </w:p>
        </w:tc>
      </w:tr>
      <w:tr w:rsidR="003E1F73" w:rsidRPr="003E1F73" w14:paraId="5F660E31" w14:textId="77777777" w:rsidTr="003C45B0">
        <w:tc>
          <w:tcPr>
            <w:tcW w:w="2694" w:type="dxa"/>
          </w:tcPr>
          <w:p w14:paraId="310F382B" w14:textId="77777777" w:rsidR="003E1F73" w:rsidRPr="003E1F73" w:rsidRDefault="003E1F73" w:rsidP="003E1F73">
            <w:pPr>
              <w:spacing w:before="60" w:after="60"/>
              <w:rPr>
                <w:rFonts w:eastAsia="Calibri" w:cs="Times New Roman"/>
              </w:rPr>
            </w:pPr>
            <w:r w:rsidRPr="003E1F73">
              <w:rPr>
                <w:rFonts w:eastAsia="Calibri" w:cs="Times New Roman"/>
              </w:rPr>
              <w:lastRenderedPageBreak/>
              <w:t>Vision 2020 Australia</w:t>
            </w:r>
          </w:p>
        </w:tc>
        <w:tc>
          <w:tcPr>
            <w:tcW w:w="5000" w:type="dxa"/>
            <w:gridSpan w:val="3"/>
          </w:tcPr>
          <w:p w14:paraId="2FEAA782" w14:textId="77777777" w:rsidR="003E1F73" w:rsidRPr="003E1F73" w:rsidRDefault="003E1F73" w:rsidP="003E1F73">
            <w:pPr>
              <w:spacing w:before="60" w:after="60"/>
              <w:rPr>
                <w:rFonts w:eastAsia="Calibri" w:cs="Times New Roman"/>
              </w:rPr>
            </w:pPr>
            <w:r w:rsidRPr="003E1F73">
              <w:rPr>
                <w:rFonts w:eastAsia="Calibri" w:cs="Times New Roman"/>
              </w:rPr>
              <w:t>Peak national body for the eye health and vision care sector, working with and representing almost 50 member organisations</w:t>
            </w:r>
          </w:p>
        </w:tc>
        <w:tc>
          <w:tcPr>
            <w:tcW w:w="2654" w:type="dxa"/>
            <w:shd w:val="clear" w:color="auto" w:fill="92D050"/>
            <w:vAlign w:val="center"/>
          </w:tcPr>
          <w:p w14:paraId="5828F08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35A1589E"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More than 500,000 people in Australia with vision loss</w:t>
            </w:r>
          </w:p>
          <w:p w14:paraId="09D187DC"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Mandating AVAS will help people with vision loss to maintain their independence</w:t>
            </w:r>
          </w:p>
          <w:p w14:paraId="4655A9F6"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AVAS should also apply to heavy electric vehicles, noting the risk of injury to pedestrians is greater</w:t>
            </w:r>
          </w:p>
        </w:tc>
      </w:tr>
      <w:tr w:rsidR="003E1F73" w:rsidRPr="003E1F73" w14:paraId="02A05DA4" w14:textId="77777777" w:rsidTr="003C45B0">
        <w:tc>
          <w:tcPr>
            <w:tcW w:w="2694" w:type="dxa"/>
          </w:tcPr>
          <w:p w14:paraId="693B671C" w14:textId="77777777" w:rsidR="003E1F73" w:rsidRPr="003E1F73" w:rsidRDefault="003E1F73" w:rsidP="003E1F73">
            <w:pPr>
              <w:spacing w:before="60" w:after="60"/>
              <w:rPr>
                <w:rFonts w:eastAsia="Calibri" w:cs="Times New Roman"/>
              </w:rPr>
            </w:pPr>
            <w:r w:rsidRPr="003E1F73">
              <w:rPr>
                <w:rFonts w:eastAsia="Calibri" w:cs="Times New Roman"/>
              </w:rPr>
              <w:t>Vision Australia</w:t>
            </w:r>
          </w:p>
        </w:tc>
        <w:tc>
          <w:tcPr>
            <w:tcW w:w="5000" w:type="dxa"/>
            <w:gridSpan w:val="3"/>
          </w:tcPr>
          <w:p w14:paraId="26EF79EF" w14:textId="77777777" w:rsidR="003E1F73" w:rsidRPr="003E1F73" w:rsidRDefault="003E1F73" w:rsidP="003E1F73">
            <w:pPr>
              <w:spacing w:before="60" w:after="60"/>
              <w:rPr>
                <w:rFonts w:eastAsia="Calibri" w:cs="Times New Roman"/>
              </w:rPr>
            </w:pPr>
            <w:r w:rsidRPr="003E1F73">
              <w:rPr>
                <w:rFonts w:eastAsia="Calibri" w:cs="Times New Roman"/>
              </w:rPr>
              <w:t>Leading national provider of blindness and low vision services. Vision Australia is a member of several government service and advisory bodies, including Vision 2020 Australia</w:t>
            </w:r>
          </w:p>
        </w:tc>
        <w:tc>
          <w:tcPr>
            <w:tcW w:w="2654" w:type="dxa"/>
            <w:shd w:val="clear" w:color="auto" w:fill="92D050"/>
            <w:vAlign w:val="center"/>
          </w:tcPr>
          <w:p w14:paraId="4C259AB8"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9AD56F7"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Long campaigned for mandating AVAS in Australia, noting the increase in electric vehicles will have a catastrophic impact on the safety of the blind and low vision community</w:t>
            </w:r>
          </w:p>
          <w:p w14:paraId="69EE1E90"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Timeframe for implementation should be brought forward (to 2024 to 2025)</w:t>
            </w:r>
          </w:p>
          <w:p w14:paraId="6F177C89"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AVAS should apply to heavy vehicles at the same time as light vehicles, otherwise the inconsistency could increase the safety risk for the blind and low vision community</w:t>
            </w:r>
          </w:p>
          <w:p w14:paraId="73118821"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Submission includes 130 additional responses from community members expressing support for AVAS</w:t>
            </w:r>
          </w:p>
        </w:tc>
      </w:tr>
      <w:tr w:rsidR="003E1F73" w:rsidRPr="003E1F73" w14:paraId="78DD9F4A" w14:textId="77777777" w:rsidTr="003C45B0">
        <w:tc>
          <w:tcPr>
            <w:tcW w:w="2694" w:type="dxa"/>
          </w:tcPr>
          <w:p w14:paraId="5D351599" w14:textId="77777777" w:rsidR="003E1F73" w:rsidRPr="003E1F73" w:rsidRDefault="003E1F73" w:rsidP="003E1F73">
            <w:pPr>
              <w:spacing w:before="60" w:after="60"/>
              <w:rPr>
                <w:rFonts w:eastAsia="Calibri" w:cs="Times New Roman"/>
              </w:rPr>
            </w:pPr>
            <w:r w:rsidRPr="003E1F73">
              <w:rPr>
                <w:rFonts w:eastAsia="Calibri" w:cs="Times New Roman"/>
              </w:rPr>
              <w:t>See Differently with the Royal Society for the Blind</w:t>
            </w:r>
          </w:p>
        </w:tc>
        <w:tc>
          <w:tcPr>
            <w:tcW w:w="5000" w:type="dxa"/>
            <w:gridSpan w:val="3"/>
          </w:tcPr>
          <w:p w14:paraId="588A7130" w14:textId="77777777" w:rsidR="003E1F73" w:rsidRPr="003E1F73" w:rsidRDefault="003E1F73" w:rsidP="003E1F73">
            <w:pPr>
              <w:spacing w:before="60" w:after="60"/>
              <w:rPr>
                <w:rFonts w:eastAsia="Calibri" w:cs="Times New Roman"/>
              </w:rPr>
            </w:pPr>
            <w:r w:rsidRPr="003E1F73">
              <w:rPr>
                <w:rFonts w:eastAsia="Calibri" w:cs="Times New Roman"/>
              </w:rPr>
              <w:t>South Australia’s primary low vision service provider, advocating for a client base of more than 7,000 people who are blind or vision impaired. Member of Vision 2020 Australia</w:t>
            </w:r>
          </w:p>
        </w:tc>
        <w:tc>
          <w:tcPr>
            <w:tcW w:w="2654" w:type="dxa"/>
            <w:shd w:val="clear" w:color="auto" w:fill="92D050"/>
            <w:vAlign w:val="center"/>
          </w:tcPr>
          <w:p w14:paraId="522530C7"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77CD232C" w14:textId="77777777" w:rsidR="003E1F73" w:rsidRPr="003E1F73" w:rsidRDefault="003E1F73" w:rsidP="00C20920">
            <w:pPr>
              <w:numPr>
                <w:ilvl w:val="0"/>
                <w:numId w:val="27"/>
              </w:numPr>
              <w:spacing w:before="60" w:after="60"/>
              <w:contextualSpacing/>
              <w:rPr>
                <w:rFonts w:eastAsia="Calibri" w:cs="Times New Roman"/>
              </w:rPr>
            </w:pPr>
            <w:r w:rsidRPr="003E1F73">
              <w:rPr>
                <w:rFonts w:eastAsia="Calibri" w:cs="Times New Roman"/>
              </w:rPr>
              <w:t>Without AVAS, the safety risk to people living with blindness or low vision will continue to increase</w:t>
            </w:r>
          </w:p>
          <w:p w14:paraId="13CB49DF" w14:textId="77777777" w:rsidR="003E1F73" w:rsidRPr="003E1F73" w:rsidRDefault="003E1F73" w:rsidP="00C20920">
            <w:pPr>
              <w:numPr>
                <w:ilvl w:val="0"/>
                <w:numId w:val="27"/>
              </w:numPr>
              <w:spacing w:before="60" w:after="60"/>
              <w:contextualSpacing/>
              <w:rPr>
                <w:rFonts w:eastAsia="Calibri" w:cs="Times New Roman"/>
              </w:rPr>
            </w:pPr>
            <w:r w:rsidRPr="003E1F73">
              <w:rPr>
                <w:rFonts w:eastAsia="Calibri" w:cs="Times New Roman"/>
              </w:rPr>
              <w:t>Mandating AVAS aligns with Australia’s commitments under the UN Convention of the Rights of Persons with Disabilities</w:t>
            </w:r>
          </w:p>
        </w:tc>
      </w:tr>
      <w:tr w:rsidR="003E1F73" w:rsidRPr="003E1F73" w14:paraId="12CC1960" w14:textId="77777777" w:rsidTr="003C45B0">
        <w:tc>
          <w:tcPr>
            <w:tcW w:w="2694" w:type="dxa"/>
            <w:tcBorders>
              <w:bottom w:val="single" w:sz="4" w:space="0" w:color="auto"/>
            </w:tcBorders>
          </w:tcPr>
          <w:p w14:paraId="6934CB52" w14:textId="77777777" w:rsidR="003E1F73" w:rsidRPr="003E1F73" w:rsidRDefault="003E1F73" w:rsidP="003E1F73">
            <w:pPr>
              <w:spacing w:before="60" w:after="60"/>
              <w:rPr>
                <w:rFonts w:eastAsia="Calibri" w:cs="Times New Roman"/>
              </w:rPr>
            </w:pPr>
            <w:r w:rsidRPr="003E1F73">
              <w:rPr>
                <w:rFonts w:eastAsia="Calibri" w:cs="Times New Roman"/>
              </w:rPr>
              <w:lastRenderedPageBreak/>
              <w:t>Youth Empowering Peers (YEP) Group, Association for Children with Disability Tasmania (ACD Tas)</w:t>
            </w:r>
          </w:p>
        </w:tc>
        <w:tc>
          <w:tcPr>
            <w:tcW w:w="5000" w:type="dxa"/>
            <w:gridSpan w:val="3"/>
            <w:tcBorders>
              <w:bottom w:val="single" w:sz="4" w:space="0" w:color="auto"/>
            </w:tcBorders>
          </w:tcPr>
          <w:p w14:paraId="2969094B" w14:textId="77777777" w:rsidR="003E1F73" w:rsidRPr="003E1F73" w:rsidRDefault="003E1F73" w:rsidP="003E1F73">
            <w:pPr>
              <w:spacing w:before="60" w:after="60"/>
              <w:rPr>
                <w:rFonts w:eastAsia="Calibri" w:cs="Times New Roman"/>
              </w:rPr>
            </w:pPr>
            <w:r w:rsidRPr="003E1F73">
              <w:rPr>
                <w:rFonts w:eastAsia="Calibri" w:cs="Times New Roman"/>
              </w:rPr>
              <w:t>A disability specialist family organisation</w:t>
            </w:r>
          </w:p>
        </w:tc>
        <w:tc>
          <w:tcPr>
            <w:tcW w:w="2654" w:type="dxa"/>
            <w:tcBorders>
              <w:bottom w:val="single" w:sz="4" w:space="0" w:color="auto"/>
            </w:tcBorders>
            <w:shd w:val="clear" w:color="auto" w:fill="92D050"/>
            <w:vAlign w:val="center"/>
          </w:tcPr>
          <w:p w14:paraId="3D96496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498BC9DE"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Supports mandating AVAS in principle, but suggests the type of sound used should be considerate of people who may be triggered by/sensitive to sound</w:t>
            </w:r>
          </w:p>
        </w:tc>
      </w:tr>
      <w:tr w:rsidR="003E1F73" w:rsidRPr="003E1F73" w14:paraId="1270DBC8" w14:textId="77777777" w:rsidTr="003C45B0">
        <w:tc>
          <w:tcPr>
            <w:tcW w:w="15388" w:type="dxa"/>
            <w:gridSpan w:val="6"/>
            <w:tcBorders>
              <w:top w:val="single" w:sz="4" w:space="0" w:color="auto"/>
              <w:bottom w:val="nil"/>
            </w:tcBorders>
          </w:tcPr>
          <w:p w14:paraId="3AF6358B" w14:textId="77777777" w:rsidR="003E1F73" w:rsidRPr="003E1F73" w:rsidRDefault="003E1F73">
            <w:pPr>
              <w:spacing w:before="60" w:after="60"/>
              <w:rPr>
                <w:rFonts w:eastAsia="Calibri" w:cs="Times New Roman"/>
                <w:b/>
              </w:rPr>
            </w:pPr>
            <w:r w:rsidRPr="35E123EC">
              <w:rPr>
                <w:rFonts w:eastAsia="Calibri" w:cs="Times New Roman"/>
                <w:b/>
              </w:rPr>
              <w:t>Motoring organisations</w:t>
            </w:r>
          </w:p>
        </w:tc>
      </w:tr>
      <w:tr w:rsidR="003E1F73" w:rsidRPr="003E1F73" w14:paraId="112836D4" w14:textId="77777777" w:rsidTr="003C45B0">
        <w:tc>
          <w:tcPr>
            <w:tcW w:w="2694" w:type="dxa"/>
            <w:tcBorders>
              <w:top w:val="nil"/>
              <w:bottom w:val="single" w:sz="4" w:space="0" w:color="auto"/>
            </w:tcBorders>
          </w:tcPr>
          <w:p w14:paraId="0EAC49AC" w14:textId="77777777" w:rsidR="003E1F73" w:rsidRPr="003E1F73" w:rsidRDefault="003E1F73" w:rsidP="003E1F73">
            <w:pPr>
              <w:spacing w:before="60" w:after="60"/>
              <w:rPr>
                <w:rFonts w:eastAsia="Calibri" w:cs="Times New Roman"/>
              </w:rPr>
            </w:pPr>
            <w:r w:rsidRPr="003E1F73">
              <w:rPr>
                <w:rFonts w:eastAsia="Calibri" w:cs="Times New Roman"/>
              </w:rPr>
              <w:t>Australian Automobile Association</w:t>
            </w:r>
          </w:p>
        </w:tc>
        <w:tc>
          <w:tcPr>
            <w:tcW w:w="5000" w:type="dxa"/>
            <w:gridSpan w:val="3"/>
            <w:tcBorders>
              <w:top w:val="nil"/>
              <w:bottom w:val="single" w:sz="4" w:space="0" w:color="auto"/>
            </w:tcBorders>
          </w:tcPr>
          <w:p w14:paraId="0292FFF0" w14:textId="77777777" w:rsidR="003E1F73" w:rsidRPr="003E1F73" w:rsidRDefault="003E1F73" w:rsidP="003E1F73">
            <w:pPr>
              <w:spacing w:before="60" w:after="60"/>
              <w:rPr>
                <w:rFonts w:eastAsia="Calibri" w:cs="Times New Roman"/>
              </w:rPr>
            </w:pPr>
            <w:r w:rsidRPr="003E1F73">
              <w:rPr>
                <w:rFonts w:eastAsia="Calibri" w:cs="Times New Roman"/>
              </w:rPr>
              <w:t>Peak organisation representing Australia’s motoring clubs</w:t>
            </w:r>
          </w:p>
        </w:tc>
        <w:tc>
          <w:tcPr>
            <w:tcW w:w="2654" w:type="dxa"/>
            <w:tcBorders>
              <w:top w:val="nil"/>
              <w:bottom w:val="single" w:sz="4" w:space="0" w:color="auto"/>
            </w:tcBorders>
            <w:shd w:val="clear" w:color="auto" w:fill="92D050"/>
            <w:vAlign w:val="center"/>
          </w:tcPr>
          <w:p w14:paraId="5C71535B"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bottom w:val="single" w:sz="4" w:space="0" w:color="auto"/>
            </w:tcBorders>
          </w:tcPr>
          <w:p w14:paraId="0297BA9B"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Supports the proposed implementation timeframe of 2025 to 2026</w:t>
            </w:r>
          </w:p>
          <w:p w14:paraId="11DE900C"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AVAS should be mandated for heavy vehicles, following further industry consultation</w:t>
            </w:r>
          </w:p>
          <w:p w14:paraId="2248D7A2" w14:textId="77777777" w:rsidR="003E1F73" w:rsidRPr="003E1F73" w:rsidRDefault="003E1F73" w:rsidP="003E1F73">
            <w:pPr>
              <w:spacing w:before="60" w:after="60"/>
              <w:rPr>
                <w:rFonts w:eastAsia="Calibri" w:cs="Times New Roman"/>
              </w:rPr>
            </w:pPr>
          </w:p>
          <w:p w14:paraId="5F851FF7" w14:textId="77777777" w:rsidR="003E1F73" w:rsidRPr="003E1F73" w:rsidRDefault="003E1F73" w:rsidP="003E1F73">
            <w:pPr>
              <w:spacing w:before="60" w:after="60"/>
              <w:rPr>
                <w:rFonts w:eastAsia="Calibri" w:cs="Times New Roman"/>
              </w:rPr>
            </w:pPr>
          </w:p>
        </w:tc>
      </w:tr>
      <w:tr w:rsidR="003E1F73" w:rsidRPr="003E1F73" w14:paraId="0500C30A" w14:textId="77777777" w:rsidTr="008163A2">
        <w:trPr>
          <w:cantSplit/>
        </w:trPr>
        <w:tc>
          <w:tcPr>
            <w:tcW w:w="15388" w:type="dxa"/>
            <w:gridSpan w:val="6"/>
            <w:tcBorders>
              <w:top w:val="single" w:sz="4" w:space="0" w:color="auto"/>
              <w:bottom w:val="nil"/>
            </w:tcBorders>
          </w:tcPr>
          <w:p w14:paraId="4ECC0C4D" w14:textId="77777777" w:rsidR="003E1F73" w:rsidRPr="003E1F73" w:rsidRDefault="003E1F73">
            <w:pPr>
              <w:spacing w:before="60" w:after="60"/>
              <w:rPr>
                <w:rFonts w:eastAsia="Calibri" w:cs="Times New Roman"/>
                <w:b/>
              </w:rPr>
            </w:pPr>
            <w:r w:rsidRPr="35E123EC">
              <w:rPr>
                <w:rFonts w:eastAsia="Calibri" w:cs="Times New Roman"/>
                <w:b/>
              </w:rPr>
              <w:t>Road and vehicle safety organisations</w:t>
            </w:r>
          </w:p>
        </w:tc>
      </w:tr>
      <w:tr w:rsidR="003E1F73" w:rsidRPr="003E1F73" w14:paraId="5BC0625E" w14:textId="77777777" w:rsidTr="003C45B0">
        <w:tc>
          <w:tcPr>
            <w:tcW w:w="2694" w:type="dxa"/>
            <w:tcBorders>
              <w:top w:val="nil"/>
            </w:tcBorders>
          </w:tcPr>
          <w:p w14:paraId="0946FAAD" w14:textId="77777777" w:rsidR="003E1F73" w:rsidRPr="003E1F73" w:rsidRDefault="003E1F73" w:rsidP="003E1F73">
            <w:pPr>
              <w:spacing w:before="60" w:after="60"/>
              <w:rPr>
                <w:rFonts w:eastAsia="Calibri" w:cs="Times New Roman"/>
              </w:rPr>
            </w:pPr>
            <w:r w:rsidRPr="003E1F73">
              <w:rPr>
                <w:rFonts w:eastAsia="Calibri" w:cs="Times New Roman"/>
              </w:rPr>
              <w:t>Australasian New Car Assessment Program (ANCAP)</w:t>
            </w:r>
          </w:p>
        </w:tc>
        <w:tc>
          <w:tcPr>
            <w:tcW w:w="5000" w:type="dxa"/>
            <w:gridSpan w:val="3"/>
            <w:tcBorders>
              <w:top w:val="nil"/>
            </w:tcBorders>
          </w:tcPr>
          <w:p w14:paraId="030B807D" w14:textId="77777777" w:rsidR="003E1F73" w:rsidRPr="003E1F73" w:rsidRDefault="003E1F73" w:rsidP="003E1F73">
            <w:pPr>
              <w:spacing w:before="60" w:after="60"/>
              <w:rPr>
                <w:rFonts w:eastAsia="Calibri" w:cs="Times New Roman"/>
              </w:rPr>
            </w:pPr>
            <w:r w:rsidRPr="003E1F73">
              <w:rPr>
                <w:rFonts w:eastAsia="Calibri" w:cs="Times New Roman"/>
              </w:rPr>
              <w:t>Australia and New Zealand's independent voice on vehicle safety. ANCAP crash tests cars and conducts performance assessments on safety features and technologies</w:t>
            </w:r>
          </w:p>
        </w:tc>
        <w:tc>
          <w:tcPr>
            <w:tcW w:w="2654" w:type="dxa"/>
            <w:tcBorders>
              <w:top w:val="nil"/>
            </w:tcBorders>
            <w:shd w:val="clear" w:color="auto" w:fill="92D050"/>
            <w:vAlign w:val="center"/>
          </w:tcPr>
          <w:p w14:paraId="6B4CF361"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0221C462" w14:textId="77777777" w:rsidR="003E1F73" w:rsidRPr="003E1F73" w:rsidRDefault="003E1F73" w:rsidP="00C20920">
            <w:pPr>
              <w:numPr>
                <w:ilvl w:val="0"/>
                <w:numId w:val="30"/>
              </w:numPr>
              <w:spacing w:before="60" w:after="60"/>
              <w:contextualSpacing/>
              <w:rPr>
                <w:rFonts w:eastAsia="Calibri" w:cs="Times New Roman"/>
              </w:rPr>
            </w:pPr>
            <w:r w:rsidRPr="003E1F73">
              <w:rPr>
                <w:rFonts w:eastAsia="Calibri" w:cs="Times New Roman"/>
              </w:rPr>
              <w:t>Supports the proposed implementation timeframe of 2025 to 2026, noting manufacturers are unlikely to have difficulty implementing AVAS given its widespread adoption overseas</w:t>
            </w:r>
          </w:p>
          <w:p w14:paraId="64779C9F" w14:textId="77777777" w:rsidR="003E1F73" w:rsidRPr="003E1F73" w:rsidRDefault="003E1F73" w:rsidP="00C20920">
            <w:pPr>
              <w:numPr>
                <w:ilvl w:val="0"/>
                <w:numId w:val="30"/>
              </w:numPr>
              <w:spacing w:before="60" w:after="60"/>
              <w:contextualSpacing/>
              <w:rPr>
                <w:rFonts w:eastAsia="Calibri" w:cs="Times New Roman"/>
              </w:rPr>
            </w:pPr>
            <w:r w:rsidRPr="003E1F73">
              <w:rPr>
                <w:rFonts w:eastAsia="Calibri" w:cs="Times New Roman"/>
              </w:rPr>
              <w:t>Pedestrians in Australia may be at greater risk of injury from low speed impacts than pedestrians in other markets, as Australia has not implemented the international standard for pedestrian impact protection</w:t>
            </w:r>
          </w:p>
        </w:tc>
      </w:tr>
      <w:tr w:rsidR="003E1F73" w:rsidRPr="003E1F73" w14:paraId="08CD44CE" w14:textId="77777777" w:rsidTr="003C45B0">
        <w:tc>
          <w:tcPr>
            <w:tcW w:w="2694" w:type="dxa"/>
          </w:tcPr>
          <w:p w14:paraId="7E8AA27C" w14:textId="77777777" w:rsidR="003E1F73" w:rsidRPr="003E1F73" w:rsidRDefault="003E1F73" w:rsidP="003E1F73">
            <w:pPr>
              <w:spacing w:before="60" w:after="60"/>
              <w:rPr>
                <w:rFonts w:eastAsia="Calibri" w:cs="Times New Roman"/>
              </w:rPr>
            </w:pPr>
            <w:r w:rsidRPr="003E1F73">
              <w:rPr>
                <w:rFonts w:eastAsia="Calibri" w:cs="Times New Roman"/>
              </w:rPr>
              <w:t>Australasian College of Road Safety</w:t>
            </w:r>
          </w:p>
        </w:tc>
        <w:tc>
          <w:tcPr>
            <w:tcW w:w="5000" w:type="dxa"/>
            <w:gridSpan w:val="3"/>
          </w:tcPr>
          <w:p w14:paraId="2788764B" w14:textId="77777777" w:rsidR="003E1F73" w:rsidRPr="003E1F73" w:rsidRDefault="003E1F73" w:rsidP="003E1F73">
            <w:pPr>
              <w:spacing w:before="60" w:after="60"/>
              <w:rPr>
                <w:rFonts w:eastAsia="Calibri" w:cs="Times New Roman"/>
              </w:rPr>
            </w:pPr>
            <w:r w:rsidRPr="003E1F73">
              <w:rPr>
                <w:rFonts w:eastAsia="Calibri" w:cs="Times New Roman"/>
              </w:rPr>
              <w:t>The Australasian region’s peak membership association for road safety with a vision of eliminating death and serious injury on the road</w:t>
            </w:r>
          </w:p>
        </w:tc>
        <w:tc>
          <w:tcPr>
            <w:tcW w:w="2654" w:type="dxa"/>
            <w:shd w:val="clear" w:color="auto" w:fill="92D050"/>
            <w:vAlign w:val="center"/>
          </w:tcPr>
          <w:p w14:paraId="392EEFD7"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8B3E7B7"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AVAS should also be mandated for heavy vehicles. Australian statistics show pedestrians are too often the casualty in crashes with heavy vehicles, particularly heavy rigid trucks</w:t>
            </w:r>
          </w:p>
        </w:tc>
      </w:tr>
      <w:tr w:rsidR="003E1F73" w:rsidRPr="003E1F73" w14:paraId="6BE92723" w14:textId="77777777" w:rsidTr="003C45B0">
        <w:tc>
          <w:tcPr>
            <w:tcW w:w="2694" w:type="dxa"/>
            <w:tcBorders>
              <w:bottom w:val="single" w:sz="4" w:space="0" w:color="auto"/>
            </w:tcBorders>
          </w:tcPr>
          <w:p w14:paraId="45D546D6" w14:textId="77777777" w:rsidR="003E1F73" w:rsidRPr="003E1F73" w:rsidRDefault="003E1F73" w:rsidP="003E1F73">
            <w:pPr>
              <w:spacing w:before="60" w:after="60"/>
              <w:rPr>
                <w:rFonts w:eastAsia="Calibri" w:cs="Times New Roman"/>
              </w:rPr>
            </w:pPr>
            <w:r w:rsidRPr="003E1F73">
              <w:rPr>
                <w:rFonts w:eastAsia="Calibri" w:cs="Times New Roman"/>
              </w:rPr>
              <w:t>Monash University Accident Research Centre (MUARC)</w:t>
            </w:r>
          </w:p>
        </w:tc>
        <w:tc>
          <w:tcPr>
            <w:tcW w:w="5000" w:type="dxa"/>
            <w:gridSpan w:val="3"/>
            <w:tcBorders>
              <w:bottom w:val="single" w:sz="4" w:space="0" w:color="auto"/>
            </w:tcBorders>
          </w:tcPr>
          <w:p w14:paraId="220B5BD5" w14:textId="77777777" w:rsidR="003E1F73" w:rsidRPr="003E1F73" w:rsidRDefault="003E1F73" w:rsidP="003E1F73">
            <w:pPr>
              <w:spacing w:before="60" w:after="60"/>
              <w:rPr>
                <w:rFonts w:eastAsia="Calibri" w:cs="Times New Roman"/>
              </w:rPr>
            </w:pPr>
            <w:r w:rsidRPr="003E1F73">
              <w:rPr>
                <w:rFonts w:eastAsia="Calibri" w:cs="Times New Roman"/>
              </w:rPr>
              <w:t>Australia’s largest accident and injury prevention research organisation</w:t>
            </w:r>
          </w:p>
        </w:tc>
        <w:tc>
          <w:tcPr>
            <w:tcW w:w="2654" w:type="dxa"/>
            <w:tcBorders>
              <w:bottom w:val="single" w:sz="4" w:space="0" w:color="auto"/>
            </w:tcBorders>
            <w:shd w:val="clear" w:color="auto" w:fill="92D050"/>
            <w:vAlign w:val="center"/>
          </w:tcPr>
          <w:p w14:paraId="28CEB6EC"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1D4C4C96"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Considers the fitment costs used in the Impact Analysis are overestimated, and the serious injury costs significantly underestimated. Provides data to support this</w:t>
            </w:r>
          </w:p>
          <w:p w14:paraId="1322C999"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lastRenderedPageBreak/>
              <w:t>AVAS should also apply to heavy vehicles, noting the higher bonnet height and geometry profile of larger vehicles create greater risk for pedestrians</w:t>
            </w:r>
          </w:p>
          <w:p w14:paraId="389CA16A"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The safety risk from electric vehicles impacts all pedestrians and cyclists, not just those with vision impairment</w:t>
            </w:r>
          </w:p>
        </w:tc>
      </w:tr>
      <w:tr w:rsidR="003E1F73" w:rsidRPr="003E1F73" w14:paraId="18D9C566" w14:textId="77777777" w:rsidTr="003C45B0">
        <w:tc>
          <w:tcPr>
            <w:tcW w:w="15388" w:type="dxa"/>
            <w:gridSpan w:val="6"/>
            <w:tcBorders>
              <w:top w:val="single" w:sz="4" w:space="0" w:color="auto"/>
              <w:bottom w:val="nil"/>
            </w:tcBorders>
          </w:tcPr>
          <w:p w14:paraId="6A8F5C6E" w14:textId="77777777" w:rsidR="003E1F73" w:rsidRPr="003E1F73" w:rsidRDefault="003E1F73">
            <w:pPr>
              <w:spacing w:before="60" w:after="60"/>
              <w:rPr>
                <w:rFonts w:eastAsia="Calibri" w:cs="Times New Roman"/>
                <w:b/>
              </w:rPr>
            </w:pPr>
            <w:r w:rsidRPr="35E123EC">
              <w:rPr>
                <w:rFonts w:eastAsia="Calibri" w:cs="Times New Roman"/>
                <w:b/>
              </w:rPr>
              <w:lastRenderedPageBreak/>
              <w:t>Other</w:t>
            </w:r>
          </w:p>
        </w:tc>
      </w:tr>
      <w:tr w:rsidR="003E1F73" w:rsidRPr="003E1F73" w14:paraId="293EDCE2" w14:textId="77777777" w:rsidTr="003C45B0">
        <w:tc>
          <w:tcPr>
            <w:tcW w:w="2694" w:type="dxa"/>
            <w:tcBorders>
              <w:top w:val="nil"/>
            </w:tcBorders>
          </w:tcPr>
          <w:p w14:paraId="7576A0EF" w14:textId="77777777" w:rsidR="003E1F73" w:rsidRPr="003E1F73" w:rsidRDefault="003E1F73" w:rsidP="003E1F73">
            <w:pPr>
              <w:spacing w:before="60" w:after="60"/>
              <w:rPr>
                <w:rFonts w:eastAsia="Calibri" w:cs="Times New Roman"/>
              </w:rPr>
            </w:pPr>
            <w:r w:rsidRPr="003E1F73">
              <w:rPr>
                <w:rFonts w:eastAsia="Calibri" w:cs="Times New Roman"/>
              </w:rPr>
              <w:t>Victoria Walks</w:t>
            </w:r>
          </w:p>
        </w:tc>
        <w:tc>
          <w:tcPr>
            <w:tcW w:w="5000" w:type="dxa"/>
            <w:gridSpan w:val="3"/>
            <w:tcBorders>
              <w:top w:val="nil"/>
            </w:tcBorders>
          </w:tcPr>
          <w:p w14:paraId="6308EA95" w14:textId="77777777" w:rsidR="003E1F73" w:rsidRPr="003E1F73" w:rsidRDefault="003E1F73" w:rsidP="003E1F73">
            <w:pPr>
              <w:spacing w:before="60" w:after="60"/>
              <w:rPr>
                <w:rFonts w:eastAsia="Calibri" w:cs="Times New Roman"/>
              </w:rPr>
            </w:pPr>
            <w:r w:rsidRPr="003E1F73">
              <w:rPr>
                <w:rFonts w:eastAsia="Calibri" w:cs="Times New Roman"/>
              </w:rPr>
              <w:t>A walking health promotion body primarily funded by VicHealth and other state and local government organisations to get more people walking every day</w:t>
            </w:r>
          </w:p>
        </w:tc>
        <w:tc>
          <w:tcPr>
            <w:tcW w:w="2654" w:type="dxa"/>
            <w:tcBorders>
              <w:top w:val="nil"/>
            </w:tcBorders>
            <w:shd w:val="clear" w:color="auto" w:fill="92D050"/>
            <w:vAlign w:val="center"/>
          </w:tcPr>
          <w:p w14:paraId="681C3669"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1D6043A5" w14:textId="77777777" w:rsidR="003E1F73" w:rsidRPr="003E1F73" w:rsidRDefault="003E1F73" w:rsidP="00C20920">
            <w:pPr>
              <w:numPr>
                <w:ilvl w:val="0"/>
                <w:numId w:val="32"/>
              </w:numPr>
              <w:spacing w:before="60" w:after="60"/>
              <w:contextualSpacing/>
              <w:rPr>
                <w:rFonts w:eastAsia="Calibri" w:cs="Times New Roman"/>
              </w:rPr>
            </w:pPr>
            <w:r w:rsidRPr="003E1F73">
              <w:rPr>
                <w:rFonts w:eastAsia="Calibri" w:cs="Times New Roman"/>
              </w:rPr>
              <w:t>Mandating AVAS will have safety benefits for all pedestrians, particularly the blind and low vision community. For blind and vision impaired people, the ability to walk safely is fundamental to their capacity to participate in society and live productive lives</w:t>
            </w:r>
          </w:p>
          <w:p w14:paraId="110FE131" w14:textId="77777777" w:rsidR="003E1F73" w:rsidRPr="003E1F73" w:rsidRDefault="003E1F73" w:rsidP="00C20920">
            <w:pPr>
              <w:numPr>
                <w:ilvl w:val="0"/>
                <w:numId w:val="32"/>
              </w:numPr>
              <w:spacing w:before="60" w:after="60"/>
              <w:contextualSpacing/>
              <w:rPr>
                <w:rFonts w:eastAsia="Calibri" w:cs="Times New Roman"/>
              </w:rPr>
            </w:pPr>
            <w:r w:rsidRPr="003E1F73">
              <w:rPr>
                <w:rFonts w:eastAsia="Calibri" w:cs="Times New Roman"/>
              </w:rPr>
              <w:t>AVAS should apply to heavy vehicle as well, given the greater size and weight of heavy vehicles make them more lethal if they hit someone walking, even at low speed</w:t>
            </w:r>
          </w:p>
        </w:tc>
      </w:tr>
      <w:tr w:rsidR="003E1F73" w:rsidRPr="003E1F73" w14:paraId="14AB6202" w14:textId="77777777" w:rsidTr="003C45B0">
        <w:tc>
          <w:tcPr>
            <w:tcW w:w="2694" w:type="dxa"/>
          </w:tcPr>
          <w:p w14:paraId="6BAC99E6" w14:textId="77777777" w:rsidR="003E1F73" w:rsidRPr="003E1F73" w:rsidRDefault="003E1F73" w:rsidP="003E1F73">
            <w:pPr>
              <w:spacing w:before="60" w:after="60"/>
              <w:rPr>
                <w:rFonts w:eastAsia="Calibri" w:cs="Times New Roman"/>
              </w:rPr>
            </w:pPr>
            <w:r w:rsidRPr="003E1F73">
              <w:rPr>
                <w:rFonts w:eastAsia="Calibri" w:cs="Times New Roman"/>
              </w:rPr>
              <w:t>Future Smart Strategies</w:t>
            </w:r>
          </w:p>
        </w:tc>
        <w:tc>
          <w:tcPr>
            <w:tcW w:w="5000" w:type="dxa"/>
            <w:gridSpan w:val="3"/>
          </w:tcPr>
          <w:p w14:paraId="5798F78D" w14:textId="77777777" w:rsidR="003E1F73" w:rsidRPr="003E1F73" w:rsidRDefault="003E1F73" w:rsidP="003E1F73">
            <w:pPr>
              <w:spacing w:before="60" w:after="60"/>
              <w:rPr>
                <w:rFonts w:eastAsia="Calibri" w:cs="Times New Roman"/>
              </w:rPr>
            </w:pPr>
            <w:r w:rsidRPr="003E1F73">
              <w:rPr>
                <w:rFonts w:eastAsia="Calibri" w:cs="Times New Roman"/>
              </w:rPr>
              <w:t>Offers strategic advice on business-to-business relations, business innovation, advocacy and sustainability</w:t>
            </w:r>
          </w:p>
        </w:tc>
        <w:tc>
          <w:tcPr>
            <w:tcW w:w="2654" w:type="dxa"/>
            <w:shd w:val="clear" w:color="auto" w:fill="FF8B8B"/>
            <w:vAlign w:val="center"/>
          </w:tcPr>
          <w:p w14:paraId="225DC4C0" w14:textId="77777777" w:rsidR="003E1F73" w:rsidRPr="003E1F73" w:rsidRDefault="003E1F73" w:rsidP="003E1F73">
            <w:pPr>
              <w:spacing w:before="60" w:after="60"/>
              <w:jc w:val="center"/>
              <w:rPr>
                <w:rFonts w:eastAsia="Calibri" w:cs="Times New Roman"/>
              </w:rPr>
            </w:pPr>
            <w:r w:rsidRPr="003E1F73">
              <w:rPr>
                <w:rFonts w:eastAsia="Calibri" w:cs="Times New Roman"/>
              </w:rPr>
              <w:t>Not Support</w:t>
            </w:r>
          </w:p>
        </w:tc>
        <w:tc>
          <w:tcPr>
            <w:tcW w:w="5040" w:type="dxa"/>
          </w:tcPr>
          <w:p w14:paraId="0251BC24" w14:textId="77777777" w:rsidR="003E1F73" w:rsidRPr="003E1F73" w:rsidRDefault="003E1F73" w:rsidP="00C20920">
            <w:pPr>
              <w:numPr>
                <w:ilvl w:val="0"/>
                <w:numId w:val="36"/>
              </w:numPr>
              <w:spacing w:before="60" w:after="60"/>
              <w:contextualSpacing/>
              <w:rPr>
                <w:rFonts w:eastAsia="Calibri" w:cs="Times New Roman"/>
              </w:rPr>
            </w:pPr>
            <w:r w:rsidRPr="003E1F73">
              <w:rPr>
                <w:rFonts w:eastAsia="Calibri" w:cs="Times New Roman"/>
              </w:rPr>
              <w:t>Considers a better way to prevent pedestrian collisions is through mandating driver assist systems</w:t>
            </w:r>
          </w:p>
        </w:tc>
      </w:tr>
      <w:tr w:rsidR="003E1F73" w:rsidRPr="003E1F73" w14:paraId="403B5D16" w14:textId="77777777" w:rsidTr="003C45B0">
        <w:tc>
          <w:tcPr>
            <w:tcW w:w="15388" w:type="dxa"/>
            <w:gridSpan w:val="6"/>
            <w:shd w:val="clear" w:color="auto" w:fill="4472C4" w:themeFill="accent5"/>
          </w:tcPr>
          <w:p w14:paraId="0DDBB1A9" w14:textId="77777777" w:rsidR="003E1F73" w:rsidRPr="003E1F73" w:rsidRDefault="003E1F73">
            <w:pPr>
              <w:spacing w:before="60" w:after="60"/>
              <w:rPr>
                <w:rFonts w:eastAsia="Calibri" w:cs="Times New Roman"/>
                <w:b/>
              </w:rPr>
            </w:pPr>
            <w:r w:rsidRPr="35E123EC">
              <w:rPr>
                <w:rFonts w:eastAsia="Calibri" w:cs="Times New Roman"/>
                <w:b/>
                <w:color w:val="FFFFFF"/>
              </w:rPr>
              <w:t>Governments</w:t>
            </w:r>
          </w:p>
        </w:tc>
      </w:tr>
      <w:tr w:rsidR="003E1F73" w:rsidRPr="003E1F73" w14:paraId="7229FB37" w14:textId="77777777" w:rsidTr="003C45B0">
        <w:tc>
          <w:tcPr>
            <w:tcW w:w="5129" w:type="dxa"/>
            <w:gridSpan w:val="2"/>
            <w:shd w:val="clear" w:color="auto" w:fill="B4C6E7" w:themeFill="accent5" w:themeFillTint="66"/>
          </w:tcPr>
          <w:p w14:paraId="406EF3C7" w14:textId="77777777" w:rsidR="003E1F73" w:rsidRPr="003E1F73" w:rsidRDefault="003E1F73" w:rsidP="003E1F73">
            <w:pPr>
              <w:spacing w:before="60" w:after="60"/>
              <w:rPr>
                <w:rFonts w:eastAsia="Calibri" w:cs="Times New Roman"/>
              </w:rPr>
            </w:pPr>
            <w:r w:rsidRPr="003E1F73">
              <w:rPr>
                <w:rFonts w:eastAsia="Calibri" w:cs="Times New Roman"/>
              </w:rPr>
              <w:t>State or Territory / Local Government</w:t>
            </w:r>
          </w:p>
        </w:tc>
        <w:tc>
          <w:tcPr>
            <w:tcW w:w="2384" w:type="dxa"/>
            <w:shd w:val="clear" w:color="auto" w:fill="B4C6E7" w:themeFill="accent5" w:themeFillTint="66"/>
          </w:tcPr>
          <w:p w14:paraId="7B8AEA83" w14:textId="77777777" w:rsidR="003E1F73" w:rsidRPr="003E1F73" w:rsidRDefault="003E1F73" w:rsidP="003E1F73">
            <w:pPr>
              <w:spacing w:before="60" w:after="60"/>
              <w:rPr>
                <w:rFonts w:eastAsia="Calibri" w:cs="Times New Roman"/>
              </w:rPr>
            </w:pPr>
            <w:r w:rsidRPr="003E1F73">
              <w:rPr>
                <w:rFonts w:eastAsia="Calibri" w:cs="Times New Roman"/>
              </w:rPr>
              <w:t>Support / Not Support</w:t>
            </w:r>
          </w:p>
        </w:tc>
        <w:tc>
          <w:tcPr>
            <w:tcW w:w="7875" w:type="dxa"/>
            <w:gridSpan w:val="3"/>
            <w:shd w:val="clear" w:color="auto" w:fill="B4C6E7" w:themeFill="accent5" w:themeFillTint="66"/>
          </w:tcPr>
          <w:p w14:paraId="1B539FE6" w14:textId="77777777" w:rsidR="003E1F73" w:rsidRPr="003E1F73" w:rsidRDefault="003E1F73" w:rsidP="003E1F73">
            <w:pPr>
              <w:spacing w:before="60" w:after="60"/>
              <w:rPr>
                <w:rFonts w:eastAsia="Calibri" w:cs="Times New Roman"/>
              </w:rPr>
            </w:pPr>
            <w:r w:rsidRPr="003E1F73">
              <w:rPr>
                <w:rFonts w:eastAsia="Calibri" w:cs="Times New Roman"/>
              </w:rPr>
              <w:t>Commentary</w:t>
            </w:r>
          </w:p>
        </w:tc>
      </w:tr>
      <w:tr w:rsidR="003E1F73" w:rsidRPr="003E1F73" w14:paraId="2375C01B" w14:textId="77777777" w:rsidTr="003C45B0">
        <w:tc>
          <w:tcPr>
            <w:tcW w:w="5129" w:type="dxa"/>
            <w:gridSpan w:val="2"/>
            <w:vAlign w:val="center"/>
          </w:tcPr>
          <w:p w14:paraId="4F9763D1" w14:textId="77777777" w:rsidR="003E1F73" w:rsidRPr="003E1F73" w:rsidRDefault="003E1F73" w:rsidP="003E1F73">
            <w:pPr>
              <w:spacing w:before="60" w:after="60"/>
              <w:rPr>
                <w:rFonts w:eastAsia="Calibri" w:cs="Times New Roman"/>
              </w:rPr>
            </w:pPr>
            <w:r w:rsidRPr="003E1F73">
              <w:rPr>
                <w:rFonts w:eastAsia="Calibri" w:cs="Times New Roman"/>
              </w:rPr>
              <w:t>New South Wales</w:t>
            </w:r>
          </w:p>
        </w:tc>
        <w:tc>
          <w:tcPr>
            <w:tcW w:w="2384" w:type="dxa"/>
            <w:shd w:val="clear" w:color="auto" w:fill="92D050"/>
            <w:vAlign w:val="center"/>
          </w:tcPr>
          <w:p w14:paraId="7DDD260F"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80A0530" w14:textId="77777777" w:rsidR="003E1F73" w:rsidRPr="003E1F73" w:rsidRDefault="003E1F73" w:rsidP="00C20920">
            <w:pPr>
              <w:numPr>
                <w:ilvl w:val="0"/>
                <w:numId w:val="34"/>
              </w:numPr>
              <w:spacing w:before="60" w:after="60"/>
              <w:contextualSpacing/>
              <w:rPr>
                <w:rFonts w:eastAsia="Calibri" w:cs="Times New Roman"/>
              </w:rPr>
            </w:pPr>
            <w:r w:rsidRPr="003E1F73">
              <w:rPr>
                <w:rFonts w:eastAsia="Calibri" w:cs="Times New Roman"/>
              </w:rPr>
              <w:t>AVAS should also apply to heavy vehicles. NSW crash data from 2013 to 2022 shows heavy vehicles had a greater representation of fatal and serious injuries compared with light vehicles. Heavy vehicles are also often used at low speeds, such as buses and delivery vehicles</w:t>
            </w:r>
          </w:p>
        </w:tc>
      </w:tr>
      <w:tr w:rsidR="003E1F73" w:rsidRPr="003E1F73" w14:paraId="16960BAD" w14:textId="77777777" w:rsidTr="003C45B0">
        <w:tc>
          <w:tcPr>
            <w:tcW w:w="5129" w:type="dxa"/>
            <w:gridSpan w:val="2"/>
            <w:vAlign w:val="center"/>
          </w:tcPr>
          <w:p w14:paraId="77579217" w14:textId="77777777" w:rsidR="003E1F73" w:rsidRPr="003E1F73" w:rsidRDefault="003E1F73" w:rsidP="003E1F73">
            <w:pPr>
              <w:spacing w:before="60" w:after="60"/>
              <w:rPr>
                <w:rFonts w:eastAsia="Calibri" w:cs="Times New Roman"/>
              </w:rPr>
            </w:pPr>
            <w:r w:rsidRPr="003E1F73">
              <w:rPr>
                <w:rFonts w:eastAsia="Calibri" w:cs="Times New Roman"/>
              </w:rPr>
              <w:t>Queensland</w:t>
            </w:r>
          </w:p>
        </w:tc>
        <w:tc>
          <w:tcPr>
            <w:tcW w:w="2384" w:type="dxa"/>
            <w:shd w:val="clear" w:color="auto" w:fill="92D050"/>
            <w:vAlign w:val="center"/>
          </w:tcPr>
          <w:p w14:paraId="758C64B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60134D3"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Timeframe for implementation should be brought forward earlier than the proposed 2025 to 2026, particularly considering AVAS is already mandated in most overseas markets</w:t>
            </w:r>
          </w:p>
          <w:p w14:paraId="175442DE"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Jurisdictions should develop schemes to drive retro-fitment of AVAS</w:t>
            </w:r>
          </w:p>
        </w:tc>
      </w:tr>
      <w:tr w:rsidR="003E1F73" w:rsidRPr="003E1F73" w14:paraId="05F69B9A" w14:textId="77777777" w:rsidTr="003C45B0">
        <w:tc>
          <w:tcPr>
            <w:tcW w:w="5129" w:type="dxa"/>
            <w:gridSpan w:val="2"/>
            <w:vAlign w:val="center"/>
          </w:tcPr>
          <w:p w14:paraId="154ABB33" w14:textId="77777777" w:rsidR="003E1F73" w:rsidRPr="003E1F73" w:rsidRDefault="003E1F73" w:rsidP="003E1F73">
            <w:pPr>
              <w:spacing w:before="60" w:after="60"/>
              <w:rPr>
                <w:rFonts w:eastAsia="Calibri" w:cs="Times New Roman"/>
              </w:rPr>
            </w:pPr>
            <w:r w:rsidRPr="003E1F73">
              <w:rPr>
                <w:rFonts w:eastAsia="Calibri" w:cs="Times New Roman"/>
              </w:rPr>
              <w:lastRenderedPageBreak/>
              <w:t>Victoria</w:t>
            </w:r>
          </w:p>
        </w:tc>
        <w:tc>
          <w:tcPr>
            <w:tcW w:w="2384" w:type="dxa"/>
            <w:shd w:val="clear" w:color="auto" w:fill="92D050"/>
            <w:vAlign w:val="center"/>
          </w:tcPr>
          <w:p w14:paraId="6EFC54B6"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614ACB5E"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Timeframe for implementation should be brought forward earlier than the proposed 2025 to 2026</w:t>
            </w:r>
          </w:p>
          <w:p w14:paraId="0D68BBBB"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AVAS should apply to heavy vehicles. Heavy vehicles make up 13.6 per cent of fatal crashes that involve a pedestrian crossing or entering the road or driveway while they only account for 3.5 per cent of all registered vehicles in Victoria</w:t>
            </w:r>
          </w:p>
        </w:tc>
      </w:tr>
      <w:tr w:rsidR="003E1F73" w:rsidRPr="003E1F73" w14:paraId="68A62F52" w14:textId="77777777" w:rsidTr="003C45B0">
        <w:tc>
          <w:tcPr>
            <w:tcW w:w="5129" w:type="dxa"/>
            <w:gridSpan w:val="2"/>
            <w:vAlign w:val="center"/>
          </w:tcPr>
          <w:p w14:paraId="60BC0BEE" w14:textId="77777777" w:rsidR="003E1F73" w:rsidRPr="003E1F73" w:rsidRDefault="003E1F73" w:rsidP="003E1F73">
            <w:pPr>
              <w:spacing w:before="60" w:after="60"/>
              <w:rPr>
                <w:rFonts w:eastAsia="Calibri" w:cs="Times New Roman"/>
              </w:rPr>
            </w:pPr>
            <w:r w:rsidRPr="003E1F73">
              <w:rPr>
                <w:rFonts w:eastAsia="Calibri" w:cs="Times New Roman"/>
              </w:rPr>
              <w:t>East Gippsland Shire Council Disability Advisory Committee</w:t>
            </w:r>
          </w:p>
        </w:tc>
        <w:tc>
          <w:tcPr>
            <w:tcW w:w="2384" w:type="dxa"/>
            <w:shd w:val="clear" w:color="auto" w:fill="92D050"/>
            <w:vAlign w:val="center"/>
          </w:tcPr>
          <w:p w14:paraId="29229103"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E21FAFB"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The issues raised in the Impact Analysis are significant to the Disability Advisory Committee as it aims to challenge barriers faced by people with disability and promote access and inclusion</w:t>
            </w:r>
          </w:p>
        </w:tc>
      </w:tr>
      <w:tr w:rsidR="003E1F73" w:rsidRPr="003E1F73" w14:paraId="1D6F7017" w14:textId="77777777" w:rsidTr="003C45B0">
        <w:tc>
          <w:tcPr>
            <w:tcW w:w="15388" w:type="dxa"/>
            <w:gridSpan w:val="6"/>
            <w:shd w:val="clear" w:color="auto" w:fill="4472C4" w:themeFill="accent5"/>
          </w:tcPr>
          <w:p w14:paraId="4A724936" w14:textId="77777777" w:rsidR="003E1F73" w:rsidRPr="003E1F73" w:rsidRDefault="003E1F73">
            <w:pPr>
              <w:spacing w:before="60" w:after="60"/>
              <w:rPr>
                <w:rFonts w:eastAsia="Calibri" w:cs="Times New Roman"/>
                <w:b/>
                <w:color w:val="FFFFFF"/>
              </w:rPr>
            </w:pPr>
            <w:r w:rsidRPr="35E123EC">
              <w:rPr>
                <w:rFonts w:eastAsia="Calibri" w:cs="Times New Roman"/>
                <w:b/>
                <w:color w:val="FFFFFF"/>
              </w:rPr>
              <w:t>Individuals</w:t>
            </w:r>
          </w:p>
        </w:tc>
      </w:tr>
      <w:tr w:rsidR="003E1F73" w:rsidRPr="003E1F73" w14:paraId="271C5447" w14:textId="77777777" w:rsidTr="003C45B0">
        <w:tc>
          <w:tcPr>
            <w:tcW w:w="2694" w:type="dxa"/>
            <w:shd w:val="clear" w:color="auto" w:fill="B4C6E7" w:themeFill="accent5" w:themeFillTint="66"/>
          </w:tcPr>
          <w:p w14:paraId="572BE32B" w14:textId="77777777" w:rsidR="003E1F73" w:rsidRPr="003E1F73" w:rsidRDefault="003E1F73" w:rsidP="003E1F73">
            <w:pPr>
              <w:spacing w:before="60" w:after="60"/>
              <w:rPr>
                <w:rFonts w:eastAsia="Calibri" w:cs="Times New Roman"/>
              </w:rPr>
            </w:pPr>
            <w:r w:rsidRPr="003E1F73">
              <w:rPr>
                <w:rFonts w:eastAsia="Calibri" w:cs="Times New Roman"/>
              </w:rPr>
              <w:t>Total Support</w:t>
            </w:r>
          </w:p>
        </w:tc>
        <w:tc>
          <w:tcPr>
            <w:tcW w:w="5000" w:type="dxa"/>
            <w:gridSpan w:val="3"/>
            <w:shd w:val="clear" w:color="auto" w:fill="B4C6E7" w:themeFill="accent5" w:themeFillTint="66"/>
          </w:tcPr>
          <w:p w14:paraId="49B6C708" w14:textId="77777777" w:rsidR="003E1F73" w:rsidRPr="003E1F73" w:rsidRDefault="003E1F73" w:rsidP="003E1F73">
            <w:pPr>
              <w:spacing w:before="60" w:after="60"/>
              <w:rPr>
                <w:rFonts w:eastAsia="Calibri" w:cs="Times New Roman"/>
              </w:rPr>
            </w:pPr>
            <w:r w:rsidRPr="003E1F73">
              <w:rPr>
                <w:rFonts w:eastAsia="Calibri" w:cs="Times New Roman"/>
              </w:rPr>
              <w:t>Key Commentary – Support</w:t>
            </w:r>
          </w:p>
        </w:tc>
        <w:tc>
          <w:tcPr>
            <w:tcW w:w="2654" w:type="dxa"/>
            <w:shd w:val="clear" w:color="auto" w:fill="B4C6E7" w:themeFill="accent5" w:themeFillTint="66"/>
          </w:tcPr>
          <w:p w14:paraId="03FE52A7" w14:textId="77777777" w:rsidR="003E1F73" w:rsidRPr="003E1F73" w:rsidRDefault="003E1F73" w:rsidP="003E1F73">
            <w:pPr>
              <w:spacing w:before="60" w:after="60"/>
              <w:rPr>
                <w:rFonts w:eastAsia="Calibri" w:cs="Times New Roman"/>
              </w:rPr>
            </w:pPr>
            <w:r w:rsidRPr="003E1F73">
              <w:rPr>
                <w:rFonts w:eastAsia="Calibri" w:cs="Times New Roman"/>
              </w:rPr>
              <w:t>Total Not Support</w:t>
            </w:r>
          </w:p>
        </w:tc>
        <w:tc>
          <w:tcPr>
            <w:tcW w:w="5040" w:type="dxa"/>
            <w:shd w:val="clear" w:color="auto" w:fill="B4C6E7" w:themeFill="accent5" w:themeFillTint="66"/>
          </w:tcPr>
          <w:p w14:paraId="4EB594DA" w14:textId="77777777" w:rsidR="003E1F73" w:rsidRPr="003E1F73" w:rsidRDefault="003E1F73" w:rsidP="003E1F73">
            <w:pPr>
              <w:spacing w:before="60" w:after="60"/>
              <w:rPr>
                <w:rFonts w:eastAsia="Calibri" w:cs="Times New Roman"/>
              </w:rPr>
            </w:pPr>
            <w:r w:rsidRPr="003E1F73">
              <w:rPr>
                <w:rFonts w:eastAsia="Calibri" w:cs="Times New Roman"/>
              </w:rPr>
              <w:t>Key Commentary – Not Support</w:t>
            </w:r>
          </w:p>
        </w:tc>
      </w:tr>
      <w:tr w:rsidR="003E1F73" w:rsidRPr="003E1F73" w14:paraId="00382563" w14:textId="77777777" w:rsidTr="003C45B0">
        <w:tc>
          <w:tcPr>
            <w:tcW w:w="2694" w:type="dxa"/>
            <w:shd w:val="clear" w:color="auto" w:fill="92D050"/>
            <w:vAlign w:val="center"/>
          </w:tcPr>
          <w:p w14:paraId="04D9DC8C" w14:textId="77777777" w:rsidR="003E1F73" w:rsidRPr="003E1F73" w:rsidRDefault="003E1F73" w:rsidP="003E1F73">
            <w:pPr>
              <w:spacing w:before="60" w:after="60"/>
              <w:jc w:val="center"/>
              <w:rPr>
                <w:rFonts w:eastAsia="Calibri" w:cs="Times New Roman"/>
              </w:rPr>
            </w:pPr>
            <w:r w:rsidRPr="003E1F73">
              <w:rPr>
                <w:rFonts w:eastAsia="Calibri" w:cs="Times New Roman"/>
              </w:rPr>
              <w:t>370 (approx. 60%)</w:t>
            </w:r>
          </w:p>
        </w:tc>
        <w:tc>
          <w:tcPr>
            <w:tcW w:w="5000" w:type="dxa"/>
            <w:gridSpan w:val="3"/>
          </w:tcPr>
          <w:p w14:paraId="34EE958A"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Strong representation from blind and low vision community (including family and friends). AVAS will allow this community, who rely heavily on walking and public transport for mobility, to maintain independence, without which there may be physical and mental decline</w:t>
            </w:r>
          </w:p>
          <w:p w14:paraId="3FEBAF31"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Emphasised the importance of AVAS for other vulnerable road users, like children, the elderly, distracted pedestrians and cyclists</w:t>
            </w:r>
          </w:p>
          <w:p w14:paraId="4FACBF65"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Many stories of near collisions and collisions with ‘silent’ electric vehicles, from blind and vision impaired as well as sighted pedestrians</w:t>
            </w:r>
          </w:p>
          <w:p w14:paraId="3137624E"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AVAS should also apply to heavy vehicles</w:t>
            </w:r>
          </w:p>
        </w:tc>
        <w:tc>
          <w:tcPr>
            <w:tcW w:w="2654" w:type="dxa"/>
            <w:shd w:val="clear" w:color="auto" w:fill="FF8B8B"/>
            <w:vAlign w:val="center"/>
          </w:tcPr>
          <w:p w14:paraId="34C3114B" w14:textId="77777777" w:rsidR="003E1F73" w:rsidRPr="003E1F73" w:rsidRDefault="003E1F73" w:rsidP="003E1F73">
            <w:pPr>
              <w:spacing w:before="60" w:after="60"/>
              <w:jc w:val="center"/>
              <w:rPr>
                <w:rFonts w:eastAsia="Calibri" w:cs="Times New Roman"/>
              </w:rPr>
            </w:pPr>
            <w:r w:rsidRPr="003E1F73">
              <w:rPr>
                <w:rFonts w:eastAsia="Calibri" w:cs="Times New Roman"/>
              </w:rPr>
              <w:t>208 (approx. 40%)</w:t>
            </w:r>
          </w:p>
        </w:tc>
        <w:tc>
          <w:tcPr>
            <w:tcW w:w="5040" w:type="dxa"/>
          </w:tcPr>
          <w:p w14:paraId="3A7B449C"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A main benefit of electric vehicles is that they are quiet. Concerns that mandating AVAS would take away this benefit and would add to noise pollution in urban areas</w:t>
            </w:r>
          </w:p>
          <w:p w14:paraId="2603F0C3"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Suggestions for alternative solutions include mandating advanced collision avoidance systems in all cars, and for blind and vision impaired people to use technology that can detect approaching vehicles</w:t>
            </w:r>
          </w:p>
        </w:tc>
      </w:tr>
    </w:tbl>
    <w:p w14:paraId="04FEF174" w14:textId="77777777" w:rsidR="003E1F73" w:rsidRDefault="003E1F73">
      <w:pPr>
        <w:spacing w:line="259" w:lineRule="auto"/>
      </w:pPr>
      <w:r>
        <w:br w:type="page"/>
      </w:r>
    </w:p>
    <w:p w14:paraId="4381A23E" w14:textId="77777777" w:rsidR="00271A50" w:rsidRDefault="00CE75A2" w:rsidP="00CE75A2">
      <w:pPr>
        <w:pStyle w:val="Heading2"/>
      </w:pPr>
      <w:bookmarkStart w:id="199" w:name="_Appendix_A—Government_Actions"/>
      <w:bookmarkStart w:id="200" w:name="_Ref90474519"/>
      <w:bookmarkStart w:id="201" w:name="_Toc99107630"/>
      <w:bookmarkStart w:id="202" w:name="_Toc128476474"/>
      <w:bookmarkStart w:id="203" w:name="_Toc151556429"/>
      <w:bookmarkStart w:id="204" w:name="_Toc153795437"/>
      <w:bookmarkStart w:id="205" w:name="_Ref90479287"/>
      <w:bookmarkEnd w:id="199"/>
      <w:r>
        <w:lastRenderedPageBreak/>
        <w:t xml:space="preserve">Appendix </w:t>
      </w:r>
      <w:r w:rsidR="003E1F73">
        <w:t>B</w:t>
      </w:r>
      <w:r>
        <w:t>—</w:t>
      </w:r>
      <w:r w:rsidR="00271A50">
        <w:t>Government Actions to Address Road Trauma</w:t>
      </w:r>
      <w:bookmarkEnd w:id="200"/>
      <w:bookmarkEnd w:id="201"/>
      <w:bookmarkEnd w:id="202"/>
      <w:bookmarkEnd w:id="203"/>
      <w:bookmarkEnd w:id="204"/>
    </w:p>
    <w:p w14:paraId="5F3A0816" w14:textId="77777777" w:rsidR="00271A50" w:rsidRDefault="00271A50" w:rsidP="00271A50">
      <w:r>
        <w:t xml:space="preserve">All levels of government are currently working to reduce road trauma in Australia. Key initiatives are outlined below, with a focus on initiatives that are helping to improve vulnerable road user safety. </w:t>
      </w:r>
    </w:p>
    <w:p w14:paraId="50552CB3" w14:textId="77777777" w:rsidR="00271A50" w:rsidRPr="00930D6A" w:rsidRDefault="00271A50" w:rsidP="00F670CA">
      <w:pPr>
        <w:pStyle w:val="Heading3"/>
      </w:pPr>
      <w:bookmarkStart w:id="206" w:name="_Toc128476475"/>
      <w:bookmarkStart w:id="207" w:name="_Toc151556430"/>
      <w:bookmarkStart w:id="208" w:name="_Toc153795438"/>
      <w:r w:rsidRPr="00930D6A">
        <w:t>National Vehicle Standards</w:t>
      </w:r>
      <w:bookmarkEnd w:id="206"/>
      <w:bookmarkEnd w:id="207"/>
      <w:bookmarkEnd w:id="208"/>
    </w:p>
    <w:p w14:paraId="6EA0C0C4" w14:textId="77777777" w:rsidR="00271A50" w:rsidRPr="00930D6A" w:rsidRDefault="00271A50" w:rsidP="00271A50">
      <w:r w:rsidRPr="00930D6A">
        <w:t xml:space="preserve">The Australian Government administers the </w:t>
      </w:r>
      <w:r w:rsidRPr="35E123EC">
        <w:rPr>
          <w:i/>
        </w:rPr>
        <w:t>Road Vehicle Standards Act 2018</w:t>
      </w:r>
      <w:r w:rsidRPr="00930D6A">
        <w:t xml:space="preserve"> which requires that all new road vehicles comply with national vehicle standards, known as the Australian Design Rules, before they can be offered to the market for use in transport in Australia. The ADRs set minimum national standards for vehicle safety, emissions and anti-theft performance.</w:t>
      </w:r>
    </w:p>
    <w:p w14:paraId="28101511" w14:textId="77777777" w:rsidR="00271A50" w:rsidRDefault="00271A50" w:rsidP="00271A50">
      <w:r>
        <w:t>R</w:t>
      </w:r>
      <w:r w:rsidRPr="00930D6A">
        <w:t>ecent ADRs for technologies that assist in mitigating crashes, such as advanced braking systems, electronic stability control, and advanced emergency braking, will deliver reductions in road trauma, including for trauma involving vulnerable road users.</w:t>
      </w:r>
    </w:p>
    <w:p w14:paraId="0C04FC61" w14:textId="77777777" w:rsidR="00271A50" w:rsidRPr="00930D6A" w:rsidRDefault="00271A50" w:rsidP="00F670CA">
      <w:pPr>
        <w:pStyle w:val="Heading3"/>
      </w:pPr>
      <w:bookmarkStart w:id="209" w:name="_Toc128476476"/>
      <w:bookmarkStart w:id="210" w:name="_Toc151556431"/>
      <w:bookmarkStart w:id="211" w:name="_Toc153795439"/>
      <w:r w:rsidRPr="00930D6A">
        <w:t>National Road Safety Strategy</w:t>
      </w:r>
      <w:bookmarkEnd w:id="209"/>
      <w:r w:rsidR="00A15AF8">
        <w:t xml:space="preserve"> 2021-30</w:t>
      </w:r>
      <w:bookmarkEnd w:id="210"/>
      <w:bookmarkEnd w:id="211"/>
    </w:p>
    <w:p w14:paraId="3652C87D" w14:textId="77777777" w:rsidR="00271A50" w:rsidRDefault="00271A50" w:rsidP="00271A50">
      <w:r w:rsidRPr="00930D6A">
        <w:t>In May 2021, infrastructure and transport ministers approved the National Road Safety Strategy (NRSS)</w:t>
      </w:r>
      <w:r>
        <w:t> </w:t>
      </w:r>
      <w:r w:rsidRPr="00930D6A">
        <w:t>2021</w:t>
      </w:r>
      <w:r w:rsidR="00950F13">
        <w:t>–</w:t>
      </w:r>
      <w:r w:rsidRPr="00930D6A">
        <w:t>30. The NRSS represents the commitment of all levels of government to deliver significant reductions in road trauma over the next decade and progress towards ‘Vision Zero’, or zero deaths and serious injuries on our roads by 2050. The NRSS includes trauma reduction targets for the decade to 2030 of at least 50 per cent reduction in actual annual deaths to fewer than 571 and at least a 30 per cent reduction in actual annual serious injuries to fewer than 29,000</w:t>
      </w:r>
      <w:r>
        <w:t xml:space="preserve">. </w:t>
      </w:r>
      <w:r w:rsidRPr="00930D6A">
        <w:t xml:space="preserve">The NRSS identifies nine priority areas for reducing harm on our roads, including </w:t>
      </w:r>
      <w:r>
        <w:t xml:space="preserve">improving vehicle safety and </w:t>
      </w:r>
      <w:r w:rsidRPr="00930D6A">
        <w:t>prioritising vulnerable road users</w:t>
      </w:r>
      <w:r>
        <w:t>.</w:t>
      </w:r>
    </w:p>
    <w:p w14:paraId="20E2468B" w14:textId="77777777" w:rsidR="00271A50" w:rsidRDefault="00271A50" w:rsidP="00271A50">
      <w:r>
        <w:t xml:space="preserve">National road safety action plans provide a detailed roadmap for governments to implement the NRSS. In December 2022, infrastructure and transport ministers agreed to the National Road Safety Action Plan </w:t>
      </w:r>
      <w:r w:rsidR="00495354">
        <w:t>2023–2025</w:t>
      </w:r>
      <w:r>
        <w:t>. It sets out the key actions all governments will undertake to 2025, in pursuit of the agreed priorities identified in the NRSS. Under the vehicle safety priority, the Australian Government has committed to legislating AVAS for electric vehicles, subject to the outcomes of this Impact Analysis process.</w:t>
      </w:r>
    </w:p>
    <w:p w14:paraId="23B901E3" w14:textId="77777777" w:rsidR="0093600D" w:rsidRDefault="0093600D" w:rsidP="0093600D">
      <w:r>
        <w:t>As part of the commitment to Vision Zero, success will be demonstrated by targeting:</w:t>
      </w:r>
    </w:p>
    <w:p w14:paraId="0B8A2E92" w14:textId="2FF95F2D" w:rsidR="0093600D" w:rsidRPr="00FF4F12" w:rsidRDefault="0093600D" w:rsidP="00C20920">
      <w:pPr>
        <w:pStyle w:val="Bullet1"/>
        <w:numPr>
          <w:ilvl w:val="0"/>
          <w:numId w:val="15"/>
        </w:numPr>
      </w:pPr>
      <w:r>
        <w:rPr>
          <w:lang w:val="en-US"/>
        </w:rPr>
        <w:t>Zero deaths and serious injuries by 20</w:t>
      </w:r>
      <w:r w:rsidR="008F729F">
        <w:rPr>
          <w:lang w:val="en-US"/>
        </w:rPr>
        <w:t>5</w:t>
      </w:r>
      <w:r>
        <w:rPr>
          <w:lang w:val="en-US"/>
        </w:rPr>
        <w:t xml:space="preserve">0; </w:t>
      </w:r>
    </w:p>
    <w:p w14:paraId="4F2946FE" w14:textId="31A710B1" w:rsidR="0093600D" w:rsidRPr="00AA2B7A" w:rsidRDefault="0093600D" w:rsidP="00C20920">
      <w:pPr>
        <w:pStyle w:val="Bullet1"/>
        <w:numPr>
          <w:ilvl w:val="0"/>
          <w:numId w:val="15"/>
        </w:numPr>
      </w:pPr>
      <w:r>
        <w:rPr>
          <w:lang w:val="en-US"/>
        </w:rPr>
        <w:t>Zero deaths of children 7-years and under</w:t>
      </w:r>
      <w:r w:rsidR="008F729F">
        <w:rPr>
          <w:lang w:val="en-US"/>
        </w:rPr>
        <w:t xml:space="preserve"> by 2030</w:t>
      </w:r>
      <w:r w:rsidR="00A15AF8">
        <w:rPr>
          <w:lang w:val="en-US"/>
        </w:rPr>
        <w:t>; and</w:t>
      </w:r>
    </w:p>
    <w:p w14:paraId="7D9561B3" w14:textId="72663B09" w:rsidR="00A15AF8" w:rsidRDefault="00A15AF8" w:rsidP="00C20920">
      <w:pPr>
        <w:pStyle w:val="Bullet1"/>
        <w:numPr>
          <w:ilvl w:val="0"/>
          <w:numId w:val="15"/>
        </w:numPr>
      </w:pPr>
      <w:r>
        <w:rPr>
          <w:lang w:val="en-AU"/>
        </w:rPr>
        <w:t>Zero deaths in city CBD areas</w:t>
      </w:r>
      <w:r w:rsidR="008F729F">
        <w:rPr>
          <w:lang w:val="en-AU"/>
        </w:rPr>
        <w:t xml:space="preserve"> by 2030</w:t>
      </w:r>
    </w:p>
    <w:p w14:paraId="66D211A7" w14:textId="77777777" w:rsidR="0093600D" w:rsidRDefault="0093600D" w:rsidP="0093600D">
      <w:r>
        <w:t>Nine priorities were identified towards achieving Vision Zero and of importance to this IA are the following priorities:</w:t>
      </w:r>
    </w:p>
    <w:p w14:paraId="23FC16CD" w14:textId="77777777" w:rsidR="00A15AF8" w:rsidRPr="00FF4F12" w:rsidRDefault="00A15AF8" w:rsidP="00C20920">
      <w:pPr>
        <w:pStyle w:val="Bullet1"/>
        <w:numPr>
          <w:ilvl w:val="0"/>
          <w:numId w:val="15"/>
        </w:numPr>
      </w:pPr>
      <w:r>
        <w:rPr>
          <w:lang w:val="en-US"/>
        </w:rPr>
        <w:t>Vulnerable road users – providing safe road access for all road users especially children, inexperienced drivers/riders and older road users.</w:t>
      </w:r>
    </w:p>
    <w:p w14:paraId="190375DD" w14:textId="77777777" w:rsidR="0093600D" w:rsidRDefault="0093600D" w:rsidP="00C20920">
      <w:pPr>
        <w:pStyle w:val="Bullet1"/>
        <w:numPr>
          <w:ilvl w:val="0"/>
          <w:numId w:val="15"/>
        </w:numPr>
      </w:pPr>
      <w:r w:rsidRPr="005B2D51">
        <w:rPr>
          <w:lang w:val="en-US"/>
        </w:rPr>
        <w:t>Ve</w:t>
      </w:r>
      <w:r w:rsidRPr="00F47166">
        <w:rPr>
          <w:lang w:val="en-US"/>
        </w:rPr>
        <w:t>hicle Safety –</w:t>
      </w:r>
      <w:r w:rsidRPr="00CF66D3">
        <w:rPr>
          <w:lang w:val="en-US"/>
        </w:rPr>
        <w:t xml:space="preserve"> pursu</w:t>
      </w:r>
      <w:r>
        <w:rPr>
          <w:lang w:val="en-US"/>
        </w:rPr>
        <w:t>ing</w:t>
      </w:r>
      <w:r w:rsidRPr="005B2D51">
        <w:rPr>
          <w:lang w:val="en-US"/>
        </w:rPr>
        <w:t xml:space="preserve"> technological improvements and uptake of safer vehicles</w:t>
      </w:r>
      <w:r w:rsidRPr="00F47166">
        <w:rPr>
          <w:lang w:val="en-US"/>
        </w:rPr>
        <w:t xml:space="preserve"> through </w:t>
      </w:r>
      <w:r>
        <w:t>prioritisation and adoption of proven technological improvements for all vehicle types through new ADRs as quickly as possible</w:t>
      </w:r>
      <w:r>
        <w:rPr>
          <w:lang w:val="en-US"/>
        </w:rPr>
        <w:t>;</w:t>
      </w:r>
    </w:p>
    <w:p w14:paraId="34CD6C63" w14:textId="77777777" w:rsidR="0093600D" w:rsidRPr="00FF4F12" w:rsidRDefault="0093600D" w:rsidP="00C20920">
      <w:pPr>
        <w:pStyle w:val="Bullet1"/>
        <w:numPr>
          <w:ilvl w:val="0"/>
          <w:numId w:val="15"/>
        </w:numPr>
      </w:pPr>
      <w:r>
        <w:rPr>
          <w:lang w:val="en-US"/>
        </w:rPr>
        <w:t xml:space="preserve">Heavy vehicle safety – supporting the safe movement of freight and passengers and reduce harm to all road users through regulation and promotion of heavy vehicle safety technologies; and </w:t>
      </w:r>
    </w:p>
    <w:p w14:paraId="47C3E848" w14:textId="77777777" w:rsidR="0093600D" w:rsidRDefault="00A15AF8" w:rsidP="00271A50">
      <w:r>
        <w:t xml:space="preserve">The National Road Safety Action Plan 2023-25 specifically commits to legislating a new ADR on AVAS for electric vehicles. </w:t>
      </w:r>
    </w:p>
    <w:p w14:paraId="41B2F596" w14:textId="77777777" w:rsidR="00271A50" w:rsidRPr="00930D6A" w:rsidRDefault="00271A50" w:rsidP="00F670CA">
      <w:pPr>
        <w:pStyle w:val="Heading3"/>
      </w:pPr>
      <w:bookmarkStart w:id="212" w:name="_Toc128476477"/>
      <w:bookmarkStart w:id="213" w:name="_Toc151556432"/>
      <w:bookmarkStart w:id="214" w:name="_Toc153795440"/>
      <w:r w:rsidRPr="00930D6A">
        <w:lastRenderedPageBreak/>
        <w:t>State and Territory Government Action</w:t>
      </w:r>
      <w:bookmarkEnd w:id="212"/>
      <w:bookmarkEnd w:id="213"/>
      <w:bookmarkEnd w:id="214"/>
    </w:p>
    <w:p w14:paraId="098456C2" w14:textId="77777777" w:rsidR="00271A50" w:rsidRDefault="00271A50" w:rsidP="00271A50">
      <w:r w:rsidRPr="00930D6A">
        <w:t xml:space="preserve">State and territory governments target identified vehicle safety concerns through investment in research projects, education campaigns and strategic partnerships. Most jurisdictions have committed to </w:t>
      </w:r>
      <w:r>
        <w:t>Vision Zero</w:t>
      </w:r>
      <w:r w:rsidRPr="00930D6A">
        <w:t xml:space="preserve"> through their road safety strategies. Vulnerable road user safety features prominently within the strategies. For example, the Victorian Road Safety Strategy </w:t>
      </w:r>
      <w:r w:rsidR="00495354">
        <w:t>2021–2030</w:t>
      </w:r>
      <w:r w:rsidRPr="00930D6A">
        <w:t xml:space="preserve"> has overarching goals to ‘improve outcomes for vulnerable and unprotected road users who are involved in a crash’ and ‘ensure unprotected and vulnerable road users are supported by the road system, not impacted by it’. (Victorian Government, 2020)</w:t>
      </w:r>
    </w:p>
    <w:p w14:paraId="35010D18" w14:textId="77777777" w:rsidR="00271A50" w:rsidRPr="00930D6A" w:rsidRDefault="00271A50" w:rsidP="00F670CA">
      <w:pPr>
        <w:pStyle w:val="Heading3"/>
      </w:pPr>
      <w:bookmarkStart w:id="215" w:name="_Toc128476478"/>
      <w:bookmarkStart w:id="216" w:name="_Toc151556433"/>
      <w:bookmarkStart w:id="217" w:name="_Toc153795441"/>
      <w:r w:rsidRPr="00930D6A">
        <w:t>Australasian New Car Assessment Program</w:t>
      </w:r>
      <w:bookmarkEnd w:id="215"/>
      <w:bookmarkEnd w:id="216"/>
      <w:bookmarkEnd w:id="217"/>
    </w:p>
    <w:p w14:paraId="0460298A" w14:textId="77777777" w:rsidR="00271A50" w:rsidRPr="00930D6A" w:rsidRDefault="00271A50" w:rsidP="00271A50">
      <w:r w:rsidRPr="00930D6A">
        <w:t>The Australasian New Car Assessment Program (ANCAP) is an independent vehicle safety authority, that works in partnership with 23 member organisations, including governments.</w:t>
      </w:r>
    </w:p>
    <w:p w14:paraId="7826421C" w14:textId="77777777" w:rsidR="00271A50" w:rsidRPr="00930D6A" w:rsidRDefault="00271A50" w:rsidP="00271A50">
      <w:r w:rsidRPr="00930D6A">
        <w:t>ANCAP publishes safety ratings for a range of new passenger, sports utility and light commercial vehicles entering the Australian and New Zealand markets, using a rating system of 0 to 5 stars. These ratings are continually reviewed to keep pace with technology developments and to ensure that star ratings reward the most effective technologies.</w:t>
      </w:r>
    </w:p>
    <w:p w14:paraId="6EC3281A" w14:textId="77777777" w:rsidR="00271A50" w:rsidRPr="00930D6A" w:rsidRDefault="00271A50" w:rsidP="00271A50">
      <w:r w:rsidRPr="00930D6A">
        <w:t>Vehicles are evaluated against four key areas, one of these being vulnerable road user protection. This area assesses the design of the front of a vehicle, based on how well it minimises injury risk to a struck pedestrian. It also assesses a vehicle’s ability to actively avoid or mitigate impacts with pedestrians or cyclists. (ANCAP, 2022). Note that AVAS has not yet been adopted within the ANCAP rating system.</w:t>
      </w:r>
    </w:p>
    <w:p w14:paraId="4FE65811" w14:textId="77777777" w:rsidR="00271A50" w:rsidRPr="00930D6A" w:rsidRDefault="00271A50" w:rsidP="00F670CA">
      <w:pPr>
        <w:pStyle w:val="Heading3"/>
      </w:pPr>
      <w:bookmarkStart w:id="218" w:name="_Toc128476479"/>
      <w:bookmarkStart w:id="219" w:name="_Toc151556434"/>
      <w:bookmarkStart w:id="220" w:name="_Toc153795442"/>
      <w:bookmarkStart w:id="221" w:name="_Hlk148110030"/>
      <w:r w:rsidRPr="00930D6A">
        <w:t>National Funding for Road Safety Initiatives</w:t>
      </w:r>
      <w:bookmarkEnd w:id="218"/>
      <w:bookmarkEnd w:id="219"/>
      <w:bookmarkEnd w:id="220"/>
    </w:p>
    <w:p w14:paraId="52CD704C" w14:textId="1137E721" w:rsidR="001D199D" w:rsidRPr="001D199D" w:rsidRDefault="001D199D" w:rsidP="001D199D">
      <w:pPr>
        <w:rPr>
          <w:iCs/>
        </w:rPr>
      </w:pPr>
      <w:r w:rsidRPr="0047406A">
        <w:t>The Australian Government allocates dedicated funding for a number of non-infrastructure road sa</w:t>
      </w:r>
      <w:r w:rsidRPr="00635004">
        <w:t>fety programs. For example, through the May 2023 Budget, the Australian Government has committed $43.6</w:t>
      </w:r>
      <w:r w:rsidR="00303BD2">
        <w:t> </w:t>
      </w:r>
      <w:r w:rsidRPr="00635004">
        <w:t xml:space="preserve">million to </w:t>
      </w:r>
      <w:r w:rsidRPr="007E0C03">
        <w:t>deliver the National Road Safety Action Grants Program (NRSAGP) over four years from 2022-23.</w:t>
      </w:r>
      <w:r w:rsidR="00F75F6A" w:rsidRPr="007E0C03">
        <w:t xml:space="preserve"> </w:t>
      </w:r>
      <w:r w:rsidRPr="0061003E">
        <w:t>The NRSAGP provides non-infrastructure grants to deliver the Australian Government’s implementation of the National Road Safety Action Plan 2023-25 priorities through five focus areas:</w:t>
      </w:r>
    </w:p>
    <w:p w14:paraId="2E59F192" w14:textId="77777777" w:rsidR="001D199D" w:rsidRPr="001D199D" w:rsidRDefault="001D199D" w:rsidP="00C20920">
      <w:pPr>
        <w:numPr>
          <w:ilvl w:val="0"/>
          <w:numId w:val="17"/>
        </w:numPr>
        <w:spacing w:after="0"/>
        <w:rPr>
          <w:iCs/>
        </w:rPr>
      </w:pPr>
      <w:r w:rsidRPr="0047406A">
        <w:t>Community Education and Awareness, including workplace road safety</w:t>
      </w:r>
    </w:p>
    <w:p w14:paraId="4B953F56" w14:textId="77777777" w:rsidR="001D199D" w:rsidRPr="001D199D" w:rsidRDefault="001D199D" w:rsidP="00C20920">
      <w:pPr>
        <w:numPr>
          <w:ilvl w:val="0"/>
          <w:numId w:val="17"/>
        </w:numPr>
        <w:spacing w:after="0"/>
        <w:rPr>
          <w:iCs/>
        </w:rPr>
      </w:pPr>
      <w:r w:rsidRPr="0047406A">
        <w:t>Vulnerable Road Users</w:t>
      </w:r>
    </w:p>
    <w:p w14:paraId="37ABA327" w14:textId="77777777" w:rsidR="001D199D" w:rsidRPr="001D199D" w:rsidRDefault="001D199D" w:rsidP="00C20920">
      <w:pPr>
        <w:numPr>
          <w:ilvl w:val="0"/>
          <w:numId w:val="17"/>
        </w:numPr>
        <w:spacing w:after="0"/>
        <w:rPr>
          <w:iCs/>
        </w:rPr>
      </w:pPr>
      <w:r w:rsidRPr="0047406A">
        <w:t>First Nations road safety</w:t>
      </w:r>
    </w:p>
    <w:p w14:paraId="4E9EF1FF" w14:textId="77777777" w:rsidR="001D199D" w:rsidRPr="001D199D" w:rsidRDefault="001D199D" w:rsidP="00C20920">
      <w:pPr>
        <w:numPr>
          <w:ilvl w:val="0"/>
          <w:numId w:val="17"/>
        </w:numPr>
        <w:spacing w:after="0"/>
        <w:rPr>
          <w:iCs/>
        </w:rPr>
      </w:pPr>
      <w:r w:rsidRPr="0047406A">
        <w:t>Tech</w:t>
      </w:r>
      <w:r w:rsidRPr="00635004">
        <w:t>nology and Innovation</w:t>
      </w:r>
    </w:p>
    <w:p w14:paraId="42B6B3E1" w14:textId="77777777" w:rsidR="001D199D" w:rsidRPr="001D199D" w:rsidRDefault="001D199D" w:rsidP="00C20920">
      <w:pPr>
        <w:numPr>
          <w:ilvl w:val="0"/>
          <w:numId w:val="17"/>
        </w:numPr>
        <w:rPr>
          <w:iCs/>
        </w:rPr>
      </w:pPr>
      <w:r w:rsidRPr="0047406A">
        <w:t>Research and Data</w:t>
      </w:r>
    </w:p>
    <w:p w14:paraId="761F9C52" w14:textId="7A9B46C1" w:rsidR="001D199D" w:rsidRPr="001D199D" w:rsidRDefault="001D199D" w:rsidP="001D199D">
      <w:pPr>
        <w:rPr>
          <w:iCs/>
        </w:rPr>
      </w:pPr>
      <w:r w:rsidRPr="0047406A">
        <w:t>The first initiative funded under the grants program was the $6</w:t>
      </w:r>
      <w:r w:rsidR="00303BD2">
        <w:t> </w:t>
      </w:r>
      <w:r w:rsidRPr="0047406A">
        <w:t xml:space="preserve">million Safe Roads </w:t>
      </w:r>
      <w:r w:rsidR="007E1919" w:rsidRPr="00635004">
        <w:t>for</w:t>
      </w:r>
      <w:r w:rsidRPr="007E0C03">
        <w:t xml:space="preserve"> Safe Cycling Program, being delivered by the Amy Gillett Foundation.  The program supports long-term road safety benefits by improving cycling safety knowledge, resources and tools. </w:t>
      </w:r>
    </w:p>
    <w:bookmarkEnd w:id="221"/>
    <w:p w14:paraId="35BCF0F9" w14:textId="77777777" w:rsidR="00271A50" w:rsidRDefault="00271A50" w:rsidP="00271A50">
      <w:r>
        <w:br w:type="page"/>
      </w:r>
    </w:p>
    <w:p w14:paraId="2C754B9D" w14:textId="77777777" w:rsidR="00271A50" w:rsidRPr="00930D6A" w:rsidRDefault="00F670CA" w:rsidP="00F670CA">
      <w:pPr>
        <w:pStyle w:val="Heading2"/>
      </w:pPr>
      <w:bookmarkStart w:id="222" w:name="_Appendix_B—UN_Regulation"/>
      <w:bookmarkStart w:id="223" w:name="_Ref124952125"/>
      <w:bookmarkStart w:id="224" w:name="_Ref124952132"/>
      <w:bookmarkStart w:id="225" w:name="_Toc128476480"/>
      <w:bookmarkStart w:id="226" w:name="_Toc151556435"/>
      <w:bookmarkStart w:id="227" w:name="_Toc153795443"/>
      <w:bookmarkEnd w:id="222"/>
      <w:r>
        <w:lastRenderedPageBreak/>
        <w:t xml:space="preserve">Appendix </w:t>
      </w:r>
      <w:r w:rsidR="003E1F73">
        <w:t>C</w:t>
      </w:r>
      <w:r>
        <w:t>—</w:t>
      </w:r>
      <w:r w:rsidR="00271A50" w:rsidRPr="00930D6A">
        <w:t>UN Regulation 138/01 Requirements</w:t>
      </w:r>
      <w:bookmarkEnd w:id="205"/>
      <w:bookmarkEnd w:id="223"/>
      <w:bookmarkEnd w:id="224"/>
      <w:bookmarkEnd w:id="225"/>
      <w:bookmarkEnd w:id="226"/>
      <w:bookmarkEnd w:id="227"/>
    </w:p>
    <w:p w14:paraId="2AE280A1" w14:textId="77777777" w:rsidR="00271A50" w:rsidRPr="00930D6A" w:rsidRDefault="00271A50" w:rsidP="00271A50">
      <w:r w:rsidRPr="00930D6A">
        <w:t>UN Regulation 138/01 applies to electrified M (passenger) and N (goods carrying) category vehicles which can be propelled in the normal mode, in reverse or at least one forward drive gear, without an internal combustion engine operating in respect to their audibility.</w:t>
      </w:r>
    </w:p>
    <w:p w14:paraId="4E6D7BFA" w14:textId="77777777" w:rsidR="00271A50" w:rsidRPr="00930D6A" w:rsidRDefault="00271A50" w:rsidP="00271A50">
      <w:r w:rsidRPr="00930D6A">
        <w:t>For the purposes of this regulation, electrified vehicles are defined “a vehicle with a powertrain containing at least one electric motor or electric motor-generator.” These include:</w:t>
      </w:r>
    </w:p>
    <w:p w14:paraId="5939F757" w14:textId="77777777" w:rsidR="00271A50" w:rsidRPr="00930D6A" w:rsidRDefault="00271A50" w:rsidP="00F670CA">
      <w:pPr>
        <w:pStyle w:val="Listparagraphbullets"/>
      </w:pPr>
      <w:r w:rsidRPr="00930D6A">
        <w:t>Pure Electric Vehicles (PEV) – vehicles with an electric motor as its sole mean of propulsion,</w:t>
      </w:r>
    </w:p>
    <w:p w14:paraId="1FD2B66D" w14:textId="77777777" w:rsidR="00271A50" w:rsidRPr="00930D6A" w:rsidRDefault="00271A50" w:rsidP="00F670CA">
      <w:pPr>
        <w:pStyle w:val="Listparagraphbullets"/>
      </w:pPr>
      <w:r w:rsidRPr="00930D6A">
        <w:t>Hybrid Electric Vehicles (HEV) – vehicles with a powertrain containing at least one electric motor or electric motor generator and at least one internal combustion engine as propulsion energy converters, and</w:t>
      </w:r>
    </w:p>
    <w:p w14:paraId="71AD23B3" w14:textId="77777777" w:rsidR="002238AB" w:rsidRDefault="00271A50" w:rsidP="002238AB">
      <w:pPr>
        <w:pStyle w:val="Listparagraphbullets"/>
      </w:pPr>
      <w:r w:rsidRPr="00930D6A">
        <w:t>Fuel Cell Vehicles (FCV) - vehicles with a fuel cell and an electric machine as propulsion energy converters.</w:t>
      </w:r>
    </w:p>
    <w:p w14:paraId="1A3F7B66" w14:textId="77777777" w:rsidR="00271A50" w:rsidRPr="00930D6A" w:rsidRDefault="00271A50" w:rsidP="002238AB">
      <w:r w:rsidRPr="00930D6A">
        <w:t>UN Regulation 138/01 requires vehicles to comply with minimum sound requirements in:</w:t>
      </w:r>
    </w:p>
    <w:p w14:paraId="106DA4CA" w14:textId="77777777" w:rsidR="00271A50" w:rsidRPr="00930D6A" w:rsidRDefault="00271A50" w:rsidP="00F670CA">
      <w:pPr>
        <w:pStyle w:val="Listparagraphbullets"/>
      </w:pPr>
      <w:r w:rsidRPr="00930D6A">
        <w:t xml:space="preserve">a constant speed test performed at 10 km/h, </w:t>
      </w:r>
    </w:p>
    <w:p w14:paraId="59579DB7" w14:textId="77777777" w:rsidR="00271A50" w:rsidRPr="00930D6A" w:rsidRDefault="00271A50" w:rsidP="00F670CA">
      <w:pPr>
        <w:pStyle w:val="Listparagraphbullets"/>
      </w:pPr>
      <w:r w:rsidRPr="00930D6A">
        <w:t>a constant speed test performed at 20 km/h, and</w:t>
      </w:r>
    </w:p>
    <w:p w14:paraId="114A6880" w14:textId="77777777" w:rsidR="00271A50" w:rsidRPr="00930D6A" w:rsidRDefault="00271A50" w:rsidP="00F670CA">
      <w:pPr>
        <w:pStyle w:val="Listparagraphbullets"/>
      </w:pPr>
      <w:r w:rsidRPr="00930D6A">
        <w:t>a reversing test performed at 6 km/h.</w:t>
      </w:r>
    </w:p>
    <w:p w14:paraId="6E97A301" w14:textId="77777777" w:rsidR="00271A50" w:rsidRPr="00930D6A" w:rsidRDefault="00271A50" w:rsidP="00271A50">
      <w:r w:rsidRPr="00930D6A">
        <w:t>Tests may be performed indoors or outdoors, in motion or with the vehicle speed simulated by an external signal to the AVAS with the vehicle in standstill condition. Vehicles may emit a sound when stationary, but are not permitted to have a ‘pause’ function.</w:t>
      </w:r>
    </w:p>
    <w:p w14:paraId="4A555985" w14:textId="2B1D25DD" w:rsidR="00271A50" w:rsidRPr="00930D6A" w:rsidRDefault="00271A50" w:rsidP="00271A50">
      <w:r w:rsidRPr="00930D6A">
        <w:fldChar w:fldCharType="begin"/>
      </w:r>
      <w:r w:rsidRPr="00930D6A">
        <w:rPr>
          <w:highlight w:val="lightGray"/>
        </w:rPr>
        <w:instrText xml:space="preserve"> REF _Ref90480479 \h </w:instrText>
      </w:r>
      <w:r w:rsidRPr="00930D6A">
        <w:fldChar w:fldCharType="separate"/>
      </w:r>
      <w:r w:rsidR="005E58C6" w:rsidRPr="00930D6A">
        <w:t xml:space="preserve">Table </w:t>
      </w:r>
      <w:r w:rsidR="005E58C6">
        <w:rPr>
          <w:noProof/>
        </w:rPr>
        <w:t>7</w:t>
      </w:r>
      <w:r w:rsidRPr="00930D6A">
        <w:fldChar w:fldCharType="end"/>
      </w:r>
      <w:r w:rsidRPr="00930D6A">
        <w:t xml:space="preserve"> outlines the minimum sound level requirements for each of these tests.</w:t>
      </w:r>
    </w:p>
    <w:p w14:paraId="47581C68" w14:textId="6A10C958" w:rsidR="00271A50" w:rsidRPr="00930D6A" w:rsidRDefault="00271A50" w:rsidP="00F670CA">
      <w:pPr>
        <w:pStyle w:val="Tablefigureheading"/>
      </w:pPr>
      <w:bookmarkStart w:id="228" w:name="_Ref90480479"/>
      <w:bookmarkStart w:id="229" w:name="_Toc128476430"/>
      <w:bookmarkStart w:id="230" w:name="_Toc153795490"/>
      <w:r w:rsidRPr="00930D6A">
        <w:t xml:space="preserve">Table </w:t>
      </w:r>
      <w:fldSimple w:instr=" SEQ Table \* ARABIC ">
        <w:r w:rsidR="005E58C6">
          <w:rPr>
            <w:noProof/>
          </w:rPr>
          <w:t>7</w:t>
        </w:r>
      </w:fldSimple>
      <w:bookmarkEnd w:id="228"/>
      <w:r w:rsidRPr="00930D6A">
        <w:t>: Minimum sound level requirements for AVAS in db(A)</w:t>
      </w:r>
      <w:bookmarkEnd w:id="229"/>
      <w:bookmarkEnd w:id="230"/>
    </w:p>
    <w:tbl>
      <w:tblPr>
        <w:tblStyle w:val="DefaultTable1"/>
        <w:tblW w:w="0" w:type="auto"/>
        <w:tblLook w:val="04E0" w:firstRow="1" w:lastRow="1" w:firstColumn="1" w:lastColumn="0" w:noHBand="0" w:noVBand="1"/>
        <w:tblCaption w:val="Minimum sound level requirements for AVAS"/>
        <w:tblDescription w:val="Table outlining the minimum sound level requirements for AVAS, measured in A-weighted decibels, at a given frequency, measured in hertz. There are requirements for the constant speed tests at 10 and kilometres per hour, and for the reversing test."/>
      </w:tblPr>
      <w:tblGrid>
        <w:gridCol w:w="1067"/>
        <w:gridCol w:w="1019"/>
        <w:gridCol w:w="947"/>
        <w:gridCol w:w="1008"/>
      </w:tblGrid>
      <w:tr w:rsidR="00271A50" w:rsidRPr="00930D6A" w14:paraId="4489B5F9"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595959" w:themeColor="text1" w:themeTint="A6"/>
            </w:tcBorders>
            <w:shd w:val="clear" w:color="auto" w:fill="081E3E"/>
          </w:tcPr>
          <w:p w14:paraId="1A469A80" w14:textId="77777777" w:rsidR="00271A50" w:rsidRPr="00F670CA" w:rsidRDefault="00271A50" w:rsidP="00F670CA">
            <w:pPr>
              <w:pStyle w:val="Tablerowcolumnheading"/>
              <w:rPr>
                <w:b/>
              </w:rPr>
            </w:pPr>
            <w:r w:rsidRPr="35E123EC">
              <w:t>Frequency in Hz</w:t>
            </w:r>
          </w:p>
        </w:tc>
        <w:tc>
          <w:tcPr>
            <w:tcW w:w="0" w:type="dxa"/>
            <w:tcBorders>
              <w:bottom w:val="single" w:sz="4" w:space="0" w:color="595959" w:themeColor="text1" w:themeTint="A6"/>
            </w:tcBorders>
            <w:shd w:val="clear" w:color="auto" w:fill="081E3E"/>
          </w:tcPr>
          <w:p w14:paraId="21A1D660"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Constant Speed Test (10 km/h)</w:t>
            </w:r>
          </w:p>
        </w:tc>
        <w:tc>
          <w:tcPr>
            <w:tcW w:w="0" w:type="dxa"/>
            <w:tcBorders>
              <w:bottom w:val="single" w:sz="4" w:space="0" w:color="595959" w:themeColor="text1" w:themeTint="A6"/>
            </w:tcBorders>
            <w:shd w:val="clear" w:color="auto" w:fill="081E3E"/>
          </w:tcPr>
          <w:p w14:paraId="58A9EB5A"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Constant Speed Test (20 km/h)</w:t>
            </w:r>
          </w:p>
        </w:tc>
        <w:tc>
          <w:tcPr>
            <w:tcW w:w="0" w:type="dxa"/>
            <w:tcBorders>
              <w:bottom w:val="single" w:sz="4" w:space="0" w:color="595959" w:themeColor="text1" w:themeTint="A6"/>
            </w:tcBorders>
            <w:shd w:val="clear" w:color="auto" w:fill="081E3E"/>
          </w:tcPr>
          <w:p w14:paraId="09B6CAAB"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Reversing Test</w:t>
            </w:r>
          </w:p>
        </w:tc>
      </w:tr>
      <w:tr w:rsidR="00271A50" w:rsidRPr="00930D6A" w14:paraId="7FC271D4"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4BB3B5"/>
            </w:tcBorders>
          </w:tcPr>
          <w:p w14:paraId="7216DF9B" w14:textId="77777777" w:rsidR="00271A50" w:rsidRPr="00930D6A" w:rsidRDefault="00271A50" w:rsidP="00F670CA">
            <w:pPr>
              <w:pStyle w:val="Tabletext"/>
            </w:pPr>
            <w:r w:rsidRPr="00930D6A">
              <w:t>160</w:t>
            </w:r>
          </w:p>
        </w:tc>
        <w:tc>
          <w:tcPr>
            <w:tcW w:w="0" w:type="dxa"/>
            <w:tcBorders>
              <w:bottom w:val="single" w:sz="4" w:space="0" w:color="4BB3B5"/>
            </w:tcBorders>
          </w:tcPr>
          <w:p w14:paraId="728D2874"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45</w:t>
            </w:r>
          </w:p>
        </w:tc>
        <w:tc>
          <w:tcPr>
            <w:tcW w:w="0" w:type="dxa"/>
            <w:tcBorders>
              <w:bottom w:val="single" w:sz="4" w:space="0" w:color="4BB3B5"/>
            </w:tcBorders>
          </w:tcPr>
          <w:p w14:paraId="2C55E0C1"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50</w:t>
            </w:r>
          </w:p>
        </w:tc>
        <w:tc>
          <w:tcPr>
            <w:tcW w:w="0" w:type="dxa"/>
            <w:tcBorders>
              <w:bottom w:val="single" w:sz="4" w:space="0" w:color="4BB3B5"/>
            </w:tcBorders>
          </w:tcPr>
          <w:p w14:paraId="759C1444"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819D790"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195DF67" w14:textId="77777777" w:rsidR="00271A50" w:rsidRPr="00930D6A" w:rsidRDefault="00271A50" w:rsidP="00F670CA">
            <w:pPr>
              <w:pStyle w:val="Tabletext"/>
            </w:pPr>
            <w:r w:rsidRPr="00930D6A">
              <w:t>200</w:t>
            </w:r>
          </w:p>
        </w:tc>
        <w:tc>
          <w:tcPr>
            <w:tcW w:w="0" w:type="dxa"/>
            <w:tcBorders>
              <w:top w:val="single" w:sz="4" w:space="0" w:color="4BB3B5"/>
              <w:bottom w:val="single" w:sz="4" w:space="0" w:color="4BB3B5"/>
            </w:tcBorders>
          </w:tcPr>
          <w:p w14:paraId="4DA86954"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50DD9F78"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613BA44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2F8B37E"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226F89C1" w14:textId="77777777" w:rsidR="00271A50" w:rsidRPr="00930D6A" w:rsidRDefault="00271A50" w:rsidP="00F670CA">
            <w:pPr>
              <w:pStyle w:val="Tabletext"/>
            </w:pPr>
            <w:r w:rsidRPr="00930D6A">
              <w:t>250</w:t>
            </w:r>
          </w:p>
        </w:tc>
        <w:tc>
          <w:tcPr>
            <w:tcW w:w="0" w:type="dxa"/>
            <w:tcBorders>
              <w:top w:val="single" w:sz="4" w:space="0" w:color="4BB3B5"/>
              <w:bottom w:val="single" w:sz="4" w:space="0" w:color="4BB3B5"/>
            </w:tcBorders>
          </w:tcPr>
          <w:p w14:paraId="2C046DCF"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43</w:t>
            </w:r>
          </w:p>
        </w:tc>
        <w:tc>
          <w:tcPr>
            <w:tcW w:w="0" w:type="dxa"/>
            <w:tcBorders>
              <w:top w:val="single" w:sz="4" w:space="0" w:color="4BB3B5"/>
              <w:bottom w:val="single" w:sz="4" w:space="0" w:color="4BB3B5"/>
            </w:tcBorders>
          </w:tcPr>
          <w:p w14:paraId="40F5569F"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48</w:t>
            </w:r>
          </w:p>
        </w:tc>
        <w:tc>
          <w:tcPr>
            <w:tcW w:w="0" w:type="dxa"/>
            <w:tcBorders>
              <w:top w:val="single" w:sz="4" w:space="0" w:color="4BB3B5"/>
              <w:bottom w:val="single" w:sz="4" w:space="0" w:color="4BB3B5"/>
            </w:tcBorders>
          </w:tcPr>
          <w:p w14:paraId="1F08E2FC"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7CED886"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0A0AA95E" w14:textId="77777777" w:rsidR="00271A50" w:rsidRPr="00930D6A" w:rsidRDefault="00271A50" w:rsidP="00F670CA">
            <w:pPr>
              <w:pStyle w:val="Tabletext"/>
            </w:pPr>
            <w:r w:rsidRPr="00930D6A">
              <w:t>315</w:t>
            </w:r>
          </w:p>
        </w:tc>
        <w:tc>
          <w:tcPr>
            <w:tcW w:w="0" w:type="dxa"/>
            <w:tcBorders>
              <w:top w:val="single" w:sz="4" w:space="0" w:color="4BB3B5"/>
              <w:bottom w:val="single" w:sz="4" w:space="0" w:color="4BB3B5"/>
            </w:tcBorders>
          </w:tcPr>
          <w:p w14:paraId="56101E4A"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4366DDFD"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5C5F1C5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0C136720"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55558E1" w14:textId="77777777" w:rsidR="00271A50" w:rsidRPr="00930D6A" w:rsidRDefault="00271A50" w:rsidP="00F670CA">
            <w:pPr>
              <w:pStyle w:val="Tabletext"/>
            </w:pPr>
            <w:r w:rsidRPr="00930D6A">
              <w:t>400</w:t>
            </w:r>
          </w:p>
        </w:tc>
        <w:tc>
          <w:tcPr>
            <w:tcW w:w="0" w:type="dxa"/>
            <w:tcBorders>
              <w:top w:val="single" w:sz="4" w:space="0" w:color="4BB3B5"/>
              <w:bottom w:val="single" w:sz="4" w:space="0" w:color="4BB3B5"/>
            </w:tcBorders>
          </w:tcPr>
          <w:p w14:paraId="163FA587"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45</w:t>
            </w:r>
          </w:p>
        </w:tc>
        <w:tc>
          <w:tcPr>
            <w:tcW w:w="0" w:type="dxa"/>
            <w:tcBorders>
              <w:top w:val="single" w:sz="4" w:space="0" w:color="4BB3B5"/>
              <w:bottom w:val="single" w:sz="4" w:space="0" w:color="4BB3B5"/>
            </w:tcBorders>
          </w:tcPr>
          <w:p w14:paraId="22BDF433"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6C4E1F4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E84D476"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5F67F93C" w14:textId="77777777" w:rsidR="00271A50" w:rsidRPr="00930D6A" w:rsidRDefault="00271A50" w:rsidP="00F670CA">
            <w:pPr>
              <w:pStyle w:val="Tabletext"/>
            </w:pPr>
            <w:r w:rsidRPr="00930D6A">
              <w:t>500</w:t>
            </w:r>
          </w:p>
        </w:tc>
        <w:tc>
          <w:tcPr>
            <w:tcW w:w="0" w:type="dxa"/>
            <w:tcBorders>
              <w:top w:val="single" w:sz="4" w:space="0" w:color="4BB3B5"/>
              <w:bottom w:val="single" w:sz="4" w:space="0" w:color="4BB3B5"/>
            </w:tcBorders>
          </w:tcPr>
          <w:p w14:paraId="32D15EF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45</w:t>
            </w:r>
          </w:p>
        </w:tc>
        <w:tc>
          <w:tcPr>
            <w:tcW w:w="0" w:type="dxa"/>
            <w:tcBorders>
              <w:top w:val="single" w:sz="4" w:space="0" w:color="4BB3B5"/>
              <w:bottom w:val="single" w:sz="4" w:space="0" w:color="4BB3B5"/>
            </w:tcBorders>
          </w:tcPr>
          <w:p w14:paraId="25361B34"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27BE6712"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2EE86B68"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58D7922D" w14:textId="77777777" w:rsidR="00271A50" w:rsidRPr="00930D6A" w:rsidRDefault="00271A50" w:rsidP="00F670CA">
            <w:pPr>
              <w:pStyle w:val="Tabletext"/>
            </w:pPr>
            <w:r w:rsidRPr="00930D6A">
              <w:t>630</w:t>
            </w:r>
          </w:p>
        </w:tc>
        <w:tc>
          <w:tcPr>
            <w:tcW w:w="0" w:type="dxa"/>
            <w:tcBorders>
              <w:top w:val="single" w:sz="4" w:space="0" w:color="4BB3B5"/>
              <w:bottom w:val="single" w:sz="4" w:space="0" w:color="4BB3B5"/>
            </w:tcBorders>
          </w:tcPr>
          <w:p w14:paraId="610FA3FC"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3012DA02"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5E4241F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251DCFC3"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256D38BE" w14:textId="77777777" w:rsidR="00271A50" w:rsidRPr="00930D6A" w:rsidRDefault="00271A50" w:rsidP="00F670CA">
            <w:pPr>
              <w:pStyle w:val="Tabletext"/>
            </w:pPr>
            <w:r w:rsidRPr="00930D6A">
              <w:t>800</w:t>
            </w:r>
          </w:p>
        </w:tc>
        <w:tc>
          <w:tcPr>
            <w:tcW w:w="0" w:type="dxa"/>
            <w:tcBorders>
              <w:top w:val="single" w:sz="4" w:space="0" w:color="4BB3B5"/>
              <w:bottom w:val="single" w:sz="4" w:space="0" w:color="4BB3B5"/>
            </w:tcBorders>
          </w:tcPr>
          <w:p w14:paraId="6A26A132"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6702E2A3"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74BD817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A2CBCDD"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03B8319A" w14:textId="77777777" w:rsidR="00271A50" w:rsidRPr="00930D6A" w:rsidRDefault="00271A50" w:rsidP="00F670CA">
            <w:pPr>
              <w:pStyle w:val="Tabletext"/>
            </w:pPr>
            <w:r w:rsidRPr="00930D6A">
              <w:t>1,000</w:t>
            </w:r>
          </w:p>
        </w:tc>
        <w:tc>
          <w:tcPr>
            <w:tcW w:w="0" w:type="dxa"/>
            <w:tcBorders>
              <w:top w:val="single" w:sz="4" w:space="0" w:color="4BB3B5"/>
              <w:bottom w:val="single" w:sz="4" w:space="0" w:color="4BB3B5"/>
            </w:tcBorders>
          </w:tcPr>
          <w:p w14:paraId="4C53988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3E0FDDC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01BC91A9"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51DBC97A"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156342A" w14:textId="77777777" w:rsidR="00271A50" w:rsidRPr="00930D6A" w:rsidRDefault="00271A50" w:rsidP="00F670CA">
            <w:pPr>
              <w:pStyle w:val="Tabletext"/>
            </w:pPr>
            <w:r w:rsidRPr="00930D6A">
              <w:t>1,250</w:t>
            </w:r>
          </w:p>
        </w:tc>
        <w:tc>
          <w:tcPr>
            <w:tcW w:w="0" w:type="dxa"/>
            <w:tcBorders>
              <w:top w:val="single" w:sz="4" w:space="0" w:color="4BB3B5"/>
              <w:bottom w:val="single" w:sz="4" w:space="0" w:color="4BB3B5"/>
            </w:tcBorders>
          </w:tcPr>
          <w:p w14:paraId="431C23D9"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29980796"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4867D178"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62DD74DC"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77CD21D6" w14:textId="77777777" w:rsidR="00271A50" w:rsidRPr="00930D6A" w:rsidRDefault="00271A50" w:rsidP="00F670CA">
            <w:pPr>
              <w:pStyle w:val="Tabletext"/>
            </w:pPr>
            <w:r w:rsidRPr="00930D6A">
              <w:t>1,600</w:t>
            </w:r>
          </w:p>
        </w:tc>
        <w:tc>
          <w:tcPr>
            <w:tcW w:w="0" w:type="dxa"/>
            <w:tcBorders>
              <w:top w:val="single" w:sz="4" w:space="0" w:color="4BB3B5"/>
              <w:bottom w:val="single" w:sz="4" w:space="0" w:color="4BB3B5"/>
            </w:tcBorders>
          </w:tcPr>
          <w:p w14:paraId="13980AC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4AE132E7"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3C6AA8E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042D829C"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4D913CE" w14:textId="77777777" w:rsidR="00271A50" w:rsidRPr="00930D6A" w:rsidRDefault="00271A50" w:rsidP="00F670CA">
            <w:pPr>
              <w:pStyle w:val="Tabletext"/>
            </w:pPr>
            <w:r w:rsidRPr="00930D6A">
              <w:t>2,000</w:t>
            </w:r>
          </w:p>
        </w:tc>
        <w:tc>
          <w:tcPr>
            <w:tcW w:w="0" w:type="dxa"/>
            <w:tcBorders>
              <w:top w:val="single" w:sz="4" w:space="0" w:color="4BB3B5"/>
              <w:bottom w:val="single" w:sz="4" w:space="0" w:color="4BB3B5"/>
            </w:tcBorders>
          </w:tcPr>
          <w:p w14:paraId="76D9B7A6"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42</w:t>
            </w:r>
          </w:p>
        </w:tc>
        <w:tc>
          <w:tcPr>
            <w:tcW w:w="0" w:type="dxa"/>
            <w:tcBorders>
              <w:top w:val="single" w:sz="4" w:space="0" w:color="4BB3B5"/>
              <w:bottom w:val="single" w:sz="4" w:space="0" w:color="4BB3B5"/>
            </w:tcBorders>
          </w:tcPr>
          <w:p w14:paraId="19675823"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47</w:t>
            </w:r>
          </w:p>
        </w:tc>
        <w:tc>
          <w:tcPr>
            <w:tcW w:w="0" w:type="dxa"/>
            <w:tcBorders>
              <w:top w:val="single" w:sz="4" w:space="0" w:color="4BB3B5"/>
              <w:bottom w:val="single" w:sz="4" w:space="0" w:color="4BB3B5"/>
            </w:tcBorders>
          </w:tcPr>
          <w:p w14:paraId="2CAD01D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2C0FE7D7"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0F84FCB" w14:textId="77777777" w:rsidR="00271A50" w:rsidRPr="00930D6A" w:rsidRDefault="00271A50" w:rsidP="00F670CA">
            <w:pPr>
              <w:pStyle w:val="Tabletext"/>
            </w:pPr>
            <w:r w:rsidRPr="00930D6A">
              <w:t>2,500</w:t>
            </w:r>
          </w:p>
        </w:tc>
        <w:tc>
          <w:tcPr>
            <w:tcW w:w="0" w:type="dxa"/>
            <w:tcBorders>
              <w:top w:val="single" w:sz="4" w:space="0" w:color="4BB3B5"/>
              <w:bottom w:val="single" w:sz="4" w:space="0" w:color="4BB3B5"/>
            </w:tcBorders>
          </w:tcPr>
          <w:p w14:paraId="311A16A2"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39</w:t>
            </w:r>
          </w:p>
        </w:tc>
        <w:tc>
          <w:tcPr>
            <w:tcW w:w="0" w:type="dxa"/>
            <w:tcBorders>
              <w:top w:val="single" w:sz="4" w:space="0" w:color="4BB3B5"/>
              <w:bottom w:val="single" w:sz="4" w:space="0" w:color="4BB3B5"/>
            </w:tcBorders>
          </w:tcPr>
          <w:p w14:paraId="50E3104E"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31F556CE"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670F0994"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793DF61F" w14:textId="77777777" w:rsidR="00271A50" w:rsidRPr="00930D6A" w:rsidRDefault="00271A50" w:rsidP="00F670CA">
            <w:pPr>
              <w:pStyle w:val="Tabletext"/>
            </w:pPr>
            <w:r w:rsidRPr="00930D6A">
              <w:t>3,150</w:t>
            </w:r>
          </w:p>
        </w:tc>
        <w:tc>
          <w:tcPr>
            <w:tcW w:w="0" w:type="dxa"/>
            <w:tcBorders>
              <w:top w:val="single" w:sz="4" w:space="0" w:color="4BB3B5"/>
              <w:bottom w:val="single" w:sz="4" w:space="0" w:color="4BB3B5"/>
            </w:tcBorders>
          </w:tcPr>
          <w:p w14:paraId="59180D5A"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36</w:t>
            </w:r>
          </w:p>
        </w:tc>
        <w:tc>
          <w:tcPr>
            <w:tcW w:w="0" w:type="dxa"/>
            <w:tcBorders>
              <w:top w:val="single" w:sz="4" w:space="0" w:color="4BB3B5"/>
              <w:bottom w:val="single" w:sz="4" w:space="0" w:color="4BB3B5"/>
            </w:tcBorders>
          </w:tcPr>
          <w:p w14:paraId="0AC52CE9"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41</w:t>
            </w:r>
          </w:p>
        </w:tc>
        <w:tc>
          <w:tcPr>
            <w:tcW w:w="0" w:type="dxa"/>
            <w:tcBorders>
              <w:top w:val="single" w:sz="4" w:space="0" w:color="4BB3B5"/>
              <w:bottom w:val="single" w:sz="4" w:space="0" w:color="4BB3B5"/>
            </w:tcBorders>
          </w:tcPr>
          <w:p w14:paraId="495899B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1668480"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46EF60C3" w14:textId="77777777" w:rsidR="00271A50" w:rsidRPr="00930D6A" w:rsidRDefault="00271A50" w:rsidP="00F670CA">
            <w:pPr>
              <w:pStyle w:val="Tabletext"/>
            </w:pPr>
            <w:r w:rsidRPr="00930D6A">
              <w:t>4,000</w:t>
            </w:r>
          </w:p>
        </w:tc>
        <w:tc>
          <w:tcPr>
            <w:tcW w:w="0" w:type="dxa"/>
            <w:tcBorders>
              <w:top w:val="single" w:sz="4" w:space="0" w:color="4BB3B5"/>
              <w:bottom w:val="single" w:sz="4" w:space="0" w:color="4BB3B5"/>
            </w:tcBorders>
          </w:tcPr>
          <w:p w14:paraId="685FE531"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34</w:t>
            </w:r>
          </w:p>
        </w:tc>
        <w:tc>
          <w:tcPr>
            <w:tcW w:w="0" w:type="dxa"/>
            <w:tcBorders>
              <w:top w:val="single" w:sz="4" w:space="0" w:color="4BB3B5"/>
              <w:bottom w:val="single" w:sz="4" w:space="0" w:color="4BB3B5"/>
            </w:tcBorders>
          </w:tcPr>
          <w:p w14:paraId="41E86629"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39</w:t>
            </w:r>
          </w:p>
        </w:tc>
        <w:tc>
          <w:tcPr>
            <w:tcW w:w="0" w:type="dxa"/>
            <w:tcBorders>
              <w:top w:val="single" w:sz="4" w:space="0" w:color="4BB3B5"/>
              <w:bottom w:val="single" w:sz="4" w:space="0" w:color="4BB3B5"/>
            </w:tcBorders>
          </w:tcPr>
          <w:p w14:paraId="0BA4192D"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5651A03E"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44F60255" w14:textId="77777777" w:rsidR="00271A50" w:rsidRPr="00930D6A" w:rsidRDefault="00271A50" w:rsidP="00F670CA">
            <w:pPr>
              <w:pStyle w:val="Tabletext"/>
            </w:pPr>
            <w:r w:rsidRPr="00930D6A">
              <w:t>5,000</w:t>
            </w:r>
          </w:p>
        </w:tc>
        <w:tc>
          <w:tcPr>
            <w:tcW w:w="0" w:type="dxa"/>
            <w:tcBorders>
              <w:top w:val="single" w:sz="4" w:space="0" w:color="4BB3B5"/>
              <w:bottom w:val="single" w:sz="4" w:space="0" w:color="4BB3B5"/>
            </w:tcBorders>
          </w:tcPr>
          <w:p w14:paraId="2CC45CE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31</w:t>
            </w:r>
          </w:p>
        </w:tc>
        <w:tc>
          <w:tcPr>
            <w:tcW w:w="0" w:type="dxa"/>
            <w:tcBorders>
              <w:top w:val="single" w:sz="4" w:space="0" w:color="4BB3B5"/>
              <w:bottom w:val="single" w:sz="4" w:space="0" w:color="4BB3B5"/>
            </w:tcBorders>
          </w:tcPr>
          <w:p w14:paraId="042DFF70"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36</w:t>
            </w:r>
          </w:p>
        </w:tc>
        <w:tc>
          <w:tcPr>
            <w:tcW w:w="0" w:type="dxa"/>
            <w:tcBorders>
              <w:top w:val="single" w:sz="4" w:space="0" w:color="4BB3B5"/>
              <w:bottom w:val="single" w:sz="4" w:space="0" w:color="4BB3B5"/>
            </w:tcBorders>
          </w:tcPr>
          <w:p w14:paraId="73AD318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1B5BF090" w14:textId="77777777" w:rsidTr="003C4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147D5E24" w14:textId="77777777" w:rsidR="00271A50" w:rsidRPr="00930D6A" w:rsidRDefault="00271A50" w:rsidP="00F670CA">
            <w:pPr>
              <w:pStyle w:val="Tabletext"/>
            </w:pPr>
            <w:r w:rsidRPr="00930D6A">
              <w:t>Overall</w:t>
            </w:r>
          </w:p>
        </w:tc>
        <w:tc>
          <w:tcPr>
            <w:tcW w:w="0" w:type="dxa"/>
            <w:tcBorders>
              <w:top w:val="single" w:sz="4" w:space="0" w:color="4BB3B5"/>
              <w:bottom w:val="single" w:sz="4" w:space="0" w:color="4BB3B5"/>
            </w:tcBorders>
          </w:tcPr>
          <w:p w14:paraId="289148F8"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68A92D48"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56</w:t>
            </w:r>
          </w:p>
        </w:tc>
        <w:tc>
          <w:tcPr>
            <w:tcW w:w="0" w:type="dxa"/>
            <w:tcBorders>
              <w:top w:val="single" w:sz="4" w:space="0" w:color="4BB3B5"/>
              <w:bottom w:val="single" w:sz="4" w:space="0" w:color="4BB3B5"/>
            </w:tcBorders>
          </w:tcPr>
          <w:p w14:paraId="3D3AFF2B"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47</w:t>
            </w:r>
          </w:p>
        </w:tc>
      </w:tr>
    </w:tbl>
    <w:p w14:paraId="312872EB" w14:textId="77777777" w:rsidR="00271A50" w:rsidRPr="00930D6A" w:rsidRDefault="00271A50" w:rsidP="00F670CA">
      <w:pPr>
        <w:keepNext/>
        <w:keepLines/>
        <w:spacing w:before="240"/>
      </w:pPr>
      <w:r w:rsidRPr="00930D6A">
        <w:lastRenderedPageBreak/>
        <w:t>A separate test performed at speeds varying from 5 km/h to 20 km/h is also performed to measure frequency shifts to signify acceleration and deceleration. The following methods may be used for this test:</w:t>
      </w:r>
    </w:p>
    <w:p w14:paraId="77CD7A75" w14:textId="77777777" w:rsidR="00271A50" w:rsidRPr="00930D6A" w:rsidRDefault="00271A50" w:rsidP="00F670CA">
      <w:pPr>
        <w:pStyle w:val="Listparagraphbullets"/>
      </w:pPr>
      <w:r w:rsidRPr="00930D6A">
        <w:t>Test of the complete vehicle in motion on an outdoor test track.</w:t>
      </w:r>
    </w:p>
    <w:p w14:paraId="20DFD996" w14:textId="77777777" w:rsidR="00271A50" w:rsidRPr="00930D6A" w:rsidRDefault="00271A50" w:rsidP="00F670CA">
      <w:pPr>
        <w:pStyle w:val="Listparagraphbullets"/>
      </w:pPr>
      <w:r w:rsidRPr="00930D6A">
        <w:t>Test of the complete vehicle in standstill condition on an outdoor test track with simulation of the vehicle movement to the AVAS by an external signal generator.</w:t>
      </w:r>
    </w:p>
    <w:p w14:paraId="46AB055E" w14:textId="77777777" w:rsidR="00271A50" w:rsidRPr="00930D6A" w:rsidRDefault="00271A50" w:rsidP="00F670CA">
      <w:pPr>
        <w:pStyle w:val="Listparagraphbullets"/>
      </w:pPr>
      <w:r w:rsidRPr="00930D6A">
        <w:t>Test of the complete vehicle in motion in an indoor facility on a chassis dynamometer.</w:t>
      </w:r>
    </w:p>
    <w:p w14:paraId="29F9B1A1" w14:textId="77777777" w:rsidR="00271A50" w:rsidRPr="00930D6A" w:rsidRDefault="00271A50" w:rsidP="00F670CA">
      <w:pPr>
        <w:pStyle w:val="Listparagraphbullets"/>
      </w:pPr>
      <w:r w:rsidRPr="00930D6A">
        <w:t>Test of the complete vehicle in standstill condition in an indoor facility with simulation of the vehicle movement to the AVAS by an external signal generator.</w:t>
      </w:r>
    </w:p>
    <w:p w14:paraId="6B203617" w14:textId="77777777" w:rsidR="00271A50" w:rsidRPr="00930D6A" w:rsidRDefault="00271A50" w:rsidP="00F670CA">
      <w:pPr>
        <w:pStyle w:val="Listparagraphbullets"/>
      </w:pPr>
      <w:r w:rsidRPr="00930D6A">
        <w:t>Test of the AVAS without a vehicle in an indoor facility with simulation of the vehicle movement to the AVAS by an external signal generator</w:t>
      </w:r>
    </w:p>
    <w:p w14:paraId="4DC810EF" w14:textId="77777777" w:rsidR="00271A50" w:rsidRPr="00930D6A" w:rsidRDefault="00271A50" w:rsidP="00271A50">
      <w:r w:rsidRPr="00930D6A">
        <w:br w:type="page"/>
      </w:r>
    </w:p>
    <w:p w14:paraId="0F3E6EFA" w14:textId="77777777" w:rsidR="00271A50" w:rsidRPr="00930D6A" w:rsidRDefault="00F670CA" w:rsidP="00F670CA">
      <w:pPr>
        <w:pStyle w:val="Heading2"/>
      </w:pPr>
      <w:bookmarkStart w:id="231" w:name="_Appendix_C—Benefit_Cost"/>
      <w:bookmarkStart w:id="232" w:name="_Ref90630375"/>
      <w:bookmarkStart w:id="233" w:name="_Toc128476481"/>
      <w:bookmarkStart w:id="234" w:name="_Toc151556436"/>
      <w:bookmarkStart w:id="235" w:name="_Toc153795444"/>
      <w:bookmarkEnd w:id="231"/>
      <w:r>
        <w:lastRenderedPageBreak/>
        <w:t xml:space="preserve">Appendix </w:t>
      </w:r>
      <w:r w:rsidR="003E1F73">
        <w:t>D</w:t>
      </w:r>
      <w:r>
        <w:t>—</w:t>
      </w:r>
      <w:r w:rsidR="00271A50" w:rsidRPr="00930D6A">
        <w:t>Benefit Cost Analysis</w:t>
      </w:r>
      <w:bookmarkEnd w:id="232"/>
      <w:bookmarkEnd w:id="233"/>
      <w:bookmarkEnd w:id="234"/>
      <w:bookmarkEnd w:id="235"/>
    </w:p>
    <w:p w14:paraId="6934319A" w14:textId="7012F9BB" w:rsidR="00271A50" w:rsidRPr="00930D6A" w:rsidRDefault="00271A50" w:rsidP="00271A50">
      <w:r w:rsidRPr="00930D6A">
        <w:t>The model used in this analysis was the Net Present Value (NPV) model. The estimated benefits and costs for Option 2 (mandatory standard</w:t>
      </w:r>
      <w:r w:rsidR="00E472C7">
        <w:t xml:space="preserve"> for light QRTVs</w:t>
      </w:r>
      <w:r w:rsidRPr="00930D6A">
        <w:t xml:space="preserve">) were summed over time. The further the cost or benefit occurred from the nominal starting date, the more they were discounted. This allowed all costs and benefits to be compared equally, no matter when they occurred. </w:t>
      </w:r>
      <w:r w:rsidR="00E472C7">
        <w:t>Due to limited data specific to heavy vehicles, the same methodology was also used for Options 3a and 3b, with the number of vehicles adjust in line with the proportion of new heavy vehicles to new light vehicle sales.</w:t>
      </w:r>
    </w:p>
    <w:p w14:paraId="125FD769" w14:textId="77777777" w:rsidR="00271A50" w:rsidRPr="00930D6A" w:rsidRDefault="00271A50" w:rsidP="00271A50">
      <w:r w:rsidRPr="00930D6A">
        <w:t>The analysis was broken up into the steps outlined below.</w:t>
      </w:r>
    </w:p>
    <w:p w14:paraId="01D7914B" w14:textId="21A647EE" w:rsidR="00271A50" w:rsidRPr="00930D6A" w:rsidRDefault="00271A50" w:rsidP="00F670CA">
      <w:pPr>
        <w:pStyle w:val="ListNumbered1"/>
        <w:ind w:left="567" w:hanging="567"/>
        <w:rPr>
          <w:lang w:val="en-AU"/>
        </w:rPr>
      </w:pPr>
      <w:r w:rsidRPr="00930D6A">
        <w:rPr>
          <w:lang w:val="en-AU"/>
        </w:rPr>
        <w:t>The number of new light vehicles registrations was established for each year between 1969 and 2020 inclusive, utilising available Australian Bureau of Statistics Motor Vehicle Census (report series 9309.0) data (Australian Bureau of Statistics, 2020), and registrations per capita for years prior to availability of census data (</w:t>
      </w:r>
      <w:r w:rsidRPr="003C45B0">
        <w:fldChar w:fldCharType="begin"/>
      </w:r>
      <w:r w:rsidRPr="00930D6A">
        <w:rPr>
          <w:lang w:val="en-AU"/>
        </w:rPr>
        <w:instrText xml:space="preserve"> REF _Ref95830311 \h </w:instrText>
      </w:r>
      <w:r w:rsidRPr="003C45B0">
        <w:rPr>
          <w:lang w:val="en-AU"/>
        </w:rPr>
        <w:fldChar w:fldCharType="separate"/>
      </w:r>
      <w:r w:rsidR="005E58C6" w:rsidRPr="00930D6A">
        <w:t xml:space="preserve">Figure </w:t>
      </w:r>
      <w:r w:rsidR="005E58C6">
        <w:rPr>
          <w:noProof/>
        </w:rPr>
        <w:t>7</w:t>
      </w:r>
      <w:r w:rsidRPr="003C45B0">
        <w:fldChar w:fldCharType="end"/>
      </w:r>
      <w:r w:rsidRPr="00930D6A">
        <w:rPr>
          <w:lang w:val="en-AU"/>
        </w:rPr>
        <w:t>):</w:t>
      </w:r>
    </w:p>
    <w:p w14:paraId="45ED9BEC" w14:textId="6F32A995" w:rsidR="00271A50" w:rsidRPr="00930D6A" w:rsidRDefault="00271A50" w:rsidP="00F670CA">
      <w:pPr>
        <w:pStyle w:val="Tablefigureheading"/>
      </w:pPr>
      <w:bookmarkStart w:id="236" w:name="_Ref151387025"/>
      <w:bookmarkStart w:id="237" w:name="_Ref95830311"/>
      <w:bookmarkStart w:id="238" w:name="_Toc128476431"/>
      <w:bookmarkStart w:id="239" w:name="_Toc153795491"/>
      <w:r w:rsidRPr="00930D6A">
        <w:t xml:space="preserve">Figure </w:t>
      </w:r>
      <w:fldSimple w:instr=" SEQ Figure \* ARABIC ">
        <w:r w:rsidR="005E58C6">
          <w:rPr>
            <w:noProof/>
          </w:rPr>
          <w:t>7</w:t>
        </w:r>
      </w:fldSimple>
      <w:bookmarkEnd w:id="236"/>
      <w:bookmarkEnd w:id="237"/>
      <w:r w:rsidRPr="00930D6A">
        <w:t>: New light vehicle registrations in Australia, 1969 to 2019</w:t>
      </w:r>
      <w:bookmarkEnd w:id="238"/>
      <w:bookmarkEnd w:id="239"/>
    </w:p>
    <w:p w14:paraId="478396FC" w14:textId="77777777" w:rsidR="00271A50" w:rsidRPr="00930D6A" w:rsidRDefault="00271A50" w:rsidP="00271A50">
      <w:r w:rsidRPr="00930D6A">
        <w:rPr>
          <w:noProof/>
          <w:lang w:eastAsia="en-AU"/>
        </w:rPr>
        <w:drawing>
          <wp:inline distT="0" distB="0" distL="0" distR="0" wp14:anchorId="79244FBA" wp14:editId="01139D0B">
            <wp:extent cx="5304155" cy="3340735"/>
            <wp:effectExtent l="0" t="0" r="0" b="0"/>
            <wp:docPr id="36" name="Picture 36" descr="Line chart showing the number of new light vehicle registrations in Australia from the years 1969 to 2019. In 1969 there were around 441,000 registrations and in 2019 there were around 920,000 registrations." title="New light vehicle registration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4155" cy="3340735"/>
                    </a:xfrm>
                    <a:prstGeom prst="rect">
                      <a:avLst/>
                    </a:prstGeom>
                    <a:noFill/>
                  </pic:spPr>
                </pic:pic>
              </a:graphicData>
            </a:graphic>
          </wp:inline>
        </w:drawing>
      </w:r>
    </w:p>
    <w:p w14:paraId="1E4421C2" w14:textId="154B416F" w:rsidR="00271A50" w:rsidRPr="00930D6A" w:rsidRDefault="00271A50" w:rsidP="00F670CA">
      <w:pPr>
        <w:pStyle w:val="ListNumbered1"/>
        <w:keepNext/>
        <w:ind w:left="567" w:hanging="567"/>
        <w:rPr>
          <w:lang w:val="en-AU"/>
        </w:rPr>
      </w:pPr>
      <w:r w:rsidRPr="00930D6A">
        <w:rPr>
          <w:lang w:val="en-AU"/>
        </w:rPr>
        <w:lastRenderedPageBreak/>
        <w:t>Data from MUARC (2020) was used to determine the typical pedestrian crash frequency by age for light vehicles (</w:t>
      </w:r>
      <w:r w:rsidRPr="003C45B0">
        <w:fldChar w:fldCharType="begin"/>
      </w:r>
      <w:r w:rsidRPr="00930D6A">
        <w:rPr>
          <w:lang w:val="en-AU"/>
        </w:rPr>
        <w:instrText xml:space="preserve"> REF _Ref95832261 \h  \* MERGEFORMAT </w:instrText>
      </w:r>
      <w:r w:rsidRPr="003C45B0">
        <w:rPr>
          <w:lang w:val="en-AU"/>
        </w:rPr>
        <w:fldChar w:fldCharType="separate"/>
      </w:r>
      <w:r w:rsidR="005E58C6" w:rsidRPr="005E58C6">
        <w:rPr>
          <w:lang w:val="en-AU"/>
        </w:rPr>
        <w:t>Figure 8</w:t>
      </w:r>
      <w:r w:rsidRPr="003C45B0">
        <w:fldChar w:fldCharType="end"/>
      </w:r>
      <w:r w:rsidRPr="00930D6A">
        <w:rPr>
          <w:lang w:val="en-AU"/>
        </w:rPr>
        <w:t>).</w:t>
      </w:r>
    </w:p>
    <w:p w14:paraId="36CFCBA5" w14:textId="52AEA95F" w:rsidR="00271A50" w:rsidRPr="00930D6A" w:rsidRDefault="00271A50" w:rsidP="00F670CA">
      <w:pPr>
        <w:pStyle w:val="Tablefigureheading"/>
      </w:pPr>
      <w:bookmarkStart w:id="240" w:name="_Ref95832261"/>
      <w:bookmarkStart w:id="241" w:name="_Toc128476432"/>
      <w:bookmarkStart w:id="242" w:name="_Toc153795492"/>
      <w:r w:rsidRPr="00930D6A">
        <w:t xml:space="preserve">Figure </w:t>
      </w:r>
      <w:fldSimple w:instr=" SEQ Figure \* ARABIC ">
        <w:r w:rsidR="005E58C6">
          <w:rPr>
            <w:noProof/>
          </w:rPr>
          <w:t>8</w:t>
        </w:r>
      </w:fldSimple>
      <w:bookmarkEnd w:id="240"/>
      <w:r w:rsidRPr="00930D6A">
        <w:t>: Pedestrian crash frequency by age of vehicle</w:t>
      </w:r>
      <w:bookmarkEnd w:id="241"/>
      <w:bookmarkEnd w:id="242"/>
    </w:p>
    <w:p w14:paraId="5CC44D4F" w14:textId="77777777" w:rsidR="00271A50" w:rsidRPr="00930D6A" w:rsidRDefault="00271A50" w:rsidP="00271A50">
      <w:r w:rsidRPr="00930D6A">
        <w:rPr>
          <w:noProof/>
          <w:lang w:eastAsia="en-AU"/>
        </w:rPr>
        <w:drawing>
          <wp:inline distT="0" distB="0" distL="0" distR="0" wp14:anchorId="687C55E2" wp14:editId="04F7A35C">
            <wp:extent cx="5074163" cy="3190875"/>
            <wp:effectExtent l="0" t="0" r="0" b="0"/>
            <wp:docPr id="37" name="Picture 37" descr="Line chart showing the typical pedestrian crash frequency by age of the vehicle." title="Pedestrian crash frequency by age of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2600" cy="3202469"/>
                    </a:xfrm>
                    <a:prstGeom prst="rect">
                      <a:avLst/>
                    </a:prstGeom>
                    <a:noFill/>
                  </pic:spPr>
                </pic:pic>
              </a:graphicData>
            </a:graphic>
          </wp:inline>
        </w:drawing>
      </w:r>
    </w:p>
    <w:p w14:paraId="71D6BDC4" w14:textId="20E65093" w:rsidR="00271A50" w:rsidRPr="00930D6A" w:rsidRDefault="00271A50" w:rsidP="00F670CA">
      <w:pPr>
        <w:pStyle w:val="ListNumbered1"/>
        <w:ind w:left="567" w:hanging="567"/>
        <w:rPr>
          <w:lang w:val="en-AU"/>
        </w:rPr>
      </w:pPr>
      <w:r w:rsidRPr="00930D6A">
        <w:rPr>
          <w:lang w:val="en-AU"/>
        </w:rPr>
        <w:t xml:space="preserve">The data from steps 1 and 2 were used to determine the likelihood of a vehicle of a given age being involved in a casualty crash over </w:t>
      </w:r>
      <w:r>
        <w:rPr>
          <w:lang w:val="en-AU"/>
        </w:rPr>
        <w:t xml:space="preserve">the </w:t>
      </w:r>
      <w:r w:rsidRPr="00930D6A">
        <w:rPr>
          <w:lang w:val="en-AU"/>
        </w:rPr>
        <w:t>course of one year as a function of number of registered vehicles of a given age (</w:t>
      </w:r>
      <w:r w:rsidRPr="003C45B0">
        <w:fldChar w:fldCharType="begin"/>
      </w:r>
      <w:r w:rsidRPr="00930D6A">
        <w:rPr>
          <w:lang w:val="en-AU"/>
        </w:rPr>
        <w:instrText xml:space="preserve"> REF _Ref95832382 \h  \* MERGEFORMAT </w:instrText>
      </w:r>
      <w:r w:rsidRPr="003C45B0">
        <w:rPr>
          <w:lang w:val="en-AU"/>
        </w:rPr>
        <w:fldChar w:fldCharType="separate"/>
      </w:r>
      <w:r w:rsidR="005E58C6" w:rsidRPr="005E58C6">
        <w:rPr>
          <w:lang w:val="en-AU"/>
        </w:rPr>
        <w:t>Figure 9</w:t>
      </w:r>
      <w:r w:rsidRPr="003C45B0">
        <w:fldChar w:fldCharType="end"/>
      </w:r>
      <w:r w:rsidRPr="00930D6A">
        <w:rPr>
          <w:lang w:val="en-AU"/>
        </w:rPr>
        <w:t>).</w:t>
      </w:r>
    </w:p>
    <w:p w14:paraId="563B01E3" w14:textId="333EDADB" w:rsidR="00271A50" w:rsidRPr="00930D6A" w:rsidRDefault="00271A50" w:rsidP="00F670CA">
      <w:pPr>
        <w:pStyle w:val="Tablefigureheading"/>
      </w:pPr>
      <w:bookmarkStart w:id="243" w:name="_Ref95832382"/>
      <w:bookmarkStart w:id="244" w:name="_Toc128476433"/>
      <w:bookmarkStart w:id="245" w:name="_Toc153795493"/>
      <w:r w:rsidRPr="00930D6A">
        <w:t xml:space="preserve">Figure </w:t>
      </w:r>
      <w:fldSimple w:instr=" SEQ Figure \* ARABIC ">
        <w:r w:rsidR="005E58C6">
          <w:rPr>
            <w:noProof/>
          </w:rPr>
          <w:t>9</w:t>
        </w:r>
      </w:fldSimple>
      <w:bookmarkEnd w:id="243"/>
      <w:r w:rsidRPr="00930D6A">
        <w:t>: Casualty crash likelihood with vehicle age</w:t>
      </w:r>
      <w:bookmarkEnd w:id="244"/>
      <w:bookmarkEnd w:id="245"/>
    </w:p>
    <w:p w14:paraId="30C43AB5" w14:textId="77777777" w:rsidR="00271A50" w:rsidRPr="00930D6A" w:rsidRDefault="00271A50" w:rsidP="00271A50">
      <w:r w:rsidRPr="00930D6A">
        <w:rPr>
          <w:noProof/>
          <w:lang w:eastAsia="en-AU"/>
        </w:rPr>
        <w:drawing>
          <wp:inline distT="0" distB="0" distL="0" distR="0" wp14:anchorId="2B42C0B6" wp14:editId="3AE7DA1D">
            <wp:extent cx="5136376" cy="3333750"/>
            <wp:effectExtent l="0" t="0" r="7620" b="0"/>
            <wp:docPr id="38" name="Picture 38" descr="Line chart showing the likelihood of a vehicle of a given age being involved in a casualty crash over the course of one year as a function of number of registered vehicles of a given age." title="Casualty crash likelihood with vehicl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7325" cy="3347347"/>
                    </a:xfrm>
                    <a:prstGeom prst="rect">
                      <a:avLst/>
                    </a:prstGeom>
                    <a:noFill/>
                  </pic:spPr>
                </pic:pic>
              </a:graphicData>
            </a:graphic>
          </wp:inline>
        </w:drawing>
      </w:r>
    </w:p>
    <w:p w14:paraId="730CF20A" w14:textId="4989DF7A" w:rsidR="00271A50" w:rsidRPr="00930D6A" w:rsidRDefault="00271A50" w:rsidP="00F670CA">
      <w:pPr>
        <w:pStyle w:val="ListNumbered1"/>
        <w:keepNext/>
        <w:ind w:left="567" w:hanging="567"/>
        <w:rPr>
          <w:lang w:val="en-AU"/>
        </w:rPr>
      </w:pPr>
      <w:r w:rsidRPr="00930D6A">
        <w:rPr>
          <w:lang w:val="en-AU"/>
        </w:rPr>
        <w:lastRenderedPageBreak/>
        <w:t xml:space="preserve">Recent </w:t>
      </w:r>
      <w:r w:rsidR="00E472C7">
        <w:rPr>
          <w:lang w:val="en-AU"/>
        </w:rPr>
        <w:t xml:space="preserve">QRTV </w:t>
      </w:r>
      <w:r w:rsidRPr="00930D6A">
        <w:rPr>
          <w:lang w:val="en-AU"/>
        </w:rPr>
        <w:t xml:space="preserve">sales </w:t>
      </w:r>
      <w:r w:rsidR="00E472C7">
        <w:rPr>
          <w:lang w:val="en-AU"/>
        </w:rPr>
        <w:t>projections</w:t>
      </w:r>
      <w:r w:rsidRPr="00930D6A">
        <w:rPr>
          <w:lang w:val="en-AU"/>
        </w:rPr>
        <w:t xml:space="preserve"> for the relevant vehicle categories were established (</w:t>
      </w:r>
      <w:r w:rsidRPr="003C45B0">
        <w:fldChar w:fldCharType="begin"/>
      </w:r>
      <w:r w:rsidRPr="00930D6A">
        <w:rPr>
          <w:lang w:val="en-AU"/>
        </w:rPr>
        <w:instrText xml:space="preserve"> REF _Ref95832574 \h </w:instrText>
      </w:r>
      <w:r w:rsidRPr="003C45B0">
        <w:rPr>
          <w:lang w:val="en-AU"/>
        </w:rPr>
        <w:fldChar w:fldCharType="separate"/>
      </w:r>
      <w:r w:rsidR="005E58C6" w:rsidRPr="00930D6A">
        <w:t xml:space="preserve">Figure </w:t>
      </w:r>
      <w:r w:rsidR="005E58C6">
        <w:rPr>
          <w:noProof/>
        </w:rPr>
        <w:t>10</w:t>
      </w:r>
      <w:r w:rsidRPr="003C45B0">
        <w:fldChar w:fldCharType="end"/>
      </w:r>
      <w:r w:rsidRPr="00930D6A">
        <w:rPr>
          <w:lang w:val="en-AU"/>
        </w:rPr>
        <w:t>):</w:t>
      </w:r>
    </w:p>
    <w:p w14:paraId="52AE63FD" w14:textId="12C19DBB" w:rsidR="00271A50" w:rsidRPr="00930D6A" w:rsidRDefault="00271A50" w:rsidP="00F670CA">
      <w:pPr>
        <w:pStyle w:val="Tablefigureheading"/>
      </w:pPr>
      <w:bookmarkStart w:id="246" w:name="_Ref95832574"/>
      <w:bookmarkStart w:id="247" w:name="_Toc128476434"/>
      <w:bookmarkStart w:id="248" w:name="_Toc153795494"/>
      <w:r w:rsidRPr="00930D6A">
        <w:t xml:space="preserve">Figure </w:t>
      </w:r>
      <w:fldSimple w:instr=" SEQ Figure \* ARABIC ">
        <w:r w:rsidR="005E58C6">
          <w:rPr>
            <w:noProof/>
          </w:rPr>
          <w:t>10</w:t>
        </w:r>
      </w:fldSimple>
      <w:bookmarkEnd w:id="246"/>
      <w:r w:rsidRPr="00930D6A">
        <w:t xml:space="preserve">: </w:t>
      </w:r>
      <w:r w:rsidR="00E472C7">
        <w:t xml:space="preserve">Projected </w:t>
      </w:r>
      <w:r w:rsidRPr="00930D6A">
        <w:t xml:space="preserve">New </w:t>
      </w:r>
      <w:r w:rsidR="00E472C7">
        <w:t>QRTV</w:t>
      </w:r>
      <w:r w:rsidRPr="00930D6A">
        <w:t xml:space="preserve"> sales by year</w:t>
      </w:r>
      <w:bookmarkEnd w:id="247"/>
      <w:bookmarkEnd w:id="248"/>
    </w:p>
    <w:p w14:paraId="073ED295" w14:textId="3B373677" w:rsidR="00271A50" w:rsidRPr="00930D6A" w:rsidRDefault="00763F63" w:rsidP="00271A50">
      <w:r>
        <w:rPr>
          <w:noProof/>
          <w:lang w:eastAsia="en-AU"/>
        </w:rPr>
        <w:drawing>
          <wp:inline distT="0" distB="0" distL="0" distR="0" wp14:anchorId="051EF6A5" wp14:editId="32A384D0">
            <wp:extent cx="6584315" cy="3395980"/>
            <wp:effectExtent l="0" t="0" r="6985" b="0"/>
            <wp:docPr id="13" name="Picture 13" descr="Figure 10 is a line graph illustrating expected growth in quiet road transport vehicles over the next 50 years. The number of quiet road transport vehicles sold in Australia is expected to grow from around 100,000 at present to over 1 million by 2040 and around 2.5 million by 20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4315" cy="3395980"/>
                    </a:xfrm>
                    <a:prstGeom prst="rect">
                      <a:avLst/>
                    </a:prstGeom>
                    <a:noFill/>
                  </pic:spPr>
                </pic:pic>
              </a:graphicData>
            </a:graphic>
          </wp:inline>
        </w:drawing>
      </w:r>
    </w:p>
    <w:p w14:paraId="1021404D" w14:textId="77777777" w:rsidR="00271A50" w:rsidRPr="00930D6A" w:rsidRDefault="00271A50" w:rsidP="00271A50">
      <w:r w:rsidRPr="00930D6A">
        <w:t>Short to medium term forecast sales were derived from industry data of past sales (VFACTS), growth factors approximated using data from the Australian Bureau of Statistics. Electric vehicle uptake was estimated in accordance with BITRE (2019).</w:t>
      </w:r>
    </w:p>
    <w:p w14:paraId="66AC76DA" w14:textId="77777777" w:rsidR="00271A50" w:rsidRPr="00930D6A" w:rsidRDefault="00271A50" w:rsidP="00271A50">
      <w:r w:rsidRPr="00930D6A">
        <w:t>To estimate hybrid vehicle sales, all new vehicle sales from 2054 were assumed to be electric vehicles (consistent with Lawrence et al 2020). Hybrid vehicle sales were assumed to increase gradually from current levels to a level where hybrids account for all non-plug-in electric vehicle sales from 2054.</w:t>
      </w:r>
    </w:p>
    <w:p w14:paraId="015881D6" w14:textId="7AA40494" w:rsidR="00271A50" w:rsidRPr="00930D6A" w:rsidRDefault="00271A50" w:rsidP="00310D3F">
      <w:pPr>
        <w:pStyle w:val="ListNumbered1"/>
        <w:keepNext/>
        <w:ind w:left="567" w:hanging="567"/>
        <w:rPr>
          <w:lang w:val="en-AU"/>
        </w:rPr>
      </w:pPr>
      <w:r w:rsidRPr="00930D6A">
        <w:rPr>
          <w:lang w:val="en-AU"/>
        </w:rPr>
        <w:lastRenderedPageBreak/>
        <w:t>The projected increased fitment rate for electric vehicles at sale under Option 2 was established (</w:t>
      </w:r>
      <w:r w:rsidR="009E36FC">
        <w:rPr>
          <w:lang w:val="en-AU"/>
        </w:rPr>
        <w:fldChar w:fldCharType="begin"/>
      </w:r>
      <w:r w:rsidR="009E36FC">
        <w:rPr>
          <w:lang w:val="en-AU"/>
        </w:rPr>
        <w:instrText xml:space="preserve"> REF _Ref151387705 \h </w:instrText>
      </w:r>
      <w:r w:rsidR="009E36FC">
        <w:rPr>
          <w:lang w:val="en-AU"/>
        </w:rPr>
      </w:r>
      <w:r w:rsidR="009E36FC">
        <w:rPr>
          <w:lang w:val="en-AU"/>
        </w:rPr>
        <w:fldChar w:fldCharType="separate"/>
      </w:r>
      <w:r w:rsidR="005E58C6">
        <w:t xml:space="preserve">Figure </w:t>
      </w:r>
      <w:r w:rsidR="005E58C6">
        <w:rPr>
          <w:noProof/>
        </w:rPr>
        <w:t>11</w:t>
      </w:r>
      <w:r w:rsidR="009E36FC">
        <w:rPr>
          <w:lang w:val="en-AU"/>
        </w:rPr>
        <w:fldChar w:fldCharType="end"/>
      </w:r>
      <w:r w:rsidRPr="00930D6A">
        <w:rPr>
          <w:lang w:val="en-AU"/>
        </w:rPr>
        <w:t>).</w:t>
      </w:r>
    </w:p>
    <w:p w14:paraId="3B798CCA" w14:textId="1B04B22F" w:rsidR="00271A50" w:rsidRPr="00930D6A" w:rsidRDefault="00763F63" w:rsidP="00310D3F">
      <w:pPr>
        <w:pStyle w:val="Tablefigureheading"/>
      </w:pPr>
      <w:bookmarkStart w:id="249" w:name="_Ref151387705"/>
      <w:bookmarkStart w:id="250" w:name="_Ref151387700"/>
      <w:bookmarkStart w:id="251" w:name="_Toc128476435"/>
      <w:bookmarkStart w:id="252" w:name="_Toc153795495"/>
      <w:r>
        <w:t xml:space="preserve">Figure </w:t>
      </w:r>
      <w:fldSimple w:instr=" SEQ Figure \* ARABIC ">
        <w:r w:rsidR="005E58C6">
          <w:rPr>
            <w:noProof/>
          </w:rPr>
          <w:t>11</w:t>
        </w:r>
      </w:fldSimple>
      <w:bookmarkEnd w:id="249"/>
      <w:r>
        <w:t>:</w:t>
      </w:r>
      <w:r w:rsidRPr="00763F63">
        <w:t xml:space="preserve"> </w:t>
      </w:r>
      <w:r w:rsidRPr="00930D6A">
        <w:t>Projected AVAS fitment rate under Option 1</w:t>
      </w:r>
      <w:r>
        <w:t>, 2 ,3a and 3b</w:t>
      </w:r>
      <w:bookmarkEnd w:id="250"/>
      <w:bookmarkEnd w:id="251"/>
      <w:bookmarkEnd w:id="252"/>
    </w:p>
    <w:p w14:paraId="411AF501" w14:textId="06E14E05" w:rsidR="00271A50" w:rsidRPr="00930D6A" w:rsidRDefault="00271A50" w:rsidP="00271A50">
      <w:r w:rsidRPr="00930D6A">
        <w:rPr>
          <w:lang w:eastAsia="en-AU"/>
        </w:rPr>
        <w:t xml:space="preserve"> </w:t>
      </w:r>
      <w:r w:rsidR="00EA6610">
        <w:rPr>
          <w:noProof/>
          <w:lang w:eastAsia="en-AU"/>
        </w:rPr>
        <w:drawing>
          <wp:inline distT="0" distB="0" distL="0" distR="0" wp14:anchorId="38DE53C1" wp14:editId="0C7AC9BF">
            <wp:extent cx="6019800" cy="4701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800" cy="4701540"/>
                    </a:xfrm>
                    <a:prstGeom prst="rect">
                      <a:avLst/>
                    </a:prstGeom>
                    <a:noFill/>
                  </pic:spPr>
                </pic:pic>
              </a:graphicData>
            </a:graphic>
          </wp:inline>
        </w:drawing>
      </w:r>
    </w:p>
    <w:p w14:paraId="42360194" w14:textId="6AC9CB2B" w:rsidR="00271A50" w:rsidRPr="00930D6A" w:rsidRDefault="00271A50" w:rsidP="00310D3F">
      <w:pPr>
        <w:pStyle w:val="ListNumbered1"/>
        <w:keepNext/>
        <w:ind w:left="567" w:hanging="567"/>
        <w:rPr>
          <w:lang w:val="en-AU"/>
        </w:rPr>
      </w:pPr>
      <w:r w:rsidRPr="00930D6A">
        <w:rPr>
          <w:lang w:val="en-AU"/>
        </w:rPr>
        <w:t>From sales data (step 4) and fitment data (step 5), the fitment increase under Option 2 was determined (</w:t>
      </w:r>
      <w:r w:rsidRPr="008163A2">
        <w:fldChar w:fldCharType="begin"/>
      </w:r>
      <w:r w:rsidRPr="00930D6A">
        <w:rPr>
          <w:lang w:val="en-AU"/>
        </w:rPr>
        <w:instrText xml:space="preserve"> REF _Ref95899777 \h </w:instrText>
      </w:r>
      <w:r w:rsidRPr="008163A2">
        <w:rPr>
          <w:lang w:val="en-AU"/>
        </w:rPr>
        <w:fldChar w:fldCharType="separate"/>
      </w:r>
      <w:r w:rsidR="005E58C6" w:rsidRPr="00930D6A">
        <w:t xml:space="preserve">Table </w:t>
      </w:r>
      <w:r w:rsidR="005E58C6">
        <w:rPr>
          <w:noProof/>
        </w:rPr>
        <w:t>8</w:t>
      </w:r>
      <w:r w:rsidRPr="008163A2">
        <w:fldChar w:fldCharType="end"/>
      </w:r>
      <w:r w:rsidRPr="00930D6A">
        <w:rPr>
          <w:lang w:val="en-AU"/>
        </w:rPr>
        <w:t>).</w:t>
      </w:r>
    </w:p>
    <w:p w14:paraId="2CE758EB" w14:textId="4258E276" w:rsidR="00271A50" w:rsidRPr="00930D6A" w:rsidRDefault="00271A50" w:rsidP="00310D3F">
      <w:pPr>
        <w:pStyle w:val="Tablefigureheading"/>
      </w:pPr>
      <w:bookmarkStart w:id="253" w:name="_Ref95899777"/>
      <w:bookmarkStart w:id="254" w:name="_Toc128476436"/>
      <w:bookmarkStart w:id="255" w:name="_Toc153795496"/>
      <w:r w:rsidRPr="00930D6A">
        <w:t xml:space="preserve">Table </w:t>
      </w:r>
      <w:fldSimple w:instr=" SEQ Table \* ARABIC ">
        <w:r w:rsidR="005E58C6">
          <w:rPr>
            <w:noProof/>
          </w:rPr>
          <w:t>8</w:t>
        </w:r>
      </w:fldSimple>
      <w:bookmarkEnd w:id="253"/>
      <w:r w:rsidRPr="00930D6A">
        <w:t>: Increase in fitment of AVAS due to Option 2</w:t>
      </w:r>
      <w:bookmarkEnd w:id="254"/>
      <w:r w:rsidR="00E472C7">
        <w:t>, 3a and 3b</w:t>
      </w:r>
      <w:bookmarkEnd w:id="255"/>
    </w:p>
    <w:tbl>
      <w:tblPr>
        <w:tblStyle w:val="DefaultTable11"/>
        <w:tblW w:w="5000" w:type="pct"/>
        <w:tblLook w:val="0420" w:firstRow="1" w:lastRow="0" w:firstColumn="0" w:lastColumn="0" w:noHBand="0" w:noVBand="1"/>
        <w:tblCaption w:val="Increase in fitment of AVAS due to Option 2"/>
        <w:tblDescription w:val="Table showing the increase in fitment of AVAS due to Option 2, by year, from 2025 to 2059."/>
      </w:tblPr>
      <w:tblGrid>
        <w:gridCol w:w="1759"/>
        <w:gridCol w:w="2572"/>
        <w:gridCol w:w="2572"/>
        <w:gridCol w:w="2572"/>
      </w:tblGrid>
      <w:tr w:rsidR="00E472C7" w:rsidRPr="00930D6A" w14:paraId="2A8B6AFF" w14:textId="17DF146D" w:rsidTr="008163A2">
        <w:trPr>
          <w:cnfStyle w:val="100000000000" w:firstRow="1" w:lastRow="0" w:firstColumn="0" w:lastColumn="0" w:oddVBand="0" w:evenVBand="0" w:oddHBand="0" w:evenHBand="0" w:firstRowFirstColumn="0" w:firstRowLastColumn="0" w:lastRowFirstColumn="0" w:lastRowLastColumn="0"/>
        </w:trPr>
        <w:tc>
          <w:tcPr>
            <w:tcW w:w="928" w:type="pct"/>
          </w:tcPr>
          <w:p w14:paraId="424AF428" w14:textId="77777777" w:rsidR="00E472C7" w:rsidRPr="00930D6A" w:rsidRDefault="00E472C7" w:rsidP="00271A50">
            <w:r w:rsidRPr="00930D6A">
              <w:t>Year</w:t>
            </w:r>
          </w:p>
        </w:tc>
        <w:tc>
          <w:tcPr>
            <w:tcW w:w="1357" w:type="pct"/>
          </w:tcPr>
          <w:p w14:paraId="3AD1007D" w14:textId="77777777" w:rsidR="00E472C7" w:rsidRPr="00E472C7" w:rsidRDefault="00E472C7" w:rsidP="00271A50">
            <w:pPr>
              <w:rPr>
                <w:b w:val="0"/>
                <w:color w:val="FFFFFF" w:themeColor="background1"/>
              </w:rPr>
            </w:pPr>
            <w:r w:rsidRPr="00E472C7">
              <w:t>Fitment increase</w:t>
            </w:r>
          </w:p>
          <w:p w14:paraId="508572A1" w14:textId="0CB952A1" w:rsidR="00E472C7" w:rsidRPr="008163A2" w:rsidRDefault="00E472C7" w:rsidP="00271A50">
            <w:r w:rsidRPr="008163A2">
              <w:t>Option 2</w:t>
            </w:r>
          </w:p>
        </w:tc>
        <w:tc>
          <w:tcPr>
            <w:tcW w:w="1357" w:type="pct"/>
          </w:tcPr>
          <w:p w14:paraId="1AA984AE" w14:textId="77777777" w:rsidR="00E472C7" w:rsidRPr="00E472C7" w:rsidRDefault="00E472C7" w:rsidP="00E472C7">
            <w:pPr>
              <w:rPr>
                <w:b w:val="0"/>
                <w:color w:val="FFFFFF" w:themeColor="background1"/>
              </w:rPr>
            </w:pPr>
            <w:r w:rsidRPr="00E472C7">
              <w:t>Fitment increase</w:t>
            </w:r>
          </w:p>
          <w:p w14:paraId="700B9BC2" w14:textId="5C5F2724" w:rsidR="00E472C7" w:rsidRPr="00E472C7" w:rsidRDefault="00E472C7" w:rsidP="00E472C7">
            <w:r w:rsidRPr="008163A2">
              <w:t>Option 3a</w:t>
            </w:r>
          </w:p>
        </w:tc>
        <w:tc>
          <w:tcPr>
            <w:tcW w:w="1357" w:type="pct"/>
          </w:tcPr>
          <w:p w14:paraId="6C40AA4C" w14:textId="77777777" w:rsidR="00E472C7" w:rsidRPr="00E472C7" w:rsidRDefault="00E472C7" w:rsidP="00E472C7">
            <w:pPr>
              <w:rPr>
                <w:b w:val="0"/>
                <w:color w:val="FFFFFF" w:themeColor="background1"/>
              </w:rPr>
            </w:pPr>
            <w:r w:rsidRPr="00E472C7">
              <w:t>Fitment increase</w:t>
            </w:r>
          </w:p>
          <w:p w14:paraId="641F558A" w14:textId="32195B50" w:rsidR="00E472C7" w:rsidRPr="00E472C7" w:rsidRDefault="00E472C7" w:rsidP="00E472C7">
            <w:r w:rsidRPr="008163A2">
              <w:t>Option 3b</w:t>
            </w:r>
          </w:p>
        </w:tc>
      </w:tr>
      <w:tr w:rsidR="00E472C7" w:rsidRPr="00930D6A" w14:paraId="580BB349" w14:textId="1E58FBE3" w:rsidTr="008163A2">
        <w:tc>
          <w:tcPr>
            <w:tcW w:w="928" w:type="pct"/>
          </w:tcPr>
          <w:p w14:paraId="419490AD" w14:textId="77777777" w:rsidR="00E472C7" w:rsidRPr="00930D6A" w:rsidRDefault="00E472C7" w:rsidP="00E472C7">
            <w:r w:rsidRPr="00930D6A">
              <w:t>2025</w:t>
            </w:r>
          </w:p>
        </w:tc>
        <w:tc>
          <w:tcPr>
            <w:tcW w:w="1357" w:type="pct"/>
          </w:tcPr>
          <w:p w14:paraId="7B7F2718" w14:textId="77777777" w:rsidR="00E472C7" w:rsidRPr="00930D6A" w:rsidRDefault="00E472C7" w:rsidP="00E472C7">
            <w:r w:rsidRPr="00930D6A">
              <w:t>38,162</w:t>
            </w:r>
          </w:p>
        </w:tc>
        <w:tc>
          <w:tcPr>
            <w:tcW w:w="1357" w:type="pct"/>
          </w:tcPr>
          <w:p w14:paraId="2EDC70A6" w14:textId="204177CA" w:rsidR="00E472C7" w:rsidRPr="00930D6A" w:rsidRDefault="00E472C7" w:rsidP="00E472C7">
            <w:r w:rsidRPr="008163A2">
              <w:rPr>
                <w:sz w:val="22"/>
                <w:szCs w:val="22"/>
              </w:rPr>
              <w:t xml:space="preserve">39,040 </w:t>
            </w:r>
          </w:p>
        </w:tc>
        <w:tc>
          <w:tcPr>
            <w:tcW w:w="1357" w:type="pct"/>
          </w:tcPr>
          <w:p w14:paraId="56C3F0E8" w14:textId="26864D96" w:rsidR="00E472C7" w:rsidRPr="00930D6A" w:rsidRDefault="00E472C7" w:rsidP="00E472C7"/>
        </w:tc>
      </w:tr>
      <w:tr w:rsidR="00E472C7" w:rsidRPr="00930D6A" w14:paraId="5D154C16" w14:textId="6FB5B146"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53E9E331" w14:textId="77777777" w:rsidR="00E472C7" w:rsidRPr="00930D6A" w:rsidRDefault="00E472C7" w:rsidP="00E472C7">
            <w:r w:rsidRPr="00930D6A">
              <w:t>2026</w:t>
            </w:r>
          </w:p>
        </w:tc>
        <w:tc>
          <w:tcPr>
            <w:tcW w:w="1357" w:type="pct"/>
          </w:tcPr>
          <w:p w14:paraId="4EBDA950" w14:textId="77777777" w:rsidR="00E472C7" w:rsidRPr="00930D6A" w:rsidRDefault="00E472C7" w:rsidP="00E472C7">
            <w:r w:rsidRPr="00930D6A">
              <w:t>146,531</w:t>
            </w:r>
          </w:p>
        </w:tc>
        <w:tc>
          <w:tcPr>
            <w:tcW w:w="1357" w:type="pct"/>
          </w:tcPr>
          <w:p w14:paraId="4CE05508" w14:textId="24C6DD3F" w:rsidR="00E472C7" w:rsidRPr="00930D6A" w:rsidRDefault="00E472C7" w:rsidP="00E472C7">
            <w:r w:rsidRPr="008163A2">
              <w:rPr>
                <w:sz w:val="22"/>
                <w:szCs w:val="22"/>
              </w:rPr>
              <w:t xml:space="preserve">151,098 </w:t>
            </w:r>
          </w:p>
        </w:tc>
        <w:tc>
          <w:tcPr>
            <w:tcW w:w="1357" w:type="pct"/>
          </w:tcPr>
          <w:p w14:paraId="285EB488" w14:textId="1AA2512A" w:rsidR="00E472C7" w:rsidRPr="00930D6A" w:rsidRDefault="00E472C7" w:rsidP="00E472C7">
            <w:r w:rsidRPr="005532CB">
              <w:t xml:space="preserve">40,494 </w:t>
            </w:r>
          </w:p>
        </w:tc>
      </w:tr>
      <w:tr w:rsidR="00E472C7" w:rsidRPr="00930D6A" w14:paraId="3A2C8AE9" w14:textId="7CEB54F2" w:rsidTr="008163A2">
        <w:tc>
          <w:tcPr>
            <w:tcW w:w="928" w:type="pct"/>
          </w:tcPr>
          <w:p w14:paraId="1514C2A9" w14:textId="77777777" w:rsidR="00E472C7" w:rsidRPr="00930D6A" w:rsidRDefault="00E472C7" w:rsidP="00E472C7">
            <w:r w:rsidRPr="00930D6A">
              <w:t>2027</w:t>
            </w:r>
          </w:p>
        </w:tc>
        <w:tc>
          <w:tcPr>
            <w:tcW w:w="1357" w:type="pct"/>
          </w:tcPr>
          <w:p w14:paraId="587C78A1" w14:textId="77777777" w:rsidR="00E472C7" w:rsidRPr="00930D6A" w:rsidRDefault="00E472C7" w:rsidP="00E472C7">
            <w:r w:rsidRPr="00930D6A">
              <w:t>168,447</w:t>
            </w:r>
          </w:p>
        </w:tc>
        <w:tc>
          <w:tcPr>
            <w:tcW w:w="1357" w:type="pct"/>
          </w:tcPr>
          <w:p w14:paraId="3564CC47" w14:textId="55EAA6C0" w:rsidR="00E472C7" w:rsidRPr="00930D6A" w:rsidRDefault="00E472C7" w:rsidP="00E472C7">
            <w:r w:rsidRPr="008163A2">
              <w:rPr>
                <w:sz w:val="22"/>
                <w:szCs w:val="22"/>
              </w:rPr>
              <w:t xml:space="preserve">176,027 </w:t>
            </w:r>
          </w:p>
        </w:tc>
        <w:tc>
          <w:tcPr>
            <w:tcW w:w="1357" w:type="pct"/>
          </w:tcPr>
          <w:p w14:paraId="6B26BD19" w14:textId="05FE4481" w:rsidR="00E472C7" w:rsidRPr="00930D6A" w:rsidRDefault="00E472C7" w:rsidP="00E472C7">
            <w:r w:rsidRPr="005532CB">
              <w:t xml:space="preserve">176,027 </w:t>
            </w:r>
          </w:p>
        </w:tc>
      </w:tr>
      <w:tr w:rsidR="00E472C7" w:rsidRPr="00930D6A" w14:paraId="1016B32C" w14:textId="2E31664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59D9DEFD" w14:textId="77777777" w:rsidR="00E472C7" w:rsidRPr="00930D6A" w:rsidRDefault="00E472C7" w:rsidP="00E472C7">
            <w:r w:rsidRPr="00930D6A">
              <w:t>2028</w:t>
            </w:r>
          </w:p>
        </w:tc>
        <w:tc>
          <w:tcPr>
            <w:tcW w:w="1357" w:type="pct"/>
          </w:tcPr>
          <w:p w14:paraId="164C81A7" w14:textId="77777777" w:rsidR="00E472C7" w:rsidRPr="00930D6A" w:rsidRDefault="00E472C7" w:rsidP="00E472C7">
            <w:r w:rsidRPr="00930D6A">
              <w:t>192,887</w:t>
            </w:r>
          </w:p>
        </w:tc>
        <w:tc>
          <w:tcPr>
            <w:tcW w:w="1357" w:type="pct"/>
          </w:tcPr>
          <w:p w14:paraId="4EF788DA" w14:textId="6F8209CF" w:rsidR="00E472C7" w:rsidRPr="00930D6A" w:rsidRDefault="00E472C7" w:rsidP="00E472C7">
            <w:r w:rsidRPr="008163A2">
              <w:rPr>
                <w:sz w:val="22"/>
                <w:szCs w:val="22"/>
              </w:rPr>
              <w:t xml:space="preserve">201,567 </w:t>
            </w:r>
          </w:p>
        </w:tc>
        <w:tc>
          <w:tcPr>
            <w:tcW w:w="1357" w:type="pct"/>
          </w:tcPr>
          <w:p w14:paraId="382C7FD7" w14:textId="27F91BA5" w:rsidR="00E472C7" w:rsidRPr="00930D6A" w:rsidRDefault="00E472C7" w:rsidP="00E472C7">
            <w:r w:rsidRPr="005532CB">
              <w:t xml:space="preserve">201,567 </w:t>
            </w:r>
          </w:p>
        </w:tc>
      </w:tr>
      <w:tr w:rsidR="00E472C7" w:rsidRPr="00930D6A" w14:paraId="6DAF4328" w14:textId="2745D114" w:rsidTr="008163A2">
        <w:tc>
          <w:tcPr>
            <w:tcW w:w="928" w:type="pct"/>
          </w:tcPr>
          <w:p w14:paraId="51E447BF" w14:textId="77777777" w:rsidR="00E472C7" w:rsidRPr="00930D6A" w:rsidRDefault="00E472C7" w:rsidP="00E472C7">
            <w:r w:rsidRPr="00930D6A">
              <w:t>2029</w:t>
            </w:r>
          </w:p>
        </w:tc>
        <w:tc>
          <w:tcPr>
            <w:tcW w:w="1357" w:type="pct"/>
          </w:tcPr>
          <w:p w14:paraId="3DA13D08" w14:textId="77777777" w:rsidR="00E472C7" w:rsidRPr="00930D6A" w:rsidRDefault="00E472C7" w:rsidP="00E472C7">
            <w:r w:rsidRPr="00930D6A">
              <w:t>219,710</w:t>
            </w:r>
          </w:p>
        </w:tc>
        <w:tc>
          <w:tcPr>
            <w:tcW w:w="1357" w:type="pct"/>
          </w:tcPr>
          <w:p w14:paraId="2C7C0E46" w14:textId="0EEC494D" w:rsidR="00E472C7" w:rsidRPr="00930D6A" w:rsidRDefault="00E472C7" w:rsidP="00E472C7">
            <w:r w:rsidRPr="008163A2">
              <w:rPr>
                <w:sz w:val="22"/>
                <w:szCs w:val="22"/>
              </w:rPr>
              <w:t xml:space="preserve">229,597 </w:t>
            </w:r>
          </w:p>
        </w:tc>
        <w:tc>
          <w:tcPr>
            <w:tcW w:w="1357" w:type="pct"/>
          </w:tcPr>
          <w:p w14:paraId="3C72BB2A" w14:textId="373927D7" w:rsidR="00E472C7" w:rsidRPr="00930D6A" w:rsidRDefault="00E472C7" w:rsidP="00E472C7">
            <w:r w:rsidRPr="005532CB">
              <w:t xml:space="preserve">229,597 </w:t>
            </w:r>
          </w:p>
        </w:tc>
      </w:tr>
      <w:tr w:rsidR="00E472C7" w:rsidRPr="00930D6A" w14:paraId="6B627492" w14:textId="59EB7486"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7B03AE8" w14:textId="77777777" w:rsidR="00E472C7" w:rsidRPr="00930D6A" w:rsidRDefault="00E472C7" w:rsidP="00E472C7">
            <w:r w:rsidRPr="00930D6A">
              <w:t>2030</w:t>
            </w:r>
          </w:p>
        </w:tc>
        <w:tc>
          <w:tcPr>
            <w:tcW w:w="1357" w:type="pct"/>
          </w:tcPr>
          <w:p w14:paraId="3ED0CD58" w14:textId="77777777" w:rsidR="00E472C7" w:rsidRPr="00930D6A" w:rsidRDefault="00E472C7" w:rsidP="00E472C7">
            <w:r w:rsidRPr="00930D6A">
              <w:t>248,226</w:t>
            </w:r>
          </w:p>
        </w:tc>
        <w:tc>
          <w:tcPr>
            <w:tcW w:w="1357" w:type="pct"/>
          </w:tcPr>
          <w:p w14:paraId="168F8446" w14:textId="7D7061D6" w:rsidR="00E472C7" w:rsidRPr="00930D6A" w:rsidRDefault="00E472C7" w:rsidP="00E472C7">
            <w:r w:rsidRPr="008163A2">
              <w:rPr>
                <w:sz w:val="22"/>
                <w:szCs w:val="22"/>
              </w:rPr>
              <w:t xml:space="preserve">259,396 </w:t>
            </w:r>
          </w:p>
        </w:tc>
        <w:tc>
          <w:tcPr>
            <w:tcW w:w="1357" w:type="pct"/>
          </w:tcPr>
          <w:p w14:paraId="38E21405" w14:textId="2AE01AF6" w:rsidR="00E472C7" w:rsidRPr="00930D6A" w:rsidRDefault="00E472C7" w:rsidP="00E472C7">
            <w:r w:rsidRPr="005532CB">
              <w:t xml:space="preserve">259,396 </w:t>
            </w:r>
          </w:p>
        </w:tc>
      </w:tr>
      <w:tr w:rsidR="00E472C7" w:rsidRPr="00930D6A" w14:paraId="7744FB1D" w14:textId="52A4C441" w:rsidTr="008163A2">
        <w:tc>
          <w:tcPr>
            <w:tcW w:w="928" w:type="pct"/>
          </w:tcPr>
          <w:p w14:paraId="3B1EE972" w14:textId="77777777" w:rsidR="00E472C7" w:rsidRPr="00930D6A" w:rsidRDefault="00E472C7" w:rsidP="00E472C7">
            <w:r w:rsidRPr="00930D6A">
              <w:t>2031</w:t>
            </w:r>
          </w:p>
        </w:tc>
        <w:tc>
          <w:tcPr>
            <w:tcW w:w="1357" w:type="pct"/>
          </w:tcPr>
          <w:p w14:paraId="2BEE7D2D" w14:textId="77777777" w:rsidR="00E472C7" w:rsidRPr="00930D6A" w:rsidRDefault="00E472C7" w:rsidP="00E472C7">
            <w:r w:rsidRPr="00930D6A">
              <w:t>278,544</w:t>
            </w:r>
          </w:p>
        </w:tc>
        <w:tc>
          <w:tcPr>
            <w:tcW w:w="1357" w:type="pct"/>
          </w:tcPr>
          <w:p w14:paraId="241CF0E8" w14:textId="2A676C95" w:rsidR="00E472C7" w:rsidRPr="00930D6A" w:rsidRDefault="00E472C7" w:rsidP="00E472C7">
            <w:r w:rsidRPr="008163A2">
              <w:rPr>
                <w:sz w:val="22"/>
                <w:szCs w:val="22"/>
              </w:rPr>
              <w:t xml:space="preserve">291,078 </w:t>
            </w:r>
          </w:p>
        </w:tc>
        <w:tc>
          <w:tcPr>
            <w:tcW w:w="1357" w:type="pct"/>
          </w:tcPr>
          <w:p w14:paraId="1609C3AA" w14:textId="447E7FB3" w:rsidR="00E472C7" w:rsidRPr="00930D6A" w:rsidRDefault="00E472C7" w:rsidP="00E472C7">
            <w:r w:rsidRPr="005532CB">
              <w:t xml:space="preserve">291,078 </w:t>
            </w:r>
          </w:p>
        </w:tc>
      </w:tr>
      <w:tr w:rsidR="00E472C7" w:rsidRPr="00930D6A" w14:paraId="42E140FC" w14:textId="34EC3FC7"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2C628A96" w14:textId="77777777" w:rsidR="00E472C7" w:rsidRPr="00930D6A" w:rsidRDefault="00E472C7" w:rsidP="00E472C7">
            <w:r w:rsidRPr="00930D6A">
              <w:t>2032</w:t>
            </w:r>
          </w:p>
        </w:tc>
        <w:tc>
          <w:tcPr>
            <w:tcW w:w="1357" w:type="pct"/>
          </w:tcPr>
          <w:p w14:paraId="5B6B6A7E" w14:textId="77777777" w:rsidR="00E472C7" w:rsidRPr="00930D6A" w:rsidRDefault="00E472C7" w:rsidP="00E472C7">
            <w:r w:rsidRPr="00930D6A">
              <w:t>307,751</w:t>
            </w:r>
          </w:p>
        </w:tc>
        <w:tc>
          <w:tcPr>
            <w:tcW w:w="1357" w:type="pct"/>
          </w:tcPr>
          <w:p w14:paraId="7B6C5A97" w14:textId="14F6240B" w:rsidR="00E472C7" w:rsidRPr="00930D6A" w:rsidRDefault="00E472C7" w:rsidP="00E472C7">
            <w:r w:rsidRPr="008163A2">
              <w:rPr>
                <w:sz w:val="22"/>
                <w:szCs w:val="22"/>
              </w:rPr>
              <w:t xml:space="preserve">321,600 </w:t>
            </w:r>
          </w:p>
        </w:tc>
        <w:tc>
          <w:tcPr>
            <w:tcW w:w="1357" w:type="pct"/>
          </w:tcPr>
          <w:p w14:paraId="66579606" w14:textId="42898288" w:rsidR="00E472C7" w:rsidRPr="00930D6A" w:rsidRDefault="00E472C7" w:rsidP="00E472C7">
            <w:r w:rsidRPr="005532CB">
              <w:t xml:space="preserve">321,600 </w:t>
            </w:r>
          </w:p>
        </w:tc>
      </w:tr>
      <w:tr w:rsidR="00E472C7" w:rsidRPr="00930D6A" w14:paraId="558730CA" w14:textId="7E2869EA" w:rsidTr="008163A2">
        <w:tc>
          <w:tcPr>
            <w:tcW w:w="928" w:type="pct"/>
          </w:tcPr>
          <w:p w14:paraId="5686DBE3" w14:textId="77777777" w:rsidR="00E472C7" w:rsidRPr="00930D6A" w:rsidRDefault="00E472C7" w:rsidP="00E472C7">
            <w:r w:rsidRPr="00930D6A">
              <w:lastRenderedPageBreak/>
              <w:t>2033</w:t>
            </w:r>
          </w:p>
        </w:tc>
        <w:tc>
          <w:tcPr>
            <w:tcW w:w="1357" w:type="pct"/>
          </w:tcPr>
          <w:p w14:paraId="0EAE733A" w14:textId="77777777" w:rsidR="00E472C7" w:rsidRPr="00930D6A" w:rsidRDefault="00E472C7" w:rsidP="00E472C7">
            <w:r w:rsidRPr="00930D6A">
              <w:t>336,736</w:t>
            </w:r>
          </w:p>
        </w:tc>
        <w:tc>
          <w:tcPr>
            <w:tcW w:w="1357" w:type="pct"/>
          </w:tcPr>
          <w:p w14:paraId="26AC77A7" w14:textId="6221154D" w:rsidR="00E472C7" w:rsidRPr="00930D6A" w:rsidRDefault="00E472C7" w:rsidP="00E472C7">
            <w:r w:rsidRPr="008163A2">
              <w:rPr>
                <w:sz w:val="22"/>
                <w:szCs w:val="22"/>
              </w:rPr>
              <w:t xml:space="preserve">351,889 </w:t>
            </w:r>
          </w:p>
        </w:tc>
        <w:tc>
          <w:tcPr>
            <w:tcW w:w="1357" w:type="pct"/>
          </w:tcPr>
          <w:p w14:paraId="6F743D67" w14:textId="532096A4" w:rsidR="00E472C7" w:rsidRPr="00930D6A" w:rsidRDefault="00E472C7" w:rsidP="00E472C7">
            <w:r w:rsidRPr="005532CB">
              <w:t xml:space="preserve">351,889 </w:t>
            </w:r>
          </w:p>
        </w:tc>
      </w:tr>
      <w:tr w:rsidR="00E472C7" w:rsidRPr="00930D6A" w14:paraId="77186386" w14:textId="2F35D7E2"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E67A27B" w14:textId="77777777" w:rsidR="00E472C7" w:rsidRPr="00930D6A" w:rsidRDefault="00E472C7" w:rsidP="00E472C7">
            <w:r w:rsidRPr="00930D6A">
              <w:t>2034</w:t>
            </w:r>
          </w:p>
        </w:tc>
        <w:tc>
          <w:tcPr>
            <w:tcW w:w="1357" w:type="pct"/>
          </w:tcPr>
          <w:p w14:paraId="28D10E25" w14:textId="77777777" w:rsidR="00E472C7" w:rsidRPr="00930D6A" w:rsidRDefault="00E472C7" w:rsidP="00E472C7">
            <w:r w:rsidRPr="00930D6A">
              <w:t>364,976</w:t>
            </w:r>
          </w:p>
        </w:tc>
        <w:tc>
          <w:tcPr>
            <w:tcW w:w="1357" w:type="pct"/>
          </w:tcPr>
          <w:p w14:paraId="6FEFC5B5" w14:textId="540560C7" w:rsidR="00E472C7" w:rsidRPr="00930D6A" w:rsidRDefault="00E472C7" w:rsidP="00E472C7">
            <w:r w:rsidRPr="008163A2">
              <w:rPr>
                <w:sz w:val="22"/>
                <w:szCs w:val="22"/>
              </w:rPr>
              <w:t xml:space="preserve">381,400 </w:t>
            </w:r>
          </w:p>
        </w:tc>
        <w:tc>
          <w:tcPr>
            <w:tcW w:w="1357" w:type="pct"/>
          </w:tcPr>
          <w:p w14:paraId="3FA7C873" w14:textId="32480ED7" w:rsidR="00E472C7" w:rsidRPr="00930D6A" w:rsidRDefault="00E472C7" w:rsidP="00E472C7">
            <w:r w:rsidRPr="005532CB">
              <w:t xml:space="preserve">381,400 </w:t>
            </w:r>
          </w:p>
        </w:tc>
      </w:tr>
      <w:tr w:rsidR="00E472C7" w:rsidRPr="00930D6A" w14:paraId="30D373AD" w14:textId="0C27C5EC" w:rsidTr="008163A2">
        <w:tc>
          <w:tcPr>
            <w:tcW w:w="928" w:type="pct"/>
          </w:tcPr>
          <w:p w14:paraId="7DAF13D2" w14:textId="77777777" w:rsidR="00E472C7" w:rsidRPr="00930D6A" w:rsidRDefault="00E472C7" w:rsidP="00E472C7">
            <w:r w:rsidRPr="00930D6A">
              <w:t>2035</w:t>
            </w:r>
          </w:p>
        </w:tc>
        <w:tc>
          <w:tcPr>
            <w:tcW w:w="1357" w:type="pct"/>
          </w:tcPr>
          <w:p w14:paraId="40986124" w14:textId="77777777" w:rsidR="00E472C7" w:rsidRPr="00930D6A" w:rsidRDefault="00E472C7" w:rsidP="00E472C7">
            <w:r w:rsidRPr="00930D6A">
              <w:t>390,566</w:t>
            </w:r>
          </w:p>
        </w:tc>
        <w:tc>
          <w:tcPr>
            <w:tcW w:w="1357" w:type="pct"/>
          </w:tcPr>
          <w:p w14:paraId="0C479416" w14:textId="1F72A5FE" w:rsidR="00E472C7" w:rsidRPr="00930D6A" w:rsidRDefault="00E472C7" w:rsidP="00E472C7">
            <w:r w:rsidRPr="008163A2">
              <w:rPr>
                <w:sz w:val="22"/>
                <w:szCs w:val="22"/>
              </w:rPr>
              <w:t xml:space="preserve">408,142 </w:t>
            </w:r>
          </w:p>
        </w:tc>
        <w:tc>
          <w:tcPr>
            <w:tcW w:w="1357" w:type="pct"/>
          </w:tcPr>
          <w:p w14:paraId="6CE0B4CA" w14:textId="1A7CF9C3" w:rsidR="00E472C7" w:rsidRPr="00930D6A" w:rsidRDefault="00E472C7" w:rsidP="00E472C7">
            <w:r w:rsidRPr="005532CB">
              <w:t xml:space="preserve">408,142 </w:t>
            </w:r>
          </w:p>
        </w:tc>
      </w:tr>
      <w:tr w:rsidR="00E472C7" w:rsidRPr="00930D6A" w14:paraId="3F04C8E3" w14:textId="61C008AE"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B098645" w14:textId="77777777" w:rsidR="00E472C7" w:rsidRPr="00930D6A" w:rsidRDefault="00E472C7" w:rsidP="00E472C7">
            <w:r w:rsidRPr="00930D6A">
              <w:t>2036</w:t>
            </w:r>
          </w:p>
        </w:tc>
        <w:tc>
          <w:tcPr>
            <w:tcW w:w="1357" w:type="pct"/>
          </w:tcPr>
          <w:p w14:paraId="7770D769" w14:textId="77777777" w:rsidR="00E472C7" w:rsidRPr="00930D6A" w:rsidRDefault="00E472C7" w:rsidP="00E472C7">
            <w:r w:rsidRPr="00930D6A">
              <w:t>413,372</w:t>
            </w:r>
          </w:p>
        </w:tc>
        <w:tc>
          <w:tcPr>
            <w:tcW w:w="1357" w:type="pct"/>
          </w:tcPr>
          <w:p w14:paraId="5365C40A" w14:textId="2D305767" w:rsidR="00E472C7" w:rsidRPr="00930D6A" w:rsidRDefault="00E472C7" w:rsidP="00E472C7">
            <w:r w:rsidRPr="008163A2">
              <w:rPr>
                <w:sz w:val="22"/>
                <w:szCs w:val="22"/>
              </w:rPr>
              <w:t xml:space="preserve">431,973 </w:t>
            </w:r>
          </w:p>
        </w:tc>
        <w:tc>
          <w:tcPr>
            <w:tcW w:w="1357" w:type="pct"/>
          </w:tcPr>
          <w:p w14:paraId="1F19EE14" w14:textId="3D1F5250" w:rsidR="00E472C7" w:rsidRPr="00930D6A" w:rsidRDefault="00E472C7" w:rsidP="00E472C7">
            <w:r w:rsidRPr="005532CB">
              <w:t xml:space="preserve">431,973 </w:t>
            </w:r>
          </w:p>
        </w:tc>
      </w:tr>
      <w:tr w:rsidR="00E472C7" w:rsidRPr="00930D6A" w14:paraId="63E254FC" w14:textId="23683095" w:rsidTr="008163A2">
        <w:tc>
          <w:tcPr>
            <w:tcW w:w="928" w:type="pct"/>
          </w:tcPr>
          <w:p w14:paraId="359B7C1D" w14:textId="77777777" w:rsidR="00E472C7" w:rsidRPr="00930D6A" w:rsidRDefault="00E472C7" w:rsidP="00E472C7">
            <w:r w:rsidRPr="00930D6A">
              <w:t>2037</w:t>
            </w:r>
          </w:p>
        </w:tc>
        <w:tc>
          <w:tcPr>
            <w:tcW w:w="1357" w:type="pct"/>
          </w:tcPr>
          <w:p w14:paraId="28F54199" w14:textId="77777777" w:rsidR="00E472C7" w:rsidRPr="00930D6A" w:rsidRDefault="00E472C7" w:rsidP="00E472C7">
            <w:r w:rsidRPr="00930D6A">
              <w:t>432,918</w:t>
            </w:r>
          </w:p>
        </w:tc>
        <w:tc>
          <w:tcPr>
            <w:tcW w:w="1357" w:type="pct"/>
          </w:tcPr>
          <w:p w14:paraId="4B1EF9A3" w14:textId="26C87B28" w:rsidR="00E472C7" w:rsidRPr="00930D6A" w:rsidRDefault="00E472C7" w:rsidP="00E472C7">
            <w:r w:rsidRPr="008163A2">
              <w:rPr>
                <w:sz w:val="22"/>
                <w:szCs w:val="22"/>
              </w:rPr>
              <w:t xml:space="preserve">452,400 </w:t>
            </w:r>
          </w:p>
        </w:tc>
        <w:tc>
          <w:tcPr>
            <w:tcW w:w="1357" w:type="pct"/>
          </w:tcPr>
          <w:p w14:paraId="6F1C768E" w14:textId="1E87CE69" w:rsidR="00E472C7" w:rsidRPr="00930D6A" w:rsidRDefault="00E472C7" w:rsidP="00E472C7">
            <w:r w:rsidRPr="005532CB">
              <w:t xml:space="preserve">452,400 </w:t>
            </w:r>
          </w:p>
        </w:tc>
      </w:tr>
      <w:tr w:rsidR="00E472C7" w:rsidRPr="00930D6A" w14:paraId="55A90803" w14:textId="69C146C9"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CE32F8B" w14:textId="77777777" w:rsidR="00E472C7" w:rsidRPr="00930D6A" w:rsidRDefault="00E472C7" w:rsidP="00E472C7">
            <w:r w:rsidRPr="00930D6A">
              <w:t>2038</w:t>
            </w:r>
          </w:p>
        </w:tc>
        <w:tc>
          <w:tcPr>
            <w:tcW w:w="1357" w:type="pct"/>
          </w:tcPr>
          <w:p w14:paraId="32A3EC32" w14:textId="77777777" w:rsidR="00E472C7" w:rsidRPr="00930D6A" w:rsidRDefault="00E472C7" w:rsidP="00E472C7">
            <w:r w:rsidRPr="00930D6A">
              <w:t>449,394</w:t>
            </w:r>
          </w:p>
        </w:tc>
        <w:tc>
          <w:tcPr>
            <w:tcW w:w="1357" w:type="pct"/>
          </w:tcPr>
          <w:p w14:paraId="154A5753" w14:textId="70C8AF73" w:rsidR="00E472C7" w:rsidRPr="00930D6A" w:rsidRDefault="00E472C7" w:rsidP="00E472C7">
            <w:r w:rsidRPr="008163A2">
              <w:rPr>
                <w:sz w:val="22"/>
                <w:szCs w:val="22"/>
              </w:rPr>
              <w:t xml:space="preserve">469,616 </w:t>
            </w:r>
          </w:p>
        </w:tc>
        <w:tc>
          <w:tcPr>
            <w:tcW w:w="1357" w:type="pct"/>
          </w:tcPr>
          <w:p w14:paraId="36C58A13" w14:textId="37D4B298" w:rsidR="00E472C7" w:rsidRPr="00930D6A" w:rsidRDefault="00E472C7" w:rsidP="00E472C7">
            <w:r w:rsidRPr="005532CB">
              <w:t xml:space="preserve">469,616 </w:t>
            </w:r>
          </w:p>
        </w:tc>
      </w:tr>
      <w:tr w:rsidR="00E472C7" w:rsidRPr="00930D6A" w14:paraId="133C472E" w14:textId="45D35D32" w:rsidTr="008163A2">
        <w:tc>
          <w:tcPr>
            <w:tcW w:w="928" w:type="pct"/>
          </w:tcPr>
          <w:p w14:paraId="50A550BA" w14:textId="77777777" w:rsidR="00E472C7" w:rsidRPr="00930D6A" w:rsidRDefault="00E472C7" w:rsidP="00E472C7">
            <w:r w:rsidRPr="00930D6A">
              <w:t>2039</w:t>
            </w:r>
          </w:p>
        </w:tc>
        <w:tc>
          <w:tcPr>
            <w:tcW w:w="1357" w:type="pct"/>
          </w:tcPr>
          <w:p w14:paraId="7116D026" w14:textId="77777777" w:rsidR="00E472C7" w:rsidRPr="00930D6A" w:rsidRDefault="00E472C7" w:rsidP="00E472C7">
            <w:r w:rsidRPr="00930D6A">
              <w:t>461,745</w:t>
            </w:r>
          </w:p>
        </w:tc>
        <w:tc>
          <w:tcPr>
            <w:tcW w:w="1357" w:type="pct"/>
          </w:tcPr>
          <w:p w14:paraId="53EF78B0" w14:textId="33E863D8" w:rsidR="00E472C7" w:rsidRPr="00930D6A" w:rsidRDefault="00E472C7" w:rsidP="00E472C7">
            <w:r w:rsidRPr="008163A2">
              <w:rPr>
                <w:sz w:val="22"/>
                <w:szCs w:val="22"/>
              </w:rPr>
              <w:t xml:space="preserve">482,523 </w:t>
            </w:r>
          </w:p>
        </w:tc>
        <w:tc>
          <w:tcPr>
            <w:tcW w:w="1357" w:type="pct"/>
          </w:tcPr>
          <w:p w14:paraId="58AB33BC" w14:textId="385EB7C1" w:rsidR="00E472C7" w:rsidRPr="00930D6A" w:rsidRDefault="00E472C7" w:rsidP="00E472C7">
            <w:r w:rsidRPr="005532CB">
              <w:t xml:space="preserve">482,523 </w:t>
            </w:r>
          </w:p>
        </w:tc>
      </w:tr>
      <w:tr w:rsidR="00E472C7" w:rsidRPr="00930D6A" w14:paraId="2D23B3A2" w14:textId="3BA6FB5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0A836F7A" w14:textId="77777777" w:rsidR="00E472C7" w:rsidRPr="00930D6A" w:rsidRDefault="00E472C7" w:rsidP="00E472C7">
            <w:r w:rsidRPr="00930D6A">
              <w:t>2040</w:t>
            </w:r>
          </w:p>
        </w:tc>
        <w:tc>
          <w:tcPr>
            <w:tcW w:w="1357" w:type="pct"/>
          </w:tcPr>
          <w:p w14:paraId="6F5864E6" w14:textId="77777777" w:rsidR="00E472C7" w:rsidRPr="00930D6A" w:rsidRDefault="00E472C7" w:rsidP="00E472C7">
            <w:r w:rsidRPr="00930D6A">
              <w:t>467,579</w:t>
            </w:r>
          </w:p>
        </w:tc>
        <w:tc>
          <w:tcPr>
            <w:tcW w:w="1357" w:type="pct"/>
          </w:tcPr>
          <w:p w14:paraId="6D6DFD26" w14:textId="57B9F863" w:rsidR="00E472C7" w:rsidRPr="00930D6A" w:rsidRDefault="00E472C7" w:rsidP="00E472C7">
            <w:r w:rsidRPr="008163A2">
              <w:rPr>
                <w:color w:val="000000" w:themeColor="text1"/>
                <w:sz w:val="22"/>
                <w:szCs w:val="22"/>
              </w:rPr>
              <w:t xml:space="preserve">493,149 </w:t>
            </w:r>
          </w:p>
        </w:tc>
        <w:tc>
          <w:tcPr>
            <w:tcW w:w="1357" w:type="pct"/>
          </w:tcPr>
          <w:p w14:paraId="1003F9C4" w14:textId="32C2BE07" w:rsidR="00E472C7" w:rsidRPr="00930D6A" w:rsidRDefault="00E472C7" w:rsidP="00E472C7">
            <w:r w:rsidRPr="005532CB">
              <w:rPr>
                <w:color w:val="000000" w:themeColor="text1"/>
              </w:rPr>
              <w:t xml:space="preserve">493,149 </w:t>
            </w:r>
          </w:p>
        </w:tc>
      </w:tr>
      <w:tr w:rsidR="00E472C7" w:rsidRPr="00930D6A" w14:paraId="003F4EFE" w14:textId="65F81043" w:rsidTr="008163A2">
        <w:tc>
          <w:tcPr>
            <w:tcW w:w="928" w:type="pct"/>
          </w:tcPr>
          <w:p w14:paraId="4DAF0CDE" w14:textId="77777777" w:rsidR="00E472C7" w:rsidRPr="00930D6A" w:rsidRDefault="00E472C7" w:rsidP="00E472C7">
            <w:r w:rsidRPr="00930D6A">
              <w:t>2041</w:t>
            </w:r>
          </w:p>
        </w:tc>
        <w:tc>
          <w:tcPr>
            <w:tcW w:w="1357" w:type="pct"/>
          </w:tcPr>
          <w:p w14:paraId="4F8D7145" w14:textId="77777777" w:rsidR="00E472C7" w:rsidRPr="00930D6A" w:rsidRDefault="00E472C7" w:rsidP="00E472C7">
            <w:r w:rsidRPr="00930D6A">
              <w:t>471,417</w:t>
            </w:r>
          </w:p>
        </w:tc>
        <w:tc>
          <w:tcPr>
            <w:tcW w:w="1357" w:type="pct"/>
          </w:tcPr>
          <w:p w14:paraId="4D4F532A" w14:textId="0E1C41FF" w:rsidR="00E472C7" w:rsidRPr="00930D6A" w:rsidRDefault="00E472C7" w:rsidP="00E472C7">
            <w:r w:rsidRPr="008163A2">
              <w:rPr>
                <w:color w:val="000000" w:themeColor="text1"/>
                <w:sz w:val="22"/>
                <w:szCs w:val="22"/>
              </w:rPr>
              <w:t xml:space="preserve">497,332 </w:t>
            </w:r>
          </w:p>
        </w:tc>
        <w:tc>
          <w:tcPr>
            <w:tcW w:w="1357" w:type="pct"/>
          </w:tcPr>
          <w:p w14:paraId="7894C782" w14:textId="03087AA7" w:rsidR="00E472C7" w:rsidRPr="00930D6A" w:rsidRDefault="00E472C7" w:rsidP="00E472C7">
            <w:r w:rsidRPr="005532CB">
              <w:rPr>
                <w:color w:val="000000" w:themeColor="text1"/>
              </w:rPr>
              <w:t xml:space="preserve">502,051 </w:t>
            </w:r>
          </w:p>
        </w:tc>
      </w:tr>
      <w:tr w:rsidR="00E472C7" w:rsidRPr="00930D6A" w14:paraId="15F62DBC" w14:textId="191F6132"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7C62178" w14:textId="77777777" w:rsidR="00E472C7" w:rsidRPr="00930D6A" w:rsidRDefault="00E472C7" w:rsidP="00E472C7">
            <w:r w:rsidRPr="00930D6A">
              <w:t>2042</w:t>
            </w:r>
          </w:p>
        </w:tc>
        <w:tc>
          <w:tcPr>
            <w:tcW w:w="1357" w:type="pct"/>
          </w:tcPr>
          <w:p w14:paraId="26FEBF1B" w14:textId="77777777" w:rsidR="00E472C7" w:rsidRPr="00930D6A" w:rsidRDefault="00E472C7" w:rsidP="00E472C7">
            <w:r w:rsidRPr="00930D6A">
              <w:t>473,566</w:t>
            </w:r>
          </w:p>
        </w:tc>
        <w:tc>
          <w:tcPr>
            <w:tcW w:w="1357" w:type="pct"/>
          </w:tcPr>
          <w:p w14:paraId="6CEEC6B0" w14:textId="4A9D6A7B" w:rsidR="00E472C7" w:rsidRPr="00930D6A" w:rsidRDefault="00E472C7" w:rsidP="00E472C7">
            <w:r w:rsidRPr="008163A2">
              <w:rPr>
                <w:color w:val="000000" w:themeColor="text1"/>
                <w:sz w:val="22"/>
                <w:szCs w:val="22"/>
              </w:rPr>
              <w:t xml:space="preserve">499,742 </w:t>
            </w:r>
          </w:p>
        </w:tc>
        <w:tc>
          <w:tcPr>
            <w:tcW w:w="1357" w:type="pct"/>
          </w:tcPr>
          <w:p w14:paraId="63E06F76" w14:textId="06BFD76D" w:rsidR="00E472C7" w:rsidRPr="00930D6A" w:rsidRDefault="00E472C7" w:rsidP="00E472C7">
            <w:r w:rsidRPr="005532CB">
              <w:rPr>
                <w:color w:val="000000" w:themeColor="text1"/>
              </w:rPr>
              <w:t xml:space="preserve">504,626 </w:t>
            </w:r>
          </w:p>
        </w:tc>
      </w:tr>
      <w:tr w:rsidR="00E472C7" w:rsidRPr="00930D6A" w14:paraId="304A6479" w14:textId="2572F709" w:rsidTr="008163A2">
        <w:tc>
          <w:tcPr>
            <w:tcW w:w="928" w:type="pct"/>
          </w:tcPr>
          <w:p w14:paraId="20453075" w14:textId="77777777" w:rsidR="00E472C7" w:rsidRPr="00930D6A" w:rsidRDefault="00E472C7" w:rsidP="00E472C7">
            <w:r w:rsidRPr="00930D6A">
              <w:t>2043</w:t>
            </w:r>
          </w:p>
        </w:tc>
        <w:tc>
          <w:tcPr>
            <w:tcW w:w="1357" w:type="pct"/>
          </w:tcPr>
          <w:p w14:paraId="1960C3F6" w14:textId="77777777" w:rsidR="00E472C7" w:rsidRPr="00930D6A" w:rsidRDefault="00E472C7" w:rsidP="00E472C7">
            <w:r w:rsidRPr="00930D6A">
              <w:t>474,269</w:t>
            </w:r>
          </w:p>
        </w:tc>
        <w:tc>
          <w:tcPr>
            <w:tcW w:w="1357" w:type="pct"/>
          </w:tcPr>
          <w:p w14:paraId="09302500" w14:textId="1C0041CB" w:rsidR="00E472C7" w:rsidRPr="00930D6A" w:rsidRDefault="00E472C7" w:rsidP="00E472C7">
            <w:r w:rsidRPr="008163A2">
              <w:rPr>
                <w:color w:val="000000" w:themeColor="text1"/>
                <w:sz w:val="22"/>
                <w:szCs w:val="22"/>
              </w:rPr>
              <w:t xml:space="preserve">500,637 </w:t>
            </w:r>
          </w:p>
        </w:tc>
        <w:tc>
          <w:tcPr>
            <w:tcW w:w="1357" w:type="pct"/>
          </w:tcPr>
          <w:p w14:paraId="467BDFB9" w14:textId="0007B0AC" w:rsidR="00E472C7" w:rsidRPr="00930D6A" w:rsidRDefault="00E472C7" w:rsidP="00E472C7">
            <w:r w:rsidRPr="005532CB">
              <w:rPr>
                <w:color w:val="000000" w:themeColor="text1"/>
              </w:rPr>
              <w:t xml:space="preserve">505,683 </w:t>
            </w:r>
          </w:p>
        </w:tc>
      </w:tr>
      <w:tr w:rsidR="00E472C7" w:rsidRPr="00930D6A" w14:paraId="0B5FE9B3" w14:textId="2D68F90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0FD40F6" w14:textId="77777777" w:rsidR="00E472C7" w:rsidRPr="00930D6A" w:rsidRDefault="00E472C7" w:rsidP="00E472C7">
            <w:r w:rsidRPr="00930D6A">
              <w:t>2044</w:t>
            </w:r>
          </w:p>
        </w:tc>
        <w:tc>
          <w:tcPr>
            <w:tcW w:w="1357" w:type="pct"/>
          </w:tcPr>
          <w:p w14:paraId="7EB1F062" w14:textId="77777777" w:rsidR="00E472C7" w:rsidRPr="00930D6A" w:rsidRDefault="00E472C7" w:rsidP="00E472C7">
            <w:r w:rsidRPr="00930D6A">
              <w:t>473,643</w:t>
            </w:r>
          </w:p>
        </w:tc>
        <w:tc>
          <w:tcPr>
            <w:tcW w:w="1357" w:type="pct"/>
          </w:tcPr>
          <w:p w14:paraId="37925E5A" w14:textId="02DD31E4" w:rsidR="00E472C7" w:rsidRPr="00930D6A" w:rsidRDefault="00E472C7" w:rsidP="00E472C7">
            <w:r w:rsidRPr="008163A2">
              <w:rPr>
                <w:color w:val="000000" w:themeColor="text1"/>
                <w:sz w:val="22"/>
                <w:szCs w:val="22"/>
              </w:rPr>
              <w:t xml:space="preserve">500,140 </w:t>
            </w:r>
          </w:p>
        </w:tc>
        <w:tc>
          <w:tcPr>
            <w:tcW w:w="1357" w:type="pct"/>
          </w:tcPr>
          <w:p w14:paraId="2F253CDC" w14:textId="4658FC55" w:rsidR="00E472C7" w:rsidRPr="00930D6A" w:rsidRDefault="00E472C7" w:rsidP="00E472C7">
            <w:r w:rsidRPr="005532CB">
              <w:rPr>
                <w:color w:val="000000" w:themeColor="text1"/>
              </w:rPr>
              <w:t xml:space="preserve">505,345 </w:t>
            </w:r>
          </w:p>
        </w:tc>
      </w:tr>
      <w:tr w:rsidR="00E472C7" w:rsidRPr="00930D6A" w14:paraId="364F4F6E" w14:textId="5F298D22" w:rsidTr="008163A2">
        <w:tc>
          <w:tcPr>
            <w:tcW w:w="928" w:type="pct"/>
          </w:tcPr>
          <w:p w14:paraId="79952282" w14:textId="77777777" w:rsidR="00E472C7" w:rsidRPr="00930D6A" w:rsidRDefault="00E472C7" w:rsidP="00E472C7">
            <w:r w:rsidRPr="00930D6A">
              <w:t>2045</w:t>
            </w:r>
          </w:p>
        </w:tc>
        <w:tc>
          <w:tcPr>
            <w:tcW w:w="1357" w:type="pct"/>
          </w:tcPr>
          <w:p w14:paraId="6959D50D" w14:textId="77777777" w:rsidR="00E472C7" w:rsidRPr="00930D6A" w:rsidRDefault="00E472C7" w:rsidP="00E472C7">
            <w:r w:rsidRPr="00930D6A">
              <w:t>471,763</w:t>
            </w:r>
          </w:p>
        </w:tc>
        <w:tc>
          <w:tcPr>
            <w:tcW w:w="1357" w:type="pct"/>
          </w:tcPr>
          <w:p w14:paraId="6A9905B8" w14:textId="743B1BD2" w:rsidR="00E472C7" w:rsidRPr="00930D6A" w:rsidRDefault="00E472C7" w:rsidP="00E472C7">
            <w:r w:rsidRPr="008163A2">
              <w:rPr>
                <w:color w:val="000000" w:themeColor="text1"/>
                <w:sz w:val="22"/>
                <w:szCs w:val="22"/>
              </w:rPr>
              <w:t xml:space="preserve">498,332 </w:t>
            </w:r>
          </w:p>
        </w:tc>
        <w:tc>
          <w:tcPr>
            <w:tcW w:w="1357" w:type="pct"/>
          </w:tcPr>
          <w:p w14:paraId="581844AA" w14:textId="5B880A2F" w:rsidR="00E472C7" w:rsidRPr="00930D6A" w:rsidRDefault="00E472C7" w:rsidP="00E472C7">
            <w:r w:rsidRPr="005532CB">
              <w:rPr>
                <w:color w:val="000000" w:themeColor="text1"/>
              </w:rPr>
              <w:t xml:space="preserve">503,693 </w:t>
            </w:r>
          </w:p>
        </w:tc>
      </w:tr>
      <w:tr w:rsidR="00E472C7" w:rsidRPr="00930D6A" w14:paraId="61BF3B10" w14:textId="3721E08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BA70488" w14:textId="77777777" w:rsidR="00E472C7" w:rsidRPr="00930D6A" w:rsidRDefault="00E472C7" w:rsidP="00E472C7">
            <w:r w:rsidRPr="00930D6A">
              <w:t>2046</w:t>
            </w:r>
          </w:p>
        </w:tc>
        <w:tc>
          <w:tcPr>
            <w:tcW w:w="1357" w:type="pct"/>
          </w:tcPr>
          <w:p w14:paraId="71659983" w14:textId="77777777" w:rsidR="00E472C7" w:rsidRPr="00930D6A" w:rsidRDefault="00E472C7" w:rsidP="00E472C7">
            <w:r w:rsidRPr="00930D6A">
              <w:t>468,745</w:t>
            </w:r>
          </w:p>
        </w:tc>
        <w:tc>
          <w:tcPr>
            <w:tcW w:w="1357" w:type="pct"/>
          </w:tcPr>
          <w:p w14:paraId="05B52757" w14:textId="45649145" w:rsidR="00E472C7" w:rsidRPr="00930D6A" w:rsidRDefault="00E472C7" w:rsidP="00E472C7">
            <w:r w:rsidRPr="008163A2">
              <w:rPr>
                <w:color w:val="000000" w:themeColor="text1"/>
                <w:sz w:val="22"/>
                <w:szCs w:val="22"/>
              </w:rPr>
              <w:t xml:space="preserve">495,335 </w:t>
            </w:r>
          </w:p>
        </w:tc>
        <w:tc>
          <w:tcPr>
            <w:tcW w:w="1357" w:type="pct"/>
          </w:tcPr>
          <w:p w14:paraId="29AE5229" w14:textId="7EE595C9" w:rsidR="00E472C7" w:rsidRPr="00930D6A" w:rsidRDefault="00E472C7" w:rsidP="00E472C7">
            <w:r w:rsidRPr="005532CB">
              <w:rPr>
                <w:color w:val="000000" w:themeColor="text1"/>
              </w:rPr>
              <w:t xml:space="preserve">500,853 </w:t>
            </w:r>
          </w:p>
        </w:tc>
      </w:tr>
      <w:tr w:rsidR="00E472C7" w:rsidRPr="00930D6A" w14:paraId="0B06C121" w14:textId="2B918148" w:rsidTr="008163A2">
        <w:tc>
          <w:tcPr>
            <w:tcW w:w="928" w:type="pct"/>
          </w:tcPr>
          <w:p w14:paraId="0049B40D" w14:textId="77777777" w:rsidR="00E472C7" w:rsidRPr="00930D6A" w:rsidRDefault="00E472C7" w:rsidP="00E472C7">
            <w:r w:rsidRPr="00930D6A">
              <w:t>2047</w:t>
            </w:r>
          </w:p>
        </w:tc>
        <w:tc>
          <w:tcPr>
            <w:tcW w:w="1357" w:type="pct"/>
          </w:tcPr>
          <w:p w14:paraId="268D0508" w14:textId="77777777" w:rsidR="00E472C7" w:rsidRPr="00930D6A" w:rsidRDefault="00E472C7" w:rsidP="00E472C7">
            <w:r w:rsidRPr="00930D6A">
              <w:t>464,560</w:t>
            </w:r>
          </w:p>
        </w:tc>
        <w:tc>
          <w:tcPr>
            <w:tcW w:w="1357" w:type="pct"/>
          </w:tcPr>
          <w:p w14:paraId="485D148B" w14:textId="4AF668F8" w:rsidR="00E472C7" w:rsidRPr="00930D6A" w:rsidRDefault="00E472C7" w:rsidP="00E472C7">
            <w:r w:rsidRPr="008163A2">
              <w:rPr>
                <w:color w:val="000000" w:themeColor="text1"/>
                <w:sz w:val="22"/>
                <w:szCs w:val="22"/>
              </w:rPr>
              <w:t xml:space="preserve">491,117 </w:t>
            </w:r>
          </w:p>
        </w:tc>
        <w:tc>
          <w:tcPr>
            <w:tcW w:w="1357" w:type="pct"/>
          </w:tcPr>
          <w:p w14:paraId="08197982" w14:textId="67B073D2" w:rsidR="00E472C7" w:rsidRPr="00930D6A" w:rsidRDefault="00E472C7" w:rsidP="00E472C7">
            <w:r w:rsidRPr="005532CB">
              <w:rPr>
                <w:color w:val="000000" w:themeColor="text1"/>
              </w:rPr>
              <w:t xml:space="preserve">496,793 </w:t>
            </w:r>
          </w:p>
        </w:tc>
      </w:tr>
      <w:tr w:rsidR="00E472C7" w:rsidRPr="00930D6A" w14:paraId="6BE985E1" w14:textId="67D1A44D"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D2BB9DA" w14:textId="77777777" w:rsidR="00E472C7" w:rsidRPr="00930D6A" w:rsidRDefault="00E472C7" w:rsidP="00E472C7">
            <w:r w:rsidRPr="00930D6A">
              <w:t>2048</w:t>
            </w:r>
          </w:p>
        </w:tc>
        <w:tc>
          <w:tcPr>
            <w:tcW w:w="1357" w:type="pct"/>
          </w:tcPr>
          <w:p w14:paraId="31858FC7" w14:textId="77777777" w:rsidR="00E472C7" w:rsidRPr="00930D6A" w:rsidRDefault="00E472C7" w:rsidP="00E472C7">
            <w:r w:rsidRPr="00930D6A">
              <w:t>459,236</w:t>
            </w:r>
          </w:p>
        </w:tc>
        <w:tc>
          <w:tcPr>
            <w:tcW w:w="1357" w:type="pct"/>
          </w:tcPr>
          <w:p w14:paraId="4D39B72B" w14:textId="1B562113" w:rsidR="00E472C7" w:rsidRPr="00930D6A" w:rsidRDefault="00E472C7" w:rsidP="00E472C7">
            <w:r w:rsidRPr="008163A2">
              <w:rPr>
                <w:color w:val="000000" w:themeColor="text1"/>
                <w:sz w:val="22"/>
                <w:szCs w:val="22"/>
              </w:rPr>
              <w:t xml:space="preserve">485,711 </w:t>
            </w:r>
          </w:p>
        </w:tc>
        <w:tc>
          <w:tcPr>
            <w:tcW w:w="1357" w:type="pct"/>
          </w:tcPr>
          <w:p w14:paraId="709916FB" w14:textId="2D97EE24" w:rsidR="00E472C7" w:rsidRPr="00930D6A" w:rsidRDefault="00E472C7" w:rsidP="00E472C7">
            <w:r w:rsidRPr="005532CB">
              <w:rPr>
                <w:color w:val="000000" w:themeColor="text1"/>
              </w:rPr>
              <w:t xml:space="preserve">491,543 </w:t>
            </w:r>
          </w:p>
        </w:tc>
      </w:tr>
      <w:tr w:rsidR="00E472C7" w:rsidRPr="00930D6A" w14:paraId="5FA332E0" w14:textId="673CA6C1" w:rsidTr="008163A2">
        <w:tc>
          <w:tcPr>
            <w:tcW w:w="928" w:type="pct"/>
          </w:tcPr>
          <w:p w14:paraId="78C1F89A" w14:textId="77777777" w:rsidR="00E472C7" w:rsidRPr="00930D6A" w:rsidRDefault="00E472C7" w:rsidP="00E472C7">
            <w:r w:rsidRPr="00930D6A">
              <w:t>2049</w:t>
            </w:r>
          </w:p>
        </w:tc>
        <w:tc>
          <w:tcPr>
            <w:tcW w:w="1357" w:type="pct"/>
          </w:tcPr>
          <w:p w14:paraId="446B337E" w14:textId="77777777" w:rsidR="00E472C7" w:rsidRPr="00930D6A" w:rsidRDefault="00E472C7" w:rsidP="00E472C7">
            <w:r w:rsidRPr="00930D6A">
              <w:t>452,788</w:t>
            </w:r>
          </w:p>
        </w:tc>
        <w:tc>
          <w:tcPr>
            <w:tcW w:w="1357" w:type="pct"/>
          </w:tcPr>
          <w:p w14:paraId="5E69FBC6" w14:textId="5CE0CA28" w:rsidR="00E472C7" w:rsidRPr="00930D6A" w:rsidRDefault="00E472C7" w:rsidP="00E472C7">
            <w:r w:rsidRPr="008163A2">
              <w:rPr>
                <w:color w:val="000000" w:themeColor="text1"/>
                <w:sz w:val="22"/>
                <w:szCs w:val="22"/>
              </w:rPr>
              <w:t xml:space="preserve">479,130 </w:t>
            </w:r>
          </w:p>
        </w:tc>
        <w:tc>
          <w:tcPr>
            <w:tcW w:w="1357" w:type="pct"/>
          </w:tcPr>
          <w:p w14:paraId="1CD61CCC" w14:textId="2C38EB1E" w:rsidR="00E472C7" w:rsidRPr="00930D6A" w:rsidRDefault="00E472C7" w:rsidP="00E472C7">
            <w:r w:rsidRPr="005532CB">
              <w:rPr>
                <w:color w:val="000000" w:themeColor="text1"/>
              </w:rPr>
              <w:t xml:space="preserve">485,121 </w:t>
            </w:r>
          </w:p>
        </w:tc>
      </w:tr>
      <w:tr w:rsidR="00E472C7" w:rsidRPr="00930D6A" w14:paraId="4F356616" w14:textId="0D3B374C"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2E3ADDE" w14:textId="77777777" w:rsidR="00E472C7" w:rsidRPr="00930D6A" w:rsidRDefault="00E472C7" w:rsidP="00E472C7">
            <w:r w:rsidRPr="00930D6A">
              <w:t>2050</w:t>
            </w:r>
          </w:p>
        </w:tc>
        <w:tc>
          <w:tcPr>
            <w:tcW w:w="1357" w:type="pct"/>
          </w:tcPr>
          <w:p w14:paraId="4391E61B" w14:textId="77777777" w:rsidR="00E472C7" w:rsidRPr="00930D6A" w:rsidRDefault="00E472C7" w:rsidP="00E472C7">
            <w:r w:rsidRPr="00930D6A">
              <w:t>445,161</w:t>
            </w:r>
          </w:p>
        </w:tc>
        <w:tc>
          <w:tcPr>
            <w:tcW w:w="1357" w:type="pct"/>
          </w:tcPr>
          <w:p w14:paraId="66CCA5DC" w14:textId="2FBE5E4F" w:rsidR="00E472C7" w:rsidRPr="00930D6A" w:rsidRDefault="00E472C7" w:rsidP="00E472C7">
            <w:r w:rsidRPr="008163A2">
              <w:rPr>
                <w:color w:val="000000" w:themeColor="text1"/>
                <w:sz w:val="22"/>
                <w:szCs w:val="22"/>
              </w:rPr>
              <w:t xml:space="preserve">471,319 </w:t>
            </w:r>
          </w:p>
        </w:tc>
        <w:tc>
          <w:tcPr>
            <w:tcW w:w="1357" w:type="pct"/>
          </w:tcPr>
          <w:p w14:paraId="33C50A72" w14:textId="16DEC2B2" w:rsidR="00E472C7" w:rsidRPr="00930D6A" w:rsidRDefault="00E472C7" w:rsidP="00E472C7">
            <w:r w:rsidRPr="005532CB">
              <w:rPr>
                <w:color w:val="000000" w:themeColor="text1"/>
              </w:rPr>
              <w:t xml:space="preserve">477,469 </w:t>
            </w:r>
          </w:p>
        </w:tc>
      </w:tr>
      <w:tr w:rsidR="00E472C7" w:rsidRPr="00930D6A" w14:paraId="696F7924" w14:textId="1F8A5C88" w:rsidTr="008163A2">
        <w:tc>
          <w:tcPr>
            <w:tcW w:w="928" w:type="pct"/>
          </w:tcPr>
          <w:p w14:paraId="4E9A3062" w14:textId="77777777" w:rsidR="00E472C7" w:rsidRPr="00930D6A" w:rsidRDefault="00E472C7" w:rsidP="00E472C7">
            <w:r w:rsidRPr="00930D6A">
              <w:t>2051</w:t>
            </w:r>
          </w:p>
        </w:tc>
        <w:tc>
          <w:tcPr>
            <w:tcW w:w="1357" w:type="pct"/>
          </w:tcPr>
          <w:p w14:paraId="0C3F0A01" w14:textId="77777777" w:rsidR="00E472C7" w:rsidRPr="00930D6A" w:rsidRDefault="00E472C7" w:rsidP="00E472C7">
            <w:r w:rsidRPr="00930D6A">
              <w:t>436,351</w:t>
            </w:r>
          </w:p>
        </w:tc>
        <w:tc>
          <w:tcPr>
            <w:tcW w:w="1357" w:type="pct"/>
          </w:tcPr>
          <w:p w14:paraId="4E1CB358" w14:textId="0FC24C83" w:rsidR="00E472C7" w:rsidRPr="00930D6A" w:rsidRDefault="00E472C7" w:rsidP="00E472C7">
            <w:r w:rsidRPr="008163A2">
              <w:rPr>
                <w:color w:val="000000" w:themeColor="text1"/>
                <w:sz w:val="22"/>
                <w:szCs w:val="22"/>
              </w:rPr>
              <w:t xml:space="preserve">462,272 </w:t>
            </w:r>
          </w:p>
        </w:tc>
        <w:tc>
          <w:tcPr>
            <w:tcW w:w="1357" w:type="pct"/>
          </w:tcPr>
          <w:p w14:paraId="1A0C8E86" w14:textId="38D74C0B" w:rsidR="00E472C7" w:rsidRPr="00930D6A" w:rsidRDefault="00E472C7" w:rsidP="00E472C7">
            <w:r w:rsidRPr="005532CB">
              <w:rPr>
                <w:color w:val="000000" w:themeColor="text1"/>
              </w:rPr>
              <w:t xml:space="preserve">468,583 </w:t>
            </w:r>
          </w:p>
        </w:tc>
      </w:tr>
      <w:tr w:rsidR="00E472C7" w:rsidRPr="00930D6A" w14:paraId="2D945793" w14:textId="47A354FE"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4873D6E" w14:textId="77777777" w:rsidR="00E472C7" w:rsidRPr="00930D6A" w:rsidRDefault="00E472C7" w:rsidP="00E472C7">
            <w:r w:rsidRPr="00930D6A">
              <w:t>2052</w:t>
            </w:r>
          </w:p>
        </w:tc>
        <w:tc>
          <w:tcPr>
            <w:tcW w:w="1357" w:type="pct"/>
          </w:tcPr>
          <w:p w14:paraId="034C9F9F" w14:textId="77777777" w:rsidR="00E472C7" w:rsidRPr="00930D6A" w:rsidRDefault="00E472C7" w:rsidP="00E472C7">
            <w:r w:rsidRPr="00930D6A">
              <w:t>426,341</w:t>
            </w:r>
          </w:p>
        </w:tc>
        <w:tc>
          <w:tcPr>
            <w:tcW w:w="1357" w:type="pct"/>
          </w:tcPr>
          <w:p w14:paraId="226C9643" w14:textId="31CCDE05" w:rsidR="00E472C7" w:rsidRPr="00930D6A" w:rsidRDefault="00E472C7" w:rsidP="00E472C7">
            <w:r w:rsidRPr="008163A2">
              <w:rPr>
                <w:color w:val="000000" w:themeColor="text1"/>
                <w:sz w:val="22"/>
                <w:szCs w:val="22"/>
              </w:rPr>
              <w:t xml:space="preserve">451,974 </w:t>
            </w:r>
          </w:p>
        </w:tc>
        <w:tc>
          <w:tcPr>
            <w:tcW w:w="1357" w:type="pct"/>
          </w:tcPr>
          <w:p w14:paraId="6000724F" w14:textId="1610F887" w:rsidR="00E472C7" w:rsidRPr="00930D6A" w:rsidRDefault="00E472C7" w:rsidP="00E472C7">
            <w:r w:rsidRPr="005532CB">
              <w:rPr>
                <w:color w:val="000000" w:themeColor="text1"/>
              </w:rPr>
              <w:t xml:space="preserve">458,447 </w:t>
            </w:r>
          </w:p>
        </w:tc>
      </w:tr>
      <w:tr w:rsidR="00E472C7" w:rsidRPr="00930D6A" w14:paraId="6EDB932E" w14:textId="62CE9585" w:rsidTr="008163A2">
        <w:tc>
          <w:tcPr>
            <w:tcW w:w="928" w:type="pct"/>
          </w:tcPr>
          <w:p w14:paraId="2EF080D1" w14:textId="77777777" w:rsidR="00E472C7" w:rsidRPr="00930D6A" w:rsidRDefault="00E472C7" w:rsidP="00E472C7">
            <w:r w:rsidRPr="00930D6A">
              <w:t>2053</w:t>
            </w:r>
          </w:p>
        </w:tc>
        <w:tc>
          <w:tcPr>
            <w:tcW w:w="1357" w:type="pct"/>
          </w:tcPr>
          <w:p w14:paraId="5B8A974F" w14:textId="77777777" w:rsidR="00E472C7" w:rsidRPr="00930D6A" w:rsidRDefault="00E472C7" w:rsidP="00E472C7">
            <w:r w:rsidRPr="00930D6A">
              <w:t>415,155</w:t>
            </w:r>
          </w:p>
        </w:tc>
        <w:tc>
          <w:tcPr>
            <w:tcW w:w="1357" w:type="pct"/>
          </w:tcPr>
          <w:p w14:paraId="02ED6EC7" w14:textId="48DD20F1" w:rsidR="00E472C7" w:rsidRPr="00930D6A" w:rsidRDefault="00E472C7" w:rsidP="00E472C7">
            <w:r w:rsidRPr="008163A2">
              <w:rPr>
                <w:color w:val="000000" w:themeColor="text1"/>
                <w:sz w:val="22"/>
                <w:szCs w:val="22"/>
              </w:rPr>
              <w:t xml:space="preserve">440,449 </w:t>
            </w:r>
          </w:p>
        </w:tc>
        <w:tc>
          <w:tcPr>
            <w:tcW w:w="1357" w:type="pct"/>
          </w:tcPr>
          <w:p w14:paraId="2A4AFC0A" w14:textId="790097ED" w:rsidR="00E472C7" w:rsidRPr="00930D6A" w:rsidRDefault="00E472C7" w:rsidP="00E472C7">
            <w:r w:rsidRPr="005532CB">
              <w:rPr>
                <w:color w:val="000000" w:themeColor="text1"/>
              </w:rPr>
              <w:t xml:space="preserve">447,086 </w:t>
            </w:r>
          </w:p>
        </w:tc>
      </w:tr>
      <w:tr w:rsidR="00E472C7" w:rsidRPr="00930D6A" w14:paraId="50A0BA0D" w14:textId="7AE1FC7A"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8AA319C" w14:textId="77777777" w:rsidR="00E472C7" w:rsidRPr="00930D6A" w:rsidRDefault="00E472C7" w:rsidP="00E472C7">
            <w:r w:rsidRPr="00930D6A">
              <w:t>2054</w:t>
            </w:r>
          </w:p>
        </w:tc>
        <w:tc>
          <w:tcPr>
            <w:tcW w:w="1357" w:type="pct"/>
          </w:tcPr>
          <w:p w14:paraId="343E2F13" w14:textId="77777777" w:rsidR="00E472C7" w:rsidRPr="00930D6A" w:rsidRDefault="00E472C7" w:rsidP="00E472C7">
            <w:r w:rsidRPr="00930D6A">
              <w:t>402,751</w:t>
            </w:r>
          </w:p>
        </w:tc>
        <w:tc>
          <w:tcPr>
            <w:tcW w:w="1357" w:type="pct"/>
          </w:tcPr>
          <w:p w14:paraId="385DDD8D" w14:textId="7DFCE11A" w:rsidR="00E472C7" w:rsidRPr="00930D6A" w:rsidRDefault="00E472C7" w:rsidP="00E472C7">
            <w:r w:rsidRPr="008163A2">
              <w:rPr>
                <w:color w:val="000000" w:themeColor="text1"/>
                <w:sz w:val="22"/>
                <w:szCs w:val="22"/>
              </w:rPr>
              <w:t xml:space="preserve">427,653 </w:t>
            </w:r>
          </w:p>
        </w:tc>
        <w:tc>
          <w:tcPr>
            <w:tcW w:w="1357" w:type="pct"/>
          </w:tcPr>
          <w:p w14:paraId="4A9FC157" w14:textId="59015FDD" w:rsidR="00E472C7" w:rsidRPr="00930D6A" w:rsidRDefault="00E472C7" w:rsidP="00E472C7">
            <w:r w:rsidRPr="005532CB">
              <w:rPr>
                <w:color w:val="000000" w:themeColor="text1"/>
              </w:rPr>
              <w:t xml:space="preserve">434,459 </w:t>
            </w:r>
          </w:p>
        </w:tc>
      </w:tr>
      <w:tr w:rsidR="00E472C7" w:rsidRPr="00930D6A" w14:paraId="64E6A8AD" w14:textId="3DBD485A" w:rsidTr="008163A2">
        <w:tc>
          <w:tcPr>
            <w:tcW w:w="928" w:type="pct"/>
          </w:tcPr>
          <w:p w14:paraId="410E6FDF" w14:textId="77777777" w:rsidR="00E472C7" w:rsidRPr="00930D6A" w:rsidRDefault="00E472C7" w:rsidP="00E472C7">
            <w:r w:rsidRPr="00930D6A">
              <w:t>2055</w:t>
            </w:r>
          </w:p>
        </w:tc>
        <w:tc>
          <w:tcPr>
            <w:tcW w:w="1357" w:type="pct"/>
          </w:tcPr>
          <w:p w14:paraId="61E68E1C" w14:textId="77777777" w:rsidR="00E472C7" w:rsidRPr="00930D6A" w:rsidRDefault="00E472C7" w:rsidP="00E472C7">
            <w:r w:rsidRPr="00930D6A">
              <w:t>385,588</w:t>
            </w:r>
          </w:p>
        </w:tc>
        <w:tc>
          <w:tcPr>
            <w:tcW w:w="1357" w:type="pct"/>
          </w:tcPr>
          <w:p w14:paraId="674C3786" w14:textId="35492FFD" w:rsidR="00E472C7" w:rsidRPr="00930D6A" w:rsidRDefault="00E472C7" w:rsidP="00E472C7">
            <w:r w:rsidRPr="008163A2">
              <w:rPr>
                <w:color w:val="000000" w:themeColor="text1"/>
                <w:sz w:val="22"/>
                <w:szCs w:val="22"/>
              </w:rPr>
              <w:t xml:space="preserve">409,841 </w:t>
            </w:r>
          </w:p>
        </w:tc>
        <w:tc>
          <w:tcPr>
            <w:tcW w:w="1357" w:type="pct"/>
          </w:tcPr>
          <w:p w14:paraId="218D6B94" w14:textId="08555DA7" w:rsidR="00E472C7" w:rsidRPr="00930D6A" w:rsidRDefault="00E472C7" w:rsidP="00E472C7">
            <w:r w:rsidRPr="005532CB">
              <w:rPr>
                <w:color w:val="000000" w:themeColor="text1"/>
              </w:rPr>
              <w:t xml:space="preserve">416,769 </w:t>
            </w:r>
          </w:p>
        </w:tc>
      </w:tr>
      <w:tr w:rsidR="00E472C7" w:rsidRPr="00930D6A" w14:paraId="4F419FDB" w14:textId="7D4B78F9"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FE1F340" w14:textId="77777777" w:rsidR="00E472C7" w:rsidRPr="00930D6A" w:rsidRDefault="00E472C7" w:rsidP="00E472C7">
            <w:r w:rsidRPr="00930D6A">
              <w:t>2056</w:t>
            </w:r>
          </w:p>
        </w:tc>
        <w:tc>
          <w:tcPr>
            <w:tcW w:w="1357" w:type="pct"/>
          </w:tcPr>
          <w:p w14:paraId="1A3DC880" w14:textId="77777777" w:rsidR="00E472C7" w:rsidRPr="00930D6A" w:rsidRDefault="00E472C7" w:rsidP="00E472C7">
            <w:r w:rsidRPr="00930D6A">
              <w:t>367,544</w:t>
            </w:r>
          </w:p>
        </w:tc>
        <w:tc>
          <w:tcPr>
            <w:tcW w:w="1357" w:type="pct"/>
          </w:tcPr>
          <w:p w14:paraId="75DA6D0A" w14:textId="5D743C27" w:rsidR="00E472C7" w:rsidRPr="00930D6A" w:rsidRDefault="00E472C7" w:rsidP="00E472C7">
            <w:r w:rsidRPr="008163A2">
              <w:rPr>
                <w:color w:val="000000" w:themeColor="text1"/>
                <w:sz w:val="22"/>
                <w:szCs w:val="22"/>
              </w:rPr>
              <w:t xml:space="preserve">391,110 </w:t>
            </w:r>
          </w:p>
        </w:tc>
        <w:tc>
          <w:tcPr>
            <w:tcW w:w="1357" w:type="pct"/>
          </w:tcPr>
          <w:p w14:paraId="536CE330" w14:textId="4D3E562C" w:rsidR="00E472C7" w:rsidRPr="00930D6A" w:rsidRDefault="00E472C7" w:rsidP="00E472C7">
            <w:r w:rsidRPr="005532CB">
              <w:rPr>
                <w:color w:val="000000" w:themeColor="text1"/>
              </w:rPr>
              <w:t xml:space="preserve">398,165 </w:t>
            </w:r>
          </w:p>
        </w:tc>
      </w:tr>
      <w:tr w:rsidR="00E472C7" w:rsidRPr="00930D6A" w14:paraId="4A59B8B1" w14:textId="2826C3E2" w:rsidTr="008163A2">
        <w:tc>
          <w:tcPr>
            <w:tcW w:w="928" w:type="pct"/>
          </w:tcPr>
          <w:p w14:paraId="239E67BB" w14:textId="77777777" w:rsidR="00E472C7" w:rsidRPr="00930D6A" w:rsidRDefault="00E472C7" w:rsidP="00E472C7">
            <w:r w:rsidRPr="00930D6A">
              <w:t>2057</w:t>
            </w:r>
          </w:p>
        </w:tc>
        <w:tc>
          <w:tcPr>
            <w:tcW w:w="1357" w:type="pct"/>
          </w:tcPr>
          <w:p w14:paraId="0EFE3C3D" w14:textId="77777777" w:rsidR="00E472C7" w:rsidRPr="00930D6A" w:rsidRDefault="00E472C7" w:rsidP="00E472C7">
            <w:r w:rsidRPr="00930D6A">
              <w:t>348,595</w:t>
            </w:r>
          </w:p>
        </w:tc>
        <w:tc>
          <w:tcPr>
            <w:tcW w:w="1357" w:type="pct"/>
          </w:tcPr>
          <w:p w14:paraId="196EE033" w14:textId="3E839A39" w:rsidR="00E472C7" w:rsidRPr="00930D6A" w:rsidRDefault="00E472C7" w:rsidP="00E472C7">
            <w:r w:rsidRPr="008163A2">
              <w:rPr>
                <w:color w:val="000000" w:themeColor="text1"/>
                <w:sz w:val="22"/>
                <w:szCs w:val="22"/>
              </w:rPr>
              <w:t xml:space="preserve">371,438 </w:t>
            </w:r>
          </w:p>
        </w:tc>
        <w:tc>
          <w:tcPr>
            <w:tcW w:w="1357" w:type="pct"/>
          </w:tcPr>
          <w:p w14:paraId="72357623" w14:textId="7F837DF1" w:rsidR="00E472C7" w:rsidRPr="00930D6A" w:rsidRDefault="00E472C7" w:rsidP="00E472C7">
            <w:r w:rsidRPr="005532CB">
              <w:rPr>
                <w:color w:val="000000" w:themeColor="text1"/>
              </w:rPr>
              <w:t xml:space="preserve">378,622 </w:t>
            </w:r>
          </w:p>
        </w:tc>
      </w:tr>
      <w:tr w:rsidR="00E472C7" w:rsidRPr="00930D6A" w14:paraId="73E1CEE8" w14:textId="41DF7B1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6F0F318B" w14:textId="77777777" w:rsidR="00E472C7" w:rsidRPr="00930D6A" w:rsidRDefault="00E472C7" w:rsidP="00E472C7">
            <w:r w:rsidRPr="00930D6A">
              <w:t>2058</w:t>
            </w:r>
          </w:p>
        </w:tc>
        <w:tc>
          <w:tcPr>
            <w:tcW w:w="1357" w:type="pct"/>
          </w:tcPr>
          <w:p w14:paraId="34EC9A22" w14:textId="77777777" w:rsidR="00E472C7" w:rsidRPr="00930D6A" w:rsidRDefault="00E472C7" w:rsidP="00E472C7">
            <w:r w:rsidRPr="00930D6A">
              <w:t>328,707</w:t>
            </w:r>
          </w:p>
        </w:tc>
        <w:tc>
          <w:tcPr>
            <w:tcW w:w="1357" w:type="pct"/>
          </w:tcPr>
          <w:p w14:paraId="7C0E2FE0" w14:textId="0BC6BADC" w:rsidR="00E472C7" w:rsidRPr="00930D6A" w:rsidRDefault="00E472C7" w:rsidP="00E472C7">
            <w:r w:rsidRPr="008163A2">
              <w:rPr>
                <w:color w:val="000000" w:themeColor="text1"/>
                <w:sz w:val="22"/>
                <w:szCs w:val="22"/>
              </w:rPr>
              <w:t xml:space="preserve">350,786 </w:t>
            </w:r>
          </w:p>
        </w:tc>
        <w:tc>
          <w:tcPr>
            <w:tcW w:w="1357" w:type="pct"/>
          </w:tcPr>
          <w:p w14:paraId="3580EB35" w14:textId="5C325F15" w:rsidR="00E472C7" w:rsidRPr="00930D6A" w:rsidRDefault="00E472C7" w:rsidP="00E472C7">
            <w:r w:rsidRPr="005532CB">
              <w:rPr>
                <w:color w:val="000000" w:themeColor="text1"/>
              </w:rPr>
              <w:t xml:space="preserve">358,102 </w:t>
            </w:r>
          </w:p>
        </w:tc>
      </w:tr>
      <w:tr w:rsidR="00E472C7" w:rsidRPr="00930D6A" w14:paraId="4B9CBEB6" w14:textId="0C12F38A" w:rsidTr="008163A2">
        <w:tc>
          <w:tcPr>
            <w:tcW w:w="928" w:type="pct"/>
          </w:tcPr>
          <w:p w14:paraId="38CBA234" w14:textId="77777777" w:rsidR="00E472C7" w:rsidRPr="00930D6A" w:rsidRDefault="00E472C7" w:rsidP="00E472C7">
            <w:r w:rsidRPr="00930D6A">
              <w:t>2059</w:t>
            </w:r>
          </w:p>
        </w:tc>
        <w:tc>
          <w:tcPr>
            <w:tcW w:w="1357" w:type="pct"/>
          </w:tcPr>
          <w:p w14:paraId="771A6B8C" w14:textId="77777777" w:rsidR="00E472C7" w:rsidRPr="00930D6A" w:rsidRDefault="00E472C7" w:rsidP="00E472C7">
            <w:r w:rsidRPr="00930D6A">
              <w:t>307,842</w:t>
            </w:r>
          </w:p>
        </w:tc>
        <w:tc>
          <w:tcPr>
            <w:tcW w:w="1357" w:type="pct"/>
          </w:tcPr>
          <w:p w14:paraId="1747C3E0" w14:textId="49CDCB40" w:rsidR="00E472C7" w:rsidRPr="00930D6A" w:rsidRDefault="00E472C7" w:rsidP="00E472C7">
            <w:r w:rsidRPr="008163A2">
              <w:rPr>
                <w:color w:val="000000" w:themeColor="text1"/>
                <w:sz w:val="22"/>
                <w:szCs w:val="22"/>
              </w:rPr>
              <w:t xml:space="preserve">329,117 </w:t>
            </w:r>
          </w:p>
        </w:tc>
        <w:tc>
          <w:tcPr>
            <w:tcW w:w="1357" w:type="pct"/>
          </w:tcPr>
          <w:p w14:paraId="4E15A310" w14:textId="3462E4A9" w:rsidR="00E472C7" w:rsidRPr="00930D6A" w:rsidRDefault="00E472C7" w:rsidP="00E472C7">
            <w:r w:rsidRPr="005532CB">
              <w:rPr>
                <w:color w:val="000000" w:themeColor="text1"/>
              </w:rPr>
              <w:t xml:space="preserve">336,568 </w:t>
            </w:r>
          </w:p>
        </w:tc>
      </w:tr>
    </w:tbl>
    <w:p w14:paraId="16780944" w14:textId="77777777" w:rsidR="00BE291A" w:rsidRDefault="00BE291A" w:rsidP="008163A2">
      <w:pPr>
        <w:pStyle w:val="ListNumbered1"/>
        <w:keepNext/>
        <w:numPr>
          <w:ilvl w:val="0"/>
          <w:numId w:val="0"/>
        </w:numPr>
        <w:ind w:left="284" w:hanging="284"/>
        <w:rPr>
          <w:lang w:val="en-AU"/>
        </w:rPr>
      </w:pPr>
    </w:p>
    <w:p w14:paraId="5254590E" w14:textId="77777777" w:rsidR="00BE291A" w:rsidRDefault="00BE291A">
      <w:pPr>
        <w:spacing w:line="259" w:lineRule="auto"/>
        <w:rPr>
          <w:rFonts w:asciiTheme="minorHAnsi" w:hAnsiTheme="minorHAnsi"/>
          <w:color w:val="000000" w:themeColor="text1"/>
          <w:kern w:val="12"/>
          <w:szCs w:val="20"/>
        </w:rPr>
      </w:pPr>
      <w:r>
        <w:br w:type="page"/>
      </w:r>
    </w:p>
    <w:p w14:paraId="574D38D6" w14:textId="04E57415" w:rsidR="00271A50" w:rsidRPr="00930D6A" w:rsidRDefault="00271A50" w:rsidP="00310D3F">
      <w:pPr>
        <w:pStyle w:val="ListNumbered1"/>
        <w:keepNext/>
        <w:ind w:left="567" w:hanging="567"/>
        <w:rPr>
          <w:lang w:val="en-AU"/>
        </w:rPr>
      </w:pPr>
      <w:r w:rsidRPr="00930D6A">
        <w:rPr>
          <w:lang w:val="en-AU"/>
        </w:rPr>
        <w:lastRenderedPageBreak/>
        <w:t>From the fitment increase data in step 6, the likely additional fitment costs over the intervention policy period (15 years) were established (</w:t>
      </w:r>
      <w:r w:rsidRPr="008163A2">
        <w:fldChar w:fldCharType="begin"/>
      </w:r>
      <w:r w:rsidRPr="00930D6A">
        <w:rPr>
          <w:lang w:val="en-AU"/>
        </w:rPr>
        <w:instrText xml:space="preserve"> REF _Ref95900736 \h </w:instrText>
      </w:r>
      <w:r w:rsidRPr="008163A2">
        <w:rPr>
          <w:lang w:val="en-AU"/>
        </w:rPr>
        <w:fldChar w:fldCharType="separate"/>
      </w:r>
      <w:r w:rsidR="005E58C6" w:rsidRPr="00930D6A">
        <w:t xml:space="preserve">Table </w:t>
      </w:r>
      <w:r w:rsidR="005E58C6">
        <w:rPr>
          <w:noProof/>
        </w:rPr>
        <w:t>9</w:t>
      </w:r>
      <w:r w:rsidRPr="008163A2">
        <w:fldChar w:fldCharType="end"/>
      </w:r>
      <w:r w:rsidRPr="00930D6A">
        <w:rPr>
          <w:lang w:val="en-AU"/>
        </w:rPr>
        <w:t>).</w:t>
      </w:r>
    </w:p>
    <w:p w14:paraId="488A5916" w14:textId="272D5309" w:rsidR="00271A50" w:rsidRPr="00930D6A" w:rsidRDefault="00271A50" w:rsidP="00310D3F">
      <w:pPr>
        <w:pStyle w:val="Tablefigureheading"/>
      </w:pPr>
      <w:bookmarkStart w:id="256" w:name="_Ref95900736"/>
      <w:bookmarkStart w:id="257" w:name="_Toc128476437"/>
      <w:bookmarkStart w:id="258" w:name="_Toc153795497"/>
      <w:r w:rsidRPr="00930D6A">
        <w:t xml:space="preserve">Table </w:t>
      </w:r>
      <w:fldSimple w:instr=" SEQ Table \* ARABIC ">
        <w:r w:rsidR="005E58C6">
          <w:rPr>
            <w:noProof/>
          </w:rPr>
          <w:t>9</w:t>
        </w:r>
      </w:fldSimple>
      <w:bookmarkEnd w:id="256"/>
      <w:r w:rsidRPr="00930D6A">
        <w:t>: Additional fitment cost for Option 2</w:t>
      </w:r>
      <w:bookmarkEnd w:id="257"/>
      <w:r w:rsidR="00BE291A">
        <w:t>, 3a and 3b</w:t>
      </w:r>
      <w:bookmarkEnd w:id="258"/>
    </w:p>
    <w:tbl>
      <w:tblPr>
        <w:tblStyle w:val="DefaultTable1"/>
        <w:tblW w:w="5000" w:type="pct"/>
        <w:tblLook w:val="0420" w:firstRow="1" w:lastRow="0" w:firstColumn="0" w:lastColumn="0" w:noHBand="0" w:noVBand="1"/>
        <w:tblCaption w:val="Additional fitment cost for Option 2"/>
        <w:tblDescription w:val="Table showing the likely additional fitment costs for Option 2, by year, from 2025 to 2039 (which is the intervention policy period)."/>
      </w:tblPr>
      <w:tblGrid>
        <w:gridCol w:w="1443"/>
        <w:gridCol w:w="2809"/>
        <w:gridCol w:w="2612"/>
        <w:gridCol w:w="2611"/>
      </w:tblGrid>
      <w:tr w:rsidR="006B6E73" w:rsidRPr="00930D6A" w14:paraId="2809DFB5" w14:textId="0DDD3F3E" w:rsidTr="008163A2">
        <w:trPr>
          <w:cnfStyle w:val="100000000000" w:firstRow="1" w:lastRow="0" w:firstColumn="0" w:lastColumn="0" w:oddVBand="0" w:evenVBand="0" w:oddHBand="0" w:evenHBand="0" w:firstRowFirstColumn="0" w:firstRowLastColumn="0" w:lastRowFirstColumn="0" w:lastRowLastColumn="0"/>
        </w:trPr>
        <w:tc>
          <w:tcPr>
            <w:tcW w:w="761" w:type="pct"/>
            <w:shd w:val="clear" w:color="auto" w:fill="081E3E"/>
          </w:tcPr>
          <w:p w14:paraId="7E8877AE" w14:textId="77777777" w:rsidR="006B6E73" w:rsidRPr="00930D6A" w:rsidRDefault="006B6E73" w:rsidP="00271A50">
            <w:r w:rsidRPr="00930D6A">
              <w:t>Year</w:t>
            </w:r>
          </w:p>
        </w:tc>
        <w:tc>
          <w:tcPr>
            <w:tcW w:w="1482" w:type="pct"/>
            <w:shd w:val="clear" w:color="auto" w:fill="081E3E"/>
          </w:tcPr>
          <w:p w14:paraId="5464547B" w14:textId="5731DECA" w:rsidR="006B6E73" w:rsidRPr="00930D6A" w:rsidRDefault="00BE291A" w:rsidP="00271A50">
            <w:pPr>
              <w:rPr>
                <w:highlight w:val="cyan"/>
              </w:rPr>
            </w:pPr>
            <w:r>
              <w:t xml:space="preserve">Option 2 </w:t>
            </w:r>
            <w:r w:rsidR="006B6E73" w:rsidRPr="00930D6A">
              <w:t>($)</w:t>
            </w:r>
          </w:p>
        </w:tc>
        <w:tc>
          <w:tcPr>
            <w:tcW w:w="1378" w:type="pct"/>
            <w:shd w:val="clear" w:color="auto" w:fill="081E3E"/>
          </w:tcPr>
          <w:p w14:paraId="3237499D" w14:textId="2492ABF4" w:rsidR="006B6E73" w:rsidRPr="00930D6A" w:rsidRDefault="00BE291A" w:rsidP="00271A50">
            <w:r>
              <w:t>Option</w:t>
            </w:r>
            <w:r w:rsidR="002849F3">
              <w:t xml:space="preserve"> </w:t>
            </w:r>
            <w:r>
              <w:t>3a ($)</w:t>
            </w:r>
          </w:p>
        </w:tc>
        <w:tc>
          <w:tcPr>
            <w:tcW w:w="1378" w:type="pct"/>
            <w:shd w:val="clear" w:color="auto" w:fill="081E3E"/>
          </w:tcPr>
          <w:p w14:paraId="7BCFE544" w14:textId="56D87286" w:rsidR="006B6E73" w:rsidRPr="00930D6A" w:rsidRDefault="00BE291A" w:rsidP="00271A50">
            <w:r>
              <w:t>Option</w:t>
            </w:r>
            <w:r w:rsidR="002849F3">
              <w:t xml:space="preserve"> </w:t>
            </w:r>
            <w:r>
              <w:t>3b ($)</w:t>
            </w:r>
          </w:p>
        </w:tc>
      </w:tr>
      <w:tr w:rsidR="00BE291A" w:rsidRPr="00930D6A" w14:paraId="6CE91E20" w14:textId="58055C1A" w:rsidTr="008163A2">
        <w:tc>
          <w:tcPr>
            <w:tcW w:w="761" w:type="pct"/>
          </w:tcPr>
          <w:p w14:paraId="1DD7E13F" w14:textId="77777777" w:rsidR="00BE291A" w:rsidRPr="00930D6A" w:rsidRDefault="00BE291A" w:rsidP="00BE291A">
            <w:r w:rsidRPr="00930D6A">
              <w:t>2025</w:t>
            </w:r>
          </w:p>
        </w:tc>
        <w:tc>
          <w:tcPr>
            <w:tcW w:w="1482" w:type="pct"/>
          </w:tcPr>
          <w:p w14:paraId="7DE8F417" w14:textId="00AADAE6" w:rsidR="00BE291A" w:rsidRPr="00930D6A" w:rsidRDefault="00BE291A" w:rsidP="00BE291A">
            <w:r w:rsidRPr="002D21F3">
              <w:t xml:space="preserve"> 2,938,448 </w:t>
            </w:r>
          </w:p>
        </w:tc>
        <w:tc>
          <w:tcPr>
            <w:tcW w:w="1378" w:type="pct"/>
          </w:tcPr>
          <w:p w14:paraId="4AA3DE7E" w14:textId="49D4F6CA" w:rsidR="00BE291A" w:rsidRPr="00930D6A" w:rsidRDefault="00BE291A" w:rsidP="00BE291A">
            <w:r w:rsidRPr="0019393A">
              <w:t xml:space="preserve"> 3,006,047 </w:t>
            </w:r>
          </w:p>
        </w:tc>
        <w:tc>
          <w:tcPr>
            <w:tcW w:w="1378" w:type="pct"/>
          </w:tcPr>
          <w:p w14:paraId="60AB3D91" w14:textId="2E227421" w:rsidR="00BE291A" w:rsidRPr="00930D6A" w:rsidRDefault="00BE291A" w:rsidP="00BE291A">
            <w:r w:rsidRPr="00AA6A44">
              <w:t xml:space="preserve"> -   </w:t>
            </w:r>
          </w:p>
        </w:tc>
      </w:tr>
      <w:tr w:rsidR="00BE291A" w:rsidRPr="00930D6A" w14:paraId="2955E8BF" w14:textId="313D8D81"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635908F" w14:textId="77777777" w:rsidR="00BE291A" w:rsidRPr="00930D6A" w:rsidRDefault="00BE291A" w:rsidP="00BE291A">
            <w:r w:rsidRPr="00930D6A">
              <w:t>2026</w:t>
            </w:r>
          </w:p>
        </w:tc>
        <w:tc>
          <w:tcPr>
            <w:tcW w:w="1482" w:type="pct"/>
          </w:tcPr>
          <w:p w14:paraId="0FF79D30" w14:textId="359C57A3" w:rsidR="00BE291A" w:rsidRPr="00930D6A" w:rsidRDefault="00BE291A" w:rsidP="00BE291A">
            <w:r w:rsidRPr="002D21F3">
              <w:t xml:space="preserve"> 11,170,093 </w:t>
            </w:r>
          </w:p>
        </w:tc>
        <w:tc>
          <w:tcPr>
            <w:tcW w:w="1378" w:type="pct"/>
          </w:tcPr>
          <w:p w14:paraId="62B9D627" w14:textId="0A0C7595" w:rsidR="00BE291A" w:rsidRPr="00930D6A" w:rsidRDefault="00BE291A" w:rsidP="00BE291A">
            <w:r w:rsidRPr="0019393A">
              <w:t xml:space="preserve"> 11,518,201 </w:t>
            </w:r>
          </w:p>
        </w:tc>
        <w:tc>
          <w:tcPr>
            <w:tcW w:w="1378" w:type="pct"/>
          </w:tcPr>
          <w:p w14:paraId="216A4A55" w14:textId="7ACDE46F" w:rsidR="00BE291A" w:rsidRPr="00930D6A" w:rsidRDefault="00BE291A" w:rsidP="00BE291A">
            <w:r w:rsidRPr="00AA6A44">
              <w:t xml:space="preserve"> 3,086,843 </w:t>
            </w:r>
          </w:p>
        </w:tc>
      </w:tr>
      <w:tr w:rsidR="00BE291A" w:rsidRPr="00930D6A" w14:paraId="7306132D" w14:textId="7AC712A1" w:rsidTr="008163A2">
        <w:tc>
          <w:tcPr>
            <w:tcW w:w="761" w:type="pct"/>
          </w:tcPr>
          <w:p w14:paraId="5FCEA49A" w14:textId="77777777" w:rsidR="00BE291A" w:rsidRPr="00930D6A" w:rsidRDefault="00BE291A" w:rsidP="00BE291A">
            <w:r w:rsidRPr="00930D6A">
              <w:t>2027</w:t>
            </w:r>
          </w:p>
        </w:tc>
        <w:tc>
          <w:tcPr>
            <w:tcW w:w="1482" w:type="pct"/>
          </w:tcPr>
          <w:p w14:paraId="158D9126" w14:textId="6B72C37D" w:rsidR="00BE291A" w:rsidRPr="00930D6A" w:rsidRDefault="00BE291A" w:rsidP="00BE291A">
            <w:r w:rsidRPr="002D21F3">
              <w:t xml:space="preserve"> 12,712,297 </w:t>
            </w:r>
          </w:p>
        </w:tc>
        <w:tc>
          <w:tcPr>
            <w:tcW w:w="1378" w:type="pct"/>
          </w:tcPr>
          <w:p w14:paraId="75FAAB82" w14:textId="1B079293" w:rsidR="00BE291A" w:rsidRPr="00930D6A" w:rsidRDefault="00BE291A" w:rsidP="00BE291A">
            <w:r w:rsidRPr="0019393A">
              <w:t xml:space="preserve"> 13,284,351 </w:t>
            </w:r>
          </w:p>
        </w:tc>
        <w:tc>
          <w:tcPr>
            <w:tcW w:w="1378" w:type="pct"/>
          </w:tcPr>
          <w:p w14:paraId="42229C01" w14:textId="47C17D58" w:rsidR="00BE291A" w:rsidRPr="00930D6A" w:rsidRDefault="00BE291A" w:rsidP="00BE291A">
            <w:r w:rsidRPr="00AA6A44">
              <w:t xml:space="preserve"> 13,284,351 </w:t>
            </w:r>
          </w:p>
        </w:tc>
      </w:tr>
      <w:tr w:rsidR="00BE291A" w:rsidRPr="00930D6A" w14:paraId="6C85592E" w14:textId="19F0DB35"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B1AA447" w14:textId="77777777" w:rsidR="00BE291A" w:rsidRPr="00930D6A" w:rsidRDefault="00BE291A" w:rsidP="00BE291A">
            <w:r w:rsidRPr="00930D6A">
              <w:t>2028</w:t>
            </w:r>
          </w:p>
        </w:tc>
        <w:tc>
          <w:tcPr>
            <w:tcW w:w="1482" w:type="pct"/>
          </w:tcPr>
          <w:p w14:paraId="581D063E" w14:textId="2CC28A5F" w:rsidR="00BE291A" w:rsidRPr="00930D6A" w:rsidRDefault="00BE291A" w:rsidP="00BE291A">
            <w:r w:rsidRPr="002D21F3">
              <w:t xml:space="preserve"> 14,411,162 </w:t>
            </w:r>
          </w:p>
        </w:tc>
        <w:tc>
          <w:tcPr>
            <w:tcW w:w="1378" w:type="pct"/>
          </w:tcPr>
          <w:p w14:paraId="41B37C71" w14:textId="0C8EC2C9" w:rsidR="00BE291A" w:rsidRPr="00930D6A" w:rsidRDefault="00BE291A" w:rsidP="00BE291A">
            <w:r w:rsidRPr="0019393A">
              <w:t xml:space="preserve"> 15,059,665 </w:t>
            </w:r>
          </w:p>
        </w:tc>
        <w:tc>
          <w:tcPr>
            <w:tcW w:w="1378" w:type="pct"/>
          </w:tcPr>
          <w:p w14:paraId="48164C15" w14:textId="64F27F18" w:rsidR="00BE291A" w:rsidRPr="00930D6A" w:rsidRDefault="00BE291A" w:rsidP="00BE291A">
            <w:r w:rsidRPr="00AA6A44">
              <w:t xml:space="preserve"> 15,059,665 </w:t>
            </w:r>
          </w:p>
        </w:tc>
      </w:tr>
      <w:tr w:rsidR="00BE291A" w:rsidRPr="00930D6A" w14:paraId="07EAE1BE" w14:textId="2E092827" w:rsidTr="008163A2">
        <w:tc>
          <w:tcPr>
            <w:tcW w:w="761" w:type="pct"/>
          </w:tcPr>
          <w:p w14:paraId="52BB1FB0" w14:textId="77777777" w:rsidR="00BE291A" w:rsidRPr="00930D6A" w:rsidRDefault="00BE291A" w:rsidP="00BE291A">
            <w:r w:rsidRPr="00930D6A">
              <w:t>2029</w:t>
            </w:r>
          </w:p>
        </w:tc>
        <w:tc>
          <w:tcPr>
            <w:tcW w:w="1482" w:type="pct"/>
          </w:tcPr>
          <w:p w14:paraId="6FBB8504" w14:textId="3E433102" w:rsidR="00BE291A" w:rsidRPr="00930D6A" w:rsidRDefault="00BE291A" w:rsidP="00BE291A">
            <w:r w:rsidRPr="002D21F3">
              <w:t xml:space="preserve"> 16,251,074 </w:t>
            </w:r>
          </w:p>
        </w:tc>
        <w:tc>
          <w:tcPr>
            <w:tcW w:w="1378" w:type="pct"/>
          </w:tcPr>
          <w:p w14:paraId="56E245CE" w14:textId="5BD34108" w:rsidR="00BE291A" w:rsidRPr="00930D6A" w:rsidRDefault="00BE291A" w:rsidP="00BE291A">
            <w:r w:rsidRPr="0019393A">
              <w:t xml:space="preserve"> 16,982,372 </w:t>
            </w:r>
          </w:p>
        </w:tc>
        <w:tc>
          <w:tcPr>
            <w:tcW w:w="1378" w:type="pct"/>
          </w:tcPr>
          <w:p w14:paraId="3056324A" w14:textId="4602ABA9" w:rsidR="00BE291A" w:rsidRPr="00930D6A" w:rsidRDefault="00BE291A" w:rsidP="00BE291A">
            <w:r w:rsidRPr="00AA6A44">
              <w:t xml:space="preserve"> 16,982,372 </w:t>
            </w:r>
          </w:p>
        </w:tc>
      </w:tr>
      <w:tr w:rsidR="00BE291A" w:rsidRPr="00930D6A" w14:paraId="4515C8C1" w14:textId="391FA8E8"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58E2F017" w14:textId="77777777" w:rsidR="00BE291A" w:rsidRPr="00930D6A" w:rsidRDefault="00BE291A" w:rsidP="00BE291A">
            <w:r w:rsidRPr="00930D6A">
              <w:t>2030</w:t>
            </w:r>
          </w:p>
        </w:tc>
        <w:tc>
          <w:tcPr>
            <w:tcW w:w="1482" w:type="pct"/>
          </w:tcPr>
          <w:p w14:paraId="152199CB" w14:textId="32BBF30B" w:rsidR="00BE291A" w:rsidRPr="00930D6A" w:rsidRDefault="00BE291A" w:rsidP="00BE291A">
            <w:r w:rsidRPr="002D21F3">
              <w:t xml:space="preserve"> 18,176,645 </w:t>
            </w:r>
          </w:p>
        </w:tc>
        <w:tc>
          <w:tcPr>
            <w:tcW w:w="1378" w:type="pct"/>
          </w:tcPr>
          <w:p w14:paraId="54C9B94E" w14:textId="5272A998" w:rsidR="00BE291A" w:rsidRPr="00930D6A" w:rsidRDefault="00BE291A" w:rsidP="00BE291A">
            <w:r w:rsidRPr="0019393A">
              <w:t xml:space="preserve"> 18,994,594 </w:t>
            </w:r>
          </w:p>
        </w:tc>
        <w:tc>
          <w:tcPr>
            <w:tcW w:w="1378" w:type="pct"/>
          </w:tcPr>
          <w:p w14:paraId="0E9F9112" w14:textId="6F805A78" w:rsidR="00BE291A" w:rsidRPr="00930D6A" w:rsidRDefault="00BE291A" w:rsidP="00BE291A">
            <w:r w:rsidRPr="00AA6A44">
              <w:t xml:space="preserve"> 18,994,594 </w:t>
            </w:r>
          </w:p>
        </w:tc>
      </w:tr>
      <w:tr w:rsidR="00BE291A" w:rsidRPr="00930D6A" w14:paraId="630F2058" w14:textId="19DCA93B" w:rsidTr="008163A2">
        <w:tc>
          <w:tcPr>
            <w:tcW w:w="761" w:type="pct"/>
          </w:tcPr>
          <w:p w14:paraId="6FC35CF1" w14:textId="77777777" w:rsidR="00BE291A" w:rsidRPr="00930D6A" w:rsidRDefault="00BE291A" w:rsidP="00BE291A">
            <w:r w:rsidRPr="00930D6A">
              <w:t>2031</w:t>
            </w:r>
          </w:p>
        </w:tc>
        <w:tc>
          <w:tcPr>
            <w:tcW w:w="1482" w:type="pct"/>
          </w:tcPr>
          <w:p w14:paraId="34D178AC" w14:textId="6F67B440" w:rsidR="00BE291A" w:rsidRPr="00930D6A" w:rsidRDefault="00BE291A" w:rsidP="00BE291A">
            <w:r w:rsidRPr="002D21F3">
              <w:t xml:space="preserve"> 20,192,730 </w:t>
            </w:r>
          </w:p>
        </w:tc>
        <w:tc>
          <w:tcPr>
            <w:tcW w:w="1378" w:type="pct"/>
          </w:tcPr>
          <w:p w14:paraId="46A3C260" w14:textId="13E11652" w:rsidR="00BE291A" w:rsidRPr="00930D6A" w:rsidRDefault="00BE291A" w:rsidP="00BE291A">
            <w:r w:rsidRPr="0019393A">
              <w:t xml:space="preserve"> 21,101,403 </w:t>
            </w:r>
          </w:p>
        </w:tc>
        <w:tc>
          <w:tcPr>
            <w:tcW w:w="1378" w:type="pct"/>
          </w:tcPr>
          <w:p w14:paraId="41550052" w14:textId="2A1B92E6" w:rsidR="00BE291A" w:rsidRPr="00930D6A" w:rsidRDefault="00BE291A" w:rsidP="00BE291A">
            <w:r w:rsidRPr="00AA6A44">
              <w:t xml:space="preserve"> 21,101,403 </w:t>
            </w:r>
          </w:p>
        </w:tc>
      </w:tr>
      <w:tr w:rsidR="00BE291A" w:rsidRPr="00930D6A" w14:paraId="5A7EEC56" w14:textId="73978F8E"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5658C335" w14:textId="77777777" w:rsidR="00BE291A" w:rsidRPr="00930D6A" w:rsidRDefault="00BE291A" w:rsidP="00BE291A">
            <w:r w:rsidRPr="00930D6A">
              <w:t>2032</w:t>
            </w:r>
          </w:p>
        </w:tc>
        <w:tc>
          <w:tcPr>
            <w:tcW w:w="1482" w:type="pct"/>
          </w:tcPr>
          <w:p w14:paraId="2645B008" w14:textId="787AF17C" w:rsidR="00BE291A" w:rsidRPr="00930D6A" w:rsidRDefault="00BE291A" w:rsidP="00BE291A">
            <w:r w:rsidRPr="002D21F3">
              <w:t xml:space="preserve"> 22,086,973 </w:t>
            </w:r>
          </w:p>
        </w:tc>
        <w:tc>
          <w:tcPr>
            <w:tcW w:w="1378" w:type="pct"/>
          </w:tcPr>
          <w:p w14:paraId="616B4ACB" w14:textId="3D22030F" w:rsidR="00BE291A" w:rsidRPr="00930D6A" w:rsidRDefault="00BE291A" w:rsidP="00BE291A">
            <w:r w:rsidRPr="0019393A">
              <w:t xml:space="preserve"> 23,080,887 </w:t>
            </w:r>
          </w:p>
        </w:tc>
        <w:tc>
          <w:tcPr>
            <w:tcW w:w="1378" w:type="pct"/>
          </w:tcPr>
          <w:p w14:paraId="186B28BC" w14:textId="7EDF4B35" w:rsidR="00BE291A" w:rsidRPr="00930D6A" w:rsidRDefault="00BE291A" w:rsidP="00BE291A">
            <w:r w:rsidRPr="00AA6A44">
              <w:t xml:space="preserve"> 23,080,887 </w:t>
            </w:r>
          </w:p>
        </w:tc>
      </w:tr>
      <w:tr w:rsidR="00BE291A" w:rsidRPr="00930D6A" w14:paraId="4341C6ED" w14:textId="44668476" w:rsidTr="008163A2">
        <w:tc>
          <w:tcPr>
            <w:tcW w:w="761" w:type="pct"/>
          </w:tcPr>
          <w:p w14:paraId="523D7961" w14:textId="77777777" w:rsidR="00BE291A" w:rsidRPr="00930D6A" w:rsidRDefault="00BE291A" w:rsidP="00BE291A">
            <w:r w:rsidRPr="00930D6A">
              <w:t>2033</w:t>
            </w:r>
          </w:p>
        </w:tc>
        <w:tc>
          <w:tcPr>
            <w:tcW w:w="1482" w:type="pct"/>
          </w:tcPr>
          <w:p w14:paraId="1B666BC9" w14:textId="1F8F142A" w:rsidR="00BE291A" w:rsidRPr="00930D6A" w:rsidRDefault="00BE291A" w:rsidP="00BE291A">
            <w:r w:rsidRPr="002D21F3">
              <w:t xml:space="preserve"> 23,925,567 </w:t>
            </w:r>
          </w:p>
        </w:tc>
        <w:tc>
          <w:tcPr>
            <w:tcW w:w="1378" w:type="pct"/>
          </w:tcPr>
          <w:p w14:paraId="684C565C" w14:textId="5CDC23EC" w:rsidR="00BE291A" w:rsidRPr="00930D6A" w:rsidRDefault="00BE291A" w:rsidP="00BE291A">
            <w:r w:rsidRPr="0019393A">
              <w:t xml:space="preserve"> 25,002,217 </w:t>
            </w:r>
          </w:p>
        </w:tc>
        <w:tc>
          <w:tcPr>
            <w:tcW w:w="1378" w:type="pct"/>
          </w:tcPr>
          <w:p w14:paraId="2BF47417" w14:textId="57551F4C" w:rsidR="00BE291A" w:rsidRPr="00930D6A" w:rsidRDefault="00BE291A" w:rsidP="00BE291A">
            <w:r w:rsidRPr="00AA6A44">
              <w:t xml:space="preserve"> 25,002,217 </w:t>
            </w:r>
          </w:p>
        </w:tc>
      </w:tr>
      <w:tr w:rsidR="00BE291A" w:rsidRPr="00930D6A" w14:paraId="680F8512" w14:textId="7D480BD0"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D7941D2" w14:textId="77777777" w:rsidR="00BE291A" w:rsidRPr="00930D6A" w:rsidRDefault="00BE291A" w:rsidP="00BE291A">
            <w:r w:rsidRPr="00930D6A">
              <w:t>2034</w:t>
            </w:r>
          </w:p>
        </w:tc>
        <w:tc>
          <w:tcPr>
            <w:tcW w:w="1482" w:type="pct"/>
          </w:tcPr>
          <w:p w14:paraId="3FDEF952" w14:textId="4F055B4F" w:rsidR="00BE291A" w:rsidRPr="00930D6A" w:rsidRDefault="00BE291A" w:rsidP="00BE291A">
            <w:r w:rsidRPr="002D21F3">
              <w:t xml:space="preserve"> 25,672,738 </w:t>
            </w:r>
          </w:p>
        </w:tc>
        <w:tc>
          <w:tcPr>
            <w:tcW w:w="1378" w:type="pct"/>
          </w:tcPr>
          <w:p w14:paraId="67EE0065" w14:textId="045B0DE6" w:rsidR="00BE291A" w:rsidRPr="00930D6A" w:rsidRDefault="00BE291A" w:rsidP="00BE291A">
            <w:r w:rsidRPr="0019393A">
              <w:t xml:space="preserve"> 26,828,012 </w:t>
            </w:r>
          </w:p>
        </w:tc>
        <w:tc>
          <w:tcPr>
            <w:tcW w:w="1378" w:type="pct"/>
          </w:tcPr>
          <w:p w14:paraId="4FFA3208" w14:textId="779E87F0" w:rsidR="00BE291A" w:rsidRPr="00930D6A" w:rsidRDefault="00BE291A" w:rsidP="00BE291A">
            <w:r w:rsidRPr="00AA6A44">
              <w:t xml:space="preserve"> 26,828,012 </w:t>
            </w:r>
          </w:p>
        </w:tc>
      </w:tr>
      <w:tr w:rsidR="00BE291A" w:rsidRPr="00930D6A" w14:paraId="099E39D4" w14:textId="06EF951A" w:rsidTr="008163A2">
        <w:tc>
          <w:tcPr>
            <w:tcW w:w="761" w:type="pct"/>
          </w:tcPr>
          <w:p w14:paraId="3670EBEA" w14:textId="77777777" w:rsidR="00BE291A" w:rsidRPr="00930D6A" w:rsidRDefault="00BE291A" w:rsidP="00BE291A">
            <w:r w:rsidRPr="00930D6A">
              <w:t>2035</w:t>
            </w:r>
          </w:p>
        </w:tc>
        <w:tc>
          <w:tcPr>
            <w:tcW w:w="1482" w:type="pct"/>
          </w:tcPr>
          <w:p w14:paraId="25174AD3" w14:textId="1B8CCD8D" w:rsidR="00BE291A" w:rsidRPr="00930D6A" w:rsidRDefault="00BE291A" w:rsidP="00BE291A">
            <w:r w:rsidRPr="002D21F3">
              <w:t xml:space="preserve"> 27,198,041 </w:t>
            </w:r>
          </w:p>
        </w:tc>
        <w:tc>
          <w:tcPr>
            <w:tcW w:w="1378" w:type="pct"/>
          </w:tcPr>
          <w:p w14:paraId="7088F283" w14:textId="3430D904" w:rsidR="00BE291A" w:rsidRPr="00930D6A" w:rsidRDefault="00BE291A" w:rsidP="00BE291A">
            <w:r w:rsidRPr="0019393A">
              <w:t xml:space="preserve"> 28,421,953 </w:t>
            </w:r>
          </w:p>
        </w:tc>
        <w:tc>
          <w:tcPr>
            <w:tcW w:w="1378" w:type="pct"/>
          </w:tcPr>
          <w:p w14:paraId="3037AF82" w14:textId="17D20085" w:rsidR="00BE291A" w:rsidRPr="00930D6A" w:rsidRDefault="00BE291A" w:rsidP="00BE291A">
            <w:r w:rsidRPr="00AA6A44">
              <w:t xml:space="preserve"> 28,421,953 </w:t>
            </w:r>
          </w:p>
        </w:tc>
      </w:tr>
      <w:tr w:rsidR="00BE291A" w:rsidRPr="00930D6A" w14:paraId="1CD8D7A8" w14:textId="5398B106"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161D1DD6" w14:textId="77777777" w:rsidR="00BE291A" w:rsidRPr="00930D6A" w:rsidRDefault="00BE291A" w:rsidP="00BE291A">
            <w:r w:rsidRPr="00930D6A">
              <w:t>2036</w:t>
            </w:r>
          </w:p>
        </w:tc>
        <w:tc>
          <w:tcPr>
            <w:tcW w:w="1482" w:type="pct"/>
          </w:tcPr>
          <w:p w14:paraId="760E4779" w14:textId="03B66AA0" w:rsidR="00BE291A" w:rsidRPr="00930D6A" w:rsidRDefault="00BE291A" w:rsidP="00BE291A">
            <w:r w:rsidRPr="002D21F3">
              <w:t xml:space="preserve"> 28,498,275 </w:t>
            </w:r>
          </w:p>
        </w:tc>
        <w:tc>
          <w:tcPr>
            <w:tcW w:w="1378" w:type="pct"/>
          </w:tcPr>
          <w:p w14:paraId="57452C8E" w14:textId="51024B97" w:rsidR="00BE291A" w:rsidRPr="00930D6A" w:rsidRDefault="00BE291A" w:rsidP="00BE291A">
            <w:r w:rsidRPr="0019393A">
              <w:t xml:space="preserve"> 29,780,698 </w:t>
            </w:r>
          </w:p>
        </w:tc>
        <w:tc>
          <w:tcPr>
            <w:tcW w:w="1378" w:type="pct"/>
          </w:tcPr>
          <w:p w14:paraId="23CC1C15" w14:textId="6E6AAB61" w:rsidR="00BE291A" w:rsidRPr="00930D6A" w:rsidRDefault="00BE291A" w:rsidP="00BE291A">
            <w:r w:rsidRPr="00AA6A44">
              <w:t xml:space="preserve"> 29,780,698 </w:t>
            </w:r>
          </w:p>
        </w:tc>
      </w:tr>
      <w:tr w:rsidR="00BE291A" w:rsidRPr="00930D6A" w14:paraId="11EEFB36" w14:textId="015F5D75" w:rsidTr="008163A2">
        <w:tc>
          <w:tcPr>
            <w:tcW w:w="761" w:type="pct"/>
          </w:tcPr>
          <w:p w14:paraId="45D614AF" w14:textId="77777777" w:rsidR="00BE291A" w:rsidRPr="00930D6A" w:rsidRDefault="00BE291A" w:rsidP="00BE291A">
            <w:r w:rsidRPr="00930D6A">
              <w:t>2037</w:t>
            </w:r>
          </w:p>
        </w:tc>
        <w:tc>
          <w:tcPr>
            <w:tcW w:w="1482" w:type="pct"/>
          </w:tcPr>
          <w:p w14:paraId="40E45072" w14:textId="08252BC8" w:rsidR="00BE291A" w:rsidRPr="00930D6A" w:rsidRDefault="00BE291A" w:rsidP="00BE291A">
            <w:r w:rsidRPr="002D21F3">
              <w:t xml:space="preserve"> 29,547,386 </w:t>
            </w:r>
          </w:p>
        </w:tc>
        <w:tc>
          <w:tcPr>
            <w:tcW w:w="1378" w:type="pct"/>
          </w:tcPr>
          <w:p w14:paraId="3D94E5E7" w14:textId="601AB13A" w:rsidR="00BE291A" w:rsidRPr="00930D6A" w:rsidRDefault="00BE291A" w:rsidP="00BE291A">
            <w:r w:rsidRPr="0019393A">
              <w:t xml:space="preserve"> 30,877,018 </w:t>
            </w:r>
          </w:p>
        </w:tc>
        <w:tc>
          <w:tcPr>
            <w:tcW w:w="1378" w:type="pct"/>
          </w:tcPr>
          <w:p w14:paraId="42910C06" w14:textId="0D3DA9DE" w:rsidR="00BE291A" w:rsidRPr="00930D6A" w:rsidRDefault="00BE291A" w:rsidP="00BE291A">
            <w:r w:rsidRPr="00AA6A44">
              <w:t xml:space="preserve"> 30,877,018 </w:t>
            </w:r>
          </w:p>
        </w:tc>
      </w:tr>
      <w:tr w:rsidR="00BE291A" w:rsidRPr="00930D6A" w14:paraId="23BD14EC" w14:textId="0584ABC8"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1827F945" w14:textId="77777777" w:rsidR="00BE291A" w:rsidRPr="00930D6A" w:rsidRDefault="00BE291A" w:rsidP="00BE291A">
            <w:r w:rsidRPr="00930D6A">
              <w:t>2038</w:t>
            </w:r>
          </w:p>
        </w:tc>
        <w:tc>
          <w:tcPr>
            <w:tcW w:w="1482" w:type="pct"/>
          </w:tcPr>
          <w:p w14:paraId="50929DD0" w14:textId="150D5F37" w:rsidR="00BE291A" w:rsidRPr="00930D6A" w:rsidRDefault="00BE291A" w:rsidP="00BE291A">
            <w:r w:rsidRPr="002D21F3">
              <w:t xml:space="preserve"> 30,365,128 </w:t>
            </w:r>
          </w:p>
        </w:tc>
        <w:tc>
          <w:tcPr>
            <w:tcW w:w="1378" w:type="pct"/>
          </w:tcPr>
          <w:p w14:paraId="3CCE4252" w14:textId="7B0DE1F2" w:rsidR="00BE291A" w:rsidRPr="00930D6A" w:rsidRDefault="00BE291A" w:rsidP="00BE291A">
            <w:r w:rsidRPr="0019393A">
              <w:t xml:space="preserve"> 31,731,559 </w:t>
            </w:r>
          </w:p>
        </w:tc>
        <w:tc>
          <w:tcPr>
            <w:tcW w:w="1378" w:type="pct"/>
          </w:tcPr>
          <w:p w14:paraId="4DBEBA93" w14:textId="11AA666B" w:rsidR="00BE291A" w:rsidRPr="00930D6A" w:rsidRDefault="00BE291A" w:rsidP="00BE291A">
            <w:r w:rsidRPr="00AA6A44">
              <w:t xml:space="preserve"> 31,731,559 </w:t>
            </w:r>
          </w:p>
        </w:tc>
      </w:tr>
      <w:tr w:rsidR="00BE291A" w:rsidRPr="00930D6A" w14:paraId="0DF33D42" w14:textId="15BE8675" w:rsidTr="008163A2">
        <w:tc>
          <w:tcPr>
            <w:tcW w:w="761" w:type="pct"/>
          </w:tcPr>
          <w:p w14:paraId="27D86BD7" w14:textId="77777777" w:rsidR="00BE291A" w:rsidRPr="00930D6A" w:rsidRDefault="00BE291A" w:rsidP="00BE291A">
            <w:r w:rsidRPr="00930D6A">
              <w:t>2039</w:t>
            </w:r>
          </w:p>
        </w:tc>
        <w:tc>
          <w:tcPr>
            <w:tcW w:w="1482" w:type="pct"/>
          </w:tcPr>
          <w:p w14:paraId="34ADE33C" w14:textId="3D0A865D" w:rsidR="00BE291A" w:rsidRPr="00930D6A" w:rsidRDefault="00BE291A" w:rsidP="00BE291A">
            <w:r w:rsidRPr="002D21F3">
              <w:t xml:space="preserve"> 30,887,686 </w:t>
            </w:r>
          </w:p>
        </w:tc>
        <w:tc>
          <w:tcPr>
            <w:tcW w:w="1378" w:type="pct"/>
          </w:tcPr>
          <w:p w14:paraId="521E003E" w14:textId="5EA205FC" w:rsidR="00BE291A" w:rsidRPr="00930D6A" w:rsidRDefault="00BE291A" w:rsidP="00BE291A">
            <w:r w:rsidRPr="0019393A">
              <w:t xml:space="preserve"> 32,277,632 </w:t>
            </w:r>
          </w:p>
        </w:tc>
        <w:tc>
          <w:tcPr>
            <w:tcW w:w="1378" w:type="pct"/>
          </w:tcPr>
          <w:p w14:paraId="4938E6E8" w14:textId="5127D642" w:rsidR="00BE291A" w:rsidRPr="00930D6A" w:rsidRDefault="00BE291A" w:rsidP="00BE291A">
            <w:r w:rsidRPr="00AA6A44">
              <w:t xml:space="preserve"> 32,277,632 </w:t>
            </w:r>
          </w:p>
        </w:tc>
      </w:tr>
    </w:tbl>
    <w:p w14:paraId="4781B2E4" w14:textId="0B802276" w:rsidR="00271A50" w:rsidRPr="00930D6A" w:rsidRDefault="00271A50" w:rsidP="00310D3F">
      <w:pPr>
        <w:pStyle w:val="ListNumbered1"/>
        <w:spacing w:before="240"/>
        <w:ind w:left="567" w:hanging="567"/>
        <w:rPr>
          <w:lang w:val="en-AU"/>
        </w:rPr>
      </w:pPr>
      <w:r w:rsidRPr="00930D6A">
        <w:rPr>
          <w:lang w:val="en-AU"/>
        </w:rPr>
        <w:t>From the first year of intervention (2025), the number of crashes affected by the increased fitment was determined for each year over a 35-year period (</w:t>
      </w:r>
      <w:r w:rsidRPr="003C45B0">
        <w:fldChar w:fldCharType="begin"/>
      </w:r>
      <w:r w:rsidRPr="00930D6A">
        <w:rPr>
          <w:lang w:val="en-AU"/>
        </w:rPr>
        <w:instrText xml:space="preserve"> REF _Ref95917637 \h </w:instrText>
      </w:r>
      <w:r w:rsidRPr="003C45B0">
        <w:rPr>
          <w:lang w:val="en-AU"/>
        </w:rPr>
        <w:fldChar w:fldCharType="separate"/>
      </w:r>
      <w:r w:rsidR="005E58C6" w:rsidRPr="00930D6A">
        <w:t xml:space="preserve">Table </w:t>
      </w:r>
      <w:r w:rsidR="005E58C6">
        <w:rPr>
          <w:noProof/>
        </w:rPr>
        <w:t>10</w:t>
      </w:r>
      <w:r w:rsidRPr="003C45B0">
        <w:fldChar w:fldCharType="end"/>
      </w:r>
      <w:r w:rsidR="00C928F6">
        <w:rPr>
          <w:lang w:val="en-US"/>
        </w:rPr>
        <w:t>, 10 and 11</w:t>
      </w:r>
      <w:r w:rsidRPr="00930D6A">
        <w:rPr>
          <w:lang w:val="en-AU"/>
        </w:rPr>
        <w:t>). The 35-year analysis period covers the 15-year intervention period, followed by 20 years for the life of the vehicle. The crashes affected each year are the product of the likelihood of crash at the vehicle’</w:t>
      </w:r>
      <w:r>
        <w:rPr>
          <w:lang w:val="en-AU"/>
        </w:rPr>
        <w:t>s age (from step 3) and</w:t>
      </w:r>
      <w:r w:rsidRPr="00930D6A">
        <w:rPr>
          <w:lang w:val="en-AU"/>
        </w:rPr>
        <w:t xml:space="preserve"> the increased fitment </w:t>
      </w:r>
      <w:r>
        <w:rPr>
          <w:lang w:val="en-AU"/>
        </w:rPr>
        <w:t xml:space="preserve">of AVAS </w:t>
      </w:r>
      <w:r w:rsidRPr="00930D6A">
        <w:rPr>
          <w:lang w:val="en-AU"/>
        </w:rPr>
        <w:t>at sale (from step 5), summed as they infiltrate the fleet over time.</w:t>
      </w:r>
    </w:p>
    <w:p w14:paraId="55B8AB38" w14:textId="77777777" w:rsidR="00271A50" w:rsidRDefault="00271A50" w:rsidP="00BB3D46">
      <w:pPr>
        <w:sectPr w:rsidR="00271A50" w:rsidSect="00796AB4">
          <w:pgSz w:w="11906" w:h="16838"/>
          <w:pgMar w:top="1276" w:right="991" w:bottom="1276" w:left="1440" w:header="567" w:footer="0" w:gutter="0"/>
          <w:cols w:space="708"/>
          <w:titlePg/>
          <w:docGrid w:linePitch="360"/>
        </w:sectPr>
      </w:pPr>
    </w:p>
    <w:p w14:paraId="288D6DBE" w14:textId="0BB7FEC3" w:rsidR="00271A50" w:rsidRPr="00930D6A" w:rsidRDefault="00271A50" w:rsidP="00271A50">
      <w:pPr>
        <w:pStyle w:val="Tablefigureheading"/>
      </w:pPr>
      <w:bookmarkStart w:id="259" w:name="_Ref95917637"/>
      <w:bookmarkStart w:id="260" w:name="_Hlk151035352"/>
      <w:bookmarkStart w:id="261" w:name="_Toc128476438"/>
      <w:bookmarkStart w:id="262" w:name="_Toc153795498"/>
      <w:r w:rsidRPr="00930D6A">
        <w:lastRenderedPageBreak/>
        <w:t xml:space="preserve">Table </w:t>
      </w:r>
      <w:fldSimple w:instr=" SEQ Table \* ARABIC ">
        <w:r w:rsidR="005E58C6">
          <w:rPr>
            <w:noProof/>
          </w:rPr>
          <w:t>10</w:t>
        </w:r>
      </w:fldSimple>
      <w:bookmarkEnd w:id="259"/>
      <w:r w:rsidRPr="00930D6A">
        <w:t xml:space="preserve">: Expected reduction in casualty crashes under Option </w:t>
      </w:r>
      <w:bookmarkEnd w:id="260"/>
      <w:r w:rsidRPr="00930D6A">
        <w:t>2</w:t>
      </w:r>
      <w:bookmarkEnd w:id="261"/>
      <w:bookmarkEnd w:id="262"/>
    </w:p>
    <w:tbl>
      <w:tblPr>
        <w:tblStyle w:val="DefaultTable11"/>
        <w:tblW w:w="5000" w:type="pct"/>
        <w:tblLook w:val="04A0" w:firstRow="1" w:lastRow="0" w:firstColumn="1" w:lastColumn="0" w:noHBand="0" w:noVBand="1"/>
        <w:tblCaption w:val="Expected reduction in casualty crashes under Option 2"/>
        <w:tblDescription w:val="Table showing the number of crashes avoided each year over the 35-year analysis period, which is from 2025 to 2059 inclusive.&#10;&#10;The crashes avoided each year are the product of the likelihood of crash at the vehicle’s age and the increased fitment at sale, summed as they infiltrate the fleet over time.&#10;"/>
      </w:tblPr>
      <w:tblGrid>
        <w:gridCol w:w="591"/>
        <w:gridCol w:w="440"/>
        <w:gridCol w:w="440"/>
        <w:gridCol w:w="440"/>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gridCol w:w="560"/>
        <w:gridCol w:w="560"/>
        <w:gridCol w:w="560"/>
        <w:gridCol w:w="560"/>
        <w:gridCol w:w="560"/>
        <w:gridCol w:w="560"/>
        <w:gridCol w:w="441"/>
        <w:gridCol w:w="1570"/>
      </w:tblGrid>
      <w:tr w:rsidR="0064565A" w:rsidRPr="00930D6A" w14:paraId="5021BA48" w14:textId="77777777" w:rsidTr="0093019E">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11" w:type="pct"/>
            <w:noWrap/>
            <w:hideMark/>
          </w:tcPr>
          <w:p w14:paraId="54B7E92A" w14:textId="77777777" w:rsidR="00271A50" w:rsidRPr="00930D6A" w:rsidRDefault="00271A50" w:rsidP="00271A50">
            <w:pPr>
              <w:rPr>
                <w:szCs w:val="17"/>
              </w:rPr>
            </w:pPr>
            <w:r w:rsidRPr="0047406A">
              <w:rPr>
                <w:szCs w:val="22"/>
              </w:rPr>
              <w:t>Year</w:t>
            </w:r>
          </w:p>
        </w:tc>
        <w:tc>
          <w:tcPr>
            <w:tcW w:w="107" w:type="pct"/>
            <w:noWrap/>
            <w:hideMark/>
          </w:tcPr>
          <w:p w14:paraId="2E78D39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w:t>
            </w:r>
          </w:p>
        </w:tc>
        <w:tc>
          <w:tcPr>
            <w:tcW w:w="107" w:type="pct"/>
            <w:noWrap/>
            <w:hideMark/>
          </w:tcPr>
          <w:p w14:paraId="6C5B025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w:t>
            </w:r>
          </w:p>
        </w:tc>
        <w:tc>
          <w:tcPr>
            <w:tcW w:w="107" w:type="pct"/>
            <w:noWrap/>
            <w:hideMark/>
          </w:tcPr>
          <w:p w14:paraId="7A75379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w:t>
            </w:r>
          </w:p>
        </w:tc>
        <w:tc>
          <w:tcPr>
            <w:tcW w:w="135" w:type="pct"/>
            <w:noWrap/>
            <w:hideMark/>
          </w:tcPr>
          <w:p w14:paraId="7DE37FD6"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4</w:t>
            </w:r>
          </w:p>
        </w:tc>
        <w:tc>
          <w:tcPr>
            <w:tcW w:w="135" w:type="pct"/>
            <w:noWrap/>
            <w:hideMark/>
          </w:tcPr>
          <w:p w14:paraId="1BAC340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5</w:t>
            </w:r>
          </w:p>
        </w:tc>
        <w:tc>
          <w:tcPr>
            <w:tcW w:w="135" w:type="pct"/>
            <w:noWrap/>
            <w:hideMark/>
          </w:tcPr>
          <w:p w14:paraId="38557B37"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6</w:t>
            </w:r>
          </w:p>
        </w:tc>
        <w:tc>
          <w:tcPr>
            <w:tcW w:w="135" w:type="pct"/>
            <w:noWrap/>
            <w:hideMark/>
          </w:tcPr>
          <w:p w14:paraId="4264B211"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7</w:t>
            </w:r>
          </w:p>
        </w:tc>
        <w:tc>
          <w:tcPr>
            <w:tcW w:w="135" w:type="pct"/>
            <w:noWrap/>
            <w:hideMark/>
          </w:tcPr>
          <w:p w14:paraId="2C0FFBC9"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8</w:t>
            </w:r>
          </w:p>
        </w:tc>
        <w:tc>
          <w:tcPr>
            <w:tcW w:w="135" w:type="pct"/>
            <w:noWrap/>
            <w:hideMark/>
          </w:tcPr>
          <w:p w14:paraId="7C3B1E0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9</w:t>
            </w:r>
          </w:p>
        </w:tc>
        <w:tc>
          <w:tcPr>
            <w:tcW w:w="135" w:type="pct"/>
            <w:noWrap/>
            <w:hideMark/>
          </w:tcPr>
          <w:p w14:paraId="02FC658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10</w:t>
            </w:r>
          </w:p>
        </w:tc>
        <w:tc>
          <w:tcPr>
            <w:tcW w:w="135" w:type="pct"/>
            <w:noWrap/>
            <w:hideMark/>
          </w:tcPr>
          <w:p w14:paraId="27D0150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11</w:t>
            </w:r>
          </w:p>
        </w:tc>
        <w:tc>
          <w:tcPr>
            <w:tcW w:w="135" w:type="pct"/>
            <w:noWrap/>
            <w:hideMark/>
          </w:tcPr>
          <w:p w14:paraId="74C2B83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12</w:t>
            </w:r>
          </w:p>
        </w:tc>
        <w:tc>
          <w:tcPr>
            <w:tcW w:w="135" w:type="pct"/>
            <w:noWrap/>
            <w:hideMark/>
          </w:tcPr>
          <w:p w14:paraId="6D21A8D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13</w:t>
            </w:r>
          </w:p>
        </w:tc>
        <w:tc>
          <w:tcPr>
            <w:tcW w:w="135" w:type="pct"/>
            <w:noWrap/>
            <w:hideMark/>
          </w:tcPr>
          <w:p w14:paraId="3F57F76F"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14</w:t>
            </w:r>
          </w:p>
        </w:tc>
        <w:tc>
          <w:tcPr>
            <w:tcW w:w="135" w:type="pct"/>
            <w:noWrap/>
            <w:hideMark/>
          </w:tcPr>
          <w:p w14:paraId="2CBC2C60"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15</w:t>
            </w:r>
          </w:p>
        </w:tc>
        <w:tc>
          <w:tcPr>
            <w:tcW w:w="135" w:type="pct"/>
            <w:noWrap/>
            <w:hideMark/>
          </w:tcPr>
          <w:p w14:paraId="49FF2A8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16</w:t>
            </w:r>
          </w:p>
        </w:tc>
        <w:tc>
          <w:tcPr>
            <w:tcW w:w="135" w:type="pct"/>
            <w:noWrap/>
            <w:hideMark/>
          </w:tcPr>
          <w:p w14:paraId="5D104E98"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17</w:t>
            </w:r>
          </w:p>
        </w:tc>
        <w:tc>
          <w:tcPr>
            <w:tcW w:w="135" w:type="pct"/>
            <w:noWrap/>
            <w:hideMark/>
          </w:tcPr>
          <w:p w14:paraId="55A40239"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18</w:t>
            </w:r>
          </w:p>
        </w:tc>
        <w:tc>
          <w:tcPr>
            <w:tcW w:w="135" w:type="pct"/>
            <w:noWrap/>
            <w:hideMark/>
          </w:tcPr>
          <w:p w14:paraId="0FF618D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19</w:t>
            </w:r>
          </w:p>
        </w:tc>
        <w:tc>
          <w:tcPr>
            <w:tcW w:w="135" w:type="pct"/>
            <w:noWrap/>
            <w:hideMark/>
          </w:tcPr>
          <w:p w14:paraId="6F243C5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20</w:t>
            </w:r>
          </w:p>
        </w:tc>
        <w:tc>
          <w:tcPr>
            <w:tcW w:w="135" w:type="pct"/>
            <w:noWrap/>
            <w:hideMark/>
          </w:tcPr>
          <w:p w14:paraId="5C2C751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21</w:t>
            </w:r>
          </w:p>
        </w:tc>
        <w:tc>
          <w:tcPr>
            <w:tcW w:w="135" w:type="pct"/>
            <w:noWrap/>
            <w:hideMark/>
          </w:tcPr>
          <w:p w14:paraId="30956500"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22</w:t>
            </w:r>
          </w:p>
        </w:tc>
        <w:tc>
          <w:tcPr>
            <w:tcW w:w="135" w:type="pct"/>
            <w:noWrap/>
            <w:hideMark/>
          </w:tcPr>
          <w:p w14:paraId="6E5082D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23</w:t>
            </w:r>
          </w:p>
        </w:tc>
        <w:tc>
          <w:tcPr>
            <w:tcW w:w="135" w:type="pct"/>
            <w:noWrap/>
            <w:hideMark/>
          </w:tcPr>
          <w:p w14:paraId="21B7999E"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24</w:t>
            </w:r>
          </w:p>
        </w:tc>
        <w:tc>
          <w:tcPr>
            <w:tcW w:w="135" w:type="pct"/>
            <w:noWrap/>
            <w:hideMark/>
          </w:tcPr>
          <w:p w14:paraId="1B8D0875"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25</w:t>
            </w:r>
          </w:p>
        </w:tc>
        <w:tc>
          <w:tcPr>
            <w:tcW w:w="135" w:type="pct"/>
            <w:noWrap/>
            <w:hideMark/>
          </w:tcPr>
          <w:p w14:paraId="0C8A43F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26</w:t>
            </w:r>
          </w:p>
        </w:tc>
        <w:tc>
          <w:tcPr>
            <w:tcW w:w="135" w:type="pct"/>
            <w:noWrap/>
            <w:hideMark/>
          </w:tcPr>
          <w:p w14:paraId="2F5E8EA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27</w:t>
            </w:r>
          </w:p>
        </w:tc>
        <w:tc>
          <w:tcPr>
            <w:tcW w:w="135" w:type="pct"/>
            <w:noWrap/>
            <w:hideMark/>
          </w:tcPr>
          <w:p w14:paraId="5992BB43"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28</w:t>
            </w:r>
          </w:p>
        </w:tc>
        <w:tc>
          <w:tcPr>
            <w:tcW w:w="135" w:type="pct"/>
            <w:noWrap/>
            <w:hideMark/>
          </w:tcPr>
          <w:p w14:paraId="6D26CE15"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29</w:t>
            </w:r>
          </w:p>
        </w:tc>
        <w:tc>
          <w:tcPr>
            <w:tcW w:w="135" w:type="pct"/>
            <w:noWrap/>
            <w:hideMark/>
          </w:tcPr>
          <w:p w14:paraId="04BCE62E"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30</w:t>
            </w:r>
          </w:p>
        </w:tc>
        <w:tc>
          <w:tcPr>
            <w:tcW w:w="135" w:type="pct"/>
            <w:noWrap/>
            <w:hideMark/>
          </w:tcPr>
          <w:p w14:paraId="5DD73193"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31</w:t>
            </w:r>
          </w:p>
        </w:tc>
        <w:tc>
          <w:tcPr>
            <w:tcW w:w="135" w:type="pct"/>
            <w:noWrap/>
            <w:hideMark/>
          </w:tcPr>
          <w:p w14:paraId="2395BD7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32</w:t>
            </w:r>
          </w:p>
        </w:tc>
        <w:tc>
          <w:tcPr>
            <w:tcW w:w="135" w:type="pct"/>
            <w:noWrap/>
            <w:hideMark/>
          </w:tcPr>
          <w:p w14:paraId="4291D7F1"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33</w:t>
            </w:r>
          </w:p>
        </w:tc>
        <w:tc>
          <w:tcPr>
            <w:tcW w:w="135" w:type="pct"/>
            <w:noWrap/>
            <w:hideMark/>
          </w:tcPr>
          <w:p w14:paraId="7016195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34</w:t>
            </w:r>
          </w:p>
        </w:tc>
        <w:tc>
          <w:tcPr>
            <w:tcW w:w="107" w:type="pct"/>
            <w:noWrap/>
            <w:hideMark/>
          </w:tcPr>
          <w:p w14:paraId="1AD7ABF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35</w:t>
            </w:r>
          </w:p>
        </w:tc>
        <w:tc>
          <w:tcPr>
            <w:tcW w:w="268" w:type="pct"/>
            <w:noWrap/>
            <w:hideMark/>
          </w:tcPr>
          <w:p w14:paraId="5EED494B" w14:textId="77777777" w:rsidR="00271A50" w:rsidRPr="00930D6A" w:rsidRDefault="00271A50" w:rsidP="00271A50">
            <w:pP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Crashes avoided</w:t>
            </w:r>
          </w:p>
        </w:tc>
      </w:tr>
      <w:tr w:rsidR="00271A50" w:rsidRPr="00930D6A" w14:paraId="007923D4"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38F4358C" w14:textId="77777777" w:rsidR="00271A50" w:rsidRPr="00930D6A" w:rsidRDefault="00271A50" w:rsidP="00271A50">
            <w:pPr>
              <w:rPr>
                <w:sz w:val="17"/>
                <w:szCs w:val="17"/>
              </w:rPr>
            </w:pPr>
            <w:r w:rsidRPr="00930D6A">
              <w:rPr>
                <w:sz w:val="17"/>
                <w:szCs w:val="17"/>
              </w:rPr>
              <w:t>1</w:t>
            </w:r>
          </w:p>
        </w:tc>
        <w:tc>
          <w:tcPr>
            <w:tcW w:w="107" w:type="pct"/>
            <w:noWrap/>
          </w:tcPr>
          <w:p w14:paraId="0BB70A17" w14:textId="57D17F4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c>
          <w:tcPr>
            <w:tcW w:w="107" w:type="pct"/>
            <w:noWrap/>
          </w:tcPr>
          <w:p w14:paraId="080AB9C0" w14:textId="1B0C39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07" w:type="pct"/>
            <w:noWrap/>
          </w:tcPr>
          <w:p w14:paraId="1E84A05E" w14:textId="3F0ACA5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6108F0AA" w14:textId="1C0186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2F05A4A4" w14:textId="018E27F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0689FD3A" w14:textId="459FDC9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76C43EC8" w14:textId="20DE46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61A97F02" w14:textId="0A484F2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3E7A4F69" w14:textId="13115B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75454742" w14:textId="1BF57F9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DCBA031" w14:textId="342BA1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7CD6354" w14:textId="08D09B4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D6833CD" w14:textId="45E26A3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19838B5" w14:textId="1A11448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7C44DB2" w14:textId="237FB22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0E58C9E" w14:textId="74E1A52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15052E8" w14:textId="0F8AC5F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1894907" w14:textId="59D8FF6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AC3549B" w14:textId="74C9E8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2918797" w14:textId="00EE51C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440B780F" w14:textId="51C3879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709A6E1" w14:textId="5536BA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1853A789" w14:textId="2F91265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C4EE32C" w14:textId="6E79ABB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96DF5DC" w14:textId="4CBD042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A7DE1D2" w14:textId="0A54945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A4D1A84" w14:textId="69CBE7C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AFF2300" w14:textId="4E88C2F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8EEAA51" w14:textId="6FAD7F7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708ADE1" w14:textId="6DFFAF0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3038361" w14:textId="04E98A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48D3F6A1" w14:textId="0E7F12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6A968E4" w14:textId="3BE710D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C29A39C" w14:textId="2A7D0EC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07" w:type="pct"/>
            <w:noWrap/>
          </w:tcPr>
          <w:p w14:paraId="547654AA" w14:textId="1AAD7F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268" w:type="pct"/>
            <w:noWrap/>
          </w:tcPr>
          <w:p w14:paraId="5A9AD20D" w14:textId="0CEEFDFF"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r>
      <w:tr w:rsidR="0064565A" w:rsidRPr="00930D6A" w14:paraId="1DBD2472"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2602D18" w14:textId="77777777" w:rsidR="00271A50" w:rsidRPr="00930D6A" w:rsidRDefault="00271A50" w:rsidP="00271A50">
            <w:pPr>
              <w:rPr>
                <w:sz w:val="17"/>
                <w:szCs w:val="17"/>
              </w:rPr>
            </w:pPr>
            <w:r w:rsidRPr="00930D6A">
              <w:rPr>
                <w:sz w:val="17"/>
                <w:szCs w:val="17"/>
              </w:rPr>
              <w:t>2</w:t>
            </w:r>
          </w:p>
        </w:tc>
        <w:tc>
          <w:tcPr>
            <w:tcW w:w="107" w:type="pct"/>
            <w:noWrap/>
          </w:tcPr>
          <w:p w14:paraId="7EAECA95" w14:textId="4792D9E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07" w:type="pct"/>
            <w:noWrap/>
          </w:tcPr>
          <w:p w14:paraId="129EABC5" w14:textId="67BF65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07" w:type="pct"/>
            <w:noWrap/>
          </w:tcPr>
          <w:p w14:paraId="6C305EEF" w14:textId="34A35BB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B6E3C6" w14:textId="7A01859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4CDA9B" w14:textId="276FE2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6B1E35" w14:textId="0A627B7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72D669" w14:textId="7F2843D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98429A" w14:textId="46C0BD9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3FDA39" w14:textId="6B3551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A3931A" w14:textId="778DDFB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A4F107A" w14:textId="18CBFBF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3815D2" w14:textId="648F260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0AA2301" w14:textId="62B1A8F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0DD82B" w14:textId="54ABD2D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2ADEAA" w14:textId="5EC444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ACC8BF" w14:textId="2A732DD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9E0894" w14:textId="1FB274C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BBBD8AA" w14:textId="1C3626A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73EA93" w14:textId="64755E8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9FABCE1" w14:textId="05B96CE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2CD569" w14:textId="359331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03F689" w14:textId="6AE2EBC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515B3FE" w14:textId="1E7C6E1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CA70963" w14:textId="26991E3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200D62" w14:textId="5B27CE2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BAE2A16" w14:textId="211BDF1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9184C1" w14:textId="454B69E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09EB622" w14:textId="792A7AE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3BDFDE9" w14:textId="6DB94A9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C29907" w14:textId="786FE4C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758307" w14:textId="77A7FF8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06316" w14:textId="0303C80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55F7AB" w14:textId="431D552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0B2931" w14:textId="5757FA1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3C384758" w14:textId="6521C4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5615CF43" w14:textId="5B76B0E5"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r>
      <w:tr w:rsidR="00271A50" w:rsidRPr="00930D6A" w14:paraId="77C4A77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C2BDA7D" w14:textId="77777777" w:rsidR="00271A50" w:rsidRPr="00930D6A" w:rsidRDefault="00271A50" w:rsidP="00271A50">
            <w:pPr>
              <w:rPr>
                <w:sz w:val="17"/>
                <w:szCs w:val="17"/>
              </w:rPr>
            </w:pPr>
            <w:r w:rsidRPr="00930D6A">
              <w:rPr>
                <w:sz w:val="17"/>
                <w:szCs w:val="17"/>
              </w:rPr>
              <w:t>3</w:t>
            </w:r>
          </w:p>
        </w:tc>
        <w:tc>
          <w:tcPr>
            <w:tcW w:w="107" w:type="pct"/>
            <w:noWrap/>
          </w:tcPr>
          <w:p w14:paraId="3969ECA4" w14:textId="736D393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2FA8138A" w14:textId="40393F7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07" w:type="pct"/>
            <w:noWrap/>
          </w:tcPr>
          <w:p w14:paraId="5E02654E" w14:textId="6F4460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32</w:t>
            </w:r>
          </w:p>
        </w:tc>
        <w:tc>
          <w:tcPr>
            <w:tcW w:w="135" w:type="pct"/>
            <w:noWrap/>
          </w:tcPr>
          <w:p w14:paraId="1CF548D0" w14:textId="2D2A245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F7277C" w14:textId="44C10BD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CB2844F" w14:textId="3CEF7EE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8A9062" w14:textId="4AE481A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D1D698" w14:textId="3B4E57F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225AA3" w14:textId="479205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AFBFBC0" w14:textId="47DBD81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F5DB1B" w14:textId="57FDFC6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E352EE" w14:textId="45C862D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F1502C" w14:textId="3384BC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9D8E6A" w14:textId="063218A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6D3799" w14:textId="4AE8904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3FAC02D" w14:textId="56F3532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AB3EC9" w14:textId="4FC8C4F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9486F3" w14:textId="64394FD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0A01A0" w14:textId="05B8943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0ED3FF3" w14:textId="151BDDA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BB2B89" w14:textId="6912FBF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F8213F0" w14:textId="1858808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43D0FA" w14:textId="1647A0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0B4EB27" w14:textId="54E21FD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ADF309" w14:textId="01ECFF7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517F22" w14:textId="7C11F33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86F8A4" w14:textId="57AD580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0FD9BBE" w14:textId="301718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4CC513" w14:textId="012042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831702D" w14:textId="4DA0248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A93502" w14:textId="13A681A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634C37" w14:textId="75C989F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6FC68C" w14:textId="4FBF74F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20F0B4" w14:textId="7EF721A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EBF0F5E" w14:textId="69D2585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42BD6B28" w14:textId="45949BD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129</w:t>
            </w:r>
          </w:p>
        </w:tc>
      </w:tr>
      <w:tr w:rsidR="0064565A" w:rsidRPr="00930D6A" w14:paraId="3379FD3F"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E5A249A" w14:textId="77777777" w:rsidR="00271A50" w:rsidRPr="00930D6A" w:rsidRDefault="00271A50" w:rsidP="00271A50">
            <w:pPr>
              <w:rPr>
                <w:sz w:val="17"/>
                <w:szCs w:val="17"/>
              </w:rPr>
            </w:pPr>
            <w:r w:rsidRPr="00930D6A">
              <w:rPr>
                <w:sz w:val="17"/>
                <w:szCs w:val="17"/>
              </w:rPr>
              <w:t>4</w:t>
            </w:r>
          </w:p>
        </w:tc>
        <w:tc>
          <w:tcPr>
            <w:tcW w:w="107" w:type="pct"/>
            <w:noWrap/>
          </w:tcPr>
          <w:p w14:paraId="733AF8CA" w14:textId="712C29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w:t>
            </w:r>
          </w:p>
        </w:tc>
        <w:tc>
          <w:tcPr>
            <w:tcW w:w="107" w:type="pct"/>
            <w:noWrap/>
          </w:tcPr>
          <w:p w14:paraId="38675D36" w14:textId="46533A9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706FB5F5" w14:textId="01FC1D9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08A473F0" w14:textId="4008A0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w:t>
            </w:r>
          </w:p>
        </w:tc>
        <w:tc>
          <w:tcPr>
            <w:tcW w:w="135" w:type="pct"/>
            <w:noWrap/>
          </w:tcPr>
          <w:p w14:paraId="28008273" w14:textId="25F767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6993B76" w14:textId="1F3E0A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8AF4DC" w14:textId="2A1B4D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E07158" w14:textId="748A5F4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D68F324" w14:textId="7B763E9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E44926E" w14:textId="024C4DB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7B26FE9" w14:textId="444E797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37C117E" w14:textId="11969A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9B7CC11" w14:textId="59A2E0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1C71FB" w14:textId="58881DD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4D80CC" w14:textId="78EDD1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53116A" w14:textId="5687C99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CFDA5D" w14:textId="324C95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F8E6DE" w14:textId="3F0EF5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BDBEA0" w14:textId="3BF1336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746A9C8" w14:textId="2F4E70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EC5D90" w14:textId="6F34518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CE2A1D" w14:textId="4528E74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327B58" w14:textId="4D3CBDC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DB2AC84" w14:textId="2E4A076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914414" w14:textId="690A37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EDA47C" w14:textId="47FA887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CBEE36" w14:textId="7151C7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7E33D5" w14:textId="6964E8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A973E47" w14:textId="5F3080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73D2A12" w14:textId="62AD67C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83CD2F" w14:textId="317273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6332FB" w14:textId="0EB4204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A795C9" w14:textId="2F45F4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2A0841" w14:textId="29AF233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4E8B5CFC" w14:textId="3EE675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537B124D" w14:textId="2A30FA6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r>
      <w:tr w:rsidR="00271A50" w:rsidRPr="00930D6A" w14:paraId="65DFD11F"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9F53B97" w14:textId="77777777" w:rsidR="00271A50" w:rsidRPr="00930D6A" w:rsidRDefault="00271A50" w:rsidP="00271A50">
            <w:pPr>
              <w:rPr>
                <w:sz w:val="17"/>
                <w:szCs w:val="17"/>
              </w:rPr>
            </w:pPr>
            <w:r w:rsidRPr="00930D6A">
              <w:rPr>
                <w:sz w:val="17"/>
                <w:szCs w:val="17"/>
              </w:rPr>
              <w:t>5</w:t>
            </w:r>
          </w:p>
        </w:tc>
        <w:tc>
          <w:tcPr>
            <w:tcW w:w="107" w:type="pct"/>
            <w:noWrap/>
          </w:tcPr>
          <w:p w14:paraId="7FFC0AA9" w14:textId="3402184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0331EA70" w14:textId="4F6B439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80</w:t>
            </w:r>
          </w:p>
        </w:tc>
        <w:tc>
          <w:tcPr>
            <w:tcW w:w="107" w:type="pct"/>
            <w:noWrap/>
          </w:tcPr>
          <w:p w14:paraId="2CFB73AD" w14:textId="610D27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4591750A" w14:textId="50B3972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99</w:t>
            </w:r>
          </w:p>
        </w:tc>
        <w:tc>
          <w:tcPr>
            <w:tcW w:w="135" w:type="pct"/>
            <w:noWrap/>
          </w:tcPr>
          <w:p w14:paraId="7843CC28" w14:textId="14B9A25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42</w:t>
            </w:r>
          </w:p>
        </w:tc>
        <w:tc>
          <w:tcPr>
            <w:tcW w:w="135" w:type="pct"/>
            <w:noWrap/>
          </w:tcPr>
          <w:p w14:paraId="5BFC1E54" w14:textId="30956C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469D5" w14:textId="6F6E3B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FD111A" w14:textId="72FC519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86150B" w14:textId="54D253A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EE237EA" w14:textId="23DF68F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87DBA9" w14:textId="4CCA69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029919" w14:textId="0C402B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8B7F820" w14:textId="14CA041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B6A545" w14:textId="250B95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DEEF0AD" w14:textId="48615A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9407ED" w14:textId="59D31D1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00B1F1" w14:textId="131097C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B72FCA" w14:textId="7E9BC0F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3B11C8E" w14:textId="3847112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A16FC7" w14:textId="196B145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4A1504" w14:textId="3BF70B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D14E756" w14:textId="0F829C1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FBA083" w14:textId="20AB6BA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149AC5C" w14:textId="6B4E00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663F67" w14:textId="2A77BFA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9B4789" w14:textId="4EFFED3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140292" w14:textId="4B3B38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B396E4" w14:textId="3A0205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B0B2C5" w14:textId="7AA933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AC718D8" w14:textId="482B90B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310D1E4" w14:textId="4A5CD83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50CCE2" w14:textId="66DF6DE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D09E4B" w14:textId="2487178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5572D1" w14:textId="6D9F224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1822B862" w14:textId="0CF32ED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7085635" w14:textId="68591D1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336</w:t>
            </w:r>
          </w:p>
        </w:tc>
      </w:tr>
      <w:tr w:rsidR="0064565A" w:rsidRPr="00930D6A" w14:paraId="722C2ED5"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6666FFF" w14:textId="77777777" w:rsidR="00271A50" w:rsidRPr="00930D6A" w:rsidRDefault="00271A50" w:rsidP="00271A50">
            <w:pPr>
              <w:rPr>
                <w:sz w:val="17"/>
                <w:szCs w:val="17"/>
              </w:rPr>
            </w:pPr>
            <w:r w:rsidRPr="00930D6A">
              <w:rPr>
                <w:sz w:val="17"/>
                <w:szCs w:val="17"/>
              </w:rPr>
              <w:t>6</w:t>
            </w:r>
          </w:p>
        </w:tc>
        <w:tc>
          <w:tcPr>
            <w:tcW w:w="107" w:type="pct"/>
            <w:noWrap/>
          </w:tcPr>
          <w:p w14:paraId="32E36C65" w14:textId="3DBCCD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07" w:type="pct"/>
            <w:noWrap/>
          </w:tcPr>
          <w:p w14:paraId="59C2219A" w14:textId="0F2B17A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078FF2A8" w14:textId="033819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385CC51D" w14:textId="1A3D9C7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5A02B835" w14:textId="48A7ADC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113</w:t>
            </w:r>
          </w:p>
        </w:tc>
        <w:tc>
          <w:tcPr>
            <w:tcW w:w="135" w:type="pct"/>
            <w:noWrap/>
          </w:tcPr>
          <w:p w14:paraId="3561BED1" w14:textId="63C1F5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c>
          <w:tcPr>
            <w:tcW w:w="135" w:type="pct"/>
            <w:noWrap/>
          </w:tcPr>
          <w:p w14:paraId="01E2318B" w14:textId="22EE13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D935E43" w14:textId="22636A6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941617" w14:textId="5AF530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1207AD3" w14:textId="0B4540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14BDE8" w14:textId="7AC2A4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C62B2C" w14:textId="181B402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73122C" w14:textId="687957E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8CFE00" w14:textId="122E58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9F8FB94" w14:textId="170695C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D80B5F" w14:textId="72AB99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E39149B" w14:textId="3C28D62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ED830A9" w14:textId="05ACE9B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CF9FA3" w14:textId="558DFC5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62BD454" w14:textId="4317B6E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A7D897C" w14:textId="7FCFC4E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103442" w14:textId="60C2CD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B1BC7D" w14:textId="2C558EF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98F2A2" w14:textId="695B732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A107FE" w14:textId="745D60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BC7EA2" w14:textId="3D4EFD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E52BAC8" w14:textId="1A6231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6D471C2" w14:textId="440206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1CF6EB" w14:textId="1CC1A5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96E3D" w14:textId="4BE540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46DDF9" w14:textId="34E2C7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4BE5BB2" w14:textId="7AFC83A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5D08505" w14:textId="4452EC9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B8BE3FD" w14:textId="3C4B37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00B62C38" w14:textId="2CA65A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67CB0282" w14:textId="04EBB31B"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463</w:t>
            </w:r>
          </w:p>
        </w:tc>
      </w:tr>
      <w:tr w:rsidR="00271A50" w:rsidRPr="00930D6A" w14:paraId="64697997"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40DA57B" w14:textId="77777777" w:rsidR="00271A50" w:rsidRPr="00930D6A" w:rsidRDefault="00271A50" w:rsidP="00271A50">
            <w:pPr>
              <w:rPr>
                <w:sz w:val="17"/>
                <w:szCs w:val="17"/>
              </w:rPr>
            </w:pPr>
            <w:r w:rsidRPr="00930D6A">
              <w:rPr>
                <w:sz w:val="17"/>
                <w:szCs w:val="17"/>
              </w:rPr>
              <w:t>7</w:t>
            </w:r>
          </w:p>
        </w:tc>
        <w:tc>
          <w:tcPr>
            <w:tcW w:w="107" w:type="pct"/>
            <w:noWrap/>
          </w:tcPr>
          <w:p w14:paraId="3A921C27" w14:textId="6142BF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07" w:type="pct"/>
            <w:noWrap/>
          </w:tcPr>
          <w:p w14:paraId="124ECE0D" w14:textId="58C95B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84</w:t>
            </w:r>
          </w:p>
        </w:tc>
        <w:tc>
          <w:tcPr>
            <w:tcW w:w="107" w:type="pct"/>
            <w:noWrap/>
          </w:tcPr>
          <w:p w14:paraId="74437FF1" w14:textId="3FBBF8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5C903BBB" w14:textId="293881C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106</w:t>
            </w:r>
          </w:p>
        </w:tc>
        <w:tc>
          <w:tcPr>
            <w:tcW w:w="135" w:type="pct"/>
            <w:noWrap/>
          </w:tcPr>
          <w:p w14:paraId="24506674" w14:textId="77D80CE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3B772ABC" w14:textId="3674EB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127</w:t>
            </w:r>
          </w:p>
        </w:tc>
        <w:tc>
          <w:tcPr>
            <w:tcW w:w="135" w:type="pct"/>
            <w:noWrap/>
          </w:tcPr>
          <w:p w14:paraId="65AF49C8" w14:textId="3E7CE85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54</w:t>
            </w:r>
          </w:p>
        </w:tc>
        <w:tc>
          <w:tcPr>
            <w:tcW w:w="135" w:type="pct"/>
            <w:noWrap/>
          </w:tcPr>
          <w:p w14:paraId="10AE758B" w14:textId="58E96DC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E020F4" w14:textId="0E262D6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45CE0BF" w14:textId="69A8EA1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A26CA64" w14:textId="102A33A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2F3159" w14:textId="3E0B59D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85070F" w14:textId="5482695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6CC195" w14:textId="2A101F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4B6A24" w14:textId="4793476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33A7F6" w14:textId="782654D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BF941D" w14:textId="7190A41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BA1C6DE" w14:textId="54F3582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57248A" w14:textId="16889AC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19F91" w14:textId="11A6349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F36AED" w14:textId="303B263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B59B348" w14:textId="6836FF9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B3F98F0" w14:textId="20F9749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DB097A" w14:textId="1CF9B7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076271" w14:textId="3303134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55849B7" w14:textId="18087FF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710C1F5" w14:textId="1920E38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8ED8AA0" w14:textId="1DC61EA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EC05EC" w14:textId="549351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8AC1ADB" w14:textId="32A78B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8F2185" w14:textId="6091443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05BC9D" w14:textId="3FF384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1AFF2" w14:textId="7C1E6AF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167B9BF" w14:textId="35F9BFE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34D9E57" w14:textId="4943A9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3C05428" w14:textId="43C2EB81"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606</w:t>
            </w:r>
          </w:p>
        </w:tc>
      </w:tr>
      <w:tr w:rsidR="0064565A" w:rsidRPr="00930D6A" w14:paraId="189BA680"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3D6A87BF" w14:textId="77777777" w:rsidR="00271A50" w:rsidRPr="00930D6A" w:rsidRDefault="00271A50" w:rsidP="00271A50">
            <w:pPr>
              <w:rPr>
                <w:sz w:val="17"/>
                <w:szCs w:val="17"/>
              </w:rPr>
            </w:pPr>
            <w:r w:rsidRPr="00930D6A">
              <w:rPr>
                <w:sz w:val="17"/>
                <w:szCs w:val="17"/>
              </w:rPr>
              <w:t>8</w:t>
            </w:r>
          </w:p>
        </w:tc>
        <w:tc>
          <w:tcPr>
            <w:tcW w:w="107" w:type="pct"/>
            <w:noWrap/>
          </w:tcPr>
          <w:p w14:paraId="3AE687D3" w14:textId="27D1895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w:t>
            </w:r>
          </w:p>
        </w:tc>
        <w:tc>
          <w:tcPr>
            <w:tcW w:w="107" w:type="pct"/>
            <w:noWrap/>
          </w:tcPr>
          <w:p w14:paraId="38F57089" w14:textId="2C8F4B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77</w:t>
            </w:r>
          </w:p>
        </w:tc>
        <w:tc>
          <w:tcPr>
            <w:tcW w:w="107" w:type="pct"/>
            <w:noWrap/>
          </w:tcPr>
          <w:p w14:paraId="3AEB0B2A" w14:textId="1052B58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97</w:t>
            </w:r>
          </w:p>
        </w:tc>
        <w:tc>
          <w:tcPr>
            <w:tcW w:w="135" w:type="pct"/>
            <w:noWrap/>
          </w:tcPr>
          <w:p w14:paraId="66182A77" w14:textId="500B74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4821F9C3" w14:textId="627B9F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120</w:t>
            </w:r>
          </w:p>
        </w:tc>
        <w:tc>
          <w:tcPr>
            <w:tcW w:w="135" w:type="pct"/>
            <w:noWrap/>
          </w:tcPr>
          <w:p w14:paraId="5A778235" w14:textId="3B992C1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137</w:t>
            </w:r>
          </w:p>
        </w:tc>
        <w:tc>
          <w:tcPr>
            <w:tcW w:w="135" w:type="pct"/>
            <w:noWrap/>
          </w:tcPr>
          <w:p w14:paraId="35CB1953" w14:textId="7E3C95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143</w:t>
            </w:r>
          </w:p>
        </w:tc>
        <w:tc>
          <w:tcPr>
            <w:tcW w:w="135" w:type="pct"/>
            <w:noWrap/>
          </w:tcPr>
          <w:p w14:paraId="4B975879" w14:textId="754E2BA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59</w:t>
            </w:r>
          </w:p>
        </w:tc>
        <w:tc>
          <w:tcPr>
            <w:tcW w:w="135" w:type="pct"/>
            <w:noWrap/>
          </w:tcPr>
          <w:p w14:paraId="0829F333" w14:textId="52ECB28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C63ABD1" w14:textId="5D88D1C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C344EC" w14:textId="64E5CEF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37DCF7" w14:textId="5F41884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24B14A" w14:textId="7015447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8B2619C" w14:textId="7AF03FB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E579614" w14:textId="6DC8B8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257993" w14:textId="485443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B5BD12" w14:textId="63B0A51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2305A7" w14:textId="0AB9F23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9C8E4A" w14:textId="1A8D1A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0B96AF" w14:textId="323676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A07D54" w14:textId="6E6FE29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F503D8" w14:textId="555542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3A1208E" w14:textId="42D7B71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76AAC11" w14:textId="6898074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2580920" w14:textId="2B5B4C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6301B2" w14:textId="68898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44C0CF" w14:textId="7ED90CF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BA5B96A" w14:textId="67D259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FC6E6DB" w14:textId="0BAD8B7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93471B" w14:textId="1BCB9FE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91BD80F" w14:textId="6DC34F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3C9E06" w14:textId="78CF58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873F91" w14:textId="457FE1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B9E9364" w14:textId="55F33E7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D892498" w14:textId="6FB0EA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14D96B7" w14:textId="710EACE3"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759</w:t>
            </w:r>
          </w:p>
        </w:tc>
      </w:tr>
      <w:tr w:rsidR="00271A50" w:rsidRPr="00930D6A" w14:paraId="3605F6D9"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64F42F0" w14:textId="77777777" w:rsidR="00271A50" w:rsidRPr="00930D6A" w:rsidRDefault="00271A50" w:rsidP="00271A50">
            <w:pPr>
              <w:rPr>
                <w:sz w:val="17"/>
                <w:szCs w:val="17"/>
              </w:rPr>
            </w:pPr>
            <w:r w:rsidRPr="00930D6A">
              <w:rPr>
                <w:sz w:val="17"/>
                <w:szCs w:val="17"/>
              </w:rPr>
              <w:t>9</w:t>
            </w:r>
          </w:p>
        </w:tc>
        <w:tc>
          <w:tcPr>
            <w:tcW w:w="107" w:type="pct"/>
            <w:noWrap/>
          </w:tcPr>
          <w:p w14:paraId="49C7A646" w14:textId="5B0B70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0B42ACA7" w14:textId="60D5CE9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72</w:t>
            </w:r>
          </w:p>
        </w:tc>
        <w:tc>
          <w:tcPr>
            <w:tcW w:w="107" w:type="pct"/>
            <w:noWrap/>
          </w:tcPr>
          <w:p w14:paraId="17E63CF7" w14:textId="0562DE4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88</w:t>
            </w:r>
          </w:p>
        </w:tc>
        <w:tc>
          <w:tcPr>
            <w:tcW w:w="135" w:type="pct"/>
            <w:noWrap/>
          </w:tcPr>
          <w:p w14:paraId="76BD8F57" w14:textId="3CF633D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111</w:t>
            </w:r>
          </w:p>
        </w:tc>
        <w:tc>
          <w:tcPr>
            <w:tcW w:w="135" w:type="pct"/>
            <w:noWrap/>
          </w:tcPr>
          <w:p w14:paraId="613104F9" w14:textId="4C2EB39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122</w:t>
            </w:r>
          </w:p>
        </w:tc>
        <w:tc>
          <w:tcPr>
            <w:tcW w:w="135" w:type="pct"/>
            <w:noWrap/>
          </w:tcPr>
          <w:p w14:paraId="3098B4C7" w14:textId="36AC79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136</w:t>
            </w:r>
          </w:p>
        </w:tc>
        <w:tc>
          <w:tcPr>
            <w:tcW w:w="135" w:type="pct"/>
            <w:noWrap/>
          </w:tcPr>
          <w:p w14:paraId="6D5BF47B" w14:textId="11BC299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7BBF09BE" w14:textId="7A934B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6AE5AFFD" w14:textId="7FCA5DC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65</w:t>
            </w:r>
          </w:p>
        </w:tc>
        <w:tc>
          <w:tcPr>
            <w:tcW w:w="135" w:type="pct"/>
            <w:noWrap/>
          </w:tcPr>
          <w:p w14:paraId="089D6165" w14:textId="117C449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8AE0323" w14:textId="675FBEE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6BB05F7" w14:textId="5F2B754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E0D409" w14:textId="213F7BC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33280C" w14:textId="1B7BC6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9438D7" w14:textId="767CD9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5559D5" w14:textId="2EAFF76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A643664" w14:textId="2FB251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877777" w14:textId="66E6DE7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4FEE19A" w14:textId="41F1DB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21B4D3" w14:textId="7689BCA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522E15D" w14:textId="1D1859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2C7709" w14:textId="4A2B419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DF94B3" w14:textId="788081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585763" w14:textId="74FD425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61D724B" w14:textId="32E6DCF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B66E81" w14:textId="5DB8F0E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BA1ABD" w14:textId="1AFFF9E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A09043" w14:textId="6923278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CB3EBE" w14:textId="04AF3AC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32E826" w14:textId="516DF5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00CD93" w14:textId="026F0A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4DB5D17" w14:textId="78ED385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8F0948" w14:textId="3F98834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63E566" w14:textId="58F057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03645685" w14:textId="1754633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3B57E556" w14:textId="1B6E8242"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927</w:t>
            </w:r>
          </w:p>
        </w:tc>
      </w:tr>
      <w:tr w:rsidR="0064565A" w:rsidRPr="00930D6A" w14:paraId="68F054E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1DDBBE2C" w14:textId="77777777" w:rsidR="00271A50" w:rsidRPr="00930D6A" w:rsidRDefault="00271A50" w:rsidP="00271A50">
            <w:pPr>
              <w:rPr>
                <w:sz w:val="17"/>
                <w:szCs w:val="17"/>
              </w:rPr>
            </w:pPr>
            <w:r w:rsidRPr="00930D6A">
              <w:rPr>
                <w:sz w:val="17"/>
                <w:szCs w:val="17"/>
              </w:rPr>
              <w:t>10</w:t>
            </w:r>
          </w:p>
        </w:tc>
        <w:tc>
          <w:tcPr>
            <w:tcW w:w="107" w:type="pct"/>
            <w:noWrap/>
          </w:tcPr>
          <w:p w14:paraId="121B6193" w14:textId="7987D2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07" w:type="pct"/>
            <w:noWrap/>
          </w:tcPr>
          <w:p w14:paraId="3F7AF1BC" w14:textId="6AA63ED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6A988F03" w14:textId="06C6D96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82</w:t>
            </w:r>
          </w:p>
        </w:tc>
        <w:tc>
          <w:tcPr>
            <w:tcW w:w="135" w:type="pct"/>
            <w:noWrap/>
          </w:tcPr>
          <w:p w14:paraId="79B35E7F" w14:textId="158E85C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101</w:t>
            </w:r>
          </w:p>
        </w:tc>
        <w:tc>
          <w:tcPr>
            <w:tcW w:w="135" w:type="pct"/>
            <w:noWrap/>
          </w:tcPr>
          <w:p w14:paraId="713D2A5D" w14:textId="17AF02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127</w:t>
            </w:r>
          </w:p>
        </w:tc>
        <w:tc>
          <w:tcPr>
            <w:tcW w:w="135" w:type="pct"/>
            <w:noWrap/>
          </w:tcPr>
          <w:p w14:paraId="528F3848" w14:textId="300C493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138</w:t>
            </w:r>
          </w:p>
        </w:tc>
        <w:tc>
          <w:tcPr>
            <w:tcW w:w="135" w:type="pct"/>
            <w:noWrap/>
          </w:tcPr>
          <w:p w14:paraId="5B6EFDCB" w14:textId="6260D6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153</w:t>
            </w:r>
          </w:p>
        </w:tc>
        <w:tc>
          <w:tcPr>
            <w:tcW w:w="135" w:type="pct"/>
            <w:noWrap/>
          </w:tcPr>
          <w:p w14:paraId="4C0B3434" w14:textId="38088CA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64DE9876" w14:textId="3B09958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173</w:t>
            </w:r>
          </w:p>
        </w:tc>
        <w:tc>
          <w:tcPr>
            <w:tcW w:w="135" w:type="pct"/>
            <w:noWrap/>
          </w:tcPr>
          <w:p w14:paraId="4A8BE472" w14:textId="79B9225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73C7D3BC" w14:textId="4E686C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412C9D5" w14:textId="170FC56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D5D801" w14:textId="5315BF5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CC8037" w14:textId="04593C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55FC6E0" w14:textId="6E6B207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65D53D2" w14:textId="1EC8CAC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5656DF7" w14:textId="1816DB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386BEF" w14:textId="3FF650F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916314" w14:textId="678CFAC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92B309" w14:textId="267CB4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EB1FA8" w14:textId="1936AB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32A7A7F" w14:textId="6155132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AA4DC0" w14:textId="17CC11D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375A300" w14:textId="0AD51CB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FB38B4" w14:textId="2CBAF6B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BB150C" w14:textId="1B969AD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236E63" w14:textId="7BBF59A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84EB4A4" w14:textId="76DF98A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E74C7FB" w14:textId="7AEF82F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2897D7" w14:textId="517F871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55DAA9" w14:textId="246F072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1B27124" w14:textId="52713B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5AB53B6" w14:textId="5CF8246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B73A97" w14:textId="36999BA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584FAC03" w14:textId="3DF5F2E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386E448" w14:textId="1F750E9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1114</w:t>
            </w:r>
          </w:p>
        </w:tc>
      </w:tr>
      <w:tr w:rsidR="00271A50" w:rsidRPr="00930D6A" w14:paraId="5F68BFDC"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F6FFD5" w14:textId="77777777" w:rsidR="00271A50" w:rsidRPr="00930D6A" w:rsidRDefault="00271A50" w:rsidP="00271A50">
            <w:pPr>
              <w:rPr>
                <w:sz w:val="17"/>
                <w:szCs w:val="17"/>
              </w:rPr>
            </w:pPr>
            <w:r w:rsidRPr="00930D6A">
              <w:rPr>
                <w:sz w:val="17"/>
                <w:szCs w:val="17"/>
              </w:rPr>
              <w:t>11</w:t>
            </w:r>
          </w:p>
        </w:tc>
        <w:tc>
          <w:tcPr>
            <w:tcW w:w="107" w:type="pct"/>
            <w:noWrap/>
          </w:tcPr>
          <w:p w14:paraId="2CC17243" w14:textId="68BE96C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w:t>
            </w:r>
          </w:p>
        </w:tc>
        <w:tc>
          <w:tcPr>
            <w:tcW w:w="107" w:type="pct"/>
            <w:noWrap/>
          </w:tcPr>
          <w:p w14:paraId="14492CB0" w14:textId="72ABC9F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78</w:t>
            </w:r>
          </w:p>
        </w:tc>
        <w:tc>
          <w:tcPr>
            <w:tcW w:w="107" w:type="pct"/>
            <w:noWrap/>
          </w:tcPr>
          <w:p w14:paraId="56442631" w14:textId="436F782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0F79FFDE" w14:textId="266204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94</w:t>
            </w:r>
          </w:p>
        </w:tc>
        <w:tc>
          <w:tcPr>
            <w:tcW w:w="135" w:type="pct"/>
            <w:noWrap/>
          </w:tcPr>
          <w:p w14:paraId="5659A7DC" w14:textId="1950BEA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115</w:t>
            </w:r>
          </w:p>
        </w:tc>
        <w:tc>
          <w:tcPr>
            <w:tcW w:w="135" w:type="pct"/>
            <w:noWrap/>
          </w:tcPr>
          <w:p w14:paraId="48899650" w14:textId="49AE426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143</w:t>
            </w:r>
          </w:p>
        </w:tc>
        <w:tc>
          <w:tcPr>
            <w:tcW w:w="135" w:type="pct"/>
            <w:noWrap/>
          </w:tcPr>
          <w:p w14:paraId="61584A69" w14:textId="3D36B61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132B85B3" w14:textId="76F5A66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169</w:t>
            </w:r>
          </w:p>
        </w:tc>
        <w:tc>
          <w:tcPr>
            <w:tcW w:w="135" w:type="pct"/>
            <w:noWrap/>
          </w:tcPr>
          <w:p w14:paraId="07B4D88E" w14:textId="48FD30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186</w:t>
            </w:r>
          </w:p>
        </w:tc>
        <w:tc>
          <w:tcPr>
            <w:tcW w:w="135" w:type="pct"/>
            <w:noWrap/>
          </w:tcPr>
          <w:p w14:paraId="3FE47FBA" w14:textId="342A62E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187</w:t>
            </w:r>
          </w:p>
        </w:tc>
        <w:tc>
          <w:tcPr>
            <w:tcW w:w="135" w:type="pct"/>
            <w:noWrap/>
          </w:tcPr>
          <w:p w14:paraId="3C04C8A1" w14:textId="592035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1E919BF6" w14:textId="43C42C7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18ED2E" w14:textId="57EA86E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E4FDC1E" w14:textId="5B4541A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8BC6601" w14:textId="0AF55ED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EA21EFC" w14:textId="0243510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C8B9598" w14:textId="6B87DF2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F6BF36" w14:textId="568950D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12500A" w14:textId="6CEFE9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39545CF" w14:textId="4AD9FA5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0A3D630" w14:textId="2764F6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5CE4EE" w14:textId="675DF11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EC72ABE" w14:textId="19F6E38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9BFA246" w14:textId="2F83D2F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7C13CF4" w14:textId="6F4214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4C6190" w14:textId="5507C58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C47B424" w14:textId="2632D79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D6B951" w14:textId="078591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9905C60" w14:textId="2A1D473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234A3C5" w14:textId="4042444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87B8EAF" w14:textId="49431BB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1DD2C6" w14:textId="2E8AD18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2BD1DF" w14:textId="1E94518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21F069E" w14:textId="3B077D3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B4DB47D" w14:textId="295B2E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2F11F820" w14:textId="2A1B57B4"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1314</w:t>
            </w:r>
          </w:p>
        </w:tc>
      </w:tr>
      <w:tr w:rsidR="0064565A" w:rsidRPr="00930D6A" w14:paraId="3EB8E6E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0954BC3" w14:textId="77777777" w:rsidR="00271A50" w:rsidRPr="00930D6A" w:rsidRDefault="00271A50" w:rsidP="00271A50">
            <w:pPr>
              <w:rPr>
                <w:sz w:val="17"/>
                <w:szCs w:val="17"/>
              </w:rPr>
            </w:pPr>
            <w:r w:rsidRPr="00930D6A">
              <w:rPr>
                <w:sz w:val="17"/>
                <w:szCs w:val="17"/>
              </w:rPr>
              <w:t>12</w:t>
            </w:r>
          </w:p>
        </w:tc>
        <w:tc>
          <w:tcPr>
            <w:tcW w:w="107" w:type="pct"/>
            <w:noWrap/>
          </w:tcPr>
          <w:p w14:paraId="0A8866D0" w14:textId="7600639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07" w:type="pct"/>
            <w:noWrap/>
          </w:tcPr>
          <w:p w14:paraId="2DDCED6A" w14:textId="07F971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72</w:t>
            </w:r>
          </w:p>
        </w:tc>
        <w:tc>
          <w:tcPr>
            <w:tcW w:w="107" w:type="pct"/>
            <w:noWrap/>
          </w:tcPr>
          <w:p w14:paraId="0F8CC9A9" w14:textId="0782EBB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90</w:t>
            </w:r>
          </w:p>
        </w:tc>
        <w:tc>
          <w:tcPr>
            <w:tcW w:w="135" w:type="pct"/>
            <w:noWrap/>
          </w:tcPr>
          <w:p w14:paraId="27211D2E" w14:textId="4499FDF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106</w:t>
            </w:r>
          </w:p>
        </w:tc>
        <w:tc>
          <w:tcPr>
            <w:tcW w:w="135" w:type="pct"/>
            <w:noWrap/>
          </w:tcPr>
          <w:p w14:paraId="3C693DCF" w14:textId="62B0937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2C750EB5" w14:textId="2B1638E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130</w:t>
            </w:r>
          </w:p>
        </w:tc>
        <w:tc>
          <w:tcPr>
            <w:tcW w:w="135" w:type="pct"/>
            <w:noWrap/>
          </w:tcPr>
          <w:p w14:paraId="21C20DCC" w14:textId="0E92261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161</w:t>
            </w:r>
          </w:p>
        </w:tc>
        <w:tc>
          <w:tcPr>
            <w:tcW w:w="135" w:type="pct"/>
            <w:noWrap/>
          </w:tcPr>
          <w:p w14:paraId="2C980EFF" w14:textId="17CB82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171</w:t>
            </w:r>
          </w:p>
        </w:tc>
        <w:tc>
          <w:tcPr>
            <w:tcW w:w="135" w:type="pct"/>
            <w:noWrap/>
          </w:tcPr>
          <w:p w14:paraId="608415D7" w14:textId="754D683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185</w:t>
            </w:r>
          </w:p>
        </w:tc>
        <w:tc>
          <w:tcPr>
            <w:tcW w:w="135" w:type="pct"/>
            <w:noWrap/>
          </w:tcPr>
          <w:p w14:paraId="4646C4B4" w14:textId="35A4C3F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23F500F0" w14:textId="0CFF23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0931BEF9" w14:textId="32F4D7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79</w:t>
            </w:r>
          </w:p>
        </w:tc>
        <w:tc>
          <w:tcPr>
            <w:tcW w:w="135" w:type="pct"/>
            <w:noWrap/>
          </w:tcPr>
          <w:p w14:paraId="54780A62" w14:textId="7608A41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3326B9" w14:textId="448D3DB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6147DE" w14:textId="798634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0F067C" w14:textId="2C9A1A1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778A02F" w14:textId="2EE72EA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9A5FC72" w14:textId="75F4CD9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FD2854B" w14:textId="4B81459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506CF4" w14:textId="3958BE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70BD42" w14:textId="1C83AC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19670B" w14:textId="02796A7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92D136" w14:textId="06F563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70D1A6" w14:textId="0EF2D43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D27764A" w14:textId="14C4072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DF1DC70" w14:textId="3F5260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A28037" w14:textId="5653D3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F1D9B6B" w14:textId="68ECA1E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DE01EC1" w14:textId="590C50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08A583" w14:textId="4877E9D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C24C70" w14:textId="3B533D5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0FB20DB" w14:textId="03660B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2845ED" w14:textId="7CD6EAB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D0F832C" w14:textId="5BF7EA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727DC05" w14:textId="50DC4C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3F3065A9" w14:textId="2E6BA8F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1519</w:t>
            </w:r>
          </w:p>
        </w:tc>
      </w:tr>
      <w:tr w:rsidR="00271A50" w:rsidRPr="00930D6A" w14:paraId="46B738D3"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67FE677" w14:textId="77777777" w:rsidR="00271A50" w:rsidRPr="00930D6A" w:rsidRDefault="00271A50" w:rsidP="00271A50">
            <w:pPr>
              <w:rPr>
                <w:sz w:val="17"/>
                <w:szCs w:val="17"/>
              </w:rPr>
            </w:pPr>
            <w:r w:rsidRPr="00930D6A">
              <w:rPr>
                <w:sz w:val="17"/>
                <w:szCs w:val="17"/>
              </w:rPr>
              <w:t>13</w:t>
            </w:r>
          </w:p>
        </w:tc>
        <w:tc>
          <w:tcPr>
            <w:tcW w:w="107" w:type="pct"/>
            <w:noWrap/>
          </w:tcPr>
          <w:p w14:paraId="03B9514E" w14:textId="733CEEC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w:t>
            </w:r>
          </w:p>
        </w:tc>
        <w:tc>
          <w:tcPr>
            <w:tcW w:w="107" w:type="pct"/>
            <w:noWrap/>
          </w:tcPr>
          <w:p w14:paraId="7770CA4A" w14:textId="03A04DB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64</w:t>
            </w:r>
          </w:p>
        </w:tc>
        <w:tc>
          <w:tcPr>
            <w:tcW w:w="107" w:type="pct"/>
            <w:noWrap/>
          </w:tcPr>
          <w:p w14:paraId="3D0D787C" w14:textId="37D212A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82</w:t>
            </w:r>
          </w:p>
        </w:tc>
        <w:tc>
          <w:tcPr>
            <w:tcW w:w="135" w:type="pct"/>
            <w:noWrap/>
          </w:tcPr>
          <w:p w14:paraId="48D413C6" w14:textId="1122CB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103</w:t>
            </w:r>
          </w:p>
        </w:tc>
        <w:tc>
          <w:tcPr>
            <w:tcW w:w="135" w:type="pct"/>
            <w:noWrap/>
          </w:tcPr>
          <w:p w14:paraId="0B076DE5" w14:textId="7EE7476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370FB14D" w14:textId="09ABCF5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701198E8" w14:textId="1F3E96B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146</w:t>
            </w:r>
          </w:p>
        </w:tc>
        <w:tc>
          <w:tcPr>
            <w:tcW w:w="135" w:type="pct"/>
            <w:noWrap/>
          </w:tcPr>
          <w:p w14:paraId="6E23F67D" w14:textId="3F2907A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177</w:t>
            </w:r>
          </w:p>
        </w:tc>
        <w:tc>
          <w:tcPr>
            <w:tcW w:w="135" w:type="pct"/>
            <w:noWrap/>
          </w:tcPr>
          <w:p w14:paraId="74B3FD23" w14:textId="24187B3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187</w:t>
            </w:r>
          </w:p>
        </w:tc>
        <w:tc>
          <w:tcPr>
            <w:tcW w:w="135" w:type="pct"/>
            <w:noWrap/>
          </w:tcPr>
          <w:p w14:paraId="38031EED" w14:textId="5A3B16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200</w:t>
            </w:r>
          </w:p>
        </w:tc>
        <w:tc>
          <w:tcPr>
            <w:tcW w:w="135" w:type="pct"/>
            <w:noWrap/>
          </w:tcPr>
          <w:p w14:paraId="6AC643A2" w14:textId="27ECC7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216</w:t>
            </w:r>
          </w:p>
        </w:tc>
        <w:tc>
          <w:tcPr>
            <w:tcW w:w="135" w:type="pct"/>
            <w:noWrap/>
          </w:tcPr>
          <w:p w14:paraId="531DA060" w14:textId="41ADE4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329E6CE6" w14:textId="471EE1C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83</w:t>
            </w:r>
          </w:p>
        </w:tc>
        <w:tc>
          <w:tcPr>
            <w:tcW w:w="135" w:type="pct"/>
            <w:noWrap/>
          </w:tcPr>
          <w:p w14:paraId="02C48E39" w14:textId="06C99F1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990CBF1" w14:textId="7FE9D80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2ECAEF9" w14:textId="4910683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016FCE" w14:textId="157BF04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B2B1A83" w14:textId="4EBCF6B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A4E3E9" w14:textId="42524D3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C8570E" w14:textId="6A68CBF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7C0A620" w14:textId="516570D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B204FF" w14:textId="3BA5AA3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768FA3" w14:textId="5D80B55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715AB8" w14:textId="2DBA64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B24472" w14:textId="629C906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F8B024" w14:textId="2B5C7EC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8A301D" w14:textId="167998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A64BCF9" w14:textId="51D4984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B280C9" w14:textId="63E3325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03812C" w14:textId="1E0E02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7F733D" w14:textId="1A7C0D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74C78B" w14:textId="2410A92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181E47" w14:textId="2E36ABF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4E4A28" w14:textId="026FF84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27FBB7E" w14:textId="1C95661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948BE3F" w14:textId="2A7A11B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1729</w:t>
            </w:r>
          </w:p>
        </w:tc>
      </w:tr>
      <w:tr w:rsidR="0064565A" w:rsidRPr="00930D6A" w14:paraId="3B63BDF0"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E0BCA7E" w14:textId="77777777" w:rsidR="00271A50" w:rsidRPr="00930D6A" w:rsidRDefault="00271A50" w:rsidP="00271A50">
            <w:pPr>
              <w:rPr>
                <w:sz w:val="17"/>
                <w:szCs w:val="17"/>
              </w:rPr>
            </w:pPr>
            <w:r w:rsidRPr="00930D6A">
              <w:rPr>
                <w:sz w:val="17"/>
                <w:szCs w:val="17"/>
              </w:rPr>
              <w:t>14</w:t>
            </w:r>
          </w:p>
        </w:tc>
        <w:tc>
          <w:tcPr>
            <w:tcW w:w="107" w:type="pct"/>
            <w:noWrap/>
          </w:tcPr>
          <w:p w14:paraId="25644DCB" w14:textId="280775E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w:t>
            </w:r>
          </w:p>
        </w:tc>
        <w:tc>
          <w:tcPr>
            <w:tcW w:w="107" w:type="pct"/>
            <w:noWrap/>
          </w:tcPr>
          <w:p w14:paraId="14092EB4" w14:textId="4142C4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65</w:t>
            </w:r>
          </w:p>
        </w:tc>
        <w:tc>
          <w:tcPr>
            <w:tcW w:w="107" w:type="pct"/>
            <w:noWrap/>
          </w:tcPr>
          <w:p w14:paraId="3F516D95" w14:textId="396C16F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73</w:t>
            </w:r>
          </w:p>
        </w:tc>
        <w:tc>
          <w:tcPr>
            <w:tcW w:w="135" w:type="pct"/>
            <w:noWrap/>
          </w:tcPr>
          <w:p w14:paraId="31E5BDD4" w14:textId="02B8B7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94</w:t>
            </w:r>
          </w:p>
        </w:tc>
        <w:tc>
          <w:tcPr>
            <w:tcW w:w="135" w:type="pct"/>
            <w:noWrap/>
          </w:tcPr>
          <w:p w14:paraId="55B0398B" w14:textId="0375B90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117</w:t>
            </w:r>
          </w:p>
        </w:tc>
        <w:tc>
          <w:tcPr>
            <w:tcW w:w="135" w:type="pct"/>
            <w:noWrap/>
          </w:tcPr>
          <w:p w14:paraId="649C66EE" w14:textId="5648DE0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136</w:t>
            </w:r>
          </w:p>
        </w:tc>
        <w:tc>
          <w:tcPr>
            <w:tcW w:w="135" w:type="pct"/>
            <w:noWrap/>
          </w:tcPr>
          <w:p w14:paraId="5F25A5B4" w14:textId="447B574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136</w:t>
            </w:r>
          </w:p>
        </w:tc>
        <w:tc>
          <w:tcPr>
            <w:tcW w:w="135" w:type="pct"/>
            <w:noWrap/>
          </w:tcPr>
          <w:p w14:paraId="4252E426" w14:textId="4AD0230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162</w:t>
            </w:r>
          </w:p>
        </w:tc>
        <w:tc>
          <w:tcPr>
            <w:tcW w:w="135" w:type="pct"/>
            <w:noWrap/>
          </w:tcPr>
          <w:p w14:paraId="01076604" w14:textId="2DDD5E8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194</w:t>
            </w:r>
          </w:p>
        </w:tc>
        <w:tc>
          <w:tcPr>
            <w:tcW w:w="135" w:type="pct"/>
            <w:noWrap/>
          </w:tcPr>
          <w:p w14:paraId="13E163A0" w14:textId="2080FCE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48B79F22" w14:textId="0F71D2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214</w:t>
            </w:r>
          </w:p>
        </w:tc>
        <w:tc>
          <w:tcPr>
            <w:tcW w:w="135" w:type="pct"/>
            <w:noWrap/>
          </w:tcPr>
          <w:p w14:paraId="4760AE8F" w14:textId="1CB6894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228</w:t>
            </w:r>
          </w:p>
        </w:tc>
        <w:tc>
          <w:tcPr>
            <w:tcW w:w="135" w:type="pct"/>
            <w:noWrap/>
          </w:tcPr>
          <w:p w14:paraId="631585F4" w14:textId="21BC0EF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222</w:t>
            </w:r>
          </w:p>
        </w:tc>
        <w:tc>
          <w:tcPr>
            <w:tcW w:w="135" w:type="pct"/>
            <w:noWrap/>
          </w:tcPr>
          <w:p w14:paraId="4BC0D1F5" w14:textId="469765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3F43888F" w14:textId="391F15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DAA6A6" w14:textId="7875B8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B37F9D6" w14:textId="572891D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783DD0" w14:textId="4A707F3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8E841D0" w14:textId="58CD0FB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13175BE" w14:textId="4DE186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7EE82A" w14:textId="5FEAEEA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9D93E9" w14:textId="52D14D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4026D7" w14:textId="428814F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1ECDBD" w14:textId="79995A3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C79803" w14:textId="0B26CDF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81F8873" w14:textId="6AB767F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CC28A0E" w14:textId="191D8C7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E37129A" w14:textId="1DA34BA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D17DC8" w14:textId="1C9976D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CD32158" w14:textId="4671130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B315F2" w14:textId="7AF32C0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35DC1C0" w14:textId="5DEE30B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EDEBE9D" w14:textId="15CF9A4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435B09" w14:textId="585F29D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5D08457B" w14:textId="55D48A2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215E5807" w14:textId="55C4AF5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1945</w:t>
            </w:r>
          </w:p>
        </w:tc>
      </w:tr>
      <w:tr w:rsidR="00271A50" w:rsidRPr="00930D6A" w14:paraId="69C279FA"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C7A7F45" w14:textId="77777777" w:rsidR="00271A50" w:rsidRPr="00930D6A" w:rsidRDefault="00271A50" w:rsidP="00271A50">
            <w:pPr>
              <w:rPr>
                <w:sz w:val="17"/>
                <w:szCs w:val="17"/>
              </w:rPr>
            </w:pPr>
            <w:r w:rsidRPr="00930D6A">
              <w:rPr>
                <w:sz w:val="17"/>
                <w:szCs w:val="17"/>
              </w:rPr>
              <w:t>15</w:t>
            </w:r>
          </w:p>
        </w:tc>
        <w:tc>
          <w:tcPr>
            <w:tcW w:w="107" w:type="pct"/>
            <w:noWrap/>
          </w:tcPr>
          <w:p w14:paraId="0271672B" w14:textId="758881A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w:t>
            </w:r>
          </w:p>
        </w:tc>
        <w:tc>
          <w:tcPr>
            <w:tcW w:w="107" w:type="pct"/>
            <w:noWrap/>
          </w:tcPr>
          <w:p w14:paraId="538F7BB7" w14:textId="10E237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52</w:t>
            </w:r>
          </w:p>
        </w:tc>
        <w:tc>
          <w:tcPr>
            <w:tcW w:w="107" w:type="pct"/>
            <w:noWrap/>
          </w:tcPr>
          <w:p w14:paraId="428A03EF" w14:textId="5187BC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43C5BA3F" w14:textId="5F56CE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84</w:t>
            </w:r>
          </w:p>
        </w:tc>
        <w:tc>
          <w:tcPr>
            <w:tcW w:w="135" w:type="pct"/>
            <w:noWrap/>
          </w:tcPr>
          <w:p w14:paraId="1386D53C" w14:textId="204BE5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107</w:t>
            </w:r>
          </w:p>
        </w:tc>
        <w:tc>
          <w:tcPr>
            <w:tcW w:w="135" w:type="pct"/>
            <w:noWrap/>
          </w:tcPr>
          <w:p w14:paraId="36AF2A2D" w14:textId="1AB450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133</w:t>
            </w:r>
          </w:p>
        </w:tc>
        <w:tc>
          <w:tcPr>
            <w:tcW w:w="135" w:type="pct"/>
            <w:noWrap/>
          </w:tcPr>
          <w:p w14:paraId="78F1CFD8" w14:textId="1290E0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153</w:t>
            </w:r>
          </w:p>
        </w:tc>
        <w:tc>
          <w:tcPr>
            <w:tcW w:w="135" w:type="pct"/>
            <w:noWrap/>
          </w:tcPr>
          <w:p w14:paraId="6FBF86F4" w14:textId="5AF4D6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21A937A7" w14:textId="7DD7752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177</w:t>
            </w:r>
          </w:p>
        </w:tc>
        <w:tc>
          <w:tcPr>
            <w:tcW w:w="135" w:type="pct"/>
            <w:noWrap/>
          </w:tcPr>
          <w:p w14:paraId="73C8C2A1" w14:textId="4DB721A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210</w:t>
            </w:r>
          </w:p>
        </w:tc>
        <w:tc>
          <w:tcPr>
            <w:tcW w:w="135" w:type="pct"/>
            <w:noWrap/>
          </w:tcPr>
          <w:p w14:paraId="77DF86D5" w14:textId="0592E98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216</w:t>
            </w:r>
          </w:p>
        </w:tc>
        <w:tc>
          <w:tcPr>
            <w:tcW w:w="135" w:type="pct"/>
            <w:noWrap/>
          </w:tcPr>
          <w:p w14:paraId="55448C65" w14:textId="7014813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41CAD1A3" w14:textId="5DADA07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239</w:t>
            </w:r>
          </w:p>
        </w:tc>
        <w:tc>
          <w:tcPr>
            <w:tcW w:w="135" w:type="pct"/>
            <w:noWrap/>
          </w:tcPr>
          <w:p w14:paraId="1CD936FB" w14:textId="68F13F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231</w:t>
            </w:r>
          </w:p>
        </w:tc>
        <w:tc>
          <w:tcPr>
            <w:tcW w:w="135" w:type="pct"/>
            <w:noWrap/>
          </w:tcPr>
          <w:p w14:paraId="541EE9B7" w14:textId="0A23EEB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89</w:t>
            </w:r>
          </w:p>
        </w:tc>
        <w:tc>
          <w:tcPr>
            <w:tcW w:w="135" w:type="pct"/>
            <w:noWrap/>
          </w:tcPr>
          <w:p w14:paraId="40F8E39A" w14:textId="1F8AB94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4067C9" w14:textId="27F2B2D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DA3F84" w14:textId="24C462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C39F52" w14:textId="1CF5A5B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AC3C3B6" w14:textId="16E4396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337FC6C" w14:textId="4C79D91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DBBD3C" w14:textId="798915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9F78655" w14:textId="1B125A8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7E9350F" w14:textId="2A27D97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8A5538B" w14:textId="55CE7D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82E631" w14:textId="6DB9233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C5D8D2" w14:textId="7288604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A1B9CCB" w14:textId="74E33E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05B13E8" w14:textId="4CE9DD1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1175E03" w14:textId="42D41A9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7E4B71" w14:textId="5E0C0AA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210A4A" w14:textId="0F00E08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E94835C" w14:textId="2FB1DE8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804F65" w14:textId="55B1B7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2F72899E" w14:textId="1DD301C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58164784" w14:textId="42F74D1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2157</w:t>
            </w:r>
          </w:p>
        </w:tc>
      </w:tr>
      <w:tr w:rsidR="0064565A" w:rsidRPr="00930D6A" w14:paraId="62909C98"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4CE62A8" w14:textId="77777777" w:rsidR="00271A50" w:rsidRPr="00930D6A" w:rsidRDefault="00271A50" w:rsidP="00271A50">
            <w:pPr>
              <w:rPr>
                <w:sz w:val="17"/>
                <w:szCs w:val="17"/>
              </w:rPr>
            </w:pPr>
            <w:r w:rsidRPr="00930D6A">
              <w:rPr>
                <w:sz w:val="17"/>
                <w:szCs w:val="17"/>
              </w:rPr>
              <w:t>16</w:t>
            </w:r>
          </w:p>
        </w:tc>
        <w:tc>
          <w:tcPr>
            <w:tcW w:w="107" w:type="pct"/>
            <w:noWrap/>
          </w:tcPr>
          <w:p w14:paraId="5CABA404" w14:textId="245433A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w:t>
            </w:r>
          </w:p>
        </w:tc>
        <w:tc>
          <w:tcPr>
            <w:tcW w:w="107" w:type="pct"/>
            <w:noWrap/>
          </w:tcPr>
          <w:p w14:paraId="3FC01741" w14:textId="4D4D990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53</w:t>
            </w:r>
          </w:p>
        </w:tc>
        <w:tc>
          <w:tcPr>
            <w:tcW w:w="107" w:type="pct"/>
            <w:noWrap/>
          </w:tcPr>
          <w:p w14:paraId="4748DE5F" w14:textId="34F39C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60</w:t>
            </w:r>
          </w:p>
        </w:tc>
        <w:tc>
          <w:tcPr>
            <w:tcW w:w="135" w:type="pct"/>
            <w:noWrap/>
          </w:tcPr>
          <w:p w14:paraId="5187C079" w14:textId="00C0D14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5FEFB341" w14:textId="002962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95</w:t>
            </w:r>
          </w:p>
        </w:tc>
        <w:tc>
          <w:tcPr>
            <w:tcW w:w="135" w:type="pct"/>
            <w:noWrap/>
          </w:tcPr>
          <w:p w14:paraId="09BCA187" w14:textId="4EAD88E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121</w:t>
            </w:r>
          </w:p>
        </w:tc>
        <w:tc>
          <w:tcPr>
            <w:tcW w:w="135" w:type="pct"/>
            <w:noWrap/>
          </w:tcPr>
          <w:p w14:paraId="248D7483" w14:textId="726901B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149</w:t>
            </w:r>
          </w:p>
        </w:tc>
        <w:tc>
          <w:tcPr>
            <w:tcW w:w="135" w:type="pct"/>
            <w:noWrap/>
          </w:tcPr>
          <w:p w14:paraId="61BB8F78" w14:textId="4173424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169</w:t>
            </w:r>
          </w:p>
        </w:tc>
        <w:tc>
          <w:tcPr>
            <w:tcW w:w="135" w:type="pct"/>
            <w:noWrap/>
          </w:tcPr>
          <w:p w14:paraId="737BCC2D" w14:textId="7DC2D9E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164</w:t>
            </w:r>
          </w:p>
        </w:tc>
        <w:tc>
          <w:tcPr>
            <w:tcW w:w="135" w:type="pct"/>
            <w:noWrap/>
          </w:tcPr>
          <w:p w14:paraId="6F54D587" w14:textId="372FA9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192</w:t>
            </w:r>
          </w:p>
        </w:tc>
        <w:tc>
          <w:tcPr>
            <w:tcW w:w="135" w:type="pct"/>
            <w:noWrap/>
          </w:tcPr>
          <w:p w14:paraId="24908D90" w14:textId="3A93C5C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c>
          <w:tcPr>
            <w:tcW w:w="135" w:type="pct"/>
            <w:noWrap/>
          </w:tcPr>
          <w:p w14:paraId="589387FB" w14:textId="5216EB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229</w:t>
            </w:r>
          </w:p>
        </w:tc>
        <w:tc>
          <w:tcPr>
            <w:tcW w:w="135" w:type="pct"/>
            <w:noWrap/>
          </w:tcPr>
          <w:p w14:paraId="2ED48AA4" w14:textId="5456BFD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2AD782FB" w14:textId="1F0B33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28C8A303" w14:textId="0BC8D07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34227D09" w14:textId="31F1BC9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91</w:t>
            </w:r>
          </w:p>
        </w:tc>
        <w:tc>
          <w:tcPr>
            <w:tcW w:w="135" w:type="pct"/>
            <w:noWrap/>
          </w:tcPr>
          <w:p w14:paraId="2A239F08" w14:textId="21DDE85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398CACD" w14:textId="5928385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A8EC99" w14:textId="770715E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89600D" w14:textId="65E15CF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36D4F4" w14:textId="11B88CB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5943C6D" w14:textId="6FFAC3D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DF0CBE" w14:textId="0237B8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F8CB7D" w14:textId="2EAF713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0A3348E" w14:textId="1B96C76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2403A0" w14:textId="026BF6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0ABFB60" w14:textId="02D22A6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D75B3B" w14:textId="53B1534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D3B99A" w14:textId="54D50C4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843A9E" w14:textId="0C43EBA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C961A4" w14:textId="24B488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4B3AACB" w14:textId="3CDC52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BABFBE5" w14:textId="6B4F07C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FEB6B57" w14:textId="51EA3E0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581B8B5" w14:textId="225A59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7C97B1E5" w14:textId="7F1CDE6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2371</w:t>
            </w:r>
          </w:p>
        </w:tc>
      </w:tr>
      <w:tr w:rsidR="00271A50" w:rsidRPr="00930D6A" w14:paraId="12942A2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0D45D8A" w14:textId="77777777" w:rsidR="00271A50" w:rsidRPr="00930D6A" w:rsidRDefault="00271A50" w:rsidP="00271A50">
            <w:pPr>
              <w:rPr>
                <w:sz w:val="17"/>
                <w:szCs w:val="17"/>
              </w:rPr>
            </w:pPr>
            <w:r w:rsidRPr="00930D6A">
              <w:rPr>
                <w:sz w:val="17"/>
                <w:szCs w:val="17"/>
              </w:rPr>
              <w:t>17</w:t>
            </w:r>
          </w:p>
        </w:tc>
        <w:tc>
          <w:tcPr>
            <w:tcW w:w="107" w:type="pct"/>
            <w:noWrap/>
          </w:tcPr>
          <w:p w14:paraId="4E156DAB" w14:textId="118C1B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w:t>
            </w:r>
          </w:p>
        </w:tc>
        <w:tc>
          <w:tcPr>
            <w:tcW w:w="107" w:type="pct"/>
            <w:noWrap/>
          </w:tcPr>
          <w:p w14:paraId="271D2099" w14:textId="4713B5A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53</w:t>
            </w:r>
          </w:p>
        </w:tc>
        <w:tc>
          <w:tcPr>
            <w:tcW w:w="107" w:type="pct"/>
            <w:noWrap/>
          </w:tcPr>
          <w:p w14:paraId="23786181" w14:textId="5A2DBA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61</w:t>
            </w:r>
          </w:p>
        </w:tc>
        <w:tc>
          <w:tcPr>
            <w:tcW w:w="135" w:type="pct"/>
            <w:noWrap/>
          </w:tcPr>
          <w:p w14:paraId="5C41561F" w14:textId="2749C59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69</w:t>
            </w:r>
          </w:p>
        </w:tc>
        <w:tc>
          <w:tcPr>
            <w:tcW w:w="135" w:type="pct"/>
            <w:noWrap/>
          </w:tcPr>
          <w:p w14:paraId="5191CF4F" w14:textId="542D667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98</w:t>
            </w:r>
          </w:p>
        </w:tc>
        <w:tc>
          <w:tcPr>
            <w:tcW w:w="135" w:type="pct"/>
            <w:noWrap/>
          </w:tcPr>
          <w:p w14:paraId="61CAE0B0" w14:textId="6CC13A7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108</w:t>
            </w:r>
          </w:p>
        </w:tc>
        <w:tc>
          <w:tcPr>
            <w:tcW w:w="135" w:type="pct"/>
            <w:noWrap/>
          </w:tcPr>
          <w:p w14:paraId="3F1ABBB8" w14:textId="4BEE14B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136</w:t>
            </w:r>
          </w:p>
        </w:tc>
        <w:tc>
          <w:tcPr>
            <w:tcW w:w="135" w:type="pct"/>
            <w:noWrap/>
          </w:tcPr>
          <w:p w14:paraId="7FA05E60" w14:textId="079DB6F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164</w:t>
            </w:r>
          </w:p>
        </w:tc>
        <w:tc>
          <w:tcPr>
            <w:tcW w:w="135" w:type="pct"/>
            <w:noWrap/>
          </w:tcPr>
          <w:p w14:paraId="46519597" w14:textId="4881706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185</w:t>
            </w:r>
          </w:p>
        </w:tc>
        <w:tc>
          <w:tcPr>
            <w:tcW w:w="135" w:type="pct"/>
            <w:noWrap/>
          </w:tcPr>
          <w:p w14:paraId="42E4A07D" w14:textId="28C138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178</w:t>
            </w:r>
          </w:p>
        </w:tc>
        <w:tc>
          <w:tcPr>
            <w:tcW w:w="135" w:type="pct"/>
            <w:noWrap/>
          </w:tcPr>
          <w:p w14:paraId="57EDC50F" w14:textId="1791B80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57ADAEA2" w14:textId="4C4EA1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238</w:t>
            </w:r>
          </w:p>
        </w:tc>
        <w:tc>
          <w:tcPr>
            <w:tcW w:w="135" w:type="pct"/>
            <w:noWrap/>
          </w:tcPr>
          <w:p w14:paraId="3D11630E" w14:textId="7F98FF2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240</w:t>
            </w:r>
          </w:p>
        </w:tc>
        <w:tc>
          <w:tcPr>
            <w:tcW w:w="135" w:type="pct"/>
            <w:noWrap/>
          </w:tcPr>
          <w:p w14:paraId="5F11E0A2" w14:textId="2B81865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4BE38ACE" w14:textId="230A6A6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7350E683" w14:textId="619FD1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242</w:t>
            </w:r>
          </w:p>
        </w:tc>
        <w:tc>
          <w:tcPr>
            <w:tcW w:w="135" w:type="pct"/>
            <w:noWrap/>
          </w:tcPr>
          <w:p w14:paraId="01A81C17" w14:textId="4B3003F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91</w:t>
            </w:r>
          </w:p>
        </w:tc>
        <w:tc>
          <w:tcPr>
            <w:tcW w:w="135" w:type="pct"/>
            <w:noWrap/>
          </w:tcPr>
          <w:p w14:paraId="294A526F" w14:textId="0C14645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3492905" w14:textId="0559EFA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B768BD" w14:textId="664C1DF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F39FA88" w14:textId="1126FC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E4D09BA" w14:textId="1FA33E9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7AE1A3" w14:textId="54A47D4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12F057A" w14:textId="4566A12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3F1FC4D" w14:textId="0D41FE6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68EDDD" w14:textId="37C9CB6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57A139A" w14:textId="538DE0C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4EA608" w14:textId="04F5E7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444564" w14:textId="68CE2AB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26E7EA" w14:textId="48495E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9BED00" w14:textId="41C9EAF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DFEF8B" w14:textId="7A4861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5F57978" w14:textId="45D9B5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541BF7E" w14:textId="4C045CA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65C28E0" w14:textId="5E63B98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28990CFE" w14:textId="32D14CBB"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2584</w:t>
            </w:r>
          </w:p>
        </w:tc>
      </w:tr>
      <w:tr w:rsidR="0064565A" w:rsidRPr="00930D6A" w14:paraId="7494A208"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9226872" w14:textId="77777777" w:rsidR="00271A50" w:rsidRPr="00930D6A" w:rsidRDefault="00271A50" w:rsidP="00271A50">
            <w:pPr>
              <w:rPr>
                <w:sz w:val="17"/>
                <w:szCs w:val="17"/>
              </w:rPr>
            </w:pPr>
            <w:r w:rsidRPr="00930D6A">
              <w:rPr>
                <w:sz w:val="17"/>
                <w:szCs w:val="17"/>
              </w:rPr>
              <w:t>18</w:t>
            </w:r>
          </w:p>
        </w:tc>
        <w:tc>
          <w:tcPr>
            <w:tcW w:w="107" w:type="pct"/>
            <w:noWrap/>
          </w:tcPr>
          <w:p w14:paraId="180DB96E" w14:textId="22796FD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w:t>
            </w:r>
          </w:p>
        </w:tc>
        <w:tc>
          <w:tcPr>
            <w:tcW w:w="107" w:type="pct"/>
            <w:noWrap/>
          </w:tcPr>
          <w:p w14:paraId="618F6688" w14:textId="27C521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49</w:t>
            </w:r>
          </w:p>
        </w:tc>
        <w:tc>
          <w:tcPr>
            <w:tcW w:w="107" w:type="pct"/>
            <w:noWrap/>
          </w:tcPr>
          <w:p w14:paraId="555D6ABD" w14:textId="509624B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61</w:t>
            </w:r>
          </w:p>
        </w:tc>
        <w:tc>
          <w:tcPr>
            <w:tcW w:w="135" w:type="pct"/>
            <w:noWrap/>
          </w:tcPr>
          <w:p w14:paraId="7BD4ADBF" w14:textId="2B0B863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291A7778" w14:textId="742941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78</w:t>
            </w:r>
          </w:p>
        </w:tc>
        <w:tc>
          <w:tcPr>
            <w:tcW w:w="135" w:type="pct"/>
            <w:noWrap/>
          </w:tcPr>
          <w:p w14:paraId="7765EC77" w14:textId="6DC9652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111</w:t>
            </w:r>
          </w:p>
        </w:tc>
        <w:tc>
          <w:tcPr>
            <w:tcW w:w="135" w:type="pct"/>
            <w:noWrap/>
          </w:tcPr>
          <w:p w14:paraId="1C2D8213" w14:textId="623BA6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121</w:t>
            </w:r>
          </w:p>
        </w:tc>
        <w:tc>
          <w:tcPr>
            <w:tcW w:w="135" w:type="pct"/>
            <w:noWrap/>
          </w:tcPr>
          <w:p w14:paraId="18E3DBA9" w14:textId="255FE7D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786EA42E" w14:textId="6B4D3BD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180</w:t>
            </w:r>
          </w:p>
        </w:tc>
        <w:tc>
          <w:tcPr>
            <w:tcW w:w="135" w:type="pct"/>
            <w:noWrap/>
          </w:tcPr>
          <w:p w14:paraId="479D64FB" w14:textId="0CFE0E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7C37DD27" w14:textId="098CE0B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191</w:t>
            </w:r>
          </w:p>
        </w:tc>
        <w:tc>
          <w:tcPr>
            <w:tcW w:w="135" w:type="pct"/>
            <w:noWrap/>
          </w:tcPr>
          <w:p w14:paraId="062C178F" w14:textId="7C95C1A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217</w:t>
            </w:r>
          </w:p>
        </w:tc>
        <w:tc>
          <w:tcPr>
            <w:tcW w:w="135" w:type="pct"/>
            <w:noWrap/>
          </w:tcPr>
          <w:p w14:paraId="64907C20" w14:textId="18339A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250</w:t>
            </w:r>
          </w:p>
        </w:tc>
        <w:tc>
          <w:tcPr>
            <w:tcW w:w="135" w:type="pct"/>
            <w:noWrap/>
          </w:tcPr>
          <w:p w14:paraId="15F6B3CA" w14:textId="0EB1A76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345C0FE5" w14:textId="5070C5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253</w:t>
            </w:r>
          </w:p>
        </w:tc>
        <w:tc>
          <w:tcPr>
            <w:tcW w:w="135" w:type="pct"/>
            <w:noWrap/>
          </w:tcPr>
          <w:p w14:paraId="4ADA90EB" w14:textId="114591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3DF66136" w14:textId="34E0DB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244</w:t>
            </w:r>
          </w:p>
        </w:tc>
        <w:tc>
          <w:tcPr>
            <w:tcW w:w="135" w:type="pct"/>
            <w:noWrap/>
          </w:tcPr>
          <w:p w14:paraId="2FFC264A" w14:textId="3163B6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7755BE45" w14:textId="5949EFF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7151A8" w14:textId="0487F25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95665C9" w14:textId="6E69712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28B9BFE" w14:textId="5E27258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EC6684" w14:textId="1ED6D0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825D0E9" w14:textId="320BB9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DCC5755" w14:textId="06E185E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3F25CE" w14:textId="14DB3E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9A2614" w14:textId="39F2A1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B3A9B9" w14:textId="2C206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8323F5" w14:textId="71E845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9072A53" w14:textId="76C03D0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2EF6E19" w14:textId="47F258D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5F748D" w14:textId="3745F5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06F2EF" w14:textId="11EC378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A266A9" w14:textId="2E1B891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71491ED5" w14:textId="716811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1D30CF7D" w14:textId="4075226A"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2787</w:t>
            </w:r>
          </w:p>
        </w:tc>
      </w:tr>
      <w:tr w:rsidR="00271A50" w:rsidRPr="00930D6A" w14:paraId="4080A260"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051912E2" w14:textId="77777777" w:rsidR="00271A50" w:rsidRPr="00930D6A" w:rsidRDefault="00271A50" w:rsidP="00271A50">
            <w:pPr>
              <w:rPr>
                <w:sz w:val="17"/>
                <w:szCs w:val="17"/>
              </w:rPr>
            </w:pPr>
            <w:r w:rsidRPr="00930D6A">
              <w:rPr>
                <w:sz w:val="17"/>
                <w:szCs w:val="17"/>
              </w:rPr>
              <w:t>19</w:t>
            </w:r>
          </w:p>
        </w:tc>
        <w:tc>
          <w:tcPr>
            <w:tcW w:w="107" w:type="pct"/>
            <w:noWrap/>
          </w:tcPr>
          <w:p w14:paraId="2DF612E3" w14:textId="68B603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w:t>
            </w:r>
          </w:p>
        </w:tc>
        <w:tc>
          <w:tcPr>
            <w:tcW w:w="107" w:type="pct"/>
            <w:noWrap/>
          </w:tcPr>
          <w:p w14:paraId="543F5D70" w14:textId="29A447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w:t>
            </w:r>
          </w:p>
        </w:tc>
        <w:tc>
          <w:tcPr>
            <w:tcW w:w="107" w:type="pct"/>
            <w:noWrap/>
          </w:tcPr>
          <w:p w14:paraId="1DF07CC3" w14:textId="1E48E9B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56</w:t>
            </w:r>
          </w:p>
        </w:tc>
        <w:tc>
          <w:tcPr>
            <w:tcW w:w="135" w:type="pct"/>
            <w:noWrap/>
          </w:tcPr>
          <w:p w14:paraId="2DEF0DF9" w14:textId="6E3BFF6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70</w:t>
            </w:r>
          </w:p>
        </w:tc>
        <w:tc>
          <w:tcPr>
            <w:tcW w:w="135" w:type="pct"/>
            <w:noWrap/>
          </w:tcPr>
          <w:p w14:paraId="46F7C7B9" w14:textId="0EC2FD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80</w:t>
            </w:r>
          </w:p>
        </w:tc>
        <w:tc>
          <w:tcPr>
            <w:tcW w:w="135" w:type="pct"/>
            <w:noWrap/>
          </w:tcPr>
          <w:p w14:paraId="2AB5DBE0" w14:textId="6993196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89</w:t>
            </w:r>
          </w:p>
        </w:tc>
        <w:tc>
          <w:tcPr>
            <w:tcW w:w="135" w:type="pct"/>
            <w:noWrap/>
          </w:tcPr>
          <w:p w14:paraId="1DC0E7C9" w14:textId="4B433F4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124</w:t>
            </w:r>
          </w:p>
        </w:tc>
        <w:tc>
          <w:tcPr>
            <w:tcW w:w="135" w:type="pct"/>
            <w:noWrap/>
          </w:tcPr>
          <w:p w14:paraId="0C88C178" w14:textId="6DDEF74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134</w:t>
            </w:r>
          </w:p>
        </w:tc>
        <w:tc>
          <w:tcPr>
            <w:tcW w:w="135" w:type="pct"/>
            <w:noWrap/>
          </w:tcPr>
          <w:p w14:paraId="7572DBF4" w14:textId="1DC16E5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165</w:t>
            </w:r>
          </w:p>
        </w:tc>
        <w:tc>
          <w:tcPr>
            <w:tcW w:w="135" w:type="pct"/>
            <w:noWrap/>
          </w:tcPr>
          <w:p w14:paraId="526D04CB" w14:textId="20B373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195</w:t>
            </w:r>
          </w:p>
        </w:tc>
        <w:tc>
          <w:tcPr>
            <w:tcW w:w="135" w:type="pct"/>
            <w:noWrap/>
          </w:tcPr>
          <w:p w14:paraId="3B5DC1FA" w14:textId="1F6E31A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215</w:t>
            </w:r>
          </w:p>
        </w:tc>
        <w:tc>
          <w:tcPr>
            <w:tcW w:w="135" w:type="pct"/>
            <w:noWrap/>
          </w:tcPr>
          <w:p w14:paraId="16E772AF" w14:textId="6174882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202</w:t>
            </w:r>
          </w:p>
        </w:tc>
        <w:tc>
          <w:tcPr>
            <w:tcW w:w="135" w:type="pct"/>
            <w:noWrap/>
          </w:tcPr>
          <w:p w14:paraId="48275567" w14:textId="4E97EC8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2804223E" w14:textId="3559BE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259</w:t>
            </w:r>
          </w:p>
        </w:tc>
        <w:tc>
          <w:tcPr>
            <w:tcW w:w="135" w:type="pct"/>
            <w:noWrap/>
          </w:tcPr>
          <w:p w14:paraId="41A2657D" w14:textId="4EFD5E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256</w:t>
            </w:r>
          </w:p>
        </w:tc>
        <w:tc>
          <w:tcPr>
            <w:tcW w:w="135" w:type="pct"/>
            <w:noWrap/>
          </w:tcPr>
          <w:p w14:paraId="0E1C3266" w14:textId="692B228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259</w:t>
            </w:r>
          </w:p>
        </w:tc>
        <w:tc>
          <w:tcPr>
            <w:tcW w:w="135" w:type="pct"/>
            <w:noWrap/>
          </w:tcPr>
          <w:p w14:paraId="6AC61931" w14:textId="36D9AF5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263</w:t>
            </w:r>
          </w:p>
        </w:tc>
        <w:tc>
          <w:tcPr>
            <w:tcW w:w="135" w:type="pct"/>
            <w:noWrap/>
          </w:tcPr>
          <w:p w14:paraId="4CC15819" w14:textId="5828DC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305D951E" w14:textId="32A594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w:t>
            </w:r>
          </w:p>
        </w:tc>
        <w:tc>
          <w:tcPr>
            <w:tcW w:w="135" w:type="pct"/>
            <w:noWrap/>
          </w:tcPr>
          <w:p w14:paraId="112E782B" w14:textId="1545E94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EC4BC0C" w14:textId="3611F0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C6EFB91" w14:textId="6940631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B5B008" w14:textId="6625D0E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D2F1241" w14:textId="53CD0C0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1DBF7F1" w14:textId="7C546DD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C3B875" w14:textId="4E07D65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5884D87" w14:textId="1DB752E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12F289" w14:textId="1CF331D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6EF37FA" w14:textId="38CBF6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243533A" w14:textId="03BB52F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BDCB701" w14:textId="446B24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658086" w14:textId="5D6605F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A006261" w14:textId="2E00DA2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CB0AF0" w14:textId="71BD23A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76F8203" w14:textId="000E1E6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4BDB8B6D" w14:textId="38B03F3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2976</w:t>
            </w:r>
          </w:p>
        </w:tc>
      </w:tr>
      <w:tr w:rsidR="0064565A" w:rsidRPr="00930D6A" w14:paraId="7895FDE6"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1E2052F" w14:textId="77777777" w:rsidR="00271A50" w:rsidRPr="00930D6A" w:rsidRDefault="00271A50" w:rsidP="00271A50">
            <w:pPr>
              <w:rPr>
                <w:sz w:val="17"/>
                <w:szCs w:val="17"/>
              </w:rPr>
            </w:pPr>
            <w:r w:rsidRPr="00930D6A">
              <w:rPr>
                <w:sz w:val="17"/>
                <w:szCs w:val="17"/>
              </w:rPr>
              <w:t>20</w:t>
            </w:r>
          </w:p>
        </w:tc>
        <w:tc>
          <w:tcPr>
            <w:tcW w:w="107" w:type="pct"/>
            <w:noWrap/>
          </w:tcPr>
          <w:p w14:paraId="76ED9A69" w14:textId="5C74E70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07" w:type="pct"/>
            <w:noWrap/>
          </w:tcPr>
          <w:p w14:paraId="1449B325" w14:textId="0BCF25A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30</w:t>
            </w:r>
          </w:p>
        </w:tc>
        <w:tc>
          <w:tcPr>
            <w:tcW w:w="107" w:type="pct"/>
            <w:noWrap/>
          </w:tcPr>
          <w:p w14:paraId="6A6A55CD" w14:textId="24E416B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45</w:t>
            </w:r>
          </w:p>
        </w:tc>
        <w:tc>
          <w:tcPr>
            <w:tcW w:w="135" w:type="pct"/>
            <w:noWrap/>
          </w:tcPr>
          <w:p w14:paraId="0C6A7EA1" w14:textId="5D473F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6C88A234" w14:textId="1158D1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80</w:t>
            </w:r>
          </w:p>
        </w:tc>
        <w:tc>
          <w:tcPr>
            <w:tcW w:w="135" w:type="pct"/>
            <w:noWrap/>
          </w:tcPr>
          <w:p w14:paraId="50C39C2D" w14:textId="177473F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90</w:t>
            </w:r>
          </w:p>
        </w:tc>
        <w:tc>
          <w:tcPr>
            <w:tcW w:w="135" w:type="pct"/>
            <w:noWrap/>
          </w:tcPr>
          <w:p w14:paraId="7B4B4AC7" w14:textId="6991BF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99</w:t>
            </w:r>
          </w:p>
        </w:tc>
        <w:tc>
          <w:tcPr>
            <w:tcW w:w="135" w:type="pct"/>
            <w:noWrap/>
          </w:tcPr>
          <w:p w14:paraId="1280ABBB" w14:textId="175FB8C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137</w:t>
            </w:r>
          </w:p>
        </w:tc>
        <w:tc>
          <w:tcPr>
            <w:tcW w:w="135" w:type="pct"/>
            <w:noWrap/>
          </w:tcPr>
          <w:p w14:paraId="6D48ED16" w14:textId="4E4164B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146</w:t>
            </w:r>
          </w:p>
        </w:tc>
        <w:tc>
          <w:tcPr>
            <w:tcW w:w="135" w:type="pct"/>
            <w:noWrap/>
          </w:tcPr>
          <w:p w14:paraId="21BC6220" w14:textId="3DC0BA6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178</w:t>
            </w:r>
          </w:p>
        </w:tc>
        <w:tc>
          <w:tcPr>
            <w:tcW w:w="135" w:type="pct"/>
            <w:noWrap/>
          </w:tcPr>
          <w:p w14:paraId="530D264A" w14:textId="25BD0F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209</w:t>
            </w:r>
          </w:p>
        </w:tc>
        <w:tc>
          <w:tcPr>
            <w:tcW w:w="135" w:type="pct"/>
            <w:noWrap/>
          </w:tcPr>
          <w:p w14:paraId="3A82B55B" w14:textId="61174F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374410B" w14:textId="5663315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211</w:t>
            </w:r>
          </w:p>
        </w:tc>
        <w:tc>
          <w:tcPr>
            <w:tcW w:w="135" w:type="pct"/>
            <w:noWrap/>
          </w:tcPr>
          <w:p w14:paraId="5DF02CCB" w14:textId="3668871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236</w:t>
            </w:r>
          </w:p>
        </w:tc>
        <w:tc>
          <w:tcPr>
            <w:tcW w:w="135" w:type="pct"/>
            <w:noWrap/>
          </w:tcPr>
          <w:p w14:paraId="61F353DE" w14:textId="63131E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266</w:t>
            </w:r>
          </w:p>
        </w:tc>
        <w:tc>
          <w:tcPr>
            <w:tcW w:w="135" w:type="pct"/>
            <w:noWrap/>
          </w:tcPr>
          <w:p w14:paraId="4EE5499C" w14:textId="6F84ECB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262</w:t>
            </w:r>
          </w:p>
        </w:tc>
        <w:tc>
          <w:tcPr>
            <w:tcW w:w="135" w:type="pct"/>
            <w:noWrap/>
          </w:tcPr>
          <w:p w14:paraId="4D45B6F8" w14:textId="597ACDE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06892502" w14:textId="5739D6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264</w:t>
            </w:r>
          </w:p>
        </w:tc>
        <w:tc>
          <w:tcPr>
            <w:tcW w:w="135" w:type="pct"/>
            <w:noWrap/>
          </w:tcPr>
          <w:p w14:paraId="565D7A31" w14:textId="60D6C23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246</w:t>
            </w:r>
          </w:p>
        </w:tc>
        <w:tc>
          <w:tcPr>
            <w:tcW w:w="135" w:type="pct"/>
            <w:noWrap/>
          </w:tcPr>
          <w:p w14:paraId="5B259A0B" w14:textId="29E48E1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4C937595" w14:textId="402CF7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12A9F2" w14:textId="18146BB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70E9A6D" w14:textId="627545E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474EEC" w14:textId="4807F4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8AB6901" w14:textId="743052B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E8512F" w14:textId="7CE14E6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7F61CD" w14:textId="6A89BA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D7B444" w14:textId="40BA4A2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2B506C" w14:textId="45BC1A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B91029" w14:textId="5C461AC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ADC5F7" w14:textId="087E0EA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390831B" w14:textId="6703CAC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024559" w14:textId="1787B0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42B5D6C" w14:textId="4B7F88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EABB5E7" w14:textId="769C711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C6E2534" w14:textId="6AAAB8D8"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3150</w:t>
            </w:r>
          </w:p>
        </w:tc>
      </w:tr>
      <w:tr w:rsidR="00271A50" w:rsidRPr="00930D6A" w14:paraId="2EB19ACA"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D3A61BC" w14:textId="77777777" w:rsidR="00271A50" w:rsidRPr="00930D6A" w:rsidRDefault="00271A50" w:rsidP="00271A50">
            <w:pPr>
              <w:rPr>
                <w:sz w:val="17"/>
                <w:szCs w:val="17"/>
              </w:rPr>
            </w:pPr>
            <w:r w:rsidRPr="00930D6A">
              <w:rPr>
                <w:sz w:val="17"/>
                <w:szCs w:val="17"/>
              </w:rPr>
              <w:t>21</w:t>
            </w:r>
          </w:p>
        </w:tc>
        <w:tc>
          <w:tcPr>
            <w:tcW w:w="107" w:type="pct"/>
            <w:noWrap/>
          </w:tcPr>
          <w:p w14:paraId="33C42278" w14:textId="328239A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07" w:type="pct"/>
            <w:noWrap/>
          </w:tcPr>
          <w:p w14:paraId="066B1FC7" w14:textId="48EB30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w:t>
            </w:r>
          </w:p>
        </w:tc>
        <w:tc>
          <w:tcPr>
            <w:tcW w:w="107" w:type="pct"/>
            <w:noWrap/>
          </w:tcPr>
          <w:p w14:paraId="56AEC206" w14:textId="01C3018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w:t>
            </w:r>
          </w:p>
        </w:tc>
        <w:tc>
          <w:tcPr>
            <w:tcW w:w="135" w:type="pct"/>
            <w:noWrap/>
          </w:tcPr>
          <w:p w14:paraId="09564AE2" w14:textId="311F351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51</w:t>
            </w:r>
          </w:p>
        </w:tc>
        <w:tc>
          <w:tcPr>
            <w:tcW w:w="135" w:type="pct"/>
            <w:noWrap/>
          </w:tcPr>
          <w:p w14:paraId="4E836664" w14:textId="1543CB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73</w:t>
            </w:r>
          </w:p>
        </w:tc>
        <w:tc>
          <w:tcPr>
            <w:tcW w:w="135" w:type="pct"/>
            <w:noWrap/>
          </w:tcPr>
          <w:p w14:paraId="21FBDD33" w14:textId="64F16D7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5661C352" w14:textId="1D029D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101</w:t>
            </w:r>
          </w:p>
        </w:tc>
        <w:tc>
          <w:tcPr>
            <w:tcW w:w="135" w:type="pct"/>
            <w:noWrap/>
          </w:tcPr>
          <w:p w14:paraId="7F8EF9CD" w14:textId="0861BEE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110</w:t>
            </w:r>
          </w:p>
        </w:tc>
        <w:tc>
          <w:tcPr>
            <w:tcW w:w="135" w:type="pct"/>
            <w:noWrap/>
          </w:tcPr>
          <w:p w14:paraId="2B122596" w14:textId="28E45CC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7238A58F" w14:textId="5BC75FF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02345664" w14:textId="0AB91F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191</w:t>
            </w:r>
          </w:p>
        </w:tc>
        <w:tc>
          <w:tcPr>
            <w:tcW w:w="135" w:type="pct"/>
            <w:noWrap/>
          </w:tcPr>
          <w:p w14:paraId="2CE2DC1F" w14:textId="7B09E2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221</w:t>
            </w:r>
          </w:p>
        </w:tc>
        <w:tc>
          <w:tcPr>
            <w:tcW w:w="135" w:type="pct"/>
            <w:noWrap/>
          </w:tcPr>
          <w:p w14:paraId="16236809" w14:textId="453C31D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238</w:t>
            </w:r>
          </w:p>
        </w:tc>
        <w:tc>
          <w:tcPr>
            <w:tcW w:w="135" w:type="pct"/>
            <w:noWrap/>
          </w:tcPr>
          <w:p w14:paraId="675AD26C" w14:textId="3151CF9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219</w:t>
            </w:r>
          </w:p>
        </w:tc>
        <w:tc>
          <w:tcPr>
            <w:tcW w:w="135" w:type="pct"/>
            <w:noWrap/>
          </w:tcPr>
          <w:p w14:paraId="22475912" w14:textId="2A969C3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242</w:t>
            </w:r>
          </w:p>
        </w:tc>
        <w:tc>
          <w:tcPr>
            <w:tcW w:w="135" w:type="pct"/>
            <w:noWrap/>
          </w:tcPr>
          <w:p w14:paraId="2630C73B" w14:textId="6EF2DB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272</w:t>
            </w:r>
          </w:p>
        </w:tc>
        <w:tc>
          <w:tcPr>
            <w:tcW w:w="135" w:type="pct"/>
            <w:noWrap/>
          </w:tcPr>
          <w:p w14:paraId="3857E50C" w14:textId="75E2F1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1EFAC332" w14:textId="1E5BE5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51F13BB" w14:textId="467F8A9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265</w:t>
            </w:r>
          </w:p>
        </w:tc>
        <w:tc>
          <w:tcPr>
            <w:tcW w:w="135" w:type="pct"/>
            <w:noWrap/>
          </w:tcPr>
          <w:p w14:paraId="6444BA1C" w14:textId="25F53DD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3BA4A175" w14:textId="4C53342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w:t>
            </w:r>
          </w:p>
        </w:tc>
        <w:tc>
          <w:tcPr>
            <w:tcW w:w="135" w:type="pct"/>
            <w:noWrap/>
          </w:tcPr>
          <w:p w14:paraId="35D2E4D0" w14:textId="2F04B9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A0DB32" w14:textId="634B3F3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40612FD" w14:textId="58C574B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133745" w14:textId="2A1BE9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43C3739" w14:textId="0BDB81D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51F416D" w14:textId="7F11EB9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1DC386" w14:textId="6D88577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E2A5C1" w14:textId="22919A5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FD87D4" w14:textId="46DB21D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5071A9" w14:textId="5FAF442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252939" w14:textId="61D735D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6AB5ED3" w14:textId="183A05A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61ACCE" w14:textId="04F78B2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92F20BF" w14:textId="27A1DC1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00804EB" w14:textId="07861DE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3310</w:t>
            </w:r>
          </w:p>
        </w:tc>
      </w:tr>
      <w:tr w:rsidR="0064565A" w:rsidRPr="00930D6A" w14:paraId="2998CF5B"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E8C150A" w14:textId="77777777" w:rsidR="00271A50" w:rsidRPr="00930D6A" w:rsidRDefault="00271A50" w:rsidP="00271A50">
            <w:pPr>
              <w:rPr>
                <w:sz w:val="17"/>
                <w:szCs w:val="17"/>
              </w:rPr>
            </w:pPr>
            <w:r w:rsidRPr="00930D6A">
              <w:rPr>
                <w:sz w:val="17"/>
                <w:szCs w:val="17"/>
              </w:rPr>
              <w:t>22</w:t>
            </w:r>
          </w:p>
        </w:tc>
        <w:tc>
          <w:tcPr>
            <w:tcW w:w="107" w:type="pct"/>
            <w:noWrap/>
          </w:tcPr>
          <w:p w14:paraId="0F1022C9" w14:textId="3F36DB5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07" w:type="pct"/>
            <w:noWrap/>
          </w:tcPr>
          <w:p w14:paraId="79134020" w14:textId="3688CAE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w:t>
            </w:r>
          </w:p>
        </w:tc>
        <w:tc>
          <w:tcPr>
            <w:tcW w:w="107" w:type="pct"/>
            <w:noWrap/>
          </w:tcPr>
          <w:p w14:paraId="728FF3EC" w14:textId="38DCF2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35" w:type="pct"/>
            <w:noWrap/>
          </w:tcPr>
          <w:p w14:paraId="178D9EF2" w14:textId="0F46AE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w:t>
            </w:r>
          </w:p>
        </w:tc>
        <w:tc>
          <w:tcPr>
            <w:tcW w:w="135" w:type="pct"/>
            <w:noWrap/>
          </w:tcPr>
          <w:p w14:paraId="2F176748" w14:textId="25AF027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58</w:t>
            </w:r>
          </w:p>
        </w:tc>
        <w:tc>
          <w:tcPr>
            <w:tcW w:w="135" w:type="pct"/>
            <w:noWrap/>
          </w:tcPr>
          <w:p w14:paraId="2FE205EE" w14:textId="45FD7E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83</w:t>
            </w:r>
          </w:p>
        </w:tc>
        <w:tc>
          <w:tcPr>
            <w:tcW w:w="135" w:type="pct"/>
            <w:noWrap/>
          </w:tcPr>
          <w:p w14:paraId="0D0A4DF6" w14:textId="28F23DB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101</w:t>
            </w:r>
          </w:p>
        </w:tc>
        <w:tc>
          <w:tcPr>
            <w:tcW w:w="135" w:type="pct"/>
            <w:noWrap/>
          </w:tcPr>
          <w:p w14:paraId="5F5D8951" w14:textId="70377C0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112</w:t>
            </w:r>
          </w:p>
        </w:tc>
        <w:tc>
          <w:tcPr>
            <w:tcW w:w="135" w:type="pct"/>
            <w:noWrap/>
          </w:tcPr>
          <w:p w14:paraId="2269D60C" w14:textId="1B9D5EB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120</w:t>
            </w:r>
          </w:p>
        </w:tc>
        <w:tc>
          <w:tcPr>
            <w:tcW w:w="135" w:type="pct"/>
            <w:noWrap/>
          </w:tcPr>
          <w:p w14:paraId="51455A3B" w14:textId="7F46CA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163</w:t>
            </w:r>
          </w:p>
        </w:tc>
        <w:tc>
          <w:tcPr>
            <w:tcW w:w="135" w:type="pct"/>
            <w:noWrap/>
          </w:tcPr>
          <w:p w14:paraId="6CA37B66" w14:textId="59C6EF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169</w:t>
            </w:r>
          </w:p>
        </w:tc>
        <w:tc>
          <w:tcPr>
            <w:tcW w:w="135" w:type="pct"/>
            <w:noWrap/>
          </w:tcPr>
          <w:p w14:paraId="56C1DC75" w14:textId="3FD808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66335DA0" w14:textId="5DB83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5B9BBD42" w14:textId="7E6904E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247</w:t>
            </w:r>
          </w:p>
        </w:tc>
        <w:tc>
          <w:tcPr>
            <w:tcW w:w="135" w:type="pct"/>
            <w:noWrap/>
          </w:tcPr>
          <w:p w14:paraId="00B869AB" w14:textId="1DEE83C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c>
          <w:tcPr>
            <w:tcW w:w="135" w:type="pct"/>
            <w:noWrap/>
          </w:tcPr>
          <w:p w14:paraId="3DBA6CAF" w14:textId="62429CB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33E84BD2" w14:textId="3084265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274</w:t>
            </w:r>
          </w:p>
        </w:tc>
        <w:tc>
          <w:tcPr>
            <w:tcW w:w="135" w:type="pct"/>
            <w:noWrap/>
          </w:tcPr>
          <w:p w14:paraId="71B178D9" w14:textId="58C011C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40761A90" w14:textId="5B77CDC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0DE5D85D" w14:textId="1E1DF8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45AA174A" w14:textId="7EDDA79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245</w:t>
            </w:r>
          </w:p>
        </w:tc>
        <w:tc>
          <w:tcPr>
            <w:tcW w:w="135" w:type="pct"/>
            <w:noWrap/>
          </w:tcPr>
          <w:p w14:paraId="294C51DE" w14:textId="1872EF4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91</w:t>
            </w:r>
          </w:p>
        </w:tc>
        <w:tc>
          <w:tcPr>
            <w:tcW w:w="135" w:type="pct"/>
            <w:noWrap/>
          </w:tcPr>
          <w:p w14:paraId="6FED7F46" w14:textId="0C530D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8812B" w14:textId="693222E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3BFEEEA" w14:textId="4370FEC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53D6BDC" w14:textId="60EA3D5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05FC37F" w14:textId="153FAC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DB9A2E" w14:textId="46B9A9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7B6B5A5" w14:textId="5BA48CF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635A1A" w14:textId="52C1A51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9846525" w14:textId="69E671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7292424" w14:textId="489318D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5C61E8" w14:textId="4E2D98B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24B92E" w14:textId="4649B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72E0E084" w14:textId="14CA681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38121ABE" w14:textId="3408ECF7"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3457</w:t>
            </w:r>
          </w:p>
        </w:tc>
      </w:tr>
      <w:tr w:rsidR="00271A50" w:rsidRPr="00930D6A" w14:paraId="37C04989"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5791D9" w14:textId="77777777" w:rsidR="00271A50" w:rsidRPr="00930D6A" w:rsidRDefault="00271A50" w:rsidP="00271A50">
            <w:pPr>
              <w:rPr>
                <w:sz w:val="17"/>
                <w:szCs w:val="17"/>
              </w:rPr>
            </w:pPr>
            <w:r w:rsidRPr="00930D6A">
              <w:rPr>
                <w:sz w:val="17"/>
                <w:szCs w:val="17"/>
              </w:rPr>
              <w:t>23</w:t>
            </w:r>
          </w:p>
        </w:tc>
        <w:tc>
          <w:tcPr>
            <w:tcW w:w="107" w:type="pct"/>
            <w:noWrap/>
          </w:tcPr>
          <w:p w14:paraId="48833016" w14:textId="55777DB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6BD8984D" w14:textId="641DF7D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w:t>
            </w:r>
          </w:p>
        </w:tc>
        <w:tc>
          <w:tcPr>
            <w:tcW w:w="107" w:type="pct"/>
            <w:noWrap/>
          </w:tcPr>
          <w:p w14:paraId="6F57B9C8" w14:textId="6CB90B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w:t>
            </w:r>
          </w:p>
        </w:tc>
        <w:tc>
          <w:tcPr>
            <w:tcW w:w="135" w:type="pct"/>
            <w:noWrap/>
          </w:tcPr>
          <w:p w14:paraId="137F1895" w14:textId="11EEC0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32</w:t>
            </w:r>
          </w:p>
        </w:tc>
        <w:tc>
          <w:tcPr>
            <w:tcW w:w="135" w:type="pct"/>
            <w:noWrap/>
          </w:tcPr>
          <w:p w14:paraId="0DDEC767" w14:textId="0F4977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46</w:t>
            </w:r>
          </w:p>
        </w:tc>
        <w:tc>
          <w:tcPr>
            <w:tcW w:w="135" w:type="pct"/>
            <w:noWrap/>
          </w:tcPr>
          <w:p w14:paraId="36946188" w14:textId="107F1FF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66</w:t>
            </w:r>
          </w:p>
        </w:tc>
        <w:tc>
          <w:tcPr>
            <w:tcW w:w="135" w:type="pct"/>
            <w:noWrap/>
          </w:tcPr>
          <w:p w14:paraId="756E7133" w14:textId="77FA6E0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28F9A6B8" w14:textId="5D5C8CF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112</w:t>
            </w:r>
          </w:p>
        </w:tc>
        <w:tc>
          <w:tcPr>
            <w:tcW w:w="135" w:type="pct"/>
            <w:noWrap/>
          </w:tcPr>
          <w:p w14:paraId="0C7D979F" w14:textId="42999C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123</w:t>
            </w:r>
          </w:p>
        </w:tc>
        <w:tc>
          <w:tcPr>
            <w:tcW w:w="135" w:type="pct"/>
            <w:noWrap/>
          </w:tcPr>
          <w:p w14:paraId="492E59C5" w14:textId="1A13E0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130</w:t>
            </w:r>
          </w:p>
        </w:tc>
        <w:tc>
          <w:tcPr>
            <w:tcW w:w="135" w:type="pct"/>
            <w:noWrap/>
          </w:tcPr>
          <w:p w14:paraId="1236BE73" w14:textId="0789877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5934FA1F" w14:textId="421D91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179</w:t>
            </w:r>
          </w:p>
        </w:tc>
        <w:tc>
          <w:tcPr>
            <w:tcW w:w="135" w:type="pct"/>
            <w:noWrap/>
          </w:tcPr>
          <w:p w14:paraId="606C67E1" w14:textId="0360F63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39D9FCCE" w14:textId="39D259D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240</w:t>
            </w:r>
          </w:p>
        </w:tc>
        <w:tc>
          <w:tcPr>
            <w:tcW w:w="135" w:type="pct"/>
            <w:noWrap/>
          </w:tcPr>
          <w:p w14:paraId="7AC42B0C" w14:textId="55CE9B3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254</w:t>
            </w:r>
          </w:p>
        </w:tc>
        <w:tc>
          <w:tcPr>
            <w:tcW w:w="135" w:type="pct"/>
            <w:noWrap/>
          </w:tcPr>
          <w:p w14:paraId="52B45EC0" w14:textId="7224CF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230</w:t>
            </w:r>
          </w:p>
        </w:tc>
        <w:tc>
          <w:tcPr>
            <w:tcW w:w="135" w:type="pct"/>
            <w:noWrap/>
          </w:tcPr>
          <w:p w14:paraId="6CA3BB19" w14:textId="093ABD1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250</w:t>
            </w:r>
          </w:p>
        </w:tc>
        <w:tc>
          <w:tcPr>
            <w:tcW w:w="135" w:type="pct"/>
            <w:noWrap/>
          </w:tcPr>
          <w:p w14:paraId="604D95A2" w14:textId="2D74309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276</w:t>
            </w:r>
          </w:p>
        </w:tc>
        <w:tc>
          <w:tcPr>
            <w:tcW w:w="135" w:type="pct"/>
            <w:noWrap/>
          </w:tcPr>
          <w:p w14:paraId="1B7242E4" w14:textId="5D78A4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265</w:t>
            </w:r>
          </w:p>
        </w:tc>
        <w:tc>
          <w:tcPr>
            <w:tcW w:w="135" w:type="pct"/>
            <w:noWrap/>
          </w:tcPr>
          <w:p w14:paraId="097CF2E8" w14:textId="783F9A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97F6C1A" w14:textId="3B0501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4862CF4D" w14:textId="4A18124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243</w:t>
            </w:r>
          </w:p>
        </w:tc>
        <w:tc>
          <w:tcPr>
            <w:tcW w:w="135" w:type="pct"/>
            <w:noWrap/>
          </w:tcPr>
          <w:p w14:paraId="11B79D1C" w14:textId="1881E1C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4C12F05F" w14:textId="49C004D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9C4501" w14:textId="6686424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F0FFEB2" w14:textId="47A9BB5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3AAC981" w14:textId="5585DE9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A0147B6" w14:textId="0BBA023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28CF89" w14:textId="79F4591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EAE7A02" w14:textId="2E09AD8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68B8442" w14:textId="4452F17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15D902D" w14:textId="3D06C29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70CAA9" w14:textId="476308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1BBE10" w14:textId="3D397AB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22575D2E" w14:textId="6126D3E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C9E80CF" w14:textId="299CB2B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3587</w:t>
            </w:r>
          </w:p>
        </w:tc>
      </w:tr>
      <w:tr w:rsidR="0064565A" w:rsidRPr="00930D6A" w14:paraId="18DFA75F"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D1D96B" w14:textId="77777777" w:rsidR="00271A50" w:rsidRPr="00930D6A" w:rsidRDefault="00271A50" w:rsidP="00271A50">
            <w:pPr>
              <w:rPr>
                <w:sz w:val="17"/>
                <w:szCs w:val="17"/>
              </w:rPr>
            </w:pPr>
            <w:r w:rsidRPr="00930D6A">
              <w:rPr>
                <w:sz w:val="17"/>
                <w:szCs w:val="17"/>
              </w:rPr>
              <w:t>24</w:t>
            </w:r>
          </w:p>
        </w:tc>
        <w:tc>
          <w:tcPr>
            <w:tcW w:w="107" w:type="pct"/>
            <w:noWrap/>
          </w:tcPr>
          <w:p w14:paraId="1B8ED71C" w14:textId="7B81EAB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07" w:type="pct"/>
            <w:noWrap/>
          </w:tcPr>
          <w:p w14:paraId="51DEFC9A" w14:textId="4216DB4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07" w:type="pct"/>
            <w:noWrap/>
          </w:tcPr>
          <w:p w14:paraId="728D78F5" w14:textId="01E625D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35" w:type="pct"/>
            <w:noWrap/>
          </w:tcPr>
          <w:p w14:paraId="3866471D" w14:textId="754702D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30</w:t>
            </w:r>
          </w:p>
        </w:tc>
        <w:tc>
          <w:tcPr>
            <w:tcW w:w="135" w:type="pct"/>
            <w:noWrap/>
          </w:tcPr>
          <w:p w14:paraId="46C303F8" w14:textId="404512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36</w:t>
            </w:r>
          </w:p>
        </w:tc>
        <w:tc>
          <w:tcPr>
            <w:tcW w:w="135" w:type="pct"/>
            <w:noWrap/>
          </w:tcPr>
          <w:p w14:paraId="427C122B" w14:textId="34F031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52</w:t>
            </w:r>
          </w:p>
        </w:tc>
        <w:tc>
          <w:tcPr>
            <w:tcW w:w="135" w:type="pct"/>
            <w:noWrap/>
          </w:tcPr>
          <w:p w14:paraId="2CD1C3A1" w14:textId="7D9E1CB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74</w:t>
            </w:r>
          </w:p>
        </w:tc>
        <w:tc>
          <w:tcPr>
            <w:tcW w:w="135" w:type="pct"/>
            <w:noWrap/>
          </w:tcPr>
          <w:p w14:paraId="064AC053" w14:textId="35C1A39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102</w:t>
            </w:r>
          </w:p>
        </w:tc>
        <w:tc>
          <w:tcPr>
            <w:tcW w:w="135" w:type="pct"/>
            <w:noWrap/>
          </w:tcPr>
          <w:p w14:paraId="7CC0D28B" w14:textId="60AD36A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0C5A06A6" w14:textId="7016DFB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133</w:t>
            </w:r>
          </w:p>
        </w:tc>
        <w:tc>
          <w:tcPr>
            <w:tcW w:w="135" w:type="pct"/>
            <w:noWrap/>
          </w:tcPr>
          <w:p w14:paraId="74BDD45C" w14:textId="38904B2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139</w:t>
            </w:r>
          </w:p>
        </w:tc>
        <w:tc>
          <w:tcPr>
            <w:tcW w:w="135" w:type="pct"/>
            <w:noWrap/>
          </w:tcPr>
          <w:p w14:paraId="3188C742" w14:textId="12A057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184</w:t>
            </w:r>
          </w:p>
        </w:tc>
        <w:tc>
          <w:tcPr>
            <w:tcW w:w="135" w:type="pct"/>
            <w:noWrap/>
          </w:tcPr>
          <w:p w14:paraId="6750EFF0" w14:textId="2C3E7B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188</w:t>
            </w:r>
          </w:p>
        </w:tc>
        <w:tc>
          <w:tcPr>
            <w:tcW w:w="135" w:type="pct"/>
            <w:noWrap/>
          </w:tcPr>
          <w:p w14:paraId="2711B689" w14:textId="7401744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220</w:t>
            </w:r>
          </w:p>
        </w:tc>
        <w:tc>
          <w:tcPr>
            <w:tcW w:w="135" w:type="pct"/>
            <w:noWrap/>
          </w:tcPr>
          <w:p w14:paraId="6D947245" w14:textId="76D7D5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247</w:t>
            </w:r>
          </w:p>
        </w:tc>
        <w:tc>
          <w:tcPr>
            <w:tcW w:w="135" w:type="pct"/>
            <w:noWrap/>
          </w:tcPr>
          <w:p w14:paraId="72F0AC5C" w14:textId="511B62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260</w:t>
            </w:r>
          </w:p>
        </w:tc>
        <w:tc>
          <w:tcPr>
            <w:tcW w:w="135" w:type="pct"/>
            <w:noWrap/>
          </w:tcPr>
          <w:p w14:paraId="161149D3" w14:textId="22A408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232</w:t>
            </w:r>
          </w:p>
        </w:tc>
        <w:tc>
          <w:tcPr>
            <w:tcW w:w="135" w:type="pct"/>
            <w:noWrap/>
          </w:tcPr>
          <w:p w14:paraId="3049D5A1" w14:textId="09DFE3F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1B956140" w14:textId="6D3A559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276</w:t>
            </w:r>
          </w:p>
        </w:tc>
        <w:tc>
          <w:tcPr>
            <w:tcW w:w="135" w:type="pct"/>
            <w:noWrap/>
          </w:tcPr>
          <w:p w14:paraId="4CC08CF8" w14:textId="71F1BB1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11ECF331" w14:textId="61A4827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4A3A6442" w14:textId="7F2E8A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262</w:t>
            </w:r>
          </w:p>
        </w:tc>
        <w:tc>
          <w:tcPr>
            <w:tcW w:w="135" w:type="pct"/>
            <w:noWrap/>
          </w:tcPr>
          <w:p w14:paraId="3D25206D" w14:textId="377193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241</w:t>
            </w:r>
          </w:p>
        </w:tc>
        <w:tc>
          <w:tcPr>
            <w:tcW w:w="135" w:type="pct"/>
            <w:noWrap/>
          </w:tcPr>
          <w:p w14:paraId="5459D761" w14:textId="1B31534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89</w:t>
            </w:r>
          </w:p>
        </w:tc>
        <w:tc>
          <w:tcPr>
            <w:tcW w:w="135" w:type="pct"/>
            <w:noWrap/>
          </w:tcPr>
          <w:p w14:paraId="15A87FA7" w14:textId="4E558C3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35F438" w14:textId="42F1BCC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E6FE48" w14:textId="4EE3F6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B5E667" w14:textId="1A6565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154B384" w14:textId="3EF44E8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977AE56" w14:textId="3D752EC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F67FBD9" w14:textId="5390D97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358F2C" w14:textId="76F4960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8C24E93" w14:textId="202B9F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4D0ABC" w14:textId="448EC96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3A1A404" w14:textId="34D205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B1DFF81" w14:textId="7816F038"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3701</w:t>
            </w:r>
          </w:p>
        </w:tc>
      </w:tr>
      <w:tr w:rsidR="00271A50" w:rsidRPr="00930D6A" w14:paraId="61EE396D"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724A121" w14:textId="77777777" w:rsidR="00271A50" w:rsidRPr="00930D6A" w:rsidRDefault="00271A50" w:rsidP="00271A50">
            <w:pPr>
              <w:rPr>
                <w:sz w:val="17"/>
                <w:szCs w:val="17"/>
              </w:rPr>
            </w:pPr>
            <w:r w:rsidRPr="00930D6A">
              <w:rPr>
                <w:sz w:val="17"/>
                <w:szCs w:val="17"/>
              </w:rPr>
              <w:t>25</w:t>
            </w:r>
          </w:p>
        </w:tc>
        <w:tc>
          <w:tcPr>
            <w:tcW w:w="107" w:type="pct"/>
            <w:noWrap/>
          </w:tcPr>
          <w:p w14:paraId="334662FA" w14:textId="230A940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2E4FF18E" w14:textId="67DD716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w:t>
            </w:r>
          </w:p>
        </w:tc>
        <w:tc>
          <w:tcPr>
            <w:tcW w:w="107" w:type="pct"/>
            <w:noWrap/>
          </w:tcPr>
          <w:p w14:paraId="4BF29B2B" w14:textId="3555A5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w:t>
            </w:r>
          </w:p>
        </w:tc>
        <w:tc>
          <w:tcPr>
            <w:tcW w:w="135" w:type="pct"/>
            <w:noWrap/>
          </w:tcPr>
          <w:p w14:paraId="35379E82" w14:textId="31BD50E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w:t>
            </w:r>
          </w:p>
        </w:tc>
        <w:tc>
          <w:tcPr>
            <w:tcW w:w="135" w:type="pct"/>
            <w:noWrap/>
          </w:tcPr>
          <w:p w14:paraId="31C8AB8E" w14:textId="46D605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34</w:t>
            </w:r>
          </w:p>
        </w:tc>
        <w:tc>
          <w:tcPr>
            <w:tcW w:w="135" w:type="pct"/>
            <w:noWrap/>
          </w:tcPr>
          <w:p w14:paraId="7A6A479D" w14:textId="1B9A764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41</w:t>
            </w:r>
          </w:p>
        </w:tc>
        <w:tc>
          <w:tcPr>
            <w:tcW w:w="135" w:type="pct"/>
            <w:noWrap/>
          </w:tcPr>
          <w:p w14:paraId="5A4A5ADA" w14:textId="0FB808D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58</w:t>
            </w:r>
          </w:p>
        </w:tc>
        <w:tc>
          <w:tcPr>
            <w:tcW w:w="135" w:type="pct"/>
            <w:noWrap/>
          </w:tcPr>
          <w:p w14:paraId="718C511B" w14:textId="2237D6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82</w:t>
            </w:r>
          </w:p>
        </w:tc>
        <w:tc>
          <w:tcPr>
            <w:tcW w:w="135" w:type="pct"/>
            <w:noWrap/>
          </w:tcPr>
          <w:p w14:paraId="2F1078F0" w14:textId="532A07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112</w:t>
            </w:r>
          </w:p>
        </w:tc>
        <w:tc>
          <w:tcPr>
            <w:tcW w:w="135" w:type="pct"/>
            <w:noWrap/>
          </w:tcPr>
          <w:p w14:paraId="25FC5A0B" w14:textId="0E7D65B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133</w:t>
            </w:r>
          </w:p>
        </w:tc>
        <w:tc>
          <w:tcPr>
            <w:tcW w:w="135" w:type="pct"/>
            <w:noWrap/>
          </w:tcPr>
          <w:p w14:paraId="5D171D14" w14:textId="7BB3AD3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142</w:t>
            </w:r>
          </w:p>
        </w:tc>
        <w:tc>
          <w:tcPr>
            <w:tcW w:w="135" w:type="pct"/>
            <w:noWrap/>
          </w:tcPr>
          <w:p w14:paraId="5AC3743C" w14:textId="3708F65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147</w:t>
            </w:r>
          </w:p>
        </w:tc>
        <w:tc>
          <w:tcPr>
            <w:tcW w:w="135" w:type="pct"/>
            <w:noWrap/>
          </w:tcPr>
          <w:p w14:paraId="174F1830" w14:textId="6DE0307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193</w:t>
            </w:r>
          </w:p>
        </w:tc>
        <w:tc>
          <w:tcPr>
            <w:tcW w:w="135" w:type="pct"/>
            <w:noWrap/>
          </w:tcPr>
          <w:p w14:paraId="505F9C9D" w14:textId="4CB027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195</w:t>
            </w:r>
          </w:p>
        </w:tc>
        <w:tc>
          <w:tcPr>
            <w:tcW w:w="135" w:type="pct"/>
            <w:noWrap/>
          </w:tcPr>
          <w:p w14:paraId="7F080F32" w14:textId="1CE9989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226</w:t>
            </w:r>
          </w:p>
        </w:tc>
        <w:tc>
          <w:tcPr>
            <w:tcW w:w="135" w:type="pct"/>
            <w:noWrap/>
          </w:tcPr>
          <w:p w14:paraId="733BDB09" w14:textId="488FF9A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252</w:t>
            </w:r>
          </w:p>
        </w:tc>
        <w:tc>
          <w:tcPr>
            <w:tcW w:w="135" w:type="pct"/>
            <w:noWrap/>
          </w:tcPr>
          <w:p w14:paraId="5A4EDB6F" w14:textId="56694DD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E451235" w14:textId="20DCFB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5AD84FC6" w14:textId="589979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251</w:t>
            </w:r>
          </w:p>
        </w:tc>
        <w:tc>
          <w:tcPr>
            <w:tcW w:w="135" w:type="pct"/>
            <w:noWrap/>
          </w:tcPr>
          <w:p w14:paraId="37793493" w14:textId="12C7827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276</w:t>
            </w:r>
          </w:p>
        </w:tc>
        <w:tc>
          <w:tcPr>
            <w:tcW w:w="135" w:type="pct"/>
            <w:noWrap/>
          </w:tcPr>
          <w:p w14:paraId="3FE2B67B" w14:textId="0AE49C3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777F66AB" w14:textId="7F48EDE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6D92B417" w14:textId="2BDB723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3013CDDE" w14:textId="1CB868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239</w:t>
            </w:r>
          </w:p>
        </w:tc>
        <w:tc>
          <w:tcPr>
            <w:tcW w:w="135" w:type="pct"/>
            <w:noWrap/>
          </w:tcPr>
          <w:p w14:paraId="02CD8CB4" w14:textId="69A08BA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88</w:t>
            </w:r>
          </w:p>
        </w:tc>
        <w:tc>
          <w:tcPr>
            <w:tcW w:w="135" w:type="pct"/>
            <w:noWrap/>
          </w:tcPr>
          <w:p w14:paraId="229B7AB5" w14:textId="4F1B36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BF36C4" w14:textId="62089CB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A4D2D8" w14:textId="7F71A62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3999E9" w14:textId="45FFCF1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D259A3" w14:textId="01B8130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5C57B77" w14:textId="0DBDAD9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1E2F05" w14:textId="40B90B0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4FE7B6E" w14:textId="15E879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1D1EFAD" w14:textId="1294EBF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6DE4629D" w14:textId="762E05D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DA805AA" w14:textId="16C9EBD5"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3800</w:t>
            </w:r>
          </w:p>
        </w:tc>
      </w:tr>
      <w:tr w:rsidR="0064565A" w:rsidRPr="00930D6A" w14:paraId="1FB64189"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0B1DEF61" w14:textId="77777777" w:rsidR="00271A50" w:rsidRPr="00930D6A" w:rsidRDefault="00271A50" w:rsidP="00271A50">
            <w:pPr>
              <w:rPr>
                <w:sz w:val="17"/>
                <w:szCs w:val="17"/>
              </w:rPr>
            </w:pPr>
            <w:r w:rsidRPr="00930D6A">
              <w:rPr>
                <w:sz w:val="17"/>
                <w:szCs w:val="17"/>
              </w:rPr>
              <w:t>26</w:t>
            </w:r>
          </w:p>
        </w:tc>
        <w:tc>
          <w:tcPr>
            <w:tcW w:w="107" w:type="pct"/>
            <w:noWrap/>
          </w:tcPr>
          <w:p w14:paraId="16751B7B" w14:textId="5B68FB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w:t>
            </w:r>
          </w:p>
        </w:tc>
        <w:tc>
          <w:tcPr>
            <w:tcW w:w="107" w:type="pct"/>
            <w:noWrap/>
          </w:tcPr>
          <w:p w14:paraId="25ABFCDA" w14:textId="657531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w:t>
            </w:r>
          </w:p>
        </w:tc>
        <w:tc>
          <w:tcPr>
            <w:tcW w:w="107" w:type="pct"/>
            <w:noWrap/>
          </w:tcPr>
          <w:p w14:paraId="520FEF64" w14:textId="5BE63ED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35" w:type="pct"/>
            <w:noWrap/>
          </w:tcPr>
          <w:p w14:paraId="485FB202" w14:textId="2B06B1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35" w:type="pct"/>
            <w:noWrap/>
          </w:tcPr>
          <w:p w14:paraId="1A3CD909" w14:textId="3ACF8AD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w:t>
            </w:r>
          </w:p>
        </w:tc>
        <w:tc>
          <w:tcPr>
            <w:tcW w:w="135" w:type="pct"/>
            <w:noWrap/>
          </w:tcPr>
          <w:p w14:paraId="2B5EEDBC" w14:textId="470E21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w:t>
            </w:r>
          </w:p>
        </w:tc>
        <w:tc>
          <w:tcPr>
            <w:tcW w:w="135" w:type="pct"/>
            <w:noWrap/>
          </w:tcPr>
          <w:p w14:paraId="73D3195D" w14:textId="041CFCE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46</w:t>
            </w:r>
          </w:p>
        </w:tc>
        <w:tc>
          <w:tcPr>
            <w:tcW w:w="135" w:type="pct"/>
            <w:noWrap/>
          </w:tcPr>
          <w:p w14:paraId="0480FD59" w14:textId="671F973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6383FCD9" w14:textId="41F8FCA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89</w:t>
            </w:r>
          </w:p>
        </w:tc>
        <w:tc>
          <w:tcPr>
            <w:tcW w:w="135" w:type="pct"/>
            <w:noWrap/>
          </w:tcPr>
          <w:p w14:paraId="5987EF8A" w14:textId="0800C30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4EFD71C0" w14:textId="20466D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142</w:t>
            </w:r>
          </w:p>
        </w:tc>
        <w:tc>
          <w:tcPr>
            <w:tcW w:w="135" w:type="pct"/>
            <w:noWrap/>
          </w:tcPr>
          <w:p w14:paraId="6C01ACD0" w14:textId="48E1144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174F8E24" w14:textId="7DD33F7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154</w:t>
            </w:r>
          </w:p>
        </w:tc>
        <w:tc>
          <w:tcPr>
            <w:tcW w:w="135" w:type="pct"/>
            <w:noWrap/>
          </w:tcPr>
          <w:p w14:paraId="620CC82D" w14:textId="2C37362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200</w:t>
            </w:r>
          </w:p>
        </w:tc>
        <w:tc>
          <w:tcPr>
            <w:tcW w:w="135" w:type="pct"/>
            <w:noWrap/>
          </w:tcPr>
          <w:p w14:paraId="1F686308" w14:textId="5D25B31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200</w:t>
            </w:r>
          </w:p>
        </w:tc>
        <w:tc>
          <w:tcPr>
            <w:tcW w:w="135" w:type="pct"/>
            <w:noWrap/>
          </w:tcPr>
          <w:p w14:paraId="02ABE6FA" w14:textId="0A53436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17C8B9B9" w14:textId="374EABE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254</w:t>
            </w:r>
          </w:p>
        </w:tc>
        <w:tc>
          <w:tcPr>
            <w:tcW w:w="135" w:type="pct"/>
            <w:noWrap/>
          </w:tcPr>
          <w:p w14:paraId="0A89AAD4" w14:textId="602587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5E6B4F78" w14:textId="1AD39C2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55D4A13C" w14:textId="431A01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593A5130" w14:textId="57ABC4A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275</w:t>
            </w:r>
          </w:p>
        </w:tc>
        <w:tc>
          <w:tcPr>
            <w:tcW w:w="135" w:type="pct"/>
            <w:noWrap/>
          </w:tcPr>
          <w:p w14:paraId="2D4988D6" w14:textId="73A357E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791350E1" w14:textId="5C70766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258</w:t>
            </w:r>
          </w:p>
        </w:tc>
        <w:tc>
          <w:tcPr>
            <w:tcW w:w="135" w:type="pct"/>
            <w:noWrap/>
          </w:tcPr>
          <w:p w14:paraId="7512D174" w14:textId="617B82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257</w:t>
            </w:r>
          </w:p>
        </w:tc>
        <w:tc>
          <w:tcPr>
            <w:tcW w:w="135" w:type="pct"/>
            <w:noWrap/>
          </w:tcPr>
          <w:p w14:paraId="6DFA49F2" w14:textId="5A3F83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235</w:t>
            </w:r>
          </w:p>
        </w:tc>
        <w:tc>
          <w:tcPr>
            <w:tcW w:w="135" w:type="pct"/>
            <w:noWrap/>
          </w:tcPr>
          <w:p w14:paraId="35F3BE07" w14:textId="51AA40F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87</w:t>
            </w:r>
          </w:p>
        </w:tc>
        <w:tc>
          <w:tcPr>
            <w:tcW w:w="135" w:type="pct"/>
            <w:noWrap/>
          </w:tcPr>
          <w:p w14:paraId="62CDE8C9" w14:textId="0B8AE6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68437C" w14:textId="6AA83B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F1A512" w14:textId="53010D8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3565FC7" w14:textId="6A70B93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3A556FE" w14:textId="017DCC7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907384D" w14:textId="5219E37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5079645" w14:textId="463959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F1CCD07" w14:textId="211A2BD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4EF2580A" w14:textId="0410314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422850F3" w14:textId="7C3EE1F4"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3882</w:t>
            </w:r>
          </w:p>
        </w:tc>
      </w:tr>
      <w:tr w:rsidR="00271A50" w:rsidRPr="00930D6A" w14:paraId="150A5D81"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DFCF4A5" w14:textId="77777777" w:rsidR="00271A50" w:rsidRPr="00930D6A" w:rsidRDefault="00271A50" w:rsidP="00271A50">
            <w:pPr>
              <w:rPr>
                <w:sz w:val="17"/>
                <w:szCs w:val="17"/>
              </w:rPr>
            </w:pPr>
            <w:r w:rsidRPr="00930D6A">
              <w:rPr>
                <w:sz w:val="17"/>
                <w:szCs w:val="17"/>
              </w:rPr>
              <w:t>27</w:t>
            </w:r>
          </w:p>
        </w:tc>
        <w:tc>
          <w:tcPr>
            <w:tcW w:w="107" w:type="pct"/>
            <w:noWrap/>
          </w:tcPr>
          <w:p w14:paraId="5C42298B" w14:textId="136F4F3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w:t>
            </w:r>
          </w:p>
        </w:tc>
        <w:tc>
          <w:tcPr>
            <w:tcW w:w="107" w:type="pct"/>
            <w:noWrap/>
          </w:tcPr>
          <w:p w14:paraId="71409DE6" w14:textId="303DE6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w:t>
            </w:r>
          </w:p>
        </w:tc>
        <w:tc>
          <w:tcPr>
            <w:tcW w:w="107" w:type="pct"/>
            <w:noWrap/>
          </w:tcPr>
          <w:p w14:paraId="56F669AE" w14:textId="51CF75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w:t>
            </w:r>
          </w:p>
        </w:tc>
        <w:tc>
          <w:tcPr>
            <w:tcW w:w="135" w:type="pct"/>
            <w:noWrap/>
          </w:tcPr>
          <w:p w14:paraId="46410C0E" w14:textId="1ED68E5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w:t>
            </w:r>
          </w:p>
        </w:tc>
        <w:tc>
          <w:tcPr>
            <w:tcW w:w="135" w:type="pct"/>
            <w:noWrap/>
          </w:tcPr>
          <w:p w14:paraId="487858BE" w14:textId="282038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35" w:type="pct"/>
            <w:noWrap/>
          </w:tcPr>
          <w:p w14:paraId="4BF13AD4" w14:textId="773331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30</w:t>
            </w:r>
          </w:p>
        </w:tc>
        <w:tc>
          <w:tcPr>
            <w:tcW w:w="135" w:type="pct"/>
            <w:noWrap/>
          </w:tcPr>
          <w:p w14:paraId="006AADA3" w14:textId="0204E8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44</w:t>
            </w:r>
          </w:p>
        </w:tc>
        <w:tc>
          <w:tcPr>
            <w:tcW w:w="135" w:type="pct"/>
            <w:noWrap/>
          </w:tcPr>
          <w:p w14:paraId="1793F8CB" w14:textId="114620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50</w:t>
            </w:r>
          </w:p>
        </w:tc>
        <w:tc>
          <w:tcPr>
            <w:tcW w:w="135" w:type="pct"/>
            <w:noWrap/>
          </w:tcPr>
          <w:p w14:paraId="22BC4E87" w14:textId="4A68CE8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70</w:t>
            </w:r>
          </w:p>
        </w:tc>
        <w:tc>
          <w:tcPr>
            <w:tcW w:w="135" w:type="pct"/>
            <w:noWrap/>
          </w:tcPr>
          <w:p w14:paraId="2D1D5AA9" w14:textId="31C8F48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97</w:t>
            </w:r>
          </w:p>
        </w:tc>
        <w:tc>
          <w:tcPr>
            <w:tcW w:w="135" w:type="pct"/>
            <w:noWrap/>
          </w:tcPr>
          <w:p w14:paraId="5A2BDDC5" w14:textId="0558C7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130</w:t>
            </w:r>
          </w:p>
        </w:tc>
        <w:tc>
          <w:tcPr>
            <w:tcW w:w="135" w:type="pct"/>
            <w:noWrap/>
          </w:tcPr>
          <w:p w14:paraId="5FE7C4FD" w14:textId="39E328B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597D0E27" w14:textId="5A9E00D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2D94CBC1" w14:textId="7A925A4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160</w:t>
            </w:r>
          </w:p>
        </w:tc>
        <w:tc>
          <w:tcPr>
            <w:tcW w:w="135" w:type="pct"/>
            <w:noWrap/>
          </w:tcPr>
          <w:p w14:paraId="40597FEF" w14:textId="5B9EDF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206</w:t>
            </w:r>
          </w:p>
        </w:tc>
        <w:tc>
          <w:tcPr>
            <w:tcW w:w="135" w:type="pct"/>
            <w:noWrap/>
          </w:tcPr>
          <w:p w14:paraId="448DBEFA" w14:textId="78F37BF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0CE45DC8" w14:textId="2FE6A43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2FEE76C8" w14:textId="3E36BFE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6A4FA82D" w14:textId="556CC64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263</w:t>
            </w:r>
          </w:p>
        </w:tc>
        <w:tc>
          <w:tcPr>
            <w:tcW w:w="135" w:type="pct"/>
            <w:noWrap/>
          </w:tcPr>
          <w:p w14:paraId="0CF3B82B" w14:textId="490059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7CECF9B9" w14:textId="2D749D0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250</w:t>
            </w:r>
          </w:p>
        </w:tc>
        <w:tc>
          <w:tcPr>
            <w:tcW w:w="135" w:type="pct"/>
            <w:noWrap/>
          </w:tcPr>
          <w:p w14:paraId="2A351F93" w14:textId="6DB98A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273</w:t>
            </w:r>
          </w:p>
        </w:tc>
        <w:tc>
          <w:tcPr>
            <w:tcW w:w="135" w:type="pct"/>
            <w:noWrap/>
          </w:tcPr>
          <w:p w14:paraId="53091D7F" w14:textId="01F1495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1FBD7BD6" w14:textId="2097994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43448D65" w14:textId="72E0DAC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253</w:t>
            </w:r>
          </w:p>
        </w:tc>
        <w:tc>
          <w:tcPr>
            <w:tcW w:w="135" w:type="pct"/>
            <w:noWrap/>
          </w:tcPr>
          <w:p w14:paraId="37F12E90" w14:textId="3735801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232</w:t>
            </w:r>
          </w:p>
        </w:tc>
        <w:tc>
          <w:tcPr>
            <w:tcW w:w="135" w:type="pct"/>
            <w:noWrap/>
          </w:tcPr>
          <w:p w14:paraId="3A94201B" w14:textId="1A80125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85</w:t>
            </w:r>
          </w:p>
        </w:tc>
        <w:tc>
          <w:tcPr>
            <w:tcW w:w="135" w:type="pct"/>
            <w:noWrap/>
          </w:tcPr>
          <w:p w14:paraId="5FA084D2" w14:textId="3E4BF2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146467" w14:textId="02ADF3C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55C7D6A" w14:textId="666E86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44159C" w14:textId="392592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6FDF42A" w14:textId="71816EB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8CB7B7" w14:textId="0D81A20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70B3C2" w14:textId="413097F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6AACEFDE" w14:textId="0042C0E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77B020D" w14:textId="1BEE9C5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3947</w:t>
            </w:r>
          </w:p>
        </w:tc>
      </w:tr>
      <w:tr w:rsidR="0064565A" w:rsidRPr="00930D6A" w14:paraId="6CD8D6D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9B1DADB" w14:textId="77777777" w:rsidR="00271A50" w:rsidRPr="00930D6A" w:rsidRDefault="00271A50" w:rsidP="00271A50">
            <w:pPr>
              <w:rPr>
                <w:sz w:val="17"/>
                <w:szCs w:val="17"/>
              </w:rPr>
            </w:pPr>
            <w:r w:rsidRPr="00930D6A">
              <w:rPr>
                <w:sz w:val="17"/>
                <w:szCs w:val="17"/>
              </w:rPr>
              <w:t>28</w:t>
            </w:r>
          </w:p>
        </w:tc>
        <w:tc>
          <w:tcPr>
            <w:tcW w:w="107" w:type="pct"/>
            <w:noWrap/>
          </w:tcPr>
          <w:p w14:paraId="4725D7DA" w14:textId="2BF12B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11D6AD4D" w14:textId="5E19BB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07" w:type="pct"/>
            <w:noWrap/>
          </w:tcPr>
          <w:p w14:paraId="73C3140C" w14:textId="1C35050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w:t>
            </w:r>
          </w:p>
        </w:tc>
        <w:tc>
          <w:tcPr>
            <w:tcW w:w="135" w:type="pct"/>
            <w:noWrap/>
          </w:tcPr>
          <w:p w14:paraId="1DE50F97" w14:textId="390E79C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35" w:type="pct"/>
            <w:noWrap/>
          </w:tcPr>
          <w:p w14:paraId="7793D7D0" w14:textId="7B6326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35" w:type="pct"/>
            <w:noWrap/>
          </w:tcPr>
          <w:p w14:paraId="7DCB3D18" w14:textId="25CBE0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35" w:type="pct"/>
            <w:noWrap/>
          </w:tcPr>
          <w:p w14:paraId="78F3CFB4" w14:textId="1977D9E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33</w:t>
            </w:r>
          </w:p>
        </w:tc>
        <w:tc>
          <w:tcPr>
            <w:tcW w:w="135" w:type="pct"/>
            <w:noWrap/>
          </w:tcPr>
          <w:p w14:paraId="3C7434B0" w14:textId="25EFCA4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c>
          <w:tcPr>
            <w:tcW w:w="135" w:type="pct"/>
            <w:noWrap/>
          </w:tcPr>
          <w:p w14:paraId="511606FF" w14:textId="7B2F478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55</w:t>
            </w:r>
          </w:p>
        </w:tc>
        <w:tc>
          <w:tcPr>
            <w:tcW w:w="135" w:type="pct"/>
            <w:noWrap/>
          </w:tcPr>
          <w:p w14:paraId="55175447" w14:textId="5FD7E20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76</w:t>
            </w:r>
          </w:p>
        </w:tc>
        <w:tc>
          <w:tcPr>
            <w:tcW w:w="135" w:type="pct"/>
            <w:noWrap/>
          </w:tcPr>
          <w:p w14:paraId="7B091A5B" w14:textId="78080F0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104</w:t>
            </w:r>
          </w:p>
        </w:tc>
        <w:tc>
          <w:tcPr>
            <w:tcW w:w="135" w:type="pct"/>
            <w:noWrap/>
          </w:tcPr>
          <w:p w14:paraId="27450AD9" w14:textId="68352E2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138</w:t>
            </w:r>
          </w:p>
        </w:tc>
        <w:tc>
          <w:tcPr>
            <w:tcW w:w="135" w:type="pct"/>
            <w:noWrap/>
          </w:tcPr>
          <w:p w14:paraId="1EBDEEFE" w14:textId="5B38410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157</w:t>
            </w:r>
          </w:p>
        </w:tc>
        <w:tc>
          <w:tcPr>
            <w:tcW w:w="135" w:type="pct"/>
            <w:noWrap/>
          </w:tcPr>
          <w:p w14:paraId="778636AD" w14:textId="182429A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164</w:t>
            </w:r>
          </w:p>
        </w:tc>
        <w:tc>
          <w:tcPr>
            <w:tcW w:w="135" w:type="pct"/>
            <w:noWrap/>
          </w:tcPr>
          <w:p w14:paraId="72EC71B9" w14:textId="3E5E994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165</w:t>
            </w:r>
          </w:p>
        </w:tc>
        <w:tc>
          <w:tcPr>
            <w:tcW w:w="135" w:type="pct"/>
            <w:noWrap/>
          </w:tcPr>
          <w:p w14:paraId="73D3AF2E" w14:textId="4E2BEA3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210</w:t>
            </w:r>
          </w:p>
        </w:tc>
        <w:tc>
          <w:tcPr>
            <w:tcW w:w="135" w:type="pct"/>
            <w:noWrap/>
          </w:tcPr>
          <w:p w14:paraId="1AF463FC" w14:textId="05C48E7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2CAC8028" w14:textId="6099CF8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70BD4E8D" w14:textId="07BA802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256</w:t>
            </w:r>
          </w:p>
        </w:tc>
        <w:tc>
          <w:tcPr>
            <w:tcW w:w="135" w:type="pct"/>
            <w:noWrap/>
          </w:tcPr>
          <w:p w14:paraId="297B7721" w14:textId="18D2138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0095E2DE" w14:textId="4B88F6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233</w:t>
            </w:r>
          </w:p>
        </w:tc>
        <w:tc>
          <w:tcPr>
            <w:tcW w:w="135" w:type="pct"/>
            <w:noWrap/>
          </w:tcPr>
          <w:p w14:paraId="112D02C4" w14:textId="60630E7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06CFE1D0" w14:textId="532EB4A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271</w:t>
            </w:r>
          </w:p>
        </w:tc>
        <w:tc>
          <w:tcPr>
            <w:tcW w:w="135" w:type="pct"/>
            <w:noWrap/>
          </w:tcPr>
          <w:p w14:paraId="7016A7E9" w14:textId="41D591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258</w:t>
            </w:r>
          </w:p>
        </w:tc>
        <w:tc>
          <w:tcPr>
            <w:tcW w:w="135" w:type="pct"/>
            <w:noWrap/>
          </w:tcPr>
          <w:p w14:paraId="303498CF" w14:textId="393CFB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6CD70281" w14:textId="739A888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0F880FBE" w14:textId="0A75329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71D0AFAE" w14:textId="4D226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83</w:t>
            </w:r>
          </w:p>
        </w:tc>
        <w:tc>
          <w:tcPr>
            <w:tcW w:w="135" w:type="pct"/>
            <w:noWrap/>
          </w:tcPr>
          <w:p w14:paraId="6DF0A73C" w14:textId="3B1C85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44CA0E8" w14:textId="502DF7B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C5C4B7" w14:textId="0E854F0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18718E" w14:textId="2B35525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C91C97" w14:textId="37A510E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25ABC0D" w14:textId="528534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3DED077A" w14:textId="5B3ACA4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4944BB78" w14:textId="796F6BE5"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3995</w:t>
            </w:r>
          </w:p>
        </w:tc>
      </w:tr>
      <w:tr w:rsidR="00271A50" w:rsidRPr="00930D6A" w14:paraId="6338087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5B7C82E" w14:textId="77777777" w:rsidR="00271A50" w:rsidRPr="00930D6A" w:rsidRDefault="00271A50" w:rsidP="00271A50">
            <w:pPr>
              <w:rPr>
                <w:sz w:val="17"/>
                <w:szCs w:val="17"/>
              </w:rPr>
            </w:pPr>
            <w:r w:rsidRPr="00930D6A">
              <w:rPr>
                <w:sz w:val="17"/>
                <w:szCs w:val="17"/>
              </w:rPr>
              <w:t>29</w:t>
            </w:r>
          </w:p>
        </w:tc>
        <w:tc>
          <w:tcPr>
            <w:tcW w:w="107" w:type="pct"/>
            <w:noWrap/>
          </w:tcPr>
          <w:p w14:paraId="06877C22" w14:textId="428B296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w:t>
            </w:r>
          </w:p>
        </w:tc>
        <w:tc>
          <w:tcPr>
            <w:tcW w:w="107" w:type="pct"/>
            <w:noWrap/>
          </w:tcPr>
          <w:p w14:paraId="16B1DBA7" w14:textId="6FC110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40444B18" w14:textId="5CA465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17019EC1" w14:textId="29C6C6A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w:t>
            </w:r>
          </w:p>
        </w:tc>
        <w:tc>
          <w:tcPr>
            <w:tcW w:w="135" w:type="pct"/>
            <w:noWrap/>
          </w:tcPr>
          <w:p w14:paraId="34340D15" w14:textId="49BF96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w:t>
            </w:r>
          </w:p>
        </w:tc>
        <w:tc>
          <w:tcPr>
            <w:tcW w:w="135" w:type="pct"/>
            <w:noWrap/>
          </w:tcPr>
          <w:p w14:paraId="4BE6B698" w14:textId="561022B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35" w:type="pct"/>
            <w:noWrap/>
          </w:tcPr>
          <w:p w14:paraId="6CF7C87F" w14:textId="441129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w:t>
            </w:r>
          </w:p>
        </w:tc>
        <w:tc>
          <w:tcPr>
            <w:tcW w:w="135" w:type="pct"/>
            <w:noWrap/>
          </w:tcPr>
          <w:p w14:paraId="78D3A3D3" w14:textId="6183AD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37</w:t>
            </w:r>
          </w:p>
        </w:tc>
        <w:tc>
          <w:tcPr>
            <w:tcW w:w="135" w:type="pct"/>
            <w:noWrap/>
          </w:tcPr>
          <w:p w14:paraId="6A40C0DF" w14:textId="13B2D06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53</w:t>
            </w:r>
          </w:p>
        </w:tc>
        <w:tc>
          <w:tcPr>
            <w:tcW w:w="135" w:type="pct"/>
            <w:noWrap/>
          </w:tcPr>
          <w:p w14:paraId="51342884" w14:textId="4DF1F1A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w:t>
            </w:r>
          </w:p>
        </w:tc>
        <w:tc>
          <w:tcPr>
            <w:tcW w:w="135" w:type="pct"/>
            <w:noWrap/>
          </w:tcPr>
          <w:p w14:paraId="5903334F" w14:textId="55D1A07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81</w:t>
            </w:r>
          </w:p>
        </w:tc>
        <w:tc>
          <w:tcPr>
            <w:tcW w:w="135" w:type="pct"/>
            <w:noWrap/>
          </w:tcPr>
          <w:p w14:paraId="6AD431FE" w14:textId="6606B40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110</w:t>
            </w:r>
          </w:p>
        </w:tc>
        <w:tc>
          <w:tcPr>
            <w:tcW w:w="135" w:type="pct"/>
            <w:noWrap/>
          </w:tcPr>
          <w:p w14:paraId="698EC45F" w14:textId="2A362B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144</w:t>
            </w:r>
          </w:p>
        </w:tc>
        <w:tc>
          <w:tcPr>
            <w:tcW w:w="135" w:type="pct"/>
            <w:noWrap/>
          </w:tcPr>
          <w:p w14:paraId="25106E51" w14:textId="7B427DD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163</w:t>
            </w:r>
          </w:p>
        </w:tc>
        <w:tc>
          <w:tcPr>
            <w:tcW w:w="135" w:type="pct"/>
            <w:noWrap/>
          </w:tcPr>
          <w:p w14:paraId="0264F24B" w14:textId="40E3C29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168</w:t>
            </w:r>
          </w:p>
        </w:tc>
        <w:tc>
          <w:tcPr>
            <w:tcW w:w="135" w:type="pct"/>
            <w:noWrap/>
          </w:tcPr>
          <w:p w14:paraId="75AFEB0E" w14:textId="7CAD920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168</w:t>
            </w:r>
          </w:p>
        </w:tc>
        <w:tc>
          <w:tcPr>
            <w:tcW w:w="135" w:type="pct"/>
            <w:noWrap/>
          </w:tcPr>
          <w:p w14:paraId="78D960AF" w14:textId="29C892C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465F205F" w14:textId="0EB2B9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208</w:t>
            </w:r>
          </w:p>
        </w:tc>
        <w:tc>
          <w:tcPr>
            <w:tcW w:w="135" w:type="pct"/>
            <w:noWrap/>
          </w:tcPr>
          <w:p w14:paraId="4A69ADA9" w14:textId="7976BC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5337FB5E" w14:textId="5B2F38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256</w:t>
            </w:r>
          </w:p>
        </w:tc>
        <w:tc>
          <w:tcPr>
            <w:tcW w:w="135" w:type="pct"/>
            <w:noWrap/>
          </w:tcPr>
          <w:p w14:paraId="25B33039" w14:textId="3D9EAD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664DC3D6" w14:textId="0B7E609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231</w:t>
            </w:r>
          </w:p>
        </w:tc>
        <w:tc>
          <w:tcPr>
            <w:tcW w:w="135" w:type="pct"/>
            <w:noWrap/>
          </w:tcPr>
          <w:p w14:paraId="505ECD5F" w14:textId="0A4CA03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247</w:t>
            </w:r>
          </w:p>
        </w:tc>
        <w:tc>
          <w:tcPr>
            <w:tcW w:w="135" w:type="pct"/>
            <w:noWrap/>
          </w:tcPr>
          <w:p w14:paraId="5FF98D2D" w14:textId="38ABB85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268</w:t>
            </w:r>
          </w:p>
        </w:tc>
        <w:tc>
          <w:tcPr>
            <w:tcW w:w="135" w:type="pct"/>
            <w:noWrap/>
          </w:tcPr>
          <w:p w14:paraId="03A9E51F" w14:textId="2ECB072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254</w:t>
            </w:r>
          </w:p>
        </w:tc>
        <w:tc>
          <w:tcPr>
            <w:tcW w:w="135" w:type="pct"/>
            <w:noWrap/>
          </w:tcPr>
          <w:p w14:paraId="27C78DB6" w14:textId="3DDECD3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247</w:t>
            </w:r>
          </w:p>
        </w:tc>
        <w:tc>
          <w:tcPr>
            <w:tcW w:w="135" w:type="pct"/>
            <w:noWrap/>
          </w:tcPr>
          <w:p w14:paraId="2D94427B" w14:textId="2774AE7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245</w:t>
            </w:r>
          </w:p>
        </w:tc>
        <w:tc>
          <w:tcPr>
            <w:tcW w:w="135" w:type="pct"/>
            <w:noWrap/>
          </w:tcPr>
          <w:p w14:paraId="2BC7277A" w14:textId="42552CF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222</w:t>
            </w:r>
          </w:p>
        </w:tc>
        <w:tc>
          <w:tcPr>
            <w:tcW w:w="135" w:type="pct"/>
            <w:noWrap/>
          </w:tcPr>
          <w:p w14:paraId="12422F0B" w14:textId="58AB12F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81</w:t>
            </w:r>
          </w:p>
        </w:tc>
        <w:tc>
          <w:tcPr>
            <w:tcW w:w="135" w:type="pct"/>
            <w:noWrap/>
          </w:tcPr>
          <w:p w14:paraId="1013638F" w14:textId="360364A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2DF1F05" w14:textId="3B3902C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4B5D3E3" w14:textId="152B86C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8E99D5" w14:textId="41DE19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FB06F93" w14:textId="0086CB8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4EB52328" w14:textId="4E39DDD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16129DAF" w14:textId="1CFF7F7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4027</w:t>
            </w:r>
          </w:p>
        </w:tc>
      </w:tr>
      <w:tr w:rsidR="0064565A" w:rsidRPr="00930D6A" w14:paraId="15DF19F6"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7AA4294" w14:textId="77777777" w:rsidR="00271A50" w:rsidRPr="00930D6A" w:rsidRDefault="00271A50" w:rsidP="00271A50">
            <w:pPr>
              <w:rPr>
                <w:sz w:val="17"/>
                <w:szCs w:val="17"/>
              </w:rPr>
            </w:pPr>
            <w:r w:rsidRPr="00930D6A">
              <w:rPr>
                <w:sz w:val="17"/>
                <w:szCs w:val="17"/>
              </w:rPr>
              <w:t>30</w:t>
            </w:r>
          </w:p>
        </w:tc>
        <w:tc>
          <w:tcPr>
            <w:tcW w:w="107" w:type="pct"/>
            <w:noWrap/>
          </w:tcPr>
          <w:p w14:paraId="59C9172F" w14:textId="10CA6D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128B43D0" w14:textId="40E4E1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07" w:type="pct"/>
            <w:noWrap/>
          </w:tcPr>
          <w:p w14:paraId="03B53EF5" w14:textId="27A5B9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B3CFFEA" w14:textId="1BD1BB8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4E3295B7" w14:textId="581315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w:t>
            </w:r>
          </w:p>
        </w:tc>
        <w:tc>
          <w:tcPr>
            <w:tcW w:w="135" w:type="pct"/>
            <w:noWrap/>
          </w:tcPr>
          <w:p w14:paraId="05A661EE" w14:textId="6F2E0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w:t>
            </w:r>
          </w:p>
        </w:tc>
        <w:tc>
          <w:tcPr>
            <w:tcW w:w="135" w:type="pct"/>
            <w:noWrap/>
          </w:tcPr>
          <w:p w14:paraId="5B078FC5" w14:textId="5315AD1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35" w:type="pct"/>
            <w:noWrap/>
          </w:tcPr>
          <w:p w14:paraId="4C236E21" w14:textId="019F4A0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35" w:type="pct"/>
            <w:noWrap/>
          </w:tcPr>
          <w:p w14:paraId="0644C19B" w14:textId="56E7476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w:t>
            </w:r>
          </w:p>
        </w:tc>
        <w:tc>
          <w:tcPr>
            <w:tcW w:w="135" w:type="pct"/>
            <w:noWrap/>
          </w:tcPr>
          <w:p w14:paraId="16C41414" w14:textId="01AC27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57</w:t>
            </w:r>
          </w:p>
        </w:tc>
        <w:tc>
          <w:tcPr>
            <w:tcW w:w="135" w:type="pct"/>
            <w:noWrap/>
          </w:tcPr>
          <w:p w14:paraId="7B4302A7" w14:textId="4481697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54C9B422" w14:textId="33B754C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591052BE" w14:textId="1B3BDAF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115</w:t>
            </w:r>
          </w:p>
        </w:tc>
        <w:tc>
          <w:tcPr>
            <w:tcW w:w="135" w:type="pct"/>
            <w:noWrap/>
          </w:tcPr>
          <w:p w14:paraId="62432D6B" w14:textId="624B0D1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46325F60" w14:textId="744123E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168</w:t>
            </w:r>
          </w:p>
        </w:tc>
        <w:tc>
          <w:tcPr>
            <w:tcW w:w="135" w:type="pct"/>
            <w:noWrap/>
          </w:tcPr>
          <w:p w14:paraId="1581C93C" w14:textId="020A85B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172</w:t>
            </w:r>
          </w:p>
        </w:tc>
        <w:tc>
          <w:tcPr>
            <w:tcW w:w="135" w:type="pct"/>
            <w:noWrap/>
          </w:tcPr>
          <w:p w14:paraId="2F11B0BB" w14:textId="68B8BDF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54B5B6AC" w14:textId="125D33B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213</w:t>
            </w:r>
          </w:p>
        </w:tc>
        <w:tc>
          <w:tcPr>
            <w:tcW w:w="135" w:type="pct"/>
            <w:noWrap/>
          </w:tcPr>
          <w:p w14:paraId="5A2DBBED" w14:textId="1C966CD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208</w:t>
            </w:r>
          </w:p>
        </w:tc>
        <w:tc>
          <w:tcPr>
            <w:tcW w:w="135" w:type="pct"/>
            <w:noWrap/>
          </w:tcPr>
          <w:p w14:paraId="278F4BF7" w14:textId="51DA612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3F62068A" w14:textId="41CCED7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255</w:t>
            </w:r>
          </w:p>
        </w:tc>
        <w:tc>
          <w:tcPr>
            <w:tcW w:w="135" w:type="pct"/>
            <w:noWrap/>
          </w:tcPr>
          <w:p w14:paraId="2EA1C4BC" w14:textId="6DBF4DE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0F0529A8" w14:textId="5F1C053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229</w:t>
            </w:r>
          </w:p>
        </w:tc>
        <w:tc>
          <w:tcPr>
            <w:tcW w:w="135" w:type="pct"/>
            <w:noWrap/>
          </w:tcPr>
          <w:p w14:paraId="541BBED6" w14:textId="5101ADB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244</w:t>
            </w:r>
          </w:p>
        </w:tc>
        <w:tc>
          <w:tcPr>
            <w:tcW w:w="135" w:type="pct"/>
            <w:noWrap/>
          </w:tcPr>
          <w:p w14:paraId="47750969" w14:textId="4872BE1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264</w:t>
            </w:r>
          </w:p>
        </w:tc>
        <w:tc>
          <w:tcPr>
            <w:tcW w:w="135" w:type="pct"/>
            <w:noWrap/>
          </w:tcPr>
          <w:p w14:paraId="6FF6C9AC" w14:textId="74F36C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250</w:t>
            </w:r>
          </w:p>
        </w:tc>
        <w:tc>
          <w:tcPr>
            <w:tcW w:w="135" w:type="pct"/>
            <w:noWrap/>
          </w:tcPr>
          <w:p w14:paraId="69A3C517" w14:textId="39932C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242</w:t>
            </w:r>
          </w:p>
        </w:tc>
        <w:tc>
          <w:tcPr>
            <w:tcW w:w="135" w:type="pct"/>
            <w:noWrap/>
          </w:tcPr>
          <w:p w14:paraId="4ACCFC11" w14:textId="5E21C5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239</w:t>
            </w:r>
          </w:p>
        </w:tc>
        <w:tc>
          <w:tcPr>
            <w:tcW w:w="135" w:type="pct"/>
            <w:noWrap/>
          </w:tcPr>
          <w:p w14:paraId="34EEE38E" w14:textId="50B08D8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216</w:t>
            </w:r>
          </w:p>
        </w:tc>
        <w:tc>
          <w:tcPr>
            <w:tcW w:w="135" w:type="pct"/>
            <w:noWrap/>
          </w:tcPr>
          <w:p w14:paraId="4B9C8E16" w14:textId="2032FAA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79</w:t>
            </w:r>
          </w:p>
        </w:tc>
        <w:tc>
          <w:tcPr>
            <w:tcW w:w="135" w:type="pct"/>
            <w:noWrap/>
          </w:tcPr>
          <w:p w14:paraId="5003B11E" w14:textId="5EC73E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8AE9E8C" w14:textId="1CB7653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0521C0" w14:textId="42B1C49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5EC81C4" w14:textId="38CFD3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1D3B0CD4" w14:textId="17E2B57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7D67E592" w14:textId="6F59277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4045</w:t>
            </w:r>
          </w:p>
        </w:tc>
      </w:tr>
      <w:tr w:rsidR="00271A50" w:rsidRPr="00930D6A" w14:paraId="174F59F5" w14:textId="77777777" w:rsidTr="008163A2">
        <w:trPr>
          <w:trHeight w:val="270"/>
        </w:trPr>
        <w:tc>
          <w:tcPr>
            <w:cnfStyle w:val="001000000000" w:firstRow="0" w:lastRow="0" w:firstColumn="1" w:lastColumn="0" w:oddVBand="0" w:evenVBand="0" w:oddHBand="0" w:evenHBand="0" w:firstRowFirstColumn="0" w:firstRowLastColumn="0" w:lastRowFirstColumn="0" w:lastRowLastColumn="0"/>
            <w:tcW w:w="111" w:type="pct"/>
            <w:noWrap/>
            <w:hideMark/>
          </w:tcPr>
          <w:p w14:paraId="2AF3B907" w14:textId="77777777" w:rsidR="00271A50" w:rsidRPr="00930D6A" w:rsidRDefault="00271A50" w:rsidP="00271A50">
            <w:pPr>
              <w:rPr>
                <w:sz w:val="17"/>
                <w:szCs w:val="17"/>
              </w:rPr>
            </w:pPr>
            <w:r w:rsidRPr="00930D6A">
              <w:rPr>
                <w:sz w:val="17"/>
                <w:szCs w:val="17"/>
              </w:rPr>
              <w:t>31</w:t>
            </w:r>
          </w:p>
        </w:tc>
        <w:tc>
          <w:tcPr>
            <w:tcW w:w="107" w:type="pct"/>
            <w:noWrap/>
          </w:tcPr>
          <w:p w14:paraId="630E0008" w14:textId="4A4CF79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2B241F7B" w14:textId="05C4698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07" w:type="pct"/>
            <w:noWrap/>
          </w:tcPr>
          <w:p w14:paraId="23D86CBB" w14:textId="5B102C1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40CFFA81" w14:textId="1677567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05CA0607" w14:textId="7B3D590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3255E1E2" w14:textId="7B8DC2D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w:t>
            </w:r>
          </w:p>
        </w:tc>
        <w:tc>
          <w:tcPr>
            <w:tcW w:w="135" w:type="pct"/>
            <w:noWrap/>
          </w:tcPr>
          <w:p w14:paraId="23C75C71" w14:textId="0879068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w:t>
            </w:r>
          </w:p>
        </w:tc>
        <w:tc>
          <w:tcPr>
            <w:tcW w:w="135" w:type="pct"/>
            <w:noWrap/>
          </w:tcPr>
          <w:p w14:paraId="32321D83" w14:textId="25FC411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w:t>
            </w:r>
          </w:p>
        </w:tc>
        <w:tc>
          <w:tcPr>
            <w:tcW w:w="135" w:type="pct"/>
            <w:noWrap/>
          </w:tcPr>
          <w:p w14:paraId="47A308D9" w14:textId="5959ACE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30</w:t>
            </w:r>
          </w:p>
        </w:tc>
        <w:tc>
          <w:tcPr>
            <w:tcW w:w="135" w:type="pct"/>
            <w:noWrap/>
          </w:tcPr>
          <w:p w14:paraId="54975A00" w14:textId="6049FCF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43</w:t>
            </w:r>
          </w:p>
        </w:tc>
        <w:tc>
          <w:tcPr>
            <w:tcW w:w="135" w:type="pct"/>
            <w:noWrap/>
          </w:tcPr>
          <w:p w14:paraId="4D64A4CA" w14:textId="1179952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61</w:t>
            </w:r>
          </w:p>
        </w:tc>
        <w:tc>
          <w:tcPr>
            <w:tcW w:w="135" w:type="pct"/>
            <w:noWrap/>
          </w:tcPr>
          <w:p w14:paraId="2912BDB7" w14:textId="005BA65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4F04D146" w14:textId="5709927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06DD4253" w14:textId="25452C9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119</w:t>
            </w:r>
          </w:p>
        </w:tc>
        <w:tc>
          <w:tcPr>
            <w:tcW w:w="135" w:type="pct"/>
            <w:noWrap/>
          </w:tcPr>
          <w:p w14:paraId="71462019" w14:textId="69CD40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2A4A56E5" w14:textId="0223E09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00F453C1" w14:textId="356B6C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173</w:t>
            </w:r>
          </w:p>
        </w:tc>
        <w:tc>
          <w:tcPr>
            <w:tcW w:w="135" w:type="pct"/>
            <w:noWrap/>
          </w:tcPr>
          <w:p w14:paraId="383DCE4F" w14:textId="75330E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36207335" w14:textId="42B9224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213</w:t>
            </w:r>
          </w:p>
        </w:tc>
        <w:tc>
          <w:tcPr>
            <w:tcW w:w="135" w:type="pct"/>
            <w:noWrap/>
          </w:tcPr>
          <w:p w14:paraId="15F09AA3" w14:textId="5363CF9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208</w:t>
            </w:r>
          </w:p>
        </w:tc>
        <w:tc>
          <w:tcPr>
            <w:tcW w:w="135" w:type="pct"/>
            <w:noWrap/>
          </w:tcPr>
          <w:p w14:paraId="4A6925A6" w14:textId="371F7B4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3ED62141" w14:textId="4DC8CE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253</w:t>
            </w:r>
          </w:p>
        </w:tc>
        <w:tc>
          <w:tcPr>
            <w:tcW w:w="135" w:type="pct"/>
            <w:noWrap/>
          </w:tcPr>
          <w:p w14:paraId="37C68D2F" w14:textId="2BA1F73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258</w:t>
            </w:r>
          </w:p>
        </w:tc>
        <w:tc>
          <w:tcPr>
            <w:tcW w:w="135" w:type="pct"/>
            <w:noWrap/>
          </w:tcPr>
          <w:p w14:paraId="5723245B" w14:textId="7F95D79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7A36A08E" w14:textId="327D8BA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241</w:t>
            </w:r>
          </w:p>
        </w:tc>
        <w:tc>
          <w:tcPr>
            <w:tcW w:w="135" w:type="pct"/>
            <w:noWrap/>
          </w:tcPr>
          <w:p w14:paraId="1CBA5E33" w14:textId="156496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34BC92AF" w14:textId="4EFE366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245</w:t>
            </w:r>
          </w:p>
        </w:tc>
        <w:tc>
          <w:tcPr>
            <w:tcW w:w="135" w:type="pct"/>
            <w:noWrap/>
          </w:tcPr>
          <w:p w14:paraId="41541A57" w14:textId="097A95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237</w:t>
            </w:r>
          </w:p>
        </w:tc>
        <w:tc>
          <w:tcPr>
            <w:tcW w:w="135" w:type="pct"/>
            <w:noWrap/>
          </w:tcPr>
          <w:p w14:paraId="5283627B" w14:textId="3EC7B3D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1565F196" w14:textId="0E4AF76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210</w:t>
            </w:r>
          </w:p>
        </w:tc>
        <w:tc>
          <w:tcPr>
            <w:tcW w:w="135" w:type="pct"/>
            <w:noWrap/>
          </w:tcPr>
          <w:p w14:paraId="02F1C65C" w14:textId="6D0107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10537A1C" w14:textId="5B8A7DD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D8050F9" w14:textId="6B0B6D8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EAF5844" w14:textId="307704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7DA13A0" w14:textId="610118D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42FC2C1" w14:textId="022322E3"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4046</w:t>
            </w:r>
          </w:p>
        </w:tc>
      </w:tr>
      <w:tr w:rsidR="0064565A" w:rsidRPr="00930D6A" w14:paraId="6C6B7ED3"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A3AB86F" w14:textId="77777777" w:rsidR="00271A50" w:rsidRPr="00930D6A" w:rsidRDefault="00271A50" w:rsidP="00271A50">
            <w:pPr>
              <w:rPr>
                <w:sz w:val="17"/>
                <w:szCs w:val="17"/>
              </w:rPr>
            </w:pPr>
            <w:r w:rsidRPr="00930D6A">
              <w:rPr>
                <w:sz w:val="17"/>
                <w:szCs w:val="17"/>
              </w:rPr>
              <w:t>32</w:t>
            </w:r>
          </w:p>
        </w:tc>
        <w:tc>
          <w:tcPr>
            <w:tcW w:w="107" w:type="pct"/>
            <w:noWrap/>
          </w:tcPr>
          <w:p w14:paraId="19C26F84" w14:textId="18FE211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533CD1BA" w14:textId="6847C2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5F469DF1" w14:textId="23EE350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35" w:type="pct"/>
            <w:noWrap/>
          </w:tcPr>
          <w:p w14:paraId="33260A6E" w14:textId="04749E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56AFCAB" w14:textId="08F3D86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046C1CBE" w14:textId="0DC286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35" w:type="pct"/>
            <w:noWrap/>
          </w:tcPr>
          <w:p w14:paraId="429758B9" w14:textId="7AAD7E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w:t>
            </w:r>
          </w:p>
        </w:tc>
        <w:tc>
          <w:tcPr>
            <w:tcW w:w="135" w:type="pct"/>
            <w:noWrap/>
          </w:tcPr>
          <w:p w14:paraId="433397C9" w14:textId="6CD1B3E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35" w:type="pct"/>
            <w:noWrap/>
          </w:tcPr>
          <w:p w14:paraId="2D52C70C" w14:textId="43F027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w:t>
            </w:r>
          </w:p>
        </w:tc>
        <w:tc>
          <w:tcPr>
            <w:tcW w:w="135" w:type="pct"/>
            <w:noWrap/>
          </w:tcPr>
          <w:p w14:paraId="5BAAE6B5" w14:textId="6F2DC6B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33</w:t>
            </w:r>
          </w:p>
        </w:tc>
        <w:tc>
          <w:tcPr>
            <w:tcW w:w="135" w:type="pct"/>
            <w:noWrap/>
          </w:tcPr>
          <w:p w14:paraId="4661954E" w14:textId="4A2D829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47</w:t>
            </w:r>
          </w:p>
        </w:tc>
        <w:tc>
          <w:tcPr>
            <w:tcW w:w="135" w:type="pct"/>
            <w:noWrap/>
          </w:tcPr>
          <w:p w14:paraId="28A9AC3A" w14:textId="4EF8D85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65</w:t>
            </w:r>
          </w:p>
        </w:tc>
        <w:tc>
          <w:tcPr>
            <w:tcW w:w="135" w:type="pct"/>
            <w:noWrap/>
          </w:tcPr>
          <w:p w14:paraId="1040ED36" w14:textId="3B8F6B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71</w:t>
            </w:r>
          </w:p>
        </w:tc>
        <w:tc>
          <w:tcPr>
            <w:tcW w:w="135" w:type="pct"/>
            <w:noWrap/>
          </w:tcPr>
          <w:p w14:paraId="25D8F6AD" w14:textId="0808B5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94</w:t>
            </w:r>
          </w:p>
        </w:tc>
        <w:tc>
          <w:tcPr>
            <w:tcW w:w="135" w:type="pct"/>
            <w:noWrap/>
          </w:tcPr>
          <w:p w14:paraId="0F7C1E52" w14:textId="5118283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27A3F09B" w14:textId="26CCBA2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157</w:t>
            </w:r>
          </w:p>
        </w:tc>
        <w:tc>
          <w:tcPr>
            <w:tcW w:w="135" w:type="pct"/>
            <w:noWrap/>
          </w:tcPr>
          <w:p w14:paraId="5752225B" w14:textId="170E25A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173</w:t>
            </w:r>
          </w:p>
        </w:tc>
        <w:tc>
          <w:tcPr>
            <w:tcW w:w="135" w:type="pct"/>
            <w:noWrap/>
          </w:tcPr>
          <w:p w14:paraId="04FCD1CE" w14:textId="14C7A6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72099005" w14:textId="5C813D8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171</w:t>
            </w:r>
          </w:p>
        </w:tc>
        <w:tc>
          <w:tcPr>
            <w:tcW w:w="135" w:type="pct"/>
            <w:noWrap/>
          </w:tcPr>
          <w:p w14:paraId="73E6F4E4" w14:textId="6521E9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213</w:t>
            </w:r>
          </w:p>
        </w:tc>
        <w:tc>
          <w:tcPr>
            <w:tcW w:w="135" w:type="pct"/>
            <w:noWrap/>
          </w:tcPr>
          <w:p w14:paraId="7E4DD060" w14:textId="611689B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0A3FF554" w14:textId="38AF4D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232</w:t>
            </w:r>
          </w:p>
        </w:tc>
        <w:tc>
          <w:tcPr>
            <w:tcW w:w="135" w:type="pct"/>
            <w:noWrap/>
          </w:tcPr>
          <w:p w14:paraId="52B35422" w14:textId="384BCDB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44AF742B" w14:textId="4F1FAD9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256</w:t>
            </w:r>
          </w:p>
        </w:tc>
        <w:tc>
          <w:tcPr>
            <w:tcW w:w="135" w:type="pct"/>
            <w:noWrap/>
          </w:tcPr>
          <w:p w14:paraId="1A086AF8" w14:textId="0D523D1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224</w:t>
            </w:r>
          </w:p>
        </w:tc>
        <w:tc>
          <w:tcPr>
            <w:tcW w:w="135" w:type="pct"/>
            <w:noWrap/>
          </w:tcPr>
          <w:p w14:paraId="4FFC5B4C" w14:textId="26FF46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1F475D16" w14:textId="2A33C82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255</w:t>
            </w:r>
          </w:p>
        </w:tc>
        <w:tc>
          <w:tcPr>
            <w:tcW w:w="135" w:type="pct"/>
            <w:noWrap/>
          </w:tcPr>
          <w:p w14:paraId="0FCACCBE" w14:textId="1F921C3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240</w:t>
            </w:r>
          </w:p>
        </w:tc>
        <w:tc>
          <w:tcPr>
            <w:tcW w:w="135" w:type="pct"/>
            <w:noWrap/>
          </w:tcPr>
          <w:p w14:paraId="721D4DE4" w14:textId="43505B1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69421EDC" w14:textId="7CC372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226</w:t>
            </w:r>
          </w:p>
        </w:tc>
        <w:tc>
          <w:tcPr>
            <w:tcW w:w="135" w:type="pct"/>
            <w:noWrap/>
          </w:tcPr>
          <w:p w14:paraId="28A6C1A7" w14:textId="711216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205FF471" w14:textId="5DF088F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72</w:t>
            </w:r>
          </w:p>
        </w:tc>
        <w:tc>
          <w:tcPr>
            <w:tcW w:w="135" w:type="pct"/>
            <w:noWrap/>
          </w:tcPr>
          <w:p w14:paraId="1C31658D" w14:textId="6FC402F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135" w:type="pct"/>
            <w:noWrap/>
          </w:tcPr>
          <w:p w14:paraId="2E11852D" w14:textId="4DB37CC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107" w:type="pct"/>
            <w:noWrap/>
          </w:tcPr>
          <w:p w14:paraId="712ED69A" w14:textId="79C6A24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268" w:type="pct"/>
            <w:noWrap/>
          </w:tcPr>
          <w:p w14:paraId="2CEBC82F" w14:textId="544B67C9"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4031</w:t>
            </w:r>
          </w:p>
        </w:tc>
      </w:tr>
      <w:tr w:rsidR="00271A50" w:rsidRPr="00930D6A" w14:paraId="26299302"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2ED56FD" w14:textId="77777777" w:rsidR="00271A50" w:rsidRPr="00930D6A" w:rsidRDefault="00271A50" w:rsidP="00271A50">
            <w:pPr>
              <w:rPr>
                <w:sz w:val="17"/>
                <w:szCs w:val="17"/>
              </w:rPr>
            </w:pPr>
            <w:r w:rsidRPr="00930D6A">
              <w:rPr>
                <w:sz w:val="17"/>
                <w:szCs w:val="17"/>
              </w:rPr>
              <w:t>33</w:t>
            </w:r>
          </w:p>
        </w:tc>
        <w:tc>
          <w:tcPr>
            <w:tcW w:w="107" w:type="pct"/>
            <w:noWrap/>
          </w:tcPr>
          <w:p w14:paraId="162F2F4F" w14:textId="6BD971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2B36A5DE" w14:textId="0FE9A8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6A860A04" w14:textId="11FD7C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35" w:type="pct"/>
            <w:noWrap/>
          </w:tcPr>
          <w:p w14:paraId="333B2986" w14:textId="44A373F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35" w:type="pct"/>
            <w:noWrap/>
          </w:tcPr>
          <w:p w14:paraId="7FB4CCFF" w14:textId="4DA3F8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w:t>
            </w:r>
          </w:p>
        </w:tc>
        <w:tc>
          <w:tcPr>
            <w:tcW w:w="135" w:type="pct"/>
            <w:noWrap/>
          </w:tcPr>
          <w:p w14:paraId="5629523D" w14:textId="2693AED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w:t>
            </w:r>
          </w:p>
        </w:tc>
        <w:tc>
          <w:tcPr>
            <w:tcW w:w="135" w:type="pct"/>
            <w:noWrap/>
          </w:tcPr>
          <w:p w14:paraId="0A44D4E4" w14:textId="0AA853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c>
          <w:tcPr>
            <w:tcW w:w="135" w:type="pct"/>
            <w:noWrap/>
          </w:tcPr>
          <w:p w14:paraId="0DA7E36E" w14:textId="76A712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w:t>
            </w:r>
          </w:p>
        </w:tc>
        <w:tc>
          <w:tcPr>
            <w:tcW w:w="135" w:type="pct"/>
            <w:noWrap/>
          </w:tcPr>
          <w:p w14:paraId="7CCCBA11" w14:textId="026EDC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w:t>
            </w:r>
          </w:p>
        </w:tc>
        <w:tc>
          <w:tcPr>
            <w:tcW w:w="135" w:type="pct"/>
            <w:noWrap/>
          </w:tcPr>
          <w:p w14:paraId="550B067A" w14:textId="721D08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29</w:t>
            </w:r>
          </w:p>
        </w:tc>
        <w:tc>
          <w:tcPr>
            <w:tcW w:w="135" w:type="pct"/>
            <w:noWrap/>
          </w:tcPr>
          <w:p w14:paraId="23044A2B" w14:textId="5EDBB8A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w:t>
            </w:r>
          </w:p>
        </w:tc>
        <w:tc>
          <w:tcPr>
            <w:tcW w:w="135" w:type="pct"/>
            <w:noWrap/>
          </w:tcPr>
          <w:p w14:paraId="769E10E9" w14:textId="2E48627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49</w:t>
            </w:r>
          </w:p>
        </w:tc>
        <w:tc>
          <w:tcPr>
            <w:tcW w:w="135" w:type="pct"/>
            <w:noWrap/>
          </w:tcPr>
          <w:p w14:paraId="28FBAAD0" w14:textId="29F57F9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59D4C441" w14:textId="4A2C84F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74</w:t>
            </w:r>
          </w:p>
        </w:tc>
        <w:tc>
          <w:tcPr>
            <w:tcW w:w="135" w:type="pct"/>
            <w:noWrap/>
          </w:tcPr>
          <w:p w14:paraId="5279D185" w14:textId="28F5F20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96</w:t>
            </w:r>
          </w:p>
        </w:tc>
        <w:tc>
          <w:tcPr>
            <w:tcW w:w="135" w:type="pct"/>
            <w:noWrap/>
          </w:tcPr>
          <w:p w14:paraId="2667C857" w14:textId="7E5247B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125</w:t>
            </w:r>
          </w:p>
        </w:tc>
        <w:tc>
          <w:tcPr>
            <w:tcW w:w="135" w:type="pct"/>
            <w:noWrap/>
          </w:tcPr>
          <w:p w14:paraId="767D7018" w14:textId="3595FD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4542354A" w14:textId="561E0B6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1803395E" w14:textId="59A82B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4EBC8AB0" w14:textId="23962F7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32215CFA" w14:textId="53A6C2C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44F8B0E5" w14:textId="3F8B96D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206</w:t>
            </w:r>
          </w:p>
        </w:tc>
        <w:tc>
          <w:tcPr>
            <w:tcW w:w="135" w:type="pct"/>
            <w:noWrap/>
          </w:tcPr>
          <w:p w14:paraId="13A72560" w14:textId="6925F58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230</w:t>
            </w:r>
          </w:p>
        </w:tc>
        <w:tc>
          <w:tcPr>
            <w:tcW w:w="135" w:type="pct"/>
            <w:noWrap/>
          </w:tcPr>
          <w:p w14:paraId="0E5181BC" w14:textId="7048B3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248</w:t>
            </w:r>
          </w:p>
        </w:tc>
        <w:tc>
          <w:tcPr>
            <w:tcW w:w="135" w:type="pct"/>
            <w:noWrap/>
          </w:tcPr>
          <w:p w14:paraId="67EAC311" w14:textId="300CBB3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252</w:t>
            </w:r>
          </w:p>
        </w:tc>
        <w:tc>
          <w:tcPr>
            <w:tcW w:w="135" w:type="pct"/>
            <w:noWrap/>
          </w:tcPr>
          <w:p w14:paraId="344A3EBD" w14:textId="7377696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220</w:t>
            </w:r>
          </w:p>
        </w:tc>
        <w:tc>
          <w:tcPr>
            <w:tcW w:w="135" w:type="pct"/>
            <w:noWrap/>
          </w:tcPr>
          <w:p w14:paraId="1F55B127" w14:textId="47144DC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232</w:t>
            </w:r>
          </w:p>
        </w:tc>
        <w:tc>
          <w:tcPr>
            <w:tcW w:w="135" w:type="pct"/>
            <w:noWrap/>
          </w:tcPr>
          <w:p w14:paraId="3579EC80" w14:textId="70F84A0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249</w:t>
            </w:r>
          </w:p>
        </w:tc>
        <w:tc>
          <w:tcPr>
            <w:tcW w:w="135" w:type="pct"/>
            <w:noWrap/>
          </w:tcPr>
          <w:p w14:paraId="2172C158" w14:textId="003C784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4A701473" w14:textId="2ADF53A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224</w:t>
            </w:r>
          </w:p>
        </w:tc>
        <w:tc>
          <w:tcPr>
            <w:tcW w:w="135" w:type="pct"/>
            <w:noWrap/>
          </w:tcPr>
          <w:p w14:paraId="48CD648E" w14:textId="5499CE7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217</w:t>
            </w:r>
          </w:p>
        </w:tc>
        <w:tc>
          <w:tcPr>
            <w:tcW w:w="135" w:type="pct"/>
            <w:noWrap/>
          </w:tcPr>
          <w:p w14:paraId="0A978131" w14:textId="2B91AEE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192</w:t>
            </w:r>
          </w:p>
        </w:tc>
        <w:tc>
          <w:tcPr>
            <w:tcW w:w="135" w:type="pct"/>
            <w:noWrap/>
          </w:tcPr>
          <w:p w14:paraId="7143F3F6" w14:textId="0EF086D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56F3294A" w14:textId="3C71267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4983DEB7" w14:textId="5BDE817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303DC5C" w14:textId="0218CBCF"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3998</w:t>
            </w:r>
          </w:p>
        </w:tc>
      </w:tr>
      <w:tr w:rsidR="0064565A" w:rsidRPr="00930D6A" w14:paraId="44541A02"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3F9888C" w14:textId="77777777" w:rsidR="00271A50" w:rsidRPr="00930D6A" w:rsidRDefault="00271A50" w:rsidP="00271A50">
            <w:pPr>
              <w:rPr>
                <w:sz w:val="17"/>
                <w:szCs w:val="17"/>
              </w:rPr>
            </w:pPr>
            <w:r w:rsidRPr="00930D6A">
              <w:rPr>
                <w:sz w:val="17"/>
                <w:szCs w:val="17"/>
              </w:rPr>
              <w:t>34</w:t>
            </w:r>
          </w:p>
        </w:tc>
        <w:tc>
          <w:tcPr>
            <w:tcW w:w="107" w:type="pct"/>
            <w:noWrap/>
          </w:tcPr>
          <w:p w14:paraId="36F82E03" w14:textId="0C4F6C1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6A0A0A0B" w14:textId="5DF16D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1E3049D9" w14:textId="120536A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35" w:type="pct"/>
            <w:noWrap/>
          </w:tcPr>
          <w:p w14:paraId="3D8DDB5B" w14:textId="6D0E46D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w:t>
            </w:r>
          </w:p>
        </w:tc>
        <w:tc>
          <w:tcPr>
            <w:tcW w:w="135" w:type="pct"/>
            <w:noWrap/>
          </w:tcPr>
          <w:p w14:paraId="0624FD84" w14:textId="57C052F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41E610E" w14:textId="083C864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2C7E4774" w14:textId="14F75D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35" w:type="pct"/>
            <w:noWrap/>
          </w:tcPr>
          <w:p w14:paraId="0388002A" w14:textId="70C53B8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w:t>
            </w:r>
          </w:p>
        </w:tc>
        <w:tc>
          <w:tcPr>
            <w:tcW w:w="135" w:type="pct"/>
            <w:noWrap/>
          </w:tcPr>
          <w:p w14:paraId="137B08A1" w14:textId="598AAC1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w:t>
            </w:r>
          </w:p>
        </w:tc>
        <w:tc>
          <w:tcPr>
            <w:tcW w:w="135" w:type="pct"/>
            <w:noWrap/>
          </w:tcPr>
          <w:p w14:paraId="7206B2E5" w14:textId="37F8278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w:t>
            </w:r>
          </w:p>
        </w:tc>
        <w:tc>
          <w:tcPr>
            <w:tcW w:w="135" w:type="pct"/>
            <w:noWrap/>
          </w:tcPr>
          <w:p w14:paraId="0609F40E" w14:textId="46120D1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31</w:t>
            </w:r>
          </w:p>
        </w:tc>
        <w:tc>
          <w:tcPr>
            <w:tcW w:w="135" w:type="pct"/>
            <w:noWrap/>
          </w:tcPr>
          <w:p w14:paraId="46E4701D" w14:textId="3D8DD08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w:t>
            </w:r>
          </w:p>
        </w:tc>
        <w:tc>
          <w:tcPr>
            <w:tcW w:w="135" w:type="pct"/>
            <w:noWrap/>
          </w:tcPr>
          <w:p w14:paraId="44ADD6C3" w14:textId="048681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52</w:t>
            </w:r>
          </w:p>
        </w:tc>
        <w:tc>
          <w:tcPr>
            <w:tcW w:w="135" w:type="pct"/>
            <w:noWrap/>
          </w:tcPr>
          <w:p w14:paraId="5C14C297" w14:textId="3730266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237A0D33" w14:textId="4D3DABE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76</w:t>
            </w:r>
          </w:p>
        </w:tc>
        <w:tc>
          <w:tcPr>
            <w:tcW w:w="135" w:type="pct"/>
            <w:noWrap/>
          </w:tcPr>
          <w:p w14:paraId="1C59180D" w14:textId="51F7E9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98</w:t>
            </w:r>
          </w:p>
        </w:tc>
        <w:tc>
          <w:tcPr>
            <w:tcW w:w="135" w:type="pct"/>
            <w:noWrap/>
          </w:tcPr>
          <w:p w14:paraId="20FC58E1" w14:textId="2ED7CC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126</w:t>
            </w:r>
          </w:p>
        </w:tc>
        <w:tc>
          <w:tcPr>
            <w:tcW w:w="135" w:type="pct"/>
            <w:noWrap/>
          </w:tcPr>
          <w:p w14:paraId="0BEA8563" w14:textId="27C84D5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159</w:t>
            </w:r>
          </w:p>
        </w:tc>
        <w:tc>
          <w:tcPr>
            <w:tcW w:w="135" w:type="pct"/>
            <w:noWrap/>
          </w:tcPr>
          <w:p w14:paraId="3F0BCBAE" w14:textId="4A4B49C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4291AC33" w14:textId="455B702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69880022" w14:textId="5FEB505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217A0FDD" w14:textId="61767D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211</w:t>
            </w:r>
          </w:p>
        </w:tc>
        <w:tc>
          <w:tcPr>
            <w:tcW w:w="135" w:type="pct"/>
            <w:noWrap/>
          </w:tcPr>
          <w:p w14:paraId="62BF6042" w14:textId="19A6C0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204</w:t>
            </w:r>
          </w:p>
        </w:tc>
        <w:tc>
          <w:tcPr>
            <w:tcW w:w="135" w:type="pct"/>
            <w:noWrap/>
          </w:tcPr>
          <w:p w14:paraId="62DCAF0C" w14:textId="2D394A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7344EDA" w14:textId="09F1411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245</w:t>
            </w:r>
          </w:p>
        </w:tc>
        <w:tc>
          <w:tcPr>
            <w:tcW w:w="135" w:type="pct"/>
            <w:noWrap/>
          </w:tcPr>
          <w:p w14:paraId="3CC1E5D3" w14:textId="075B86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759AA751" w14:textId="5D39E5C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216</w:t>
            </w:r>
          </w:p>
        </w:tc>
        <w:tc>
          <w:tcPr>
            <w:tcW w:w="135" w:type="pct"/>
            <w:noWrap/>
          </w:tcPr>
          <w:p w14:paraId="4911BC32" w14:textId="113089F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86DA80D" w14:textId="0E29829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243</w:t>
            </w:r>
          </w:p>
        </w:tc>
        <w:tc>
          <w:tcPr>
            <w:tcW w:w="135" w:type="pct"/>
            <w:noWrap/>
          </w:tcPr>
          <w:p w14:paraId="31D4C50D" w14:textId="698323E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A9864C1" w14:textId="67065C3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215</w:t>
            </w:r>
          </w:p>
        </w:tc>
        <w:tc>
          <w:tcPr>
            <w:tcW w:w="135" w:type="pct"/>
            <w:noWrap/>
          </w:tcPr>
          <w:p w14:paraId="535E2291" w14:textId="7A0BB1D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5D610870" w14:textId="2DB38B5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182</w:t>
            </w:r>
          </w:p>
        </w:tc>
        <w:tc>
          <w:tcPr>
            <w:tcW w:w="135" w:type="pct"/>
            <w:noWrap/>
          </w:tcPr>
          <w:p w14:paraId="6E8DA2E0" w14:textId="5BF5151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07" w:type="pct"/>
            <w:noWrap/>
          </w:tcPr>
          <w:p w14:paraId="4AAE64AF" w14:textId="643806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1F596A6A" w14:textId="54602337"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3950</w:t>
            </w:r>
          </w:p>
        </w:tc>
      </w:tr>
      <w:tr w:rsidR="00271A50" w:rsidRPr="00930D6A" w14:paraId="10CC0EDC"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9768CBA" w14:textId="77777777" w:rsidR="00271A50" w:rsidRPr="00930D6A" w:rsidRDefault="00271A50" w:rsidP="00271A50">
            <w:pPr>
              <w:rPr>
                <w:sz w:val="17"/>
                <w:szCs w:val="17"/>
              </w:rPr>
            </w:pPr>
            <w:r w:rsidRPr="00930D6A">
              <w:rPr>
                <w:sz w:val="17"/>
                <w:szCs w:val="17"/>
              </w:rPr>
              <w:t>35</w:t>
            </w:r>
          </w:p>
        </w:tc>
        <w:tc>
          <w:tcPr>
            <w:tcW w:w="107" w:type="pct"/>
            <w:noWrap/>
          </w:tcPr>
          <w:p w14:paraId="040198C9" w14:textId="0733E69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4C4F08FF" w14:textId="6D2156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0F18FE66" w14:textId="3312191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35" w:type="pct"/>
            <w:noWrap/>
          </w:tcPr>
          <w:p w14:paraId="4CE447C6" w14:textId="5859A62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35" w:type="pct"/>
            <w:noWrap/>
          </w:tcPr>
          <w:p w14:paraId="6CA26406" w14:textId="024715D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35" w:type="pct"/>
            <w:noWrap/>
          </w:tcPr>
          <w:p w14:paraId="2CE42601" w14:textId="7C1E52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4792B686" w14:textId="32516C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62711B6D" w14:textId="78ADD91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28362241" w14:textId="406D726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w:t>
            </w:r>
          </w:p>
        </w:tc>
        <w:tc>
          <w:tcPr>
            <w:tcW w:w="135" w:type="pct"/>
            <w:noWrap/>
          </w:tcPr>
          <w:p w14:paraId="3FCCE28B" w14:textId="41CA1AB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w:t>
            </w:r>
          </w:p>
        </w:tc>
        <w:tc>
          <w:tcPr>
            <w:tcW w:w="135" w:type="pct"/>
            <w:noWrap/>
          </w:tcPr>
          <w:p w14:paraId="321BBA8D" w14:textId="016F43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w:t>
            </w:r>
          </w:p>
        </w:tc>
        <w:tc>
          <w:tcPr>
            <w:tcW w:w="135" w:type="pct"/>
            <w:noWrap/>
          </w:tcPr>
          <w:p w14:paraId="6CD074B5" w14:textId="248EDC4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w:t>
            </w:r>
          </w:p>
        </w:tc>
        <w:tc>
          <w:tcPr>
            <w:tcW w:w="135" w:type="pct"/>
            <w:noWrap/>
          </w:tcPr>
          <w:p w14:paraId="141A3A85" w14:textId="17A66F1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w:t>
            </w:r>
          </w:p>
        </w:tc>
        <w:tc>
          <w:tcPr>
            <w:tcW w:w="135" w:type="pct"/>
            <w:noWrap/>
          </w:tcPr>
          <w:p w14:paraId="4D43B00C" w14:textId="66FF65C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54</w:t>
            </w:r>
          </w:p>
        </w:tc>
        <w:tc>
          <w:tcPr>
            <w:tcW w:w="135" w:type="pct"/>
            <w:noWrap/>
          </w:tcPr>
          <w:p w14:paraId="38C58AE3" w14:textId="6EF17FB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72</w:t>
            </w:r>
          </w:p>
        </w:tc>
        <w:tc>
          <w:tcPr>
            <w:tcW w:w="135" w:type="pct"/>
            <w:noWrap/>
          </w:tcPr>
          <w:p w14:paraId="0D6DE7BB" w14:textId="41BE6D6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77</w:t>
            </w:r>
          </w:p>
        </w:tc>
        <w:tc>
          <w:tcPr>
            <w:tcW w:w="135" w:type="pct"/>
            <w:noWrap/>
          </w:tcPr>
          <w:p w14:paraId="4C5FAC6D" w14:textId="41779FB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99</w:t>
            </w:r>
          </w:p>
        </w:tc>
        <w:tc>
          <w:tcPr>
            <w:tcW w:w="135" w:type="pct"/>
            <w:noWrap/>
          </w:tcPr>
          <w:p w14:paraId="0D66B3FB" w14:textId="253742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127</w:t>
            </w:r>
          </w:p>
        </w:tc>
        <w:tc>
          <w:tcPr>
            <w:tcW w:w="135" w:type="pct"/>
            <w:noWrap/>
          </w:tcPr>
          <w:p w14:paraId="38136A9E" w14:textId="53FE9DC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160</w:t>
            </w:r>
          </w:p>
        </w:tc>
        <w:tc>
          <w:tcPr>
            <w:tcW w:w="135" w:type="pct"/>
            <w:noWrap/>
          </w:tcPr>
          <w:p w14:paraId="5BEDFF58" w14:textId="69F802D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5469CBE7" w14:textId="6A9184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79C03D33" w14:textId="6BA4CF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169</w:t>
            </w:r>
          </w:p>
        </w:tc>
        <w:tc>
          <w:tcPr>
            <w:tcW w:w="135" w:type="pct"/>
            <w:noWrap/>
          </w:tcPr>
          <w:p w14:paraId="5EF8B706" w14:textId="2CAD37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209</w:t>
            </w:r>
          </w:p>
        </w:tc>
        <w:tc>
          <w:tcPr>
            <w:tcW w:w="135" w:type="pct"/>
            <w:noWrap/>
          </w:tcPr>
          <w:p w14:paraId="069257CC" w14:textId="0C3847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202</w:t>
            </w:r>
          </w:p>
        </w:tc>
        <w:tc>
          <w:tcPr>
            <w:tcW w:w="135" w:type="pct"/>
            <w:noWrap/>
          </w:tcPr>
          <w:p w14:paraId="373ECED4" w14:textId="660F835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224</w:t>
            </w:r>
          </w:p>
        </w:tc>
        <w:tc>
          <w:tcPr>
            <w:tcW w:w="135" w:type="pct"/>
            <w:noWrap/>
          </w:tcPr>
          <w:p w14:paraId="7F916AD0" w14:textId="7C2E22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241</w:t>
            </w:r>
          </w:p>
        </w:tc>
        <w:tc>
          <w:tcPr>
            <w:tcW w:w="135" w:type="pct"/>
            <w:noWrap/>
          </w:tcPr>
          <w:p w14:paraId="08BB9890" w14:textId="10F350A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243</w:t>
            </w:r>
          </w:p>
        </w:tc>
        <w:tc>
          <w:tcPr>
            <w:tcW w:w="135" w:type="pct"/>
            <w:noWrap/>
          </w:tcPr>
          <w:p w14:paraId="1FD88E7A" w14:textId="616A12A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211</w:t>
            </w:r>
          </w:p>
        </w:tc>
        <w:tc>
          <w:tcPr>
            <w:tcW w:w="135" w:type="pct"/>
            <w:noWrap/>
          </w:tcPr>
          <w:p w14:paraId="51DEA0B5" w14:textId="3D5B41E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221</w:t>
            </w:r>
          </w:p>
        </w:tc>
        <w:tc>
          <w:tcPr>
            <w:tcW w:w="135" w:type="pct"/>
            <w:noWrap/>
          </w:tcPr>
          <w:p w14:paraId="64C8170B" w14:textId="70FCFB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236</w:t>
            </w:r>
          </w:p>
        </w:tc>
        <w:tc>
          <w:tcPr>
            <w:tcW w:w="135" w:type="pct"/>
            <w:noWrap/>
          </w:tcPr>
          <w:p w14:paraId="6B28F249" w14:textId="34395A9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217</w:t>
            </w:r>
          </w:p>
        </w:tc>
        <w:tc>
          <w:tcPr>
            <w:tcW w:w="135" w:type="pct"/>
            <w:noWrap/>
          </w:tcPr>
          <w:p w14:paraId="1CE3CCF0" w14:textId="175597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6A39D4BF" w14:textId="499242B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196</w:t>
            </w:r>
          </w:p>
        </w:tc>
        <w:tc>
          <w:tcPr>
            <w:tcW w:w="135" w:type="pct"/>
            <w:noWrap/>
          </w:tcPr>
          <w:p w14:paraId="47A3A11E" w14:textId="0B156B6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172</w:t>
            </w:r>
          </w:p>
        </w:tc>
        <w:tc>
          <w:tcPr>
            <w:tcW w:w="107" w:type="pct"/>
            <w:noWrap/>
          </w:tcPr>
          <w:p w14:paraId="6B68CDCB" w14:textId="4FC50B0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w:t>
            </w:r>
          </w:p>
        </w:tc>
        <w:tc>
          <w:tcPr>
            <w:tcW w:w="268" w:type="pct"/>
            <w:noWrap/>
          </w:tcPr>
          <w:p w14:paraId="2EABD30B" w14:textId="554409F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3888</w:t>
            </w:r>
          </w:p>
        </w:tc>
      </w:tr>
    </w:tbl>
    <w:p w14:paraId="246C593A" w14:textId="0D0E3C0B" w:rsidR="00271A50" w:rsidRDefault="00C928F6" w:rsidP="008163A2">
      <w:pPr>
        <w:pStyle w:val="Tablefigureheading"/>
      </w:pPr>
      <w:bookmarkStart w:id="263" w:name="_Toc153795499"/>
      <w:r w:rsidRPr="00930D6A">
        <w:lastRenderedPageBreak/>
        <w:t xml:space="preserve">Table </w:t>
      </w:r>
      <w:fldSimple w:instr=" SEQ Table \* ARABIC ">
        <w:r w:rsidR="005E58C6">
          <w:rPr>
            <w:noProof/>
          </w:rPr>
          <w:t>11</w:t>
        </w:r>
      </w:fldSimple>
      <w:r w:rsidRPr="00930D6A">
        <w:t>: Expected reduction in casualty crashes under Option</w:t>
      </w:r>
      <w:r>
        <w:t xml:space="preserve"> 3a</w:t>
      </w:r>
      <w:bookmarkEnd w:id="263"/>
    </w:p>
    <w:tbl>
      <w:tblPr>
        <w:tblStyle w:val="DefaultTable11"/>
        <w:tblW w:w="5000" w:type="pct"/>
        <w:tblLook w:val="04A0" w:firstRow="1" w:lastRow="0" w:firstColumn="1" w:lastColumn="0" w:noHBand="0" w:noVBand="1"/>
      </w:tblPr>
      <w:tblGrid>
        <w:gridCol w:w="636"/>
        <w:gridCol w:w="460"/>
        <w:gridCol w:w="46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8"/>
        <w:gridCol w:w="568"/>
        <w:gridCol w:w="517"/>
        <w:gridCol w:w="1040"/>
      </w:tblGrid>
      <w:tr w:rsidR="0064565A" w:rsidRPr="00C928F6" w14:paraId="10AEADD9" w14:textId="784793B2" w:rsidTr="00C928F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4C92004" w14:textId="5296E034" w:rsidR="0093019E" w:rsidRPr="008163A2" w:rsidRDefault="0093019E">
            <w:pPr>
              <w:spacing w:after="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r w:rsidR="00C928F6" w:rsidRPr="008163A2">
              <w:rPr>
                <w:rFonts w:asciiTheme="minorHAnsi" w:eastAsia="Times New Roman" w:hAnsiTheme="minorHAnsi" w:cstheme="minorHAnsi"/>
                <w:lang w:eastAsia="en-AU"/>
              </w:rPr>
              <w:t>Year</w:t>
            </w:r>
          </w:p>
        </w:tc>
        <w:tc>
          <w:tcPr>
            <w:tcW w:w="109" w:type="pct"/>
            <w:noWrap/>
            <w:hideMark/>
          </w:tcPr>
          <w:p w14:paraId="52DDEF5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w:t>
            </w:r>
          </w:p>
        </w:tc>
        <w:tc>
          <w:tcPr>
            <w:tcW w:w="109" w:type="pct"/>
            <w:noWrap/>
            <w:hideMark/>
          </w:tcPr>
          <w:p w14:paraId="273333F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w:t>
            </w:r>
          </w:p>
        </w:tc>
        <w:tc>
          <w:tcPr>
            <w:tcW w:w="134" w:type="pct"/>
            <w:noWrap/>
            <w:hideMark/>
          </w:tcPr>
          <w:p w14:paraId="725E863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w:t>
            </w:r>
          </w:p>
        </w:tc>
        <w:tc>
          <w:tcPr>
            <w:tcW w:w="134" w:type="pct"/>
            <w:noWrap/>
            <w:hideMark/>
          </w:tcPr>
          <w:p w14:paraId="2F50D2B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4</w:t>
            </w:r>
          </w:p>
        </w:tc>
        <w:tc>
          <w:tcPr>
            <w:tcW w:w="134" w:type="pct"/>
            <w:noWrap/>
            <w:hideMark/>
          </w:tcPr>
          <w:p w14:paraId="4AB16AC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5</w:t>
            </w:r>
          </w:p>
        </w:tc>
        <w:tc>
          <w:tcPr>
            <w:tcW w:w="134" w:type="pct"/>
            <w:noWrap/>
            <w:hideMark/>
          </w:tcPr>
          <w:p w14:paraId="135B725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6</w:t>
            </w:r>
          </w:p>
        </w:tc>
        <w:tc>
          <w:tcPr>
            <w:tcW w:w="134" w:type="pct"/>
            <w:noWrap/>
            <w:hideMark/>
          </w:tcPr>
          <w:p w14:paraId="363E906E"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7</w:t>
            </w:r>
          </w:p>
        </w:tc>
        <w:tc>
          <w:tcPr>
            <w:tcW w:w="134" w:type="pct"/>
            <w:noWrap/>
            <w:hideMark/>
          </w:tcPr>
          <w:p w14:paraId="1937AC79"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8</w:t>
            </w:r>
          </w:p>
        </w:tc>
        <w:tc>
          <w:tcPr>
            <w:tcW w:w="134" w:type="pct"/>
            <w:noWrap/>
            <w:hideMark/>
          </w:tcPr>
          <w:p w14:paraId="07E04FA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9</w:t>
            </w:r>
          </w:p>
        </w:tc>
        <w:tc>
          <w:tcPr>
            <w:tcW w:w="134" w:type="pct"/>
            <w:noWrap/>
            <w:hideMark/>
          </w:tcPr>
          <w:p w14:paraId="435BE41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10</w:t>
            </w:r>
          </w:p>
        </w:tc>
        <w:tc>
          <w:tcPr>
            <w:tcW w:w="134" w:type="pct"/>
            <w:noWrap/>
            <w:hideMark/>
          </w:tcPr>
          <w:p w14:paraId="374A82A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11</w:t>
            </w:r>
          </w:p>
        </w:tc>
        <w:tc>
          <w:tcPr>
            <w:tcW w:w="134" w:type="pct"/>
            <w:noWrap/>
            <w:hideMark/>
          </w:tcPr>
          <w:p w14:paraId="408305E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12</w:t>
            </w:r>
          </w:p>
        </w:tc>
        <w:tc>
          <w:tcPr>
            <w:tcW w:w="134" w:type="pct"/>
            <w:noWrap/>
            <w:hideMark/>
          </w:tcPr>
          <w:p w14:paraId="7D86427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13</w:t>
            </w:r>
          </w:p>
        </w:tc>
        <w:tc>
          <w:tcPr>
            <w:tcW w:w="134" w:type="pct"/>
            <w:noWrap/>
            <w:hideMark/>
          </w:tcPr>
          <w:p w14:paraId="22B09704"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14</w:t>
            </w:r>
          </w:p>
        </w:tc>
        <w:tc>
          <w:tcPr>
            <w:tcW w:w="134" w:type="pct"/>
            <w:noWrap/>
            <w:hideMark/>
          </w:tcPr>
          <w:p w14:paraId="6B9E288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15</w:t>
            </w:r>
          </w:p>
        </w:tc>
        <w:tc>
          <w:tcPr>
            <w:tcW w:w="134" w:type="pct"/>
            <w:noWrap/>
            <w:hideMark/>
          </w:tcPr>
          <w:p w14:paraId="2D85A61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16</w:t>
            </w:r>
          </w:p>
        </w:tc>
        <w:tc>
          <w:tcPr>
            <w:tcW w:w="134" w:type="pct"/>
            <w:noWrap/>
            <w:hideMark/>
          </w:tcPr>
          <w:p w14:paraId="7B41EC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17</w:t>
            </w:r>
          </w:p>
        </w:tc>
        <w:tc>
          <w:tcPr>
            <w:tcW w:w="134" w:type="pct"/>
            <w:noWrap/>
            <w:hideMark/>
          </w:tcPr>
          <w:p w14:paraId="2B08349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18</w:t>
            </w:r>
          </w:p>
        </w:tc>
        <w:tc>
          <w:tcPr>
            <w:tcW w:w="134" w:type="pct"/>
            <w:noWrap/>
            <w:hideMark/>
          </w:tcPr>
          <w:p w14:paraId="74D738E2"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19</w:t>
            </w:r>
          </w:p>
        </w:tc>
        <w:tc>
          <w:tcPr>
            <w:tcW w:w="134" w:type="pct"/>
            <w:noWrap/>
            <w:hideMark/>
          </w:tcPr>
          <w:p w14:paraId="7FAE2BBC"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20</w:t>
            </w:r>
          </w:p>
        </w:tc>
        <w:tc>
          <w:tcPr>
            <w:tcW w:w="134" w:type="pct"/>
            <w:noWrap/>
            <w:hideMark/>
          </w:tcPr>
          <w:p w14:paraId="57D0D264"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21</w:t>
            </w:r>
          </w:p>
        </w:tc>
        <w:tc>
          <w:tcPr>
            <w:tcW w:w="134" w:type="pct"/>
            <w:noWrap/>
            <w:hideMark/>
          </w:tcPr>
          <w:p w14:paraId="0124335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22</w:t>
            </w:r>
          </w:p>
        </w:tc>
        <w:tc>
          <w:tcPr>
            <w:tcW w:w="134" w:type="pct"/>
            <w:noWrap/>
            <w:hideMark/>
          </w:tcPr>
          <w:p w14:paraId="64D2C22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23</w:t>
            </w:r>
          </w:p>
        </w:tc>
        <w:tc>
          <w:tcPr>
            <w:tcW w:w="134" w:type="pct"/>
            <w:noWrap/>
            <w:hideMark/>
          </w:tcPr>
          <w:p w14:paraId="047071A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24</w:t>
            </w:r>
          </w:p>
        </w:tc>
        <w:tc>
          <w:tcPr>
            <w:tcW w:w="134" w:type="pct"/>
            <w:noWrap/>
            <w:hideMark/>
          </w:tcPr>
          <w:p w14:paraId="68C4B3C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25</w:t>
            </w:r>
          </w:p>
        </w:tc>
        <w:tc>
          <w:tcPr>
            <w:tcW w:w="134" w:type="pct"/>
            <w:noWrap/>
            <w:hideMark/>
          </w:tcPr>
          <w:p w14:paraId="5D33097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26</w:t>
            </w:r>
          </w:p>
        </w:tc>
        <w:tc>
          <w:tcPr>
            <w:tcW w:w="134" w:type="pct"/>
            <w:noWrap/>
            <w:hideMark/>
          </w:tcPr>
          <w:p w14:paraId="09FF822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27</w:t>
            </w:r>
          </w:p>
        </w:tc>
        <w:tc>
          <w:tcPr>
            <w:tcW w:w="134" w:type="pct"/>
            <w:noWrap/>
            <w:hideMark/>
          </w:tcPr>
          <w:p w14:paraId="2A3033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28</w:t>
            </w:r>
          </w:p>
        </w:tc>
        <w:tc>
          <w:tcPr>
            <w:tcW w:w="134" w:type="pct"/>
            <w:noWrap/>
            <w:hideMark/>
          </w:tcPr>
          <w:p w14:paraId="1621B9B5"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29</w:t>
            </w:r>
          </w:p>
        </w:tc>
        <w:tc>
          <w:tcPr>
            <w:tcW w:w="134" w:type="pct"/>
            <w:noWrap/>
            <w:hideMark/>
          </w:tcPr>
          <w:p w14:paraId="26DE106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30</w:t>
            </w:r>
          </w:p>
        </w:tc>
        <w:tc>
          <w:tcPr>
            <w:tcW w:w="134" w:type="pct"/>
            <w:noWrap/>
            <w:hideMark/>
          </w:tcPr>
          <w:p w14:paraId="3027E3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31</w:t>
            </w:r>
          </w:p>
        </w:tc>
        <w:tc>
          <w:tcPr>
            <w:tcW w:w="134" w:type="pct"/>
            <w:noWrap/>
            <w:hideMark/>
          </w:tcPr>
          <w:p w14:paraId="053CA849"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32</w:t>
            </w:r>
          </w:p>
        </w:tc>
        <w:tc>
          <w:tcPr>
            <w:tcW w:w="134" w:type="pct"/>
            <w:noWrap/>
            <w:hideMark/>
          </w:tcPr>
          <w:p w14:paraId="0310A2DC"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33</w:t>
            </w:r>
          </w:p>
        </w:tc>
        <w:tc>
          <w:tcPr>
            <w:tcW w:w="134" w:type="pct"/>
            <w:noWrap/>
            <w:hideMark/>
          </w:tcPr>
          <w:p w14:paraId="3044771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34</w:t>
            </w:r>
          </w:p>
        </w:tc>
        <w:tc>
          <w:tcPr>
            <w:tcW w:w="122" w:type="pct"/>
            <w:noWrap/>
            <w:hideMark/>
          </w:tcPr>
          <w:p w14:paraId="4D99646E"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35</w:t>
            </w:r>
          </w:p>
        </w:tc>
        <w:tc>
          <w:tcPr>
            <w:tcW w:w="245" w:type="pct"/>
          </w:tcPr>
          <w:p w14:paraId="6CF9FF1C" w14:textId="13C1480A" w:rsidR="0093019E" w:rsidRPr="008163A2" w:rsidRDefault="00C928F6"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hAnsiTheme="minorHAnsi" w:cstheme="minorHAnsi"/>
              </w:rPr>
              <w:t>Crashes avoided</w:t>
            </w:r>
          </w:p>
        </w:tc>
      </w:tr>
      <w:tr w:rsidR="00083FCD" w:rsidRPr="00C928F6" w14:paraId="620EBC20" w14:textId="698BFA6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850282A"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w:t>
            </w:r>
          </w:p>
        </w:tc>
        <w:tc>
          <w:tcPr>
            <w:tcW w:w="109" w:type="pct"/>
            <w:noWrap/>
            <w:hideMark/>
          </w:tcPr>
          <w:p w14:paraId="56218DE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09" w:type="pct"/>
            <w:noWrap/>
            <w:hideMark/>
          </w:tcPr>
          <w:p w14:paraId="604E9F8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34BD7F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FA9D0B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0B9B5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2F78D81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A05FF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6325177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21014D4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9FD6C1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1A2962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0B5FE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103BB8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73DE37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C4B1E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38E858A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49E373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4B921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D445A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525A06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2B5C13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71C3371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925902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118DCF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11E11E8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45C3EF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1E8461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6D6FC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0A2F5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6B01DC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D72B6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4DEA4F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C6A64C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8A9EF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22" w:type="pct"/>
            <w:noWrap/>
            <w:hideMark/>
          </w:tcPr>
          <w:p w14:paraId="7A59CCB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245" w:type="pct"/>
          </w:tcPr>
          <w:p w14:paraId="3A12DA06" w14:textId="3983D15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w:t>
            </w:r>
          </w:p>
        </w:tc>
      </w:tr>
      <w:tr w:rsidR="0064565A" w:rsidRPr="00C928F6" w14:paraId="37B88D74" w14:textId="7A2EF821"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A54146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w:t>
            </w:r>
          </w:p>
        </w:tc>
        <w:tc>
          <w:tcPr>
            <w:tcW w:w="109" w:type="pct"/>
            <w:noWrap/>
            <w:hideMark/>
          </w:tcPr>
          <w:p w14:paraId="369EB7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09" w:type="pct"/>
            <w:noWrap/>
            <w:hideMark/>
          </w:tcPr>
          <w:p w14:paraId="01F7BF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1874E96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2B5BC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26DC5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418D2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D077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8F844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D35F9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5078A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6413D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5907C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98B2DE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6C2ED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4DABA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EBDD17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19D93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AEC6A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08E7C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B0FD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F674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6DFED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A0643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3079E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C06A8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C49DC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E6C7F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9250A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22D158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9F7D0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8BB2E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5C42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6B6EF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8D9B0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5681417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6F2156D" w14:textId="1102C94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49</w:t>
            </w:r>
          </w:p>
        </w:tc>
      </w:tr>
      <w:tr w:rsidR="00083FCD" w:rsidRPr="00C928F6" w14:paraId="525C5428" w14:textId="5040FEBC"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E176937"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w:t>
            </w:r>
          </w:p>
        </w:tc>
        <w:tc>
          <w:tcPr>
            <w:tcW w:w="109" w:type="pct"/>
            <w:noWrap/>
            <w:hideMark/>
          </w:tcPr>
          <w:p w14:paraId="232C472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09" w:type="pct"/>
            <w:noWrap/>
            <w:hideMark/>
          </w:tcPr>
          <w:p w14:paraId="74B2C41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091A6CA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4" w:type="pct"/>
            <w:noWrap/>
            <w:hideMark/>
          </w:tcPr>
          <w:p w14:paraId="55C7B7C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E16CE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81CF66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257E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B6A07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AA578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EBB12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F6FA7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F4233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7F7C96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7F729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F731A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37C7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DE139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A1D42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854CFC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B40FE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D338D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381F6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191B4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37D4A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E6A39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1E171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69B62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7D27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5571C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FA6C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2C0E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2C50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0D73E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24CB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9ECE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68794324" w14:textId="32EF8381"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133</w:t>
            </w:r>
          </w:p>
        </w:tc>
      </w:tr>
      <w:tr w:rsidR="0064565A" w:rsidRPr="00C928F6" w14:paraId="6ACFB7D7" w14:textId="7D1A77F3"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B155E9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4</w:t>
            </w:r>
          </w:p>
        </w:tc>
        <w:tc>
          <w:tcPr>
            <w:tcW w:w="109" w:type="pct"/>
            <w:noWrap/>
            <w:hideMark/>
          </w:tcPr>
          <w:p w14:paraId="3DDBB64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30ED9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2700A78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5F282E5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4" w:type="pct"/>
            <w:noWrap/>
            <w:hideMark/>
          </w:tcPr>
          <w:p w14:paraId="2386142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BFC2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8855E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53F21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7BCD6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83A8D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DF1BB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DB293C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DB622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5142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70AA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562C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EF7DE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BD52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1199B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43C0D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493E5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E9415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7D31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D835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97BE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B6E2C5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A8789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2761D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E07FD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295510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52E91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C4E5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B3D05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4D61B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40AA92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B7897FD" w14:textId="2994AAE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234</w:t>
            </w:r>
          </w:p>
        </w:tc>
      </w:tr>
      <w:tr w:rsidR="00083FCD" w:rsidRPr="00C928F6" w14:paraId="44E75F9A" w14:textId="45D2744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DCC915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5</w:t>
            </w:r>
          </w:p>
        </w:tc>
        <w:tc>
          <w:tcPr>
            <w:tcW w:w="109" w:type="pct"/>
            <w:noWrap/>
            <w:hideMark/>
          </w:tcPr>
          <w:p w14:paraId="6BF18A1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09" w:type="pct"/>
            <w:noWrap/>
            <w:hideMark/>
          </w:tcPr>
          <w:p w14:paraId="2C4C082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7BE25C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35F8C13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4" w:type="pct"/>
            <w:noWrap/>
            <w:hideMark/>
          </w:tcPr>
          <w:p w14:paraId="231817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44</w:t>
            </w:r>
          </w:p>
        </w:tc>
        <w:tc>
          <w:tcPr>
            <w:tcW w:w="134" w:type="pct"/>
            <w:noWrap/>
            <w:hideMark/>
          </w:tcPr>
          <w:p w14:paraId="6E3E9A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CB48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AB0ED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64D1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C515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E61E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19D3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C70B6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0D9F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ABC71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027B6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45E0E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21C1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8C893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786AA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9F7B0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4096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BD626B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96F5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7604E0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49D4D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ADA9D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58D0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4792C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4D635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CE861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FA71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C4D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A89BC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06D1C6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5C330CA" w14:textId="476C4A5C"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349</w:t>
            </w:r>
          </w:p>
        </w:tc>
      </w:tr>
      <w:tr w:rsidR="0064565A" w:rsidRPr="00C928F6" w14:paraId="319263BE" w14:textId="22DC2266"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B4B7C0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6</w:t>
            </w:r>
          </w:p>
        </w:tc>
        <w:tc>
          <w:tcPr>
            <w:tcW w:w="109" w:type="pct"/>
            <w:noWrap/>
            <w:hideMark/>
          </w:tcPr>
          <w:p w14:paraId="19E1CD4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09" w:type="pct"/>
            <w:noWrap/>
            <w:hideMark/>
          </w:tcPr>
          <w:p w14:paraId="068D8B4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7F2575F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5B2A732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4" w:type="pct"/>
            <w:noWrap/>
            <w:hideMark/>
          </w:tcPr>
          <w:p w14:paraId="06902F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118</w:t>
            </w:r>
          </w:p>
        </w:tc>
        <w:tc>
          <w:tcPr>
            <w:tcW w:w="134" w:type="pct"/>
            <w:noWrap/>
            <w:hideMark/>
          </w:tcPr>
          <w:p w14:paraId="646CD2E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3DE4314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4240B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B9658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77C22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6141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081C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31CA3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27E54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9345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143E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CF7393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B626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D9E3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0605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14602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BA0C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7C151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418BC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9C90F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71F9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74A5F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1066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4581E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96097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F6B03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D3037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391C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05BD1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53446F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220783F" w14:textId="206D9659"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482</w:t>
            </w:r>
          </w:p>
        </w:tc>
      </w:tr>
      <w:tr w:rsidR="00083FCD" w:rsidRPr="00C928F6" w14:paraId="2F908834" w14:textId="111A03CF"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80941D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7</w:t>
            </w:r>
          </w:p>
        </w:tc>
        <w:tc>
          <w:tcPr>
            <w:tcW w:w="109" w:type="pct"/>
            <w:noWrap/>
            <w:hideMark/>
          </w:tcPr>
          <w:p w14:paraId="762FE2C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09" w:type="pct"/>
            <w:noWrap/>
            <w:hideMark/>
          </w:tcPr>
          <w:p w14:paraId="261C721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2C51CF5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598D42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110</w:t>
            </w:r>
          </w:p>
        </w:tc>
        <w:tc>
          <w:tcPr>
            <w:tcW w:w="134" w:type="pct"/>
            <w:noWrap/>
            <w:hideMark/>
          </w:tcPr>
          <w:p w14:paraId="1B387F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617C1EB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4" w:type="pct"/>
            <w:noWrap/>
            <w:hideMark/>
          </w:tcPr>
          <w:p w14:paraId="71B2D7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4" w:type="pct"/>
            <w:noWrap/>
            <w:hideMark/>
          </w:tcPr>
          <w:p w14:paraId="750229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F0CA72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76437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07D9A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3644F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01B6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4BEE6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98FF2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81C5B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8A3C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4EE1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E1AA59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4FCE4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AA33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78DD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DFB0E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92FA9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A551A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3AF7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544DFC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4AFD4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E4BC4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B18D8D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44C9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DD3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CED9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858DB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E9AB14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E10D7EB" w14:textId="272D8F8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632</w:t>
            </w:r>
          </w:p>
        </w:tc>
      </w:tr>
      <w:tr w:rsidR="0064565A" w:rsidRPr="00C928F6" w14:paraId="698B840D" w14:textId="1121E849"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6C5FED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8</w:t>
            </w:r>
          </w:p>
        </w:tc>
        <w:tc>
          <w:tcPr>
            <w:tcW w:w="109" w:type="pct"/>
            <w:noWrap/>
            <w:hideMark/>
          </w:tcPr>
          <w:p w14:paraId="04CDFB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09" w:type="pct"/>
            <w:noWrap/>
            <w:hideMark/>
          </w:tcPr>
          <w:p w14:paraId="6D39E00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6053E59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4" w:type="pct"/>
            <w:noWrap/>
            <w:hideMark/>
          </w:tcPr>
          <w:p w14:paraId="0D9B16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11B89EF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72B6CF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6A4092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4" w:type="pct"/>
            <w:noWrap/>
            <w:hideMark/>
          </w:tcPr>
          <w:p w14:paraId="4A3441F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62</w:t>
            </w:r>
          </w:p>
        </w:tc>
        <w:tc>
          <w:tcPr>
            <w:tcW w:w="134" w:type="pct"/>
            <w:noWrap/>
            <w:hideMark/>
          </w:tcPr>
          <w:p w14:paraId="51D403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8A38F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B7A22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1D5D21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E9C7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9A189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AF111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2EFA7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4C7F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C52A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E9E2B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AAC18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CFED8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D739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B32F6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2EAAA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54DA6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4A60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5E4CF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CBC2A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B9363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62DAA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6A91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5ED59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35F0E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68AE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B07E93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CD90086" w14:textId="19E7F48E"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792</w:t>
            </w:r>
          </w:p>
        </w:tc>
      </w:tr>
      <w:tr w:rsidR="00083FCD" w:rsidRPr="00C928F6" w14:paraId="72F69251" w14:textId="1DA3E72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855DE16"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9</w:t>
            </w:r>
          </w:p>
        </w:tc>
        <w:tc>
          <w:tcPr>
            <w:tcW w:w="109" w:type="pct"/>
            <w:noWrap/>
            <w:hideMark/>
          </w:tcPr>
          <w:p w14:paraId="0135B30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042206D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286DEE4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4" w:type="pct"/>
            <w:noWrap/>
            <w:hideMark/>
          </w:tcPr>
          <w:p w14:paraId="1C5BF72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4" w:type="pct"/>
            <w:noWrap/>
            <w:hideMark/>
          </w:tcPr>
          <w:p w14:paraId="0F25019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19BB20C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3AE5AB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17E4D1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40581FE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68</w:t>
            </w:r>
          </w:p>
        </w:tc>
        <w:tc>
          <w:tcPr>
            <w:tcW w:w="134" w:type="pct"/>
            <w:noWrap/>
            <w:hideMark/>
          </w:tcPr>
          <w:p w14:paraId="0FCD216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8784F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0517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5FA72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79D64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29606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6538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40C60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FA8F5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25962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2E6CC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20F6F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29C2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214E0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BBACF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8AB0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F6C13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5FAE0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A51C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B4B52D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B63BC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201F2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58F20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74A4AA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81F3E4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1A5714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3E71623" w14:textId="729D9C23"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967</w:t>
            </w:r>
          </w:p>
        </w:tc>
      </w:tr>
      <w:tr w:rsidR="0064565A" w:rsidRPr="00C928F6" w14:paraId="2B2579F8" w14:textId="1C6EEFAA"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858272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10</w:t>
            </w:r>
          </w:p>
        </w:tc>
        <w:tc>
          <w:tcPr>
            <w:tcW w:w="109" w:type="pct"/>
            <w:noWrap/>
            <w:hideMark/>
          </w:tcPr>
          <w:p w14:paraId="68E416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113A8A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0DE540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2ED7B68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24811CA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0835D9F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4" w:type="pct"/>
            <w:noWrap/>
            <w:hideMark/>
          </w:tcPr>
          <w:p w14:paraId="14F7864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4" w:type="pct"/>
            <w:noWrap/>
            <w:hideMark/>
          </w:tcPr>
          <w:p w14:paraId="76E7892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2B85162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2BAEA0C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655A62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783DC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A51D9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6E5A9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95459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9C894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4A47B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AD63A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D434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E7C19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F9ED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091FF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1BF8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12B8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12FCA4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17091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8848A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5574B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FCA66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883AC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4470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929C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8F25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A542A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BF9D9C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66ECFB23" w14:textId="237BDF88"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1163</w:t>
            </w:r>
          </w:p>
        </w:tc>
      </w:tr>
      <w:tr w:rsidR="00083FCD" w:rsidRPr="00C928F6" w14:paraId="2860BD3A" w14:textId="47FD0745"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7C4F98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11</w:t>
            </w:r>
          </w:p>
        </w:tc>
        <w:tc>
          <w:tcPr>
            <w:tcW w:w="109" w:type="pct"/>
            <w:noWrap/>
            <w:hideMark/>
          </w:tcPr>
          <w:p w14:paraId="3AA5B97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09" w:type="pct"/>
            <w:noWrap/>
            <w:hideMark/>
          </w:tcPr>
          <w:p w14:paraId="02C8C2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4" w:type="pct"/>
            <w:noWrap/>
            <w:hideMark/>
          </w:tcPr>
          <w:p w14:paraId="6AE051E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3AB26D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6A2A1C8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121</w:t>
            </w:r>
          </w:p>
        </w:tc>
        <w:tc>
          <w:tcPr>
            <w:tcW w:w="134" w:type="pct"/>
            <w:noWrap/>
            <w:hideMark/>
          </w:tcPr>
          <w:p w14:paraId="6C9501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150</w:t>
            </w:r>
          </w:p>
        </w:tc>
        <w:tc>
          <w:tcPr>
            <w:tcW w:w="134" w:type="pct"/>
            <w:noWrap/>
            <w:hideMark/>
          </w:tcPr>
          <w:p w14:paraId="2B58BDD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0677577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2B6253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4" w:type="pct"/>
            <w:noWrap/>
            <w:hideMark/>
          </w:tcPr>
          <w:p w14:paraId="7623B01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4" w:type="pct"/>
            <w:noWrap/>
            <w:hideMark/>
          </w:tcPr>
          <w:p w14:paraId="5226E50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392E123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7EAB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7E1CC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2227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F4D73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45958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84F61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E198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AD4FF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1B79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4DAA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C9E26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41A1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D8522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D4E5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83D3A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5BDB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11E6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B716B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EF85A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AE75EA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286BE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C0D21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06488D4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510CC62B" w14:textId="623B1EC6"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1371</w:t>
            </w:r>
          </w:p>
        </w:tc>
      </w:tr>
      <w:tr w:rsidR="0064565A" w:rsidRPr="00C928F6" w14:paraId="67FCB407" w14:textId="6249130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2482B2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12</w:t>
            </w:r>
          </w:p>
        </w:tc>
        <w:tc>
          <w:tcPr>
            <w:tcW w:w="109" w:type="pct"/>
            <w:noWrap/>
            <w:hideMark/>
          </w:tcPr>
          <w:p w14:paraId="45ABF27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09" w:type="pct"/>
            <w:noWrap/>
            <w:hideMark/>
          </w:tcPr>
          <w:p w14:paraId="7080EE9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1D4E9F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6C4700D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4" w:type="pct"/>
            <w:noWrap/>
            <w:hideMark/>
          </w:tcPr>
          <w:p w14:paraId="7AF76B8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00E501F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6C895E8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4" w:type="pct"/>
            <w:noWrap/>
            <w:hideMark/>
          </w:tcPr>
          <w:p w14:paraId="6CFC86A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2EC5EA9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193</w:t>
            </w:r>
          </w:p>
        </w:tc>
        <w:tc>
          <w:tcPr>
            <w:tcW w:w="134" w:type="pct"/>
            <w:noWrap/>
            <w:hideMark/>
          </w:tcPr>
          <w:p w14:paraId="79C47DE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022042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2A92828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51A6496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B463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A19C9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0173B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C147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1DC903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961D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F75B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782B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2E0E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BACF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57128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B6F024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B88A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990B3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050A3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8D55D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23D51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B239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4C50E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8C88E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0703E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52D5A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86D1066" w14:textId="11187EE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1586</w:t>
            </w:r>
          </w:p>
        </w:tc>
      </w:tr>
      <w:tr w:rsidR="00083FCD" w:rsidRPr="00C928F6" w14:paraId="17938DBE" w14:textId="429D68A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493634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13</w:t>
            </w:r>
          </w:p>
        </w:tc>
        <w:tc>
          <w:tcPr>
            <w:tcW w:w="109" w:type="pct"/>
            <w:noWrap/>
            <w:hideMark/>
          </w:tcPr>
          <w:p w14:paraId="0553B85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09" w:type="pct"/>
            <w:noWrap/>
            <w:hideMark/>
          </w:tcPr>
          <w:p w14:paraId="77D3A18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66</w:t>
            </w:r>
          </w:p>
        </w:tc>
        <w:tc>
          <w:tcPr>
            <w:tcW w:w="134" w:type="pct"/>
            <w:noWrap/>
            <w:hideMark/>
          </w:tcPr>
          <w:p w14:paraId="0CE842D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4558C53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4" w:type="pct"/>
            <w:noWrap/>
            <w:hideMark/>
          </w:tcPr>
          <w:p w14:paraId="79928EA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06781F1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494DC7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4" w:type="pct"/>
            <w:noWrap/>
            <w:hideMark/>
          </w:tcPr>
          <w:p w14:paraId="47FE20C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4" w:type="pct"/>
            <w:noWrap/>
            <w:hideMark/>
          </w:tcPr>
          <w:p w14:paraId="7B3D6E4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4" w:type="pct"/>
            <w:noWrap/>
            <w:hideMark/>
          </w:tcPr>
          <w:p w14:paraId="7EBB91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7CC106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141E19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61B94CE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1CC948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EAD67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320DD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49A19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C8BF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561B1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05ABC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F648C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53220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4E678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E663D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91C3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F81C3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5F1F2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3C00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E0923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566B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68C7B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C229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B23C3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BD3C3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3BCA85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BC43173" w14:textId="73C83542"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1806</w:t>
            </w:r>
          </w:p>
        </w:tc>
      </w:tr>
      <w:tr w:rsidR="0064565A" w:rsidRPr="00C928F6" w14:paraId="08D828C6" w14:textId="572243F1"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2B16DF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14</w:t>
            </w:r>
          </w:p>
        </w:tc>
        <w:tc>
          <w:tcPr>
            <w:tcW w:w="109" w:type="pct"/>
            <w:noWrap/>
            <w:hideMark/>
          </w:tcPr>
          <w:p w14:paraId="3BD4828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62A17C0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681F9E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4" w:type="pct"/>
            <w:noWrap/>
            <w:hideMark/>
          </w:tcPr>
          <w:p w14:paraId="1FFDBC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99</w:t>
            </w:r>
          </w:p>
        </w:tc>
        <w:tc>
          <w:tcPr>
            <w:tcW w:w="134" w:type="pct"/>
            <w:noWrap/>
            <w:hideMark/>
          </w:tcPr>
          <w:p w14:paraId="644474E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123</w:t>
            </w:r>
          </w:p>
        </w:tc>
        <w:tc>
          <w:tcPr>
            <w:tcW w:w="134" w:type="pct"/>
            <w:noWrap/>
            <w:hideMark/>
          </w:tcPr>
          <w:p w14:paraId="3146C33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02BB55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67C109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169</w:t>
            </w:r>
          </w:p>
        </w:tc>
        <w:tc>
          <w:tcPr>
            <w:tcW w:w="134" w:type="pct"/>
            <w:noWrap/>
            <w:hideMark/>
          </w:tcPr>
          <w:p w14:paraId="738625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203</w:t>
            </w:r>
          </w:p>
        </w:tc>
        <w:tc>
          <w:tcPr>
            <w:tcW w:w="134" w:type="pct"/>
            <w:noWrap/>
            <w:hideMark/>
          </w:tcPr>
          <w:p w14:paraId="7C68CD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5B8E9C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4" w:type="pct"/>
            <w:noWrap/>
            <w:hideMark/>
          </w:tcPr>
          <w:p w14:paraId="09065B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4" w:type="pct"/>
            <w:noWrap/>
            <w:hideMark/>
          </w:tcPr>
          <w:p w14:paraId="53F4B62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4" w:type="pct"/>
            <w:noWrap/>
            <w:hideMark/>
          </w:tcPr>
          <w:p w14:paraId="6DFBD6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71665CC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02C4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837F8A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4AD60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0220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A15F3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F88D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28F0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F5EC5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7895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0E3B2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004DD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B60E0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464C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E0C9F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B105D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3AAFC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C770E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6427D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8AE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C2E574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895617F" w14:textId="62B015AB"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2031</w:t>
            </w:r>
          </w:p>
        </w:tc>
      </w:tr>
      <w:tr w:rsidR="00083FCD" w:rsidRPr="00C928F6" w14:paraId="08706726" w14:textId="4BC5C742"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7A0FACF"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15</w:t>
            </w:r>
          </w:p>
        </w:tc>
        <w:tc>
          <w:tcPr>
            <w:tcW w:w="109" w:type="pct"/>
            <w:noWrap/>
            <w:hideMark/>
          </w:tcPr>
          <w:p w14:paraId="25C2D0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3DD7273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0208252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0D85F7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6768410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2594A06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51DAAC5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4" w:type="pct"/>
            <w:noWrap/>
            <w:hideMark/>
          </w:tcPr>
          <w:p w14:paraId="4D1186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34711FD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4" w:type="pct"/>
            <w:noWrap/>
            <w:hideMark/>
          </w:tcPr>
          <w:p w14:paraId="72DF3F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798EBED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743BC88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48879B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72B36FB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68D1F62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59DD306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95B68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88493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6D733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EA9DB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B2267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797B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76EA6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0C2E3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55CCE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A3448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883A1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288E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4E6BC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E295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8FBF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C1C28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51B6E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E366C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9EBDC5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7D7A116E" w14:textId="183C2228"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2253</w:t>
            </w:r>
          </w:p>
        </w:tc>
      </w:tr>
      <w:tr w:rsidR="0064565A" w:rsidRPr="00C928F6" w14:paraId="28F5ECE4" w14:textId="2C0096D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B31CE1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16</w:t>
            </w:r>
          </w:p>
        </w:tc>
        <w:tc>
          <w:tcPr>
            <w:tcW w:w="109" w:type="pct"/>
            <w:noWrap/>
            <w:hideMark/>
          </w:tcPr>
          <w:p w14:paraId="20BCCF9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06743E9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3491772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4" w:type="pct"/>
            <w:noWrap/>
            <w:hideMark/>
          </w:tcPr>
          <w:p w14:paraId="4B93EB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04C913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4" w:type="pct"/>
            <w:noWrap/>
            <w:hideMark/>
          </w:tcPr>
          <w:p w14:paraId="30F91A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5F85E48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155</w:t>
            </w:r>
          </w:p>
        </w:tc>
        <w:tc>
          <w:tcPr>
            <w:tcW w:w="134" w:type="pct"/>
            <w:noWrap/>
            <w:hideMark/>
          </w:tcPr>
          <w:p w14:paraId="2E9D799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6A4D9E0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3EB4FB3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200</w:t>
            </w:r>
          </w:p>
        </w:tc>
        <w:tc>
          <w:tcPr>
            <w:tcW w:w="134" w:type="pct"/>
            <w:noWrap/>
            <w:hideMark/>
          </w:tcPr>
          <w:p w14:paraId="40154F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4" w:type="pct"/>
            <w:noWrap/>
            <w:hideMark/>
          </w:tcPr>
          <w:p w14:paraId="0C99E2B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4" w:type="pct"/>
            <w:noWrap/>
            <w:hideMark/>
          </w:tcPr>
          <w:p w14:paraId="069C329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314CD09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6AEA607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3C8346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4" w:type="pct"/>
            <w:noWrap/>
            <w:hideMark/>
          </w:tcPr>
          <w:p w14:paraId="1327953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93742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DB157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D268D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0CE3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793A6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C30A3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6BB6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4BC4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BA1D5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04C44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A0B8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8A4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D5197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2CB23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BE60F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9AD4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CE54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D8D836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DA8C1A7" w14:textId="55F7149F"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2477</w:t>
            </w:r>
          </w:p>
        </w:tc>
      </w:tr>
      <w:tr w:rsidR="00083FCD" w:rsidRPr="00C928F6" w14:paraId="3DB6C240" w14:textId="2F9C569D"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D8DB9B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17</w:t>
            </w:r>
          </w:p>
        </w:tc>
        <w:tc>
          <w:tcPr>
            <w:tcW w:w="109" w:type="pct"/>
            <w:noWrap/>
            <w:hideMark/>
          </w:tcPr>
          <w:p w14:paraId="4119DDD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09" w:type="pct"/>
            <w:noWrap/>
            <w:hideMark/>
          </w:tcPr>
          <w:p w14:paraId="185F9A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26B253F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224B93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72</w:t>
            </w:r>
          </w:p>
        </w:tc>
        <w:tc>
          <w:tcPr>
            <w:tcW w:w="134" w:type="pct"/>
            <w:noWrap/>
            <w:hideMark/>
          </w:tcPr>
          <w:p w14:paraId="4874E9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102</w:t>
            </w:r>
          </w:p>
        </w:tc>
        <w:tc>
          <w:tcPr>
            <w:tcW w:w="134" w:type="pct"/>
            <w:noWrap/>
            <w:hideMark/>
          </w:tcPr>
          <w:p w14:paraId="4823D1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113</w:t>
            </w:r>
          </w:p>
        </w:tc>
        <w:tc>
          <w:tcPr>
            <w:tcW w:w="134" w:type="pct"/>
            <w:noWrap/>
            <w:hideMark/>
          </w:tcPr>
          <w:p w14:paraId="213A317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50897C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458A54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4" w:type="pct"/>
            <w:noWrap/>
            <w:hideMark/>
          </w:tcPr>
          <w:p w14:paraId="66E7323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4" w:type="pct"/>
            <w:noWrap/>
            <w:hideMark/>
          </w:tcPr>
          <w:p w14:paraId="4E7DAF0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46B0C44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0667F4F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4" w:type="pct"/>
            <w:noWrap/>
            <w:hideMark/>
          </w:tcPr>
          <w:p w14:paraId="5D2CD77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1C53754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48C71E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19F1A7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66A71D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1ADB8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6570E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A884F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00C82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0C29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ABC9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68B55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012FD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95C45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99368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CD065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78639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92401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B2C7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8ACC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D0A2B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6FE881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1BB3A2C6" w14:textId="02DF0B88"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2699</w:t>
            </w:r>
          </w:p>
        </w:tc>
      </w:tr>
      <w:tr w:rsidR="0064565A" w:rsidRPr="00C928F6" w14:paraId="68A882AB" w14:textId="52EEA08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746F56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18</w:t>
            </w:r>
          </w:p>
        </w:tc>
        <w:tc>
          <w:tcPr>
            <w:tcW w:w="109" w:type="pct"/>
            <w:noWrap/>
            <w:hideMark/>
          </w:tcPr>
          <w:p w14:paraId="6842512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09" w:type="pct"/>
            <w:noWrap/>
            <w:hideMark/>
          </w:tcPr>
          <w:p w14:paraId="533131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215207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62E496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766A8E6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4" w:type="pct"/>
            <w:noWrap/>
            <w:hideMark/>
          </w:tcPr>
          <w:p w14:paraId="70E542C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4" w:type="pct"/>
            <w:noWrap/>
            <w:hideMark/>
          </w:tcPr>
          <w:p w14:paraId="2640C6C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1E15C5F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44574A4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188</w:t>
            </w:r>
          </w:p>
        </w:tc>
        <w:tc>
          <w:tcPr>
            <w:tcW w:w="134" w:type="pct"/>
            <w:noWrap/>
            <w:hideMark/>
          </w:tcPr>
          <w:p w14:paraId="63C941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3AD790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4" w:type="pct"/>
            <w:noWrap/>
            <w:hideMark/>
          </w:tcPr>
          <w:p w14:paraId="7ABD4D7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4B5177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0F60004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70F819B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4" w:type="pct"/>
            <w:noWrap/>
            <w:hideMark/>
          </w:tcPr>
          <w:p w14:paraId="78FF14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6CB465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4" w:type="pct"/>
            <w:noWrap/>
            <w:hideMark/>
          </w:tcPr>
          <w:p w14:paraId="5FA2B6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002FBD6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823C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47004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E1F9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2905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CFBA0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2149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F1C2F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5DF21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1E1C7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3640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521E2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5B19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2F4F0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B8FC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C68DC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439CE3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790E2C3" w14:textId="41CA05DF"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2912</w:t>
            </w:r>
          </w:p>
        </w:tc>
      </w:tr>
      <w:tr w:rsidR="00083FCD" w:rsidRPr="00C928F6" w14:paraId="74B63345" w14:textId="04F7BF35"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3A9DBF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19</w:t>
            </w:r>
          </w:p>
        </w:tc>
        <w:tc>
          <w:tcPr>
            <w:tcW w:w="109" w:type="pct"/>
            <w:noWrap/>
            <w:hideMark/>
          </w:tcPr>
          <w:p w14:paraId="4668B0F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09" w:type="pct"/>
            <w:noWrap/>
            <w:hideMark/>
          </w:tcPr>
          <w:p w14:paraId="395A58A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40</w:t>
            </w:r>
          </w:p>
        </w:tc>
        <w:tc>
          <w:tcPr>
            <w:tcW w:w="134" w:type="pct"/>
            <w:noWrap/>
            <w:hideMark/>
          </w:tcPr>
          <w:p w14:paraId="5A073BA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59</w:t>
            </w:r>
          </w:p>
        </w:tc>
        <w:tc>
          <w:tcPr>
            <w:tcW w:w="134" w:type="pct"/>
            <w:noWrap/>
            <w:hideMark/>
          </w:tcPr>
          <w:p w14:paraId="6289739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4E23C7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4DB44D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19178F8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130</w:t>
            </w:r>
          </w:p>
        </w:tc>
        <w:tc>
          <w:tcPr>
            <w:tcW w:w="134" w:type="pct"/>
            <w:noWrap/>
            <w:hideMark/>
          </w:tcPr>
          <w:p w14:paraId="37E9DA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140</w:t>
            </w:r>
          </w:p>
        </w:tc>
        <w:tc>
          <w:tcPr>
            <w:tcW w:w="134" w:type="pct"/>
            <w:noWrap/>
            <w:hideMark/>
          </w:tcPr>
          <w:p w14:paraId="2163C9A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0C3C460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4" w:type="pct"/>
            <w:noWrap/>
            <w:hideMark/>
          </w:tcPr>
          <w:p w14:paraId="7F56D75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4" w:type="pct"/>
            <w:noWrap/>
            <w:hideMark/>
          </w:tcPr>
          <w:p w14:paraId="418F7D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38BFCC6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1106EF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5E7DEF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2063291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4" w:type="pct"/>
            <w:noWrap/>
            <w:hideMark/>
          </w:tcPr>
          <w:p w14:paraId="172BFB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0D5839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0CAA19A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74A64F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578B9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92918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E667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0E0F9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79B23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B7641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888ED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DCB3F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EFAB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9A242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D9B3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D2644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5EF91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86279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A9B5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F6F0B8D" w14:textId="7E500EF5"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3110</w:t>
            </w:r>
          </w:p>
        </w:tc>
      </w:tr>
      <w:tr w:rsidR="0064565A" w:rsidRPr="00C928F6" w14:paraId="2206393F" w14:textId="4CB77498"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0CD9D1E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20</w:t>
            </w:r>
          </w:p>
        </w:tc>
        <w:tc>
          <w:tcPr>
            <w:tcW w:w="109" w:type="pct"/>
            <w:noWrap/>
            <w:hideMark/>
          </w:tcPr>
          <w:p w14:paraId="1B56843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09" w:type="pct"/>
            <w:noWrap/>
            <w:hideMark/>
          </w:tcPr>
          <w:p w14:paraId="611B81D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77509D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47</w:t>
            </w:r>
          </w:p>
        </w:tc>
        <w:tc>
          <w:tcPr>
            <w:tcW w:w="134" w:type="pct"/>
            <w:noWrap/>
            <w:hideMark/>
          </w:tcPr>
          <w:p w14:paraId="6AAE58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3D87F6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23F779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67F5C0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4" w:type="pct"/>
            <w:noWrap/>
            <w:hideMark/>
          </w:tcPr>
          <w:p w14:paraId="59D603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023ED58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4" w:type="pct"/>
            <w:noWrap/>
            <w:hideMark/>
          </w:tcPr>
          <w:p w14:paraId="3F922F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4" w:type="pct"/>
            <w:noWrap/>
            <w:hideMark/>
          </w:tcPr>
          <w:p w14:paraId="6624CAF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4" w:type="pct"/>
            <w:noWrap/>
            <w:hideMark/>
          </w:tcPr>
          <w:p w14:paraId="2C8C29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4" w:type="pct"/>
            <w:noWrap/>
            <w:hideMark/>
          </w:tcPr>
          <w:p w14:paraId="182681B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184A72F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4" w:type="pct"/>
            <w:noWrap/>
            <w:hideMark/>
          </w:tcPr>
          <w:p w14:paraId="7B2842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4" w:type="pct"/>
            <w:noWrap/>
            <w:hideMark/>
          </w:tcPr>
          <w:p w14:paraId="529B1F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24197EF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01289FE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E8B100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07F37FD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237D2F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48199F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FC4AF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D4F10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30B04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E6855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96C26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ADF60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C3BB3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F1021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E93A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637E3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EF2C1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77AB20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90CFB0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3500C343" w14:textId="605AC0C4"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3292</w:t>
            </w:r>
          </w:p>
        </w:tc>
      </w:tr>
      <w:tr w:rsidR="00083FCD" w:rsidRPr="00C928F6" w14:paraId="2052147F" w14:textId="495A481A"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3CEDE3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21</w:t>
            </w:r>
          </w:p>
        </w:tc>
        <w:tc>
          <w:tcPr>
            <w:tcW w:w="109" w:type="pct"/>
            <w:noWrap/>
            <w:hideMark/>
          </w:tcPr>
          <w:p w14:paraId="12306E0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09" w:type="pct"/>
            <w:noWrap/>
            <w:hideMark/>
          </w:tcPr>
          <w:p w14:paraId="66FAC2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3D0F7F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4" w:type="pct"/>
            <w:noWrap/>
            <w:hideMark/>
          </w:tcPr>
          <w:p w14:paraId="169EDD9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4" w:type="pct"/>
            <w:noWrap/>
            <w:hideMark/>
          </w:tcPr>
          <w:p w14:paraId="67A8790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4" w:type="pct"/>
            <w:noWrap/>
            <w:hideMark/>
          </w:tcPr>
          <w:p w14:paraId="45379C5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01769D0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3E7348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4" w:type="pct"/>
            <w:noWrap/>
            <w:hideMark/>
          </w:tcPr>
          <w:p w14:paraId="67BB99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230F5DD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1F9006A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4" w:type="pct"/>
            <w:noWrap/>
            <w:hideMark/>
          </w:tcPr>
          <w:p w14:paraId="735B1C3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4" w:type="pct"/>
            <w:noWrap/>
            <w:hideMark/>
          </w:tcPr>
          <w:p w14:paraId="0955452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274A388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4" w:type="pct"/>
            <w:noWrap/>
            <w:hideMark/>
          </w:tcPr>
          <w:p w14:paraId="6567E4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5DB1BD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284</w:t>
            </w:r>
          </w:p>
        </w:tc>
        <w:tc>
          <w:tcPr>
            <w:tcW w:w="134" w:type="pct"/>
            <w:noWrap/>
            <w:hideMark/>
          </w:tcPr>
          <w:p w14:paraId="06BFA3E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1009F6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0FF0FAC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2AD0960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1F178C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65697A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8B2C5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2FC06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F4B98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7E844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A4700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6AA22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DB4AF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D7EAA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51F6D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77D3C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04AC4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F51473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C24F18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78CE809" w14:textId="14A21179"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3459</w:t>
            </w:r>
          </w:p>
        </w:tc>
      </w:tr>
      <w:tr w:rsidR="0064565A" w:rsidRPr="00C928F6" w14:paraId="7554847C" w14:textId="5EC4EA0D"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07E900D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22</w:t>
            </w:r>
          </w:p>
        </w:tc>
        <w:tc>
          <w:tcPr>
            <w:tcW w:w="109" w:type="pct"/>
            <w:noWrap/>
            <w:hideMark/>
          </w:tcPr>
          <w:p w14:paraId="10D0F9A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09" w:type="pct"/>
            <w:noWrap/>
            <w:hideMark/>
          </w:tcPr>
          <w:p w14:paraId="3C05C6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4" w:type="pct"/>
            <w:noWrap/>
            <w:hideMark/>
          </w:tcPr>
          <w:p w14:paraId="4498E4E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38929E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4" w:type="pct"/>
            <w:noWrap/>
            <w:hideMark/>
          </w:tcPr>
          <w:p w14:paraId="6BE213D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4" w:type="pct"/>
            <w:noWrap/>
            <w:hideMark/>
          </w:tcPr>
          <w:p w14:paraId="5B2091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0B6967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65A63A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352A8D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3C90098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170</w:t>
            </w:r>
          </w:p>
        </w:tc>
        <w:tc>
          <w:tcPr>
            <w:tcW w:w="134" w:type="pct"/>
            <w:noWrap/>
            <w:hideMark/>
          </w:tcPr>
          <w:p w14:paraId="7CCA887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00E2F45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1DC441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0D0A6B2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3BCF1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4" w:type="pct"/>
            <w:noWrap/>
            <w:hideMark/>
          </w:tcPr>
          <w:p w14:paraId="627EE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3AAACD9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287</w:t>
            </w:r>
          </w:p>
        </w:tc>
        <w:tc>
          <w:tcPr>
            <w:tcW w:w="134" w:type="pct"/>
            <w:noWrap/>
            <w:hideMark/>
          </w:tcPr>
          <w:p w14:paraId="459D184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6BA40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22362D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1386BC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32F5989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4" w:type="pct"/>
            <w:noWrap/>
            <w:hideMark/>
          </w:tcPr>
          <w:p w14:paraId="12EC0AB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464B0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CF4A2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5CE7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23529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2432D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C0111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5D74A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5112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84BC83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4C12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5DB8D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189FA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4353E9FC" w14:textId="28850282"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3612</w:t>
            </w:r>
          </w:p>
        </w:tc>
      </w:tr>
      <w:tr w:rsidR="00083FCD" w:rsidRPr="00C928F6" w14:paraId="31E8AA17" w14:textId="57FB6EA0"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66B767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23</w:t>
            </w:r>
          </w:p>
        </w:tc>
        <w:tc>
          <w:tcPr>
            <w:tcW w:w="109" w:type="pct"/>
            <w:noWrap/>
            <w:hideMark/>
          </w:tcPr>
          <w:p w14:paraId="23ABAE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09" w:type="pct"/>
            <w:noWrap/>
            <w:hideMark/>
          </w:tcPr>
          <w:p w14:paraId="0C4DBD9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1D6E46F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2AA4F2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33</w:t>
            </w:r>
          </w:p>
        </w:tc>
        <w:tc>
          <w:tcPr>
            <w:tcW w:w="134" w:type="pct"/>
            <w:noWrap/>
            <w:hideMark/>
          </w:tcPr>
          <w:p w14:paraId="14F16B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4" w:type="pct"/>
            <w:noWrap/>
            <w:hideMark/>
          </w:tcPr>
          <w:p w14:paraId="0CBF08B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34" w:type="pct"/>
            <w:noWrap/>
            <w:hideMark/>
          </w:tcPr>
          <w:p w14:paraId="17BEA3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07A4C66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575CDD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20AE118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50E3EEF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5353620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187</w:t>
            </w:r>
          </w:p>
        </w:tc>
        <w:tc>
          <w:tcPr>
            <w:tcW w:w="134" w:type="pct"/>
            <w:noWrap/>
            <w:hideMark/>
          </w:tcPr>
          <w:p w14:paraId="40E4A0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1DF7C96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4" w:type="pct"/>
            <w:noWrap/>
            <w:hideMark/>
          </w:tcPr>
          <w:p w14:paraId="45F664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187DA5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2733FC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105BAF5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288</w:t>
            </w:r>
          </w:p>
        </w:tc>
        <w:tc>
          <w:tcPr>
            <w:tcW w:w="134" w:type="pct"/>
            <w:noWrap/>
            <w:hideMark/>
          </w:tcPr>
          <w:p w14:paraId="2861748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DC0C23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26E7FAB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C8A41E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4F0F2BA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140BC09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E7A5B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CE11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7FBDF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A89D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C15E7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5171C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87309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15F10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17584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A2CC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18B23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63CFCB50" w14:textId="11BE0DDF"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3748</w:t>
            </w:r>
          </w:p>
        </w:tc>
      </w:tr>
      <w:tr w:rsidR="0064565A" w:rsidRPr="00C928F6" w14:paraId="32AE4F8A" w14:textId="64F7C912"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5D2068D"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24</w:t>
            </w:r>
          </w:p>
        </w:tc>
        <w:tc>
          <w:tcPr>
            <w:tcW w:w="109" w:type="pct"/>
            <w:noWrap/>
            <w:hideMark/>
          </w:tcPr>
          <w:p w14:paraId="2552330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09" w:type="pct"/>
            <w:noWrap/>
            <w:hideMark/>
          </w:tcPr>
          <w:p w14:paraId="5D7C6B4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092C9D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0FB233E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427D28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4" w:type="pct"/>
            <w:noWrap/>
            <w:hideMark/>
          </w:tcPr>
          <w:p w14:paraId="56947B5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194DDF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4" w:type="pct"/>
            <w:noWrap/>
            <w:hideMark/>
          </w:tcPr>
          <w:p w14:paraId="5B7E527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107</w:t>
            </w:r>
          </w:p>
        </w:tc>
        <w:tc>
          <w:tcPr>
            <w:tcW w:w="134" w:type="pct"/>
            <w:noWrap/>
            <w:hideMark/>
          </w:tcPr>
          <w:p w14:paraId="182F7A9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707F1CB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577D903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146</w:t>
            </w:r>
          </w:p>
        </w:tc>
        <w:tc>
          <w:tcPr>
            <w:tcW w:w="134" w:type="pct"/>
            <w:noWrap/>
            <w:hideMark/>
          </w:tcPr>
          <w:p w14:paraId="071272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192</w:t>
            </w:r>
          </w:p>
        </w:tc>
        <w:tc>
          <w:tcPr>
            <w:tcW w:w="134" w:type="pct"/>
            <w:noWrap/>
            <w:hideMark/>
          </w:tcPr>
          <w:p w14:paraId="69ACA35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4" w:type="pct"/>
            <w:noWrap/>
            <w:hideMark/>
          </w:tcPr>
          <w:p w14:paraId="1F045B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4" w:type="pct"/>
            <w:noWrap/>
            <w:hideMark/>
          </w:tcPr>
          <w:p w14:paraId="0545EE4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6D2F95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6B3D5B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7C19E0C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07D05D2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4" w:type="pct"/>
            <w:noWrap/>
            <w:hideMark/>
          </w:tcPr>
          <w:p w14:paraId="5F9353F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20A56D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51B37EC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6E147DD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232CE5F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0C7E2EF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DD4A9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7847D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D9B76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5D8CC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EFC9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0C47C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298A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B65D4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2657B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B010F2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10E9B6FF" w14:textId="4326D2EB"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3868</w:t>
            </w:r>
          </w:p>
        </w:tc>
      </w:tr>
      <w:tr w:rsidR="00083FCD" w:rsidRPr="00C928F6" w14:paraId="336DBC77" w14:textId="7AE9205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42E1FD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25</w:t>
            </w:r>
          </w:p>
        </w:tc>
        <w:tc>
          <w:tcPr>
            <w:tcW w:w="109" w:type="pct"/>
            <w:noWrap/>
            <w:hideMark/>
          </w:tcPr>
          <w:p w14:paraId="5888A2F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09" w:type="pct"/>
            <w:noWrap/>
            <w:hideMark/>
          </w:tcPr>
          <w:p w14:paraId="0CDFF2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0678811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4" w:type="pct"/>
            <w:noWrap/>
            <w:hideMark/>
          </w:tcPr>
          <w:p w14:paraId="57FC176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4" w:type="pct"/>
            <w:noWrap/>
            <w:hideMark/>
          </w:tcPr>
          <w:p w14:paraId="7D1ACD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36</w:t>
            </w:r>
          </w:p>
        </w:tc>
        <w:tc>
          <w:tcPr>
            <w:tcW w:w="134" w:type="pct"/>
            <w:noWrap/>
            <w:hideMark/>
          </w:tcPr>
          <w:p w14:paraId="084662A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43</w:t>
            </w:r>
          </w:p>
        </w:tc>
        <w:tc>
          <w:tcPr>
            <w:tcW w:w="134" w:type="pct"/>
            <w:noWrap/>
            <w:hideMark/>
          </w:tcPr>
          <w:p w14:paraId="0F4354B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4" w:type="pct"/>
            <w:noWrap/>
            <w:hideMark/>
          </w:tcPr>
          <w:p w14:paraId="2516E01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799F3E0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6D1C49F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714D9E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4" w:type="pct"/>
            <w:noWrap/>
            <w:hideMark/>
          </w:tcPr>
          <w:p w14:paraId="49D41E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154</w:t>
            </w:r>
          </w:p>
        </w:tc>
        <w:tc>
          <w:tcPr>
            <w:tcW w:w="134" w:type="pct"/>
            <w:noWrap/>
            <w:hideMark/>
          </w:tcPr>
          <w:p w14:paraId="69A6310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4" w:type="pct"/>
            <w:noWrap/>
            <w:hideMark/>
          </w:tcPr>
          <w:p w14:paraId="27B4309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4" w:type="pct"/>
            <w:noWrap/>
            <w:hideMark/>
          </w:tcPr>
          <w:p w14:paraId="46B8D0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4" w:type="pct"/>
            <w:noWrap/>
            <w:hideMark/>
          </w:tcPr>
          <w:p w14:paraId="3B16EE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79B9CF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6853F94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788FB78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3C812E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288</w:t>
            </w:r>
          </w:p>
        </w:tc>
        <w:tc>
          <w:tcPr>
            <w:tcW w:w="134" w:type="pct"/>
            <w:noWrap/>
            <w:hideMark/>
          </w:tcPr>
          <w:p w14:paraId="42E7B0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4D799D6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D974C7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05D03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4B5C9EB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4" w:type="pct"/>
            <w:noWrap/>
            <w:hideMark/>
          </w:tcPr>
          <w:p w14:paraId="3B41C26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4CC914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6EF69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9C150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F297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47CE7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4C8A9A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2096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A2B2CA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55CC7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5C8B38FF" w14:textId="43764FF9"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3970</w:t>
            </w:r>
          </w:p>
        </w:tc>
      </w:tr>
      <w:tr w:rsidR="0064565A" w:rsidRPr="00C928F6" w14:paraId="70E9E8E5" w14:textId="1E60CBEA"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3E3E90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26</w:t>
            </w:r>
          </w:p>
        </w:tc>
        <w:tc>
          <w:tcPr>
            <w:tcW w:w="109" w:type="pct"/>
            <w:noWrap/>
            <w:hideMark/>
          </w:tcPr>
          <w:p w14:paraId="296EF2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09" w:type="pct"/>
            <w:noWrap/>
            <w:hideMark/>
          </w:tcPr>
          <w:p w14:paraId="205548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4" w:type="pct"/>
            <w:noWrap/>
            <w:hideMark/>
          </w:tcPr>
          <w:p w14:paraId="02C5B21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754DC67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43C3A0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42E65EC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4" w:type="pct"/>
            <w:noWrap/>
            <w:hideMark/>
          </w:tcPr>
          <w:p w14:paraId="1ACF01B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4" w:type="pct"/>
            <w:noWrap/>
            <w:hideMark/>
          </w:tcPr>
          <w:p w14:paraId="128181E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0D614C2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68B2D7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2FEFC1C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148</w:t>
            </w:r>
          </w:p>
        </w:tc>
        <w:tc>
          <w:tcPr>
            <w:tcW w:w="134" w:type="pct"/>
            <w:noWrap/>
            <w:hideMark/>
          </w:tcPr>
          <w:p w14:paraId="1BE96C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64E3CF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12A1D65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65A99D6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370951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7B7B87A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4D110CB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22238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15E8F1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24901DB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287</w:t>
            </w:r>
          </w:p>
        </w:tc>
        <w:tc>
          <w:tcPr>
            <w:tcW w:w="134" w:type="pct"/>
            <w:noWrap/>
            <w:hideMark/>
          </w:tcPr>
          <w:p w14:paraId="47D08E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6F21E9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4" w:type="pct"/>
            <w:noWrap/>
            <w:hideMark/>
          </w:tcPr>
          <w:p w14:paraId="318C3F0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4" w:type="pct"/>
            <w:noWrap/>
            <w:hideMark/>
          </w:tcPr>
          <w:p w14:paraId="6C5BB8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4" w:type="pct"/>
            <w:noWrap/>
            <w:hideMark/>
          </w:tcPr>
          <w:p w14:paraId="15BE29B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91</w:t>
            </w:r>
          </w:p>
        </w:tc>
        <w:tc>
          <w:tcPr>
            <w:tcW w:w="134" w:type="pct"/>
            <w:noWrap/>
            <w:hideMark/>
          </w:tcPr>
          <w:p w14:paraId="3B5384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FD215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F4D8C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2E14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CCBF8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DCB92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B79A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A68DE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19EB7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027B8C41" w14:textId="2CE6CBB0"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4057</w:t>
            </w:r>
          </w:p>
        </w:tc>
      </w:tr>
      <w:tr w:rsidR="00083FCD" w:rsidRPr="00C928F6" w14:paraId="68428B29" w14:textId="12646BC0"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8988BC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27</w:t>
            </w:r>
          </w:p>
        </w:tc>
        <w:tc>
          <w:tcPr>
            <w:tcW w:w="109" w:type="pct"/>
            <w:noWrap/>
            <w:hideMark/>
          </w:tcPr>
          <w:p w14:paraId="6F3660F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143325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4" w:type="pct"/>
            <w:noWrap/>
            <w:hideMark/>
          </w:tcPr>
          <w:p w14:paraId="0943879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7EB460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4" w:type="pct"/>
            <w:noWrap/>
            <w:hideMark/>
          </w:tcPr>
          <w:p w14:paraId="68DB69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447AB9F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333D9DB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4" w:type="pct"/>
            <w:noWrap/>
            <w:hideMark/>
          </w:tcPr>
          <w:p w14:paraId="5DD82C8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4" w:type="pct"/>
            <w:noWrap/>
            <w:hideMark/>
          </w:tcPr>
          <w:p w14:paraId="49320A7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1FC870F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4" w:type="pct"/>
            <w:noWrap/>
            <w:hideMark/>
          </w:tcPr>
          <w:p w14:paraId="67A37A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0590B36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1B4057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0E631F9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4" w:type="pct"/>
            <w:noWrap/>
            <w:hideMark/>
          </w:tcPr>
          <w:p w14:paraId="0BBF90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4" w:type="pct"/>
            <w:noWrap/>
            <w:hideMark/>
          </w:tcPr>
          <w:p w14:paraId="4F2354C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1979232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5745569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1A18DCF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46E2BDD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039992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35870E1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286</w:t>
            </w:r>
          </w:p>
        </w:tc>
        <w:tc>
          <w:tcPr>
            <w:tcW w:w="134" w:type="pct"/>
            <w:noWrap/>
            <w:hideMark/>
          </w:tcPr>
          <w:p w14:paraId="1933907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6A3A33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55E2CC2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78BF4F0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5E47D5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89</w:t>
            </w:r>
          </w:p>
        </w:tc>
        <w:tc>
          <w:tcPr>
            <w:tcW w:w="134" w:type="pct"/>
            <w:noWrap/>
            <w:hideMark/>
          </w:tcPr>
          <w:p w14:paraId="04DE0E2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D24EC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25FDB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8431B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75506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9AED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B97AA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47CF15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1867167" w14:textId="2D20FCAD"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4125</w:t>
            </w:r>
          </w:p>
        </w:tc>
      </w:tr>
      <w:tr w:rsidR="0064565A" w:rsidRPr="00C928F6" w14:paraId="61B10868" w14:textId="06B188D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BE1A2D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28</w:t>
            </w:r>
          </w:p>
        </w:tc>
        <w:tc>
          <w:tcPr>
            <w:tcW w:w="109" w:type="pct"/>
            <w:noWrap/>
            <w:hideMark/>
          </w:tcPr>
          <w:p w14:paraId="7A3046F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291ED15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1E52A4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4" w:type="pct"/>
            <w:noWrap/>
            <w:hideMark/>
          </w:tcPr>
          <w:p w14:paraId="638308D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4" w:type="pct"/>
            <w:noWrap/>
            <w:hideMark/>
          </w:tcPr>
          <w:p w14:paraId="34F6CAB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7ACC9C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168BDE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4" w:type="pct"/>
            <w:noWrap/>
            <w:hideMark/>
          </w:tcPr>
          <w:p w14:paraId="0EEDCDA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53F798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58</w:t>
            </w:r>
          </w:p>
        </w:tc>
        <w:tc>
          <w:tcPr>
            <w:tcW w:w="134" w:type="pct"/>
            <w:noWrap/>
            <w:hideMark/>
          </w:tcPr>
          <w:p w14:paraId="5CA8D4E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53FB7F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4" w:type="pct"/>
            <w:noWrap/>
            <w:hideMark/>
          </w:tcPr>
          <w:p w14:paraId="7261A6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4" w:type="pct"/>
            <w:noWrap/>
            <w:hideMark/>
          </w:tcPr>
          <w:p w14:paraId="272CE3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4" w:type="pct"/>
            <w:noWrap/>
            <w:hideMark/>
          </w:tcPr>
          <w:p w14:paraId="002F9CA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4" w:type="pct"/>
            <w:noWrap/>
            <w:hideMark/>
          </w:tcPr>
          <w:p w14:paraId="3D98E7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2E04E5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0CD325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1B5423D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05EF702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4DAE76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3911D47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7C0FF8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0BABCE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283</w:t>
            </w:r>
          </w:p>
        </w:tc>
        <w:tc>
          <w:tcPr>
            <w:tcW w:w="134" w:type="pct"/>
            <w:noWrap/>
            <w:hideMark/>
          </w:tcPr>
          <w:p w14:paraId="590B01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4" w:type="pct"/>
            <w:noWrap/>
            <w:hideMark/>
          </w:tcPr>
          <w:p w14:paraId="1634909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799BB92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661B3E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E3D52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5187F1A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4D8B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F42BB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3CCF7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F0AC0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0361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5C716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63DC5808" w14:textId="658A353D"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4175</w:t>
            </w:r>
          </w:p>
        </w:tc>
      </w:tr>
      <w:tr w:rsidR="00083FCD" w:rsidRPr="00C928F6" w14:paraId="47CDE67B" w14:textId="4AC24653"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F9C60D6"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29</w:t>
            </w:r>
          </w:p>
        </w:tc>
        <w:tc>
          <w:tcPr>
            <w:tcW w:w="109" w:type="pct"/>
            <w:noWrap/>
            <w:hideMark/>
          </w:tcPr>
          <w:p w14:paraId="0D3BD08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4ABB9C4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1A66B2A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70E04AE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4" w:type="pct"/>
            <w:noWrap/>
            <w:hideMark/>
          </w:tcPr>
          <w:p w14:paraId="67A5FC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4" w:type="pct"/>
            <w:noWrap/>
            <w:hideMark/>
          </w:tcPr>
          <w:p w14:paraId="65DC19D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4" w:type="pct"/>
            <w:noWrap/>
            <w:hideMark/>
          </w:tcPr>
          <w:p w14:paraId="47D863D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w:t>
            </w:r>
          </w:p>
        </w:tc>
        <w:tc>
          <w:tcPr>
            <w:tcW w:w="134" w:type="pct"/>
            <w:noWrap/>
            <w:hideMark/>
          </w:tcPr>
          <w:p w14:paraId="537BDA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4" w:type="pct"/>
            <w:noWrap/>
            <w:hideMark/>
          </w:tcPr>
          <w:p w14:paraId="517813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06A3C3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4" w:type="pct"/>
            <w:noWrap/>
            <w:hideMark/>
          </w:tcPr>
          <w:p w14:paraId="53836F4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745035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4" w:type="pct"/>
            <w:noWrap/>
            <w:hideMark/>
          </w:tcPr>
          <w:p w14:paraId="4433B37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151</w:t>
            </w:r>
          </w:p>
        </w:tc>
        <w:tc>
          <w:tcPr>
            <w:tcW w:w="134" w:type="pct"/>
            <w:noWrap/>
            <w:hideMark/>
          </w:tcPr>
          <w:p w14:paraId="0E7837E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4" w:type="pct"/>
            <w:noWrap/>
            <w:hideMark/>
          </w:tcPr>
          <w:p w14:paraId="3504FBF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1B443B2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239D44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6359780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7A5D9D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4" w:type="pct"/>
            <w:noWrap/>
            <w:hideMark/>
          </w:tcPr>
          <w:p w14:paraId="74656BE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71E9287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18C1B22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59DC24B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D7929D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4" w:type="pct"/>
            <w:noWrap/>
            <w:hideMark/>
          </w:tcPr>
          <w:p w14:paraId="5C47012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2B03621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3BD63B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24C423C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4" w:type="pct"/>
            <w:noWrap/>
            <w:hideMark/>
          </w:tcPr>
          <w:p w14:paraId="139E02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2FD8ADB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8C1DC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5FBA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B9404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6C1F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6F95F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1A10CCF9" w14:textId="02294E70"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4209</w:t>
            </w:r>
          </w:p>
        </w:tc>
      </w:tr>
      <w:tr w:rsidR="0064565A" w:rsidRPr="00C928F6" w14:paraId="675B3479" w14:textId="1210FC57"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10FE46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30</w:t>
            </w:r>
          </w:p>
        </w:tc>
        <w:tc>
          <w:tcPr>
            <w:tcW w:w="109" w:type="pct"/>
            <w:noWrap/>
            <w:hideMark/>
          </w:tcPr>
          <w:p w14:paraId="19B96C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79816FD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75AD11B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B8DFF7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18D30B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009201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4" w:type="pct"/>
            <w:noWrap/>
            <w:hideMark/>
          </w:tcPr>
          <w:p w14:paraId="7C56D14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29A6F6D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05598DE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4" w:type="pct"/>
            <w:noWrap/>
            <w:hideMark/>
          </w:tcPr>
          <w:p w14:paraId="57A47B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60</w:t>
            </w:r>
          </w:p>
        </w:tc>
        <w:tc>
          <w:tcPr>
            <w:tcW w:w="134" w:type="pct"/>
            <w:noWrap/>
            <w:hideMark/>
          </w:tcPr>
          <w:p w14:paraId="5C128AA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4E5E011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075C69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120</w:t>
            </w:r>
          </w:p>
        </w:tc>
        <w:tc>
          <w:tcPr>
            <w:tcW w:w="134" w:type="pct"/>
            <w:noWrap/>
            <w:hideMark/>
          </w:tcPr>
          <w:p w14:paraId="7F42A3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156</w:t>
            </w:r>
          </w:p>
        </w:tc>
        <w:tc>
          <w:tcPr>
            <w:tcW w:w="134" w:type="pct"/>
            <w:noWrap/>
            <w:hideMark/>
          </w:tcPr>
          <w:p w14:paraId="3A74E44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175</w:t>
            </w:r>
          </w:p>
        </w:tc>
        <w:tc>
          <w:tcPr>
            <w:tcW w:w="134" w:type="pct"/>
            <w:noWrap/>
            <w:hideMark/>
          </w:tcPr>
          <w:p w14:paraId="3166AC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4B03A8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66510D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4E8EFAB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5E35D16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51AED4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3B08DD3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5E1A9A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4" w:type="pct"/>
            <w:noWrap/>
            <w:hideMark/>
          </w:tcPr>
          <w:p w14:paraId="3D9421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4" w:type="pct"/>
            <w:noWrap/>
            <w:hideMark/>
          </w:tcPr>
          <w:p w14:paraId="76C53BD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79505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7B0AEA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6CCA508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287F2D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31EEEFA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4" w:type="pct"/>
            <w:noWrap/>
            <w:hideMark/>
          </w:tcPr>
          <w:p w14:paraId="366CEDE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BEE8F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9F6B0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E85B1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57FB86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30AD4663" w14:textId="05B2DA09"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4227</w:t>
            </w:r>
          </w:p>
        </w:tc>
      </w:tr>
      <w:tr w:rsidR="00083FCD" w:rsidRPr="00C928F6" w14:paraId="2BECFC7D" w14:textId="6C3BC9B6" w:rsidTr="00C928F6">
        <w:trPr>
          <w:trHeight w:val="27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0F8E84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31</w:t>
            </w:r>
          </w:p>
        </w:tc>
        <w:tc>
          <w:tcPr>
            <w:tcW w:w="109" w:type="pct"/>
            <w:noWrap/>
            <w:hideMark/>
          </w:tcPr>
          <w:p w14:paraId="57F33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28BE9DB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33B4618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2A0D28F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55E87D4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531B749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5F55D17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34" w:type="pct"/>
            <w:noWrap/>
            <w:hideMark/>
          </w:tcPr>
          <w:p w14:paraId="7A5112D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134DFD0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4" w:type="pct"/>
            <w:noWrap/>
            <w:hideMark/>
          </w:tcPr>
          <w:p w14:paraId="31F0034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4" w:type="pct"/>
            <w:noWrap/>
            <w:hideMark/>
          </w:tcPr>
          <w:p w14:paraId="5FBA948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13E1FC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5FA670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0F2A629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124</w:t>
            </w:r>
          </w:p>
        </w:tc>
        <w:tc>
          <w:tcPr>
            <w:tcW w:w="134" w:type="pct"/>
            <w:noWrap/>
            <w:hideMark/>
          </w:tcPr>
          <w:p w14:paraId="6813FD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61F4441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72E46BE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400CAF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41C008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7F162B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10831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1042F3B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738CF2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4" w:type="pct"/>
            <w:noWrap/>
            <w:hideMark/>
          </w:tcPr>
          <w:p w14:paraId="0147857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2FD8B2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2740D06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7C88644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177C2AB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117E5BD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3796CA0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2ED271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5A60A81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1E09F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715A1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79A0CE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4CB63990" w14:textId="3963395A"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4228</w:t>
            </w:r>
          </w:p>
        </w:tc>
      </w:tr>
      <w:tr w:rsidR="0064565A" w:rsidRPr="00C928F6" w14:paraId="7EC55549" w14:textId="7C1157ED"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D9F1EB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32</w:t>
            </w:r>
          </w:p>
        </w:tc>
        <w:tc>
          <w:tcPr>
            <w:tcW w:w="109" w:type="pct"/>
            <w:noWrap/>
            <w:hideMark/>
          </w:tcPr>
          <w:p w14:paraId="1C69AA5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1CB7D7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4" w:type="pct"/>
            <w:noWrap/>
            <w:hideMark/>
          </w:tcPr>
          <w:p w14:paraId="53E03AF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5C4299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203DA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8DFC23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6B2BB0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4" w:type="pct"/>
            <w:noWrap/>
            <w:hideMark/>
          </w:tcPr>
          <w:p w14:paraId="06163F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1E90E1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w:t>
            </w:r>
          </w:p>
        </w:tc>
        <w:tc>
          <w:tcPr>
            <w:tcW w:w="134" w:type="pct"/>
            <w:noWrap/>
            <w:hideMark/>
          </w:tcPr>
          <w:p w14:paraId="3716D8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4" w:type="pct"/>
            <w:noWrap/>
            <w:hideMark/>
          </w:tcPr>
          <w:p w14:paraId="0275431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49</w:t>
            </w:r>
          </w:p>
        </w:tc>
        <w:tc>
          <w:tcPr>
            <w:tcW w:w="134" w:type="pct"/>
            <w:noWrap/>
            <w:hideMark/>
          </w:tcPr>
          <w:p w14:paraId="679A9A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3113B08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5B67D5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3966364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213D56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4" w:type="pct"/>
            <w:noWrap/>
            <w:hideMark/>
          </w:tcPr>
          <w:p w14:paraId="491C02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529E7BC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24FFB3E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00A63F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04E95D0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07A1D3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663D5B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5AE10D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06DA4B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7F8407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4" w:type="pct"/>
            <w:noWrap/>
            <w:hideMark/>
          </w:tcPr>
          <w:p w14:paraId="072AF0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15555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073157A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0AFC89B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4" w:type="pct"/>
            <w:noWrap/>
            <w:hideMark/>
          </w:tcPr>
          <w:p w14:paraId="153D235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6581172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4" w:type="pct"/>
            <w:noWrap/>
            <w:hideMark/>
          </w:tcPr>
          <w:p w14:paraId="2462BBA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7AC649F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22" w:type="pct"/>
            <w:noWrap/>
            <w:hideMark/>
          </w:tcPr>
          <w:p w14:paraId="240F6C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245" w:type="pct"/>
          </w:tcPr>
          <w:p w14:paraId="40670899" w14:textId="2E9C175D"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4212</w:t>
            </w:r>
          </w:p>
        </w:tc>
      </w:tr>
      <w:tr w:rsidR="00083FCD" w:rsidRPr="00C928F6" w14:paraId="5518BA54" w14:textId="29C912A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365C47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33</w:t>
            </w:r>
          </w:p>
        </w:tc>
        <w:tc>
          <w:tcPr>
            <w:tcW w:w="109" w:type="pct"/>
            <w:noWrap/>
            <w:hideMark/>
          </w:tcPr>
          <w:p w14:paraId="222EAE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73F9554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F4A1B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192017D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7F4075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6E928E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19D44CE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00968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4" w:type="pct"/>
            <w:noWrap/>
            <w:hideMark/>
          </w:tcPr>
          <w:p w14:paraId="29F29C1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5B5AAFE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30</w:t>
            </w:r>
          </w:p>
        </w:tc>
        <w:tc>
          <w:tcPr>
            <w:tcW w:w="134" w:type="pct"/>
            <w:noWrap/>
            <w:hideMark/>
          </w:tcPr>
          <w:p w14:paraId="411A902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4" w:type="pct"/>
            <w:noWrap/>
            <w:hideMark/>
          </w:tcPr>
          <w:p w14:paraId="331869D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51</w:t>
            </w:r>
          </w:p>
        </w:tc>
        <w:tc>
          <w:tcPr>
            <w:tcW w:w="134" w:type="pct"/>
            <w:noWrap/>
            <w:hideMark/>
          </w:tcPr>
          <w:p w14:paraId="4AA0BF0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13CE82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4" w:type="pct"/>
            <w:noWrap/>
            <w:hideMark/>
          </w:tcPr>
          <w:p w14:paraId="747189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4" w:type="pct"/>
            <w:noWrap/>
            <w:hideMark/>
          </w:tcPr>
          <w:p w14:paraId="42C119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131</w:t>
            </w:r>
          </w:p>
        </w:tc>
        <w:tc>
          <w:tcPr>
            <w:tcW w:w="134" w:type="pct"/>
            <w:noWrap/>
            <w:hideMark/>
          </w:tcPr>
          <w:p w14:paraId="050B79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166</w:t>
            </w:r>
          </w:p>
        </w:tc>
        <w:tc>
          <w:tcPr>
            <w:tcW w:w="134" w:type="pct"/>
            <w:noWrap/>
            <w:hideMark/>
          </w:tcPr>
          <w:p w14:paraId="244F60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143F0E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5225984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0750461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2D9DE02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4" w:type="pct"/>
            <w:noWrap/>
            <w:hideMark/>
          </w:tcPr>
          <w:p w14:paraId="1CAE40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4" w:type="pct"/>
            <w:noWrap/>
            <w:hideMark/>
          </w:tcPr>
          <w:p w14:paraId="63E45E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4B11C56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03CDF79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4" w:type="pct"/>
            <w:noWrap/>
            <w:hideMark/>
          </w:tcPr>
          <w:p w14:paraId="0FA08ED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1D9565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0761598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3CB4295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66A3E4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3873657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4" w:type="pct"/>
            <w:noWrap/>
            <w:hideMark/>
          </w:tcPr>
          <w:p w14:paraId="3E081E6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5884558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D0ECC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1DDEEC2" w14:textId="353927FF"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4178</w:t>
            </w:r>
          </w:p>
        </w:tc>
      </w:tr>
      <w:tr w:rsidR="0064565A" w:rsidRPr="00C928F6" w14:paraId="4547656B" w14:textId="1900D606"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0B10427"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34</w:t>
            </w:r>
          </w:p>
        </w:tc>
        <w:tc>
          <w:tcPr>
            <w:tcW w:w="109" w:type="pct"/>
            <w:noWrap/>
            <w:hideMark/>
          </w:tcPr>
          <w:p w14:paraId="11F92BA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1F0B82B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17A1E43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8BE08D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6D663D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63F36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4227AA1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06B572A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4" w:type="pct"/>
            <w:noWrap/>
            <w:hideMark/>
          </w:tcPr>
          <w:p w14:paraId="79FD186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7D9E4B8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3CC3B2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4" w:type="pct"/>
            <w:noWrap/>
            <w:hideMark/>
          </w:tcPr>
          <w:p w14:paraId="3AA8ED2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4" w:type="pct"/>
            <w:noWrap/>
            <w:hideMark/>
          </w:tcPr>
          <w:p w14:paraId="7D9EFE7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5795A48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22D6966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1D54DDD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4" w:type="pct"/>
            <w:noWrap/>
            <w:hideMark/>
          </w:tcPr>
          <w:p w14:paraId="5BCE39B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11893AC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166</w:t>
            </w:r>
          </w:p>
        </w:tc>
        <w:tc>
          <w:tcPr>
            <w:tcW w:w="134" w:type="pct"/>
            <w:noWrap/>
            <w:hideMark/>
          </w:tcPr>
          <w:p w14:paraId="58A0FCE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3313C3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18458FF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3FB00C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5FD035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213</w:t>
            </w:r>
          </w:p>
        </w:tc>
        <w:tc>
          <w:tcPr>
            <w:tcW w:w="134" w:type="pct"/>
            <w:noWrap/>
            <w:hideMark/>
          </w:tcPr>
          <w:p w14:paraId="51A7F6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3983B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721C51C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4379426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1DF4B1C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4F53C7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5C24CE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0B00B21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4" w:type="pct"/>
            <w:noWrap/>
            <w:hideMark/>
          </w:tcPr>
          <w:p w14:paraId="34BDFEF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77EC24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191</w:t>
            </w:r>
          </w:p>
        </w:tc>
        <w:tc>
          <w:tcPr>
            <w:tcW w:w="134" w:type="pct"/>
            <w:noWrap/>
            <w:hideMark/>
          </w:tcPr>
          <w:p w14:paraId="394C8DB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22" w:type="pct"/>
            <w:noWrap/>
            <w:hideMark/>
          </w:tcPr>
          <w:p w14:paraId="48E6473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01F6F1B" w14:textId="6CC039FA"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4128</w:t>
            </w:r>
          </w:p>
        </w:tc>
      </w:tr>
      <w:tr w:rsidR="00083FCD" w:rsidRPr="00C928F6" w14:paraId="5C8D955E" w14:textId="0B0B415A"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F0AA28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35</w:t>
            </w:r>
          </w:p>
        </w:tc>
        <w:tc>
          <w:tcPr>
            <w:tcW w:w="109" w:type="pct"/>
            <w:noWrap/>
            <w:hideMark/>
          </w:tcPr>
          <w:p w14:paraId="360AA52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516FCB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48D0564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7B8BB35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96C1BF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0379F39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7883341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5C72F5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414EAA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4" w:type="pct"/>
            <w:noWrap/>
            <w:hideMark/>
          </w:tcPr>
          <w:p w14:paraId="01F9599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4" w:type="pct"/>
            <w:noWrap/>
            <w:hideMark/>
          </w:tcPr>
          <w:p w14:paraId="55EE1D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2AE9652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4" w:type="pct"/>
            <w:noWrap/>
            <w:hideMark/>
          </w:tcPr>
          <w:p w14:paraId="56D9AC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4" w:type="pct"/>
            <w:noWrap/>
            <w:hideMark/>
          </w:tcPr>
          <w:p w14:paraId="77C92F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4" w:type="pct"/>
            <w:noWrap/>
            <w:hideMark/>
          </w:tcPr>
          <w:p w14:paraId="7C3B373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4" w:type="pct"/>
            <w:noWrap/>
            <w:hideMark/>
          </w:tcPr>
          <w:p w14:paraId="06C31DD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4" w:type="pct"/>
            <w:noWrap/>
            <w:hideMark/>
          </w:tcPr>
          <w:p w14:paraId="065D87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4" w:type="pct"/>
            <w:noWrap/>
            <w:hideMark/>
          </w:tcPr>
          <w:p w14:paraId="4D156F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4A74A64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167</w:t>
            </w:r>
          </w:p>
        </w:tc>
        <w:tc>
          <w:tcPr>
            <w:tcW w:w="134" w:type="pct"/>
            <w:noWrap/>
            <w:hideMark/>
          </w:tcPr>
          <w:p w14:paraId="781AD1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37E1E75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7074E8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4FFD90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4" w:type="pct"/>
            <w:noWrap/>
            <w:hideMark/>
          </w:tcPr>
          <w:p w14:paraId="4DA118E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3845D95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6AAEF27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549954C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1955B54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08172E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4" w:type="pct"/>
            <w:noWrap/>
            <w:hideMark/>
          </w:tcPr>
          <w:p w14:paraId="7C5114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4" w:type="pct"/>
            <w:noWrap/>
            <w:hideMark/>
          </w:tcPr>
          <w:p w14:paraId="4D9AEFB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4BEB934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277EDD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205</w:t>
            </w:r>
          </w:p>
        </w:tc>
        <w:tc>
          <w:tcPr>
            <w:tcW w:w="134" w:type="pct"/>
            <w:noWrap/>
            <w:hideMark/>
          </w:tcPr>
          <w:p w14:paraId="49145E4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22" w:type="pct"/>
            <w:noWrap/>
            <w:hideMark/>
          </w:tcPr>
          <w:p w14:paraId="2D70D44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245" w:type="pct"/>
          </w:tcPr>
          <w:p w14:paraId="49D6C959" w14:textId="257D0B95"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4063</w:t>
            </w:r>
          </w:p>
        </w:tc>
      </w:tr>
    </w:tbl>
    <w:p w14:paraId="4BD13A36" w14:textId="77777777" w:rsidR="00C928F6" w:rsidRPr="008163A2" w:rsidRDefault="00C928F6" w:rsidP="00BB3D46">
      <w:pPr>
        <w:rPr>
          <w:rFonts w:asciiTheme="minorHAnsi" w:hAnsiTheme="minorHAnsi" w:cstheme="minorHAnsi"/>
          <w:sz w:val="20"/>
          <w:szCs w:val="20"/>
        </w:rPr>
      </w:pPr>
    </w:p>
    <w:p w14:paraId="24600503" w14:textId="3FF39A56" w:rsidR="00C928F6" w:rsidRDefault="00C928F6">
      <w:pPr>
        <w:spacing w:line="259" w:lineRule="auto"/>
      </w:pPr>
      <w:r>
        <w:br w:type="page"/>
      </w:r>
    </w:p>
    <w:p w14:paraId="1D487E15" w14:textId="6153E517" w:rsidR="00C928F6" w:rsidRDefault="00C928F6" w:rsidP="00C928F6">
      <w:pPr>
        <w:pStyle w:val="Tablefigureheading"/>
      </w:pPr>
      <w:bookmarkStart w:id="264" w:name="_Toc153795500"/>
      <w:r w:rsidRPr="00930D6A">
        <w:lastRenderedPageBreak/>
        <w:t xml:space="preserve">Table </w:t>
      </w:r>
      <w:fldSimple w:instr=" SEQ Table \* ARABIC ">
        <w:r w:rsidR="005E58C6">
          <w:rPr>
            <w:noProof/>
          </w:rPr>
          <w:t>12</w:t>
        </w:r>
      </w:fldSimple>
      <w:r w:rsidRPr="00930D6A">
        <w:t>: Expected reduction in casualty crashes under Option</w:t>
      </w:r>
      <w:r>
        <w:t xml:space="preserve"> 3a</w:t>
      </w:r>
      <w:bookmarkEnd w:id="264"/>
    </w:p>
    <w:tbl>
      <w:tblPr>
        <w:tblStyle w:val="DefaultTable11"/>
        <w:tblW w:w="5000" w:type="pct"/>
        <w:tblLook w:val="04A0" w:firstRow="1" w:lastRow="0" w:firstColumn="1" w:lastColumn="0" w:noHBand="0" w:noVBand="1"/>
      </w:tblPr>
      <w:tblGrid>
        <w:gridCol w:w="822"/>
        <w:gridCol w:w="379"/>
        <w:gridCol w:w="456"/>
        <w:gridCol w:w="562"/>
        <w:gridCol w:w="562"/>
        <w:gridCol w:w="562"/>
        <w:gridCol w:w="562"/>
        <w:gridCol w:w="562"/>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10"/>
        <w:gridCol w:w="1135"/>
      </w:tblGrid>
      <w:tr w:rsidR="0064565A" w:rsidRPr="00C928F6" w14:paraId="5697F2EA" w14:textId="092A0388" w:rsidTr="00C928F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CC6B2AE" w14:textId="28A78553" w:rsidR="00C928F6" w:rsidRPr="008163A2" w:rsidRDefault="00C928F6" w:rsidP="00C928F6">
            <w:pPr>
              <w:spacing w:after="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xml:space="preserve"> Year </w:t>
            </w:r>
          </w:p>
        </w:tc>
        <w:tc>
          <w:tcPr>
            <w:tcW w:w="89" w:type="pct"/>
            <w:noWrap/>
            <w:hideMark/>
          </w:tcPr>
          <w:p w14:paraId="3DC1628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w:t>
            </w:r>
          </w:p>
        </w:tc>
        <w:tc>
          <w:tcPr>
            <w:tcW w:w="107" w:type="pct"/>
            <w:noWrap/>
            <w:hideMark/>
          </w:tcPr>
          <w:p w14:paraId="3EED9A0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w:t>
            </w:r>
          </w:p>
        </w:tc>
        <w:tc>
          <w:tcPr>
            <w:tcW w:w="132" w:type="pct"/>
            <w:noWrap/>
            <w:hideMark/>
          </w:tcPr>
          <w:p w14:paraId="3C3BC9B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w:t>
            </w:r>
          </w:p>
        </w:tc>
        <w:tc>
          <w:tcPr>
            <w:tcW w:w="132" w:type="pct"/>
            <w:noWrap/>
            <w:hideMark/>
          </w:tcPr>
          <w:p w14:paraId="5CB6B8B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4</w:t>
            </w:r>
          </w:p>
        </w:tc>
        <w:tc>
          <w:tcPr>
            <w:tcW w:w="132" w:type="pct"/>
            <w:noWrap/>
            <w:hideMark/>
          </w:tcPr>
          <w:p w14:paraId="68D91DA5"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5</w:t>
            </w:r>
          </w:p>
        </w:tc>
        <w:tc>
          <w:tcPr>
            <w:tcW w:w="132" w:type="pct"/>
            <w:noWrap/>
            <w:hideMark/>
          </w:tcPr>
          <w:p w14:paraId="6C53229F"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6</w:t>
            </w:r>
          </w:p>
        </w:tc>
        <w:tc>
          <w:tcPr>
            <w:tcW w:w="132" w:type="pct"/>
            <w:noWrap/>
            <w:hideMark/>
          </w:tcPr>
          <w:p w14:paraId="4C642C3E"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7</w:t>
            </w:r>
          </w:p>
        </w:tc>
        <w:tc>
          <w:tcPr>
            <w:tcW w:w="132" w:type="pct"/>
            <w:noWrap/>
            <w:hideMark/>
          </w:tcPr>
          <w:p w14:paraId="3A02116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8</w:t>
            </w:r>
          </w:p>
        </w:tc>
        <w:tc>
          <w:tcPr>
            <w:tcW w:w="132" w:type="pct"/>
            <w:noWrap/>
            <w:hideMark/>
          </w:tcPr>
          <w:p w14:paraId="7C617B52"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9</w:t>
            </w:r>
          </w:p>
        </w:tc>
        <w:tc>
          <w:tcPr>
            <w:tcW w:w="132" w:type="pct"/>
            <w:noWrap/>
            <w:hideMark/>
          </w:tcPr>
          <w:p w14:paraId="42C4E4C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10</w:t>
            </w:r>
          </w:p>
        </w:tc>
        <w:tc>
          <w:tcPr>
            <w:tcW w:w="132" w:type="pct"/>
            <w:noWrap/>
            <w:hideMark/>
          </w:tcPr>
          <w:p w14:paraId="1688DCF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11</w:t>
            </w:r>
          </w:p>
        </w:tc>
        <w:tc>
          <w:tcPr>
            <w:tcW w:w="132" w:type="pct"/>
            <w:noWrap/>
            <w:hideMark/>
          </w:tcPr>
          <w:p w14:paraId="1B90C3B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12</w:t>
            </w:r>
          </w:p>
        </w:tc>
        <w:tc>
          <w:tcPr>
            <w:tcW w:w="132" w:type="pct"/>
            <w:noWrap/>
            <w:hideMark/>
          </w:tcPr>
          <w:p w14:paraId="1BB05BB5"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13</w:t>
            </w:r>
          </w:p>
        </w:tc>
        <w:tc>
          <w:tcPr>
            <w:tcW w:w="132" w:type="pct"/>
            <w:noWrap/>
            <w:hideMark/>
          </w:tcPr>
          <w:p w14:paraId="57BAF2A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14</w:t>
            </w:r>
          </w:p>
        </w:tc>
        <w:tc>
          <w:tcPr>
            <w:tcW w:w="132" w:type="pct"/>
            <w:noWrap/>
            <w:hideMark/>
          </w:tcPr>
          <w:p w14:paraId="39FB46C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15</w:t>
            </w:r>
          </w:p>
        </w:tc>
        <w:tc>
          <w:tcPr>
            <w:tcW w:w="132" w:type="pct"/>
            <w:noWrap/>
            <w:hideMark/>
          </w:tcPr>
          <w:p w14:paraId="77D75240"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16</w:t>
            </w:r>
          </w:p>
        </w:tc>
        <w:tc>
          <w:tcPr>
            <w:tcW w:w="132" w:type="pct"/>
            <w:noWrap/>
            <w:hideMark/>
          </w:tcPr>
          <w:p w14:paraId="1A7B5B2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17</w:t>
            </w:r>
          </w:p>
        </w:tc>
        <w:tc>
          <w:tcPr>
            <w:tcW w:w="132" w:type="pct"/>
            <w:noWrap/>
            <w:hideMark/>
          </w:tcPr>
          <w:p w14:paraId="0964FBC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18</w:t>
            </w:r>
          </w:p>
        </w:tc>
        <w:tc>
          <w:tcPr>
            <w:tcW w:w="132" w:type="pct"/>
            <w:noWrap/>
            <w:hideMark/>
          </w:tcPr>
          <w:p w14:paraId="021AD60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19</w:t>
            </w:r>
          </w:p>
        </w:tc>
        <w:tc>
          <w:tcPr>
            <w:tcW w:w="132" w:type="pct"/>
            <w:noWrap/>
            <w:hideMark/>
          </w:tcPr>
          <w:p w14:paraId="5A90DBB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20</w:t>
            </w:r>
          </w:p>
        </w:tc>
        <w:tc>
          <w:tcPr>
            <w:tcW w:w="132" w:type="pct"/>
            <w:noWrap/>
            <w:hideMark/>
          </w:tcPr>
          <w:p w14:paraId="024A2F9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21</w:t>
            </w:r>
          </w:p>
        </w:tc>
        <w:tc>
          <w:tcPr>
            <w:tcW w:w="132" w:type="pct"/>
            <w:noWrap/>
            <w:hideMark/>
          </w:tcPr>
          <w:p w14:paraId="731157A0"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22</w:t>
            </w:r>
          </w:p>
        </w:tc>
        <w:tc>
          <w:tcPr>
            <w:tcW w:w="132" w:type="pct"/>
            <w:noWrap/>
            <w:hideMark/>
          </w:tcPr>
          <w:p w14:paraId="7B5B7AC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23</w:t>
            </w:r>
          </w:p>
        </w:tc>
        <w:tc>
          <w:tcPr>
            <w:tcW w:w="132" w:type="pct"/>
            <w:noWrap/>
            <w:hideMark/>
          </w:tcPr>
          <w:p w14:paraId="7F830DF8"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24</w:t>
            </w:r>
          </w:p>
        </w:tc>
        <w:tc>
          <w:tcPr>
            <w:tcW w:w="132" w:type="pct"/>
            <w:noWrap/>
            <w:hideMark/>
          </w:tcPr>
          <w:p w14:paraId="61BBDAE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25</w:t>
            </w:r>
          </w:p>
        </w:tc>
        <w:tc>
          <w:tcPr>
            <w:tcW w:w="132" w:type="pct"/>
            <w:noWrap/>
            <w:hideMark/>
          </w:tcPr>
          <w:p w14:paraId="7EC9BAD6"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26</w:t>
            </w:r>
          </w:p>
        </w:tc>
        <w:tc>
          <w:tcPr>
            <w:tcW w:w="132" w:type="pct"/>
            <w:noWrap/>
            <w:hideMark/>
          </w:tcPr>
          <w:p w14:paraId="1C11ABA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27</w:t>
            </w:r>
          </w:p>
        </w:tc>
        <w:tc>
          <w:tcPr>
            <w:tcW w:w="132" w:type="pct"/>
            <w:noWrap/>
            <w:hideMark/>
          </w:tcPr>
          <w:p w14:paraId="6CF35F6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28</w:t>
            </w:r>
          </w:p>
        </w:tc>
        <w:tc>
          <w:tcPr>
            <w:tcW w:w="132" w:type="pct"/>
            <w:noWrap/>
            <w:hideMark/>
          </w:tcPr>
          <w:p w14:paraId="4FA04A5C"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29</w:t>
            </w:r>
          </w:p>
        </w:tc>
        <w:tc>
          <w:tcPr>
            <w:tcW w:w="132" w:type="pct"/>
            <w:noWrap/>
            <w:hideMark/>
          </w:tcPr>
          <w:p w14:paraId="53519824"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30</w:t>
            </w:r>
          </w:p>
        </w:tc>
        <w:tc>
          <w:tcPr>
            <w:tcW w:w="132" w:type="pct"/>
            <w:noWrap/>
            <w:hideMark/>
          </w:tcPr>
          <w:p w14:paraId="7C468C6B"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31</w:t>
            </w:r>
          </w:p>
        </w:tc>
        <w:tc>
          <w:tcPr>
            <w:tcW w:w="132" w:type="pct"/>
            <w:noWrap/>
            <w:hideMark/>
          </w:tcPr>
          <w:p w14:paraId="3985E1E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32</w:t>
            </w:r>
          </w:p>
        </w:tc>
        <w:tc>
          <w:tcPr>
            <w:tcW w:w="132" w:type="pct"/>
            <w:noWrap/>
            <w:hideMark/>
          </w:tcPr>
          <w:p w14:paraId="60392114"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33</w:t>
            </w:r>
          </w:p>
        </w:tc>
        <w:tc>
          <w:tcPr>
            <w:tcW w:w="132" w:type="pct"/>
            <w:noWrap/>
            <w:hideMark/>
          </w:tcPr>
          <w:p w14:paraId="0AB6F042"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34</w:t>
            </w:r>
          </w:p>
        </w:tc>
        <w:tc>
          <w:tcPr>
            <w:tcW w:w="120" w:type="pct"/>
            <w:noWrap/>
            <w:hideMark/>
          </w:tcPr>
          <w:p w14:paraId="272BCE5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35</w:t>
            </w:r>
          </w:p>
        </w:tc>
        <w:tc>
          <w:tcPr>
            <w:tcW w:w="267" w:type="pct"/>
          </w:tcPr>
          <w:p w14:paraId="2BD62331" w14:textId="454406E7" w:rsidR="00C928F6" w:rsidRPr="008163A2" w:rsidRDefault="00C928F6"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Crashes avoided</w:t>
            </w:r>
          </w:p>
        </w:tc>
      </w:tr>
      <w:tr w:rsidR="00083FCD" w:rsidRPr="00C928F6" w14:paraId="738AD630" w14:textId="48564F7E"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E4ED8E5"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w:t>
            </w:r>
          </w:p>
        </w:tc>
        <w:tc>
          <w:tcPr>
            <w:tcW w:w="89" w:type="pct"/>
            <w:noWrap/>
            <w:hideMark/>
          </w:tcPr>
          <w:p w14:paraId="51E393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229F36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0F4D6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BE0D0C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AB67AD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593A9C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CE514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6B3F31F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726D3C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63AF59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8FCC8E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4B4DA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937047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EB3BB7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02BF4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142B59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73E37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8DF5B1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BB5FC1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F95A2F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A9929E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0E882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2DA494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B3972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5DDCBD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38E2BAD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6D27D1D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BA9A38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5F3797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0886A02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FBA78D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FBAC24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ABCB0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3CE1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20" w:type="pct"/>
            <w:noWrap/>
            <w:hideMark/>
          </w:tcPr>
          <w:p w14:paraId="63EF6F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267" w:type="pct"/>
          </w:tcPr>
          <w:p w14:paraId="32347967" w14:textId="4C37B4B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0</w:t>
            </w:r>
          </w:p>
        </w:tc>
      </w:tr>
      <w:tr w:rsidR="0064565A" w:rsidRPr="00C928F6" w14:paraId="39ACE407" w14:textId="29F229D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047F2A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w:t>
            </w:r>
          </w:p>
        </w:tc>
        <w:tc>
          <w:tcPr>
            <w:tcW w:w="89" w:type="pct"/>
            <w:noWrap/>
            <w:hideMark/>
          </w:tcPr>
          <w:p w14:paraId="533433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49B342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212BFBC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67E68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048B7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66F85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5236F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126F6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48909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DEF5D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896FB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90F94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B731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E050C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87B2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D666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2F01A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600E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0A0DD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C2618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2533B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C3DD6F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6D63C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99A83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D7983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F7DD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EB492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61406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F123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AD8F1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ACD35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3459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6C3CC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63CB1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5744CA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4A3CED02" w14:textId="101DBBF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8</w:t>
            </w:r>
          </w:p>
        </w:tc>
      </w:tr>
      <w:tr w:rsidR="00083FCD" w:rsidRPr="00C928F6" w14:paraId="65A8AB3B" w14:textId="52B0F836"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8B4C014"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w:t>
            </w:r>
          </w:p>
        </w:tc>
        <w:tc>
          <w:tcPr>
            <w:tcW w:w="89" w:type="pct"/>
            <w:noWrap/>
            <w:hideMark/>
          </w:tcPr>
          <w:p w14:paraId="093989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F5AAD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54BF3E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2" w:type="pct"/>
            <w:noWrap/>
            <w:hideMark/>
          </w:tcPr>
          <w:p w14:paraId="47DDD6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8456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FBE78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EF0B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9CE4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FE3AB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00F7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FD57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113BE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341EC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8E91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76D5B6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58A5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C1091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868C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CDA4B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353BE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46E5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D1EEC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C1E11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53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164A6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31D01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09382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BB3D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25E20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5DE1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96DD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AF85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A8FE0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125BF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02279D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6A2F100C" w14:textId="5FC08529"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55</w:t>
            </w:r>
          </w:p>
        </w:tc>
      </w:tr>
      <w:tr w:rsidR="0064565A" w:rsidRPr="00C928F6" w14:paraId="62CB55FB" w14:textId="122664BB"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2BDED6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4</w:t>
            </w:r>
          </w:p>
        </w:tc>
        <w:tc>
          <w:tcPr>
            <w:tcW w:w="89" w:type="pct"/>
            <w:noWrap/>
            <w:hideMark/>
          </w:tcPr>
          <w:p w14:paraId="1B489CD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BB504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A777EC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548309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2" w:type="pct"/>
            <w:noWrap/>
            <w:hideMark/>
          </w:tcPr>
          <w:p w14:paraId="4D7D4B5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C099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CDD39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3B06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7ACA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A5191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C0DAE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99BAC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9A0859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30FAD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1505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8B185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3220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278FA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BDDC8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C29E2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3A405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C250D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A3699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17D0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FAF52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0A42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A9B37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5775F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55370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C1D0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61313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AAB96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970F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29BB9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4B0D92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65F322B0" w14:textId="77C169F5"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151</w:t>
            </w:r>
          </w:p>
        </w:tc>
      </w:tr>
      <w:tr w:rsidR="00083FCD" w:rsidRPr="00C928F6" w14:paraId="205783E9" w14:textId="589A803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DAE78F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5</w:t>
            </w:r>
          </w:p>
        </w:tc>
        <w:tc>
          <w:tcPr>
            <w:tcW w:w="89" w:type="pct"/>
            <w:noWrap/>
            <w:hideMark/>
          </w:tcPr>
          <w:p w14:paraId="196476F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E34177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6F757CE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0946BFF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2" w:type="pct"/>
            <w:noWrap/>
            <w:hideMark/>
          </w:tcPr>
          <w:p w14:paraId="7A3ED97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44</w:t>
            </w:r>
          </w:p>
        </w:tc>
        <w:tc>
          <w:tcPr>
            <w:tcW w:w="132" w:type="pct"/>
            <w:noWrap/>
            <w:hideMark/>
          </w:tcPr>
          <w:p w14:paraId="5829A4A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09EE01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08372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39FBF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82F56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CB09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F00E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3236F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72AF0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B102C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C423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7F82E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CD55D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639FC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F5054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D793C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14C71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C9D28A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2C64F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29D4E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D8BFD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44578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DD8C8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66399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5BC489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38E6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EBBD5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CB3D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FF2B8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13599B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A366D37" w14:textId="520AC3B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267</w:t>
            </w:r>
          </w:p>
        </w:tc>
      </w:tr>
      <w:tr w:rsidR="0064565A" w:rsidRPr="00C928F6" w14:paraId="57BF3B97" w14:textId="02E7842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86C477A"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6</w:t>
            </w:r>
          </w:p>
        </w:tc>
        <w:tc>
          <w:tcPr>
            <w:tcW w:w="89" w:type="pct"/>
            <w:noWrap/>
            <w:hideMark/>
          </w:tcPr>
          <w:p w14:paraId="4CFEF84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C867C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E603EE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4D5943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2" w:type="pct"/>
            <w:noWrap/>
            <w:hideMark/>
          </w:tcPr>
          <w:p w14:paraId="747ECEB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118</w:t>
            </w:r>
          </w:p>
        </w:tc>
        <w:tc>
          <w:tcPr>
            <w:tcW w:w="132" w:type="pct"/>
            <w:noWrap/>
            <w:hideMark/>
          </w:tcPr>
          <w:p w14:paraId="3FCD97E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2" w:type="pct"/>
            <w:noWrap/>
            <w:hideMark/>
          </w:tcPr>
          <w:p w14:paraId="4D4852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8668F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75779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78B31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C5DA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212A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79AC7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DABC6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7BA85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F51BE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C3BEC5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E5CE3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26132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BA08A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EAB2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D67A8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2796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CF8B2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197E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14FF9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9DCFF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412D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7957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0BFD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B14C15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4B24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02E7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9311C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511CC5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06C6BA0C" w14:textId="0202B938"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398</w:t>
            </w:r>
          </w:p>
        </w:tc>
      </w:tr>
      <w:tr w:rsidR="00083FCD" w:rsidRPr="00C928F6" w14:paraId="48F9FECD" w14:textId="470550F4"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E5DE37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7</w:t>
            </w:r>
          </w:p>
        </w:tc>
        <w:tc>
          <w:tcPr>
            <w:tcW w:w="89" w:type="pct"/>
            <w:noWrap/>
            <w:hideMark/>
          </w:tcPr>
          <w:p w14:paraId="52EC8E1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131EB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708DDB3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0D20E3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110</w:t>
            </w:r>
          </w:p>
        </w:tc>
        <w:tc>
          <w:tcPr>
            <w:tcW w:w="132" w:type="pct"/>
            <w:noWrap/>
            <w:hideMark/>
          </w:tcPr>
          <w:p w14:paraId="41C055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0A9F2D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2" w:type="pct"/>
            <w:noWrap/>
            <w:hideMark/>
          </w:tcPr>
          <w:p w14:paraId="17AD36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2" w:type="pct"/>
            <w:noWrap/>
            <w:hideMark/>
          </w:tcPr>
          <w:p w14:paraId="6B0C6C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9DD52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063F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ABB72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28D83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FB7BA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C4B7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C820A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9A4DD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A7EA8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DDC95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82B9B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1BA5E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AB7810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DCDC2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F6A76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7FD43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FDCAC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590AF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0745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0060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75E9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9530F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841F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AB5FB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7971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11D28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4EC7259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1FF7ADB" w14:textId="3D88513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547</w:t>
            </w:r>
          </w:p>
        </w:tc>
      </w:tr>
      <w:tr w:rsidR="0064565A" w:rsidRPr="00C928F6" w14:paraId="4D221F62" w14:textId="2FB9490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9B0DC5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8</w:t>
            </w:r>
          </w:p>
        </w:tc>
        <w:tc>
          <w:tcPr>
            <w:tcW w:w="89" w:type="pct"/>
            <w:noWrap/>
            <w:hideMark/>
          </w:tcPr>
          <w:p w14:paraId="51027FC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7EBC9C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5BA8E01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2" w:type="pct"/>
            <w:noWrap/>
            <w:hideMark/>
          </w:tcPr>
          <w:p w14:paraId="78AA85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40E114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15C9B0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758115D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2" w:type="pct"/>
            <w:noWrap/>
            <w:hideMark/>
          </w:tcPr>
          <w:p w14:paraId="742EC7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62</w:t>
            </w:r>
          </w:p>
        </w:tc>
        <w:tc>
          <w:tcPr>
            <w:tcW w:w="132" w:type="pct"/>
            <w:noWrap/>
            <w:hideMark/>
          </w:tcPr>
          <w:p w14:paraId="41B495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D799E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38F7C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878A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75E3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45D7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67E3A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941A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BA8BB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8F2A1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4EDE8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BB5B3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A686E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92EB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725F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B67D1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E9109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2DCC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1CF96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9967F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3676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58B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7641E2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E5B36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2167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7BC46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02B6D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7232FEF5" w14:textId="31A17E5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715</w:t>
            </w:r>
          </w:p>
        </w:tc>
      </w:tr>
      <w:tr w:rsidR="00083FCD" w:rsidRPr="00C928F6" w14:paraId="055D5411" w14:textId="32826EF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11ACEB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9</w:t>
            </w:r>
          </w:p>
        </w:tc>
        <w:tc>
          <w:tcPr>
            <w:tcW w:w="89" w:type="pct"/>
            <w:noWrap/>
            <w:hideMark/>
          </w:tcPr>
          <w:p w14:paraId="6C7818D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65DE7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6B7FE7F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2" w:type="pct"/>
            <w:noWrap/>
            <w:hideMark/>
          </w:tcPr>
          <w:p w14:paraId="24F2CAE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2" w:type="pct"/>
            <w:noWrap/>
            <w:hideMark/>
          </w:tcPr>
          <w:p w14:paraId="115E76D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700263D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26BDC0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588F80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144D84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68</w:t>
            </w:r>
          </w:p>
        </w:tc>
        <w:tc>
          <w:tcPr>
            <w:tcW w:w="132" w:type="pct"/>
            <w:noWrap/>
            <w:hideMark/>
          </w:tcPr>
          <w:p w14:paraId="7CEF72F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1B708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B81D5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E4A84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DB18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58DE5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F57AFE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46FD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F4337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BC37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FB1A2E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C409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7BAF3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1845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31269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A225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8D42B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45DF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A3686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E864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6BEC7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5C398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169EE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DB78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B5819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738B3F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0E87AA9" w14:textId="1B78665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891</w:t>
            </w:r>
          </w:p>
        </w:tc>
      </w:tr>
      <w:tr w:rsidR="0064565A" w:rsidRPr="00C928F6" w14:paraId="4F4D7B78" w14:textId="7C17119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86EC646"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10</w:t>
            </w:r>
          </w:p>
        </w:tc>
        <w:tc>
          <w:tcPr>
            <w:tcW w:w="89" w:type="pct"/>
            <w:noWrap/>
            <w:hideMark/>
          </w:tcPr>
          <w:p w14:paraId="7CB94AC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B77F02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3457C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4BD7AD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2C15C04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2" w:type="pct"/>
            <w:noWrap/>
            <w:hideMark/>
          </w:tcPr>
          <w:p w14:paraId="597E62B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2" w:type="pct"/>
            <w:noWrap/>
            <w:hideMark/>
          </w:tcPr>
          <w:p w14:paraId="609E218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2" w:type="pct"/>
            <w:noWrap/>
            <w:hideMark/>
          </w:tcPr>
          <w:p w14:paraId="2D784AF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2" w:type="pct"/>
            <w:noWrap/>
            <w:hideMark/>
          </w:tcPr>
          <w:p w14:paraId="7AE014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2" w:type="pct"/>
            <w:noWrap/>
            <w:hideMark/>
          </w:tcPr>
          <w:p w14:paraId="01713D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70555A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89F94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2C75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B5D9B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6E5E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19375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6DACF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90B42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5C952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D320E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A33EE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B0E1B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D0BD8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03511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4A94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31E4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07B1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352EB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4E378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AB4814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D0F8E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E8B96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1CE92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293D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C1651D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C0BEEC2" w14:textId="74F9BFF5"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1081</w:t>
            </w:r>
          </w:p>
        </w:tc>
      </w:tr>
      <w:tr w:rsidR="00083FCD" w:rsidRPr="00C928F6" w14:paraId="77C4C726" w14:textId="014F1728"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A867B70"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11</w:t>
            </w:r>
          </w:p>
        </w:tc>
        <w:tc>
          <w:tcPr>
            <w:tcW w:w="89" w:type="pct"/>
            <w:noWrap/>
            <w:hideMark/>
          </w:tcPr>
          <w:p w14:paraId="443A778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207D8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51FBF1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96A220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07A8B6F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121</w:t>
            </w:r>
          </w:p>
        </w:tc>
        <w:tc>
          <w:tcPr>
            <w:tcW w:w="132" w:type="pct"/>
            <w:noWrap/>
            <w:hideMark/>
          </w:tcPr>
          <w:p w14:paraId="6E81148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150</w:t>
            </w:r>
          </w:p>
        </w:tc>
        <w:tc>
          <w:tcPr>
            <w:tcW w:w="132" w:type="pct"/>
            <w:noWrap/>
            <w:hideMark/>
          </w:tcPr>
          <w:p w14:paraId="68FE3CB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7C6CFE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7C6C0DD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2" w:type="pct"/>
            <w:noWrap/>
            <w:hideMark/>
          </w:tcPr>
          <w:p w14:paraId="585B40C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2" w:type="pct"/>
            <w:noWrap/>
            <w:hideMark/>
          </w:tcPr>
          <w:p w14:paraId="3FD0E62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2" w:type="pct"/>
            <w:noWrap/>
            <w:hideMark/>
          </w:tcPr>
          <w:p w14:paraId="4C19B0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8FF65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E9580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376E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56A00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468B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554A1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8E0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8ED29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30885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BEB9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A7084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F46B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B99A1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5A56C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C0D18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325CA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19C9F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64D07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9EE5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E227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10B2B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A59A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81BA63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2380AAF" w14:textId="2C462359"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1293</w:t>
            </w:r>
          </w:p>
        </w:tc>
      </w:tr>
      <w:tr w:rsidR="0064565A" w:rsidRPr="00C928F6" w14:paraId="3013CF5C" w14:textId="278F2292"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318F2F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12</w:t>
            </w:r>
          </w:p>
        </w:tc>
        <w:tc>
          <w:tcPr>
            <w:tcW w:w="89" w:type="pct"/>
            <w:noWrap/>
            <w:hideMark/>
          </w:tcPr>
          <w:p w14:paraId="7F2DD8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CE31FF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504E2B5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61E2401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2" w:type="pct"/>
            <w:noWrap/>
            <w:hideMark/>
          </w:tcPr>
          <w:p w14:paraId="3FC179C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7C690BA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64F0C9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045CF6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2" w:type="pct"/>
            <w:noWrap/>
            <w:hideMark/>
          </w:tcPr>
          <w:p w14:paraId="7D73CC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193</w:t>
            </w:r>
          </w:p>
        </w:tc>
        <w:tc>
          <w:tcPr>
            <w:tcW w:w="132" w:type="pct"/>
            <w:noWrap/>
            <w:hideMark/>
          </w:tcPr>
          <w:p w14:paraId="5E7D96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12F8036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2" w:type="pct"/>
            <w:noWrap/>
            <w:hideMark/>
          </w:tcPr>
          <w:p w14:paraId="4FA7A7A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6DD7FA6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1AE0C8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223E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BBF0F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186F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83024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FBDB4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17F91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BB36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1E1CA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3F25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999836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53227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5F235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DB02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EA20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DFA4C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C1136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12173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E1210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1D033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11192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4FF455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92DF02A" w14:textId="19C6E53A"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1515</w:t>
            </w:r>
          </w:p>
        </w:tc>
      </w:tr>
      <w:tr w:rsidR="00083FCD" w:rsidRPr="00C928F6" w14:paraId="64F44249" w14:textId="65C4E8A3"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306C21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13</w:t>
            </w:r>
          </w:p>
        </w:tc>
        <w:tc>
          <w:tcPr>
            <w:tcW w:w="89" w:type="pct"/>
            <w:noWrap/>
            <w:hideMark/>
          </w:tcPr>
          <w:p w14:paraId="35515C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D61F9E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02BC93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176E5A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2" w:type="pct"/>
            <w:noWrap/>
            <w:hideMark/>
          </w:tcPr>
          <w:p w14:paraId="7F9033A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5A19C07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28FA78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2" w:type="pct"/>
            <w:noWrap/>
            <w:hideMark/>
          </w:tcPr>
          <w:p w14:paraId="2BE68D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2" w:type="pct"/>
            <w:noWrap/>
            <w:hideMark/>
          </w:tcPr>
          <w:p w14:paraId="46CB50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2" w:type="pct"/>
            <w:noWrap/>
            <w:hideMark/>
          </w:tcPr>
          <w:p w14:paraId="00ED84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330A60A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2" w:type="pct"/>
            <w:noWrap/>
            <w:hideMark/>
          </w:tcPr>
          <w:p w14:paraId="302A317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2" w:type="pct"/>
            <w:noWrap/>
            <w:hideMark/>
          </w:tcPr>
          <w:p w14:paraId="5DB8AF4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2" w:type="pct"/>
            <w:noWrap/>
            <w:hideMark/>
          </w:tcPr>
          <w:p w14:paraId="112947D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B4F93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CA6A9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68A73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E4641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DFADA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15B2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6C4E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5FB4C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A7F81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E4FB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D83992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97376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36044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4FBE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4004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8189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D3CD6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7B57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CC88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9BB6E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AC5E5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E1DA695" w14:textId="7E54980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1741</w:t>
            </w:r>
          </w:p>
        </w:tc>
      </w:tr>
      <w:tr w:rsidR="0064565A" w:rsidRPr="00C928F6" w14:paraId="3BC585A9" w14:textId="10A8568C"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99FCAC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14</w:t>
            </w:r>
          </w:p>
        </w:tc>
        <w:tc>
          <w:tcPr>
            <w:tcW w:w="89" w:type="pct"/>
            <w:noWrap/>
            <w:hideMark/>
          </w:tcPr>
          <w:p w14:paraId="523403F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08937B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1B2AE2D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574CFB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99</w:t>
            </w:r>
          </w:p>
        </w:tc>
        <w:tc>
          <w:tcPr>
            <w:tcW w:w="132" w:type="pct"/>
            <w:noWrap/>
            <w:hideMark/>
          </w:tcPr>
          <w:p w14:paraId="3F5AC8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123</w:t>
            </w:r>
          </w:p>
        </w:tc>
        <w:tc>
          <w:tcPr>
            <w:tcW w:w="132" w:type="pct"/>
            <w:noWrap/>
            <w:hideMark/>
          </w:tcPr>
          <w:p w14:paraId="18BC82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12E7C4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606414E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169</w:t>
            </w:r>
          </w:p>
        </w:tc>
        <w:tc>
          <w:tcPr>
            <w:tcW w:w="132" w:type="pct"/>
            <w:noWrap/>
            <w:hideMark/>
          </w:tcPr>
          <w:p w14:paraId="7A8286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203</w:t>
            </w:r>
          </w:p>
        </w:tc>
        <w:tc>
          <w:tcPr>
            <w:tcW w:w="132" w:type="pct"/>
            <w:noWrap/>
            <w:hideMark/>
          </w:tcPr>
          <w:p w14:paraId="7C6E0F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25461A0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0D6096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2" w:type="pct"/>
            <w:noWrap/>
            <w:hideMark/>
          </w:tcPr>
          <w:p w14:paraId="4D6DC8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2" w:type="pct"/>
            <w:noWrap/>
            <w:hideMark/>
          </w:tcPr>
          <w:p w14:paraId="07B1273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323A77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1848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99523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F4B97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7BD2C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5156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605C4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C061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5A692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80F24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DB8A5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45667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D3087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7F7DF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4B9B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A4DFA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254E9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446B1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CD3D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C4EEE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D0D8C1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50CE4FE" w14:textId="0E58C944"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1968</w:t>
            </w:r>
          </w:p>
        </w:tc>
      </w:tr>
      <w:tr w:rsidR="00083FCD" w:rsidRPr="00C928F6" w14:paraId="79618B72" w14:textId="37BC557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3A57CBD"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15</w:t>
            </w:r>
          </w:p>
        </w:tc>
        <w:tc>
          <w:tcPr>
            <w:tcW w:w="89" w:type="pct"/>
            <w:noWrap/>
            <w:hideMark/>
          </w:tcPr>
          <w:p w14:paraId="1EAF180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E3AB02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6C854E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2" w:type="pct"/>
            <w:noWrap/>
            <w:hideMark/>
          </w:tcPr>
          <w:p w14:paraId="5129AE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2" w:type="pct"/>
            <w:noWrap/>
            <w:hideMark/>
          </w:tcPr>
          <w:p w14:paraId="4710A87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651CF8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2384F3C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2" w:type="pct"/>
            <w:noWrap/>
            <w:hideMark/>
          </w:tcPr>
          <w:p w14:paraId="3E88246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07E975D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2" w:type="pct"/>
            <w:noWrap/>
            <w:hideMark/>
          </w:tcPr>
          <w:p w14:paraId="225A54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7E5E2B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2" w:type="pct"/>
            <w:noWrap/>
            <w:hideMark/>
          </w:tcPr>
          <w:p w14:paraId="7DC460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71B2F0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2" w:type="pct"/>
            <w:noWrap/>
            <w:hideMark/>
          </w:tcPr>
          <w:p w14:paraId="78C57C7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4B45D64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513B0A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0C229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979B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2DA5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2F1E6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AD77C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D8255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1E637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DA775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2022E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E82D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2AF2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A996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1FCF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8306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A1C8A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9B355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5A048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6C722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3651EF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F28489E" w14:textId="7F2DFA42"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2199</w:t>
            </w:r>
          </w:p>
        </w:tc>
      </w:tr>
      <w:tr w:rsidR="0064565A" w:rsidRPr="00C928F6" w14:paraId="18834151" w14:textId="1C8EBF5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E2F8A94"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16</w:t>
            </w:r>
          </w:p>
        </w:tc>
        <w:tc>
          <w:tcPr>
            <w:tcW w:w="89" w:type="pct"/>
            <w:noWrap/>
            <w:hideMark/>
          </w:tcPr>
          <w:p w14:paraId="70E4147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8F2557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03C5016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2" w:type="pct"/>
            <w:noWrap/>
            <w:hideMark/>
          </w:tcPr>
          <w:p w14:paraId="37D3CA8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30D450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2" w:type="pct"/>
            <w:noWrap/>
            <w:hideMark/>
          </w:tcPr>
          <w:p w14:paraId="3F1F03C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23E0AD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155</w:t>
            </w:r>
          </w:p>
        </w:tc>
        <w:tc>
          <w:tcPr>
            <w:tcW w:w="132" w:type="pct"/>
            <w:noWrap/>
            <w:hideMark/>
          </w:tcPr>
          <w:p w14:paraId="7D5AC7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2" w:type="pct"/>
            <w:noWrap/>
            <w:hideMark/>
          </w:tcPr>
          <w:p w14:paraId="1E97D6D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42192F9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200</w:t>
            </w:r>
          </w:p>
        </w:tc>
        <w:tc>
          <w:tcPr>
            <w:tcW w:w="132" w:type="pct"/>
            <w:noWrap/>
            <w:hideMark/>
          </w:tcPr>
          <w:p w14:paraId="5B43DD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558F4DD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2" w:type="pct"/>
            <w:noWrap/>
            <w:hideMark/>
          </w:tcPr>
          <w:p w14:paraId="75AAE9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38C9179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159BE45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18938C3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2" w:type="pct"/>
            <w:noWrap/>
            <w:hideMark/>
          </w:tcPr>
          <w:p w14:paraId="6F76CC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9814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561BD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7684D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D3B48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C1794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55A72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F961C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28B90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4F220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DA24C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C1371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6B36B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1EB74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6A5D3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85C2F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95775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1016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E4D5A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B50413C" w14:textId="21E6BDE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2423</w:t>
            </w:r>
          </w:p>
        </w:tc>
      </w:tr>
      <w:tr w:rsidR="00083FCD" w:rsidRPr="00C928F6" w14:paraId="42FEAB92" w14:textId="5944AD7E"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7E6D8F8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17</w:t>
            </w:r>
          </w:p>
        </w:tc>
        <w:tc>
          <w:tcPr>
            <w:tcW w:w="89" w:type="pct"/>
            <w:noWrap/>
            <w:hideMark/>
          </w:tcPr>
          <w:p w14:paraId="4C28E6D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2DB9F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6D4471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75CEB8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72</w:t>
            </w:r>
          </w:p>
        </w:tc>
        <w:tc>
          <w:tcPr>
            <w:tcW w:w="132" w:type="pct"/>
            <w:noWrap/>
            <w:hideMark/>
          </w:tcPr>
          <w:p w14:paraId="1682A6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102</w:t>
            </w:r>
          </w:p>
        </w:tc>
        <w:tc>
          <w:tcPr>
            <w:tcW w:w="132" w:type="pct"/>
            <w:noWrap/>
            <w:hideMark/>
          </w:tcPr>
          <w:p w14:paraId="2D3EBA1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113</w:t>
            </w:r>
          </w:p>
        </w:tc>
        <w:tc>
          <w:tcPr>
            <w:tcW w:w="132" w:type="pct"/>
            <w:noWrap/>
            <w:hideMark/>
          </w:tcPr>
          <w:p w14:paraId="5A76C5A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1989465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425CA46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2" w:type="pct"/>
            <w:noWrap/>
            <w:hideMark/>
          </w:tcPr>
          <w:p w14:paraId="771B64E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2" w:type="pct"/>
            <w:noWrap/>
            <w:hideMark/>
          </w:tcPr>
          <w:p w14:paraId="70FB8E5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7D90B3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333AF85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85544E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7A41D1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4A0085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111CC6B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17FFC9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E3D7C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D8BD1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D9E0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7D2ED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7A2F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73282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D836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B7B61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D15F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4024B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CD741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FEBA0F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D8B4BA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E1D4F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B3709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2B2C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0C28F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AC09ECE" w14:textId="2C0FE73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2647</w:t>
            </w:r>
          </w:p>
        </w:tc>
      </w:tr>
      <w:tr w:rsidR="0064565A" w:rsidRPr="00C928F6" w14:paraId="1C8C553F" w14:textId="09FC663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F08DCA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18</w:t>
            </w:r>
          </w:p>
        </w:tc>
        <w:tc>
          <w:tcPr>
            <w:tcW w:w="89" w:type="pct"/>
            <w:noWrap/>
            <w:hideMark/>
          </w:tcPr>
          <w:p w14:paraId="5205C51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266D5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2" w:type="pct"/>
            <w:noWrap/>
            <w:hideMark/>
          </w:tcPr>
          <w:p w14:paraId="7E2125C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58B2C61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5D65496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2" w:type="pct"/>
            <w:noWrap/>
            <w:hideMark/>
          </w:tcPr>
          <w:p w14:paraId="11BCC17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2" w:type="pct"/>
            <w:noWrap/>
            <w:hideMark/>
          </w:tcPr>
          <w:p w14:paraId="1157BB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6DC282E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5A240B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188</w:t>
            </w:r>
          </w:p>
        </w:tc>
        <w:tc>
          <w:tcPr>
            <w:tcW w:w="132" w:type="pct"/>
            <w:noWrap/>
            <w:hideMark/>
          </w:tcPr>
          <w:p w14:paraId="33DC90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2" w:type="pct"/>
            <w:noWrap/>
            <w:hideMark/>
          </w:tcPr>
          <w:p w14:paraId="2F8FC6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2" w:type="pct"/>
            <w:noWrap/>
            <w:hideMark/>
          </w:tcPr>
          <w:p w14:paraId="39C1CC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2" w:type="pct"/>
            <w:noWrap/>
            <w:hideMark/>
          </w:tcPr>
          <w:p w14:paraId="5AD0D3D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2" w:type="pct"/>
            <w:noWrap/>
            <w:hideMark/>
          </w:tcPr>
          <w:p w14:paraId="185C267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223D708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A1229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15BCF0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C6D9FB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6495FE4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4819B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E0E94D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70A1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DF11E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BE2B1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874A2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3564C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673A2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2F7F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42EE7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C214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9B6B9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7A8DA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099937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BC0F5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FA5F3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2EB380F" w14:textId="7925E778"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2868</w:t>
            </w:r>
          </w:p>
        </w:tc>
      </w:tr>
      <w:tr w:rsidR="00083FCD" w:rsidRPr="00C928F6" w14:paraId="6BCFB2E4" w14:textId="6D6CAED3"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EAF0C8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19</w:t>
            </w:r>
          </w:p>
        </w:tc>
        <w:tc>
          <w:tcPr>
            <w:tcW w:w="89" w:type="pct"/>
            <w:noWrap/>
            <w:hideMark/>
          </w:tcPr>
          <w:p w14:paraId="2C81860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00021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w:t>
            </w:r>
          </w:p>
        </w:tc>
        <w:tc>
          <w:tcPr>
            <w:tcW w:w="132" w:type="pct"/>
            <w:noWrap/>
            <w:hideMark/>
          </w:tcPr>
          <w:p w14:paraId="200E11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59</w:t>
            </w:r>
          </w:p>
        </w:tc>
        <w:tc>
          <w:tcPr>
            <w:tcW w:w="132" w:type="pct"/>
            <w:noWrap/>
            <w:hideMark/>
          </w:tcPr>
          <w:p w14:paraId="56D0DE0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25E35C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2" w:type="pct"/>
            <w:noWrap/>
            <w:hideMark/>
          </w:tcPr>
          <w:p w14:paraId="1E70155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4CF0458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130</w:t>
            </w:r>
          </w:p>
        </w:tc>
        <w:tc>
          <w:tcPr>
            <w:tcW w:w="132" w:type="pct"/>
            <w:noWrap/>
            <w:hideMark/>
          </w:tcPr>
          <w:p w14:paraId="38A86D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140</w:t>
            </w:r>
          </w:p>
        </w:tc>
        <w:tc>
          <w:tcPr>
            <w:tcW w:w="132" w:type="pct"/>
            <w:noWrap/>
            <w:hideMark/>
          </w:tcPr>
          <w:p w14:paraId="3089A49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2B7D3C5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7E814BA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4140CC7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6DEFE5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2743CF7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2" w:type="pct"/>
            <w:noWrap/>
            <w:hideMark/>
          </w:tcPr>
          <w:p w14:paraId="6F7AE72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5903156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665977B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1152C37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F22264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C22DDB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A075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BEBB7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2AAC7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26D1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3B5E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9848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9D3E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B2BC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E334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65C1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B57A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1BA8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256FE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435D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16B48A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7D7BC7AA" w14:textId="3E2DD32A"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3078</w:t>
            </w:r>
          </w:p>
        </w:tc>
      </w:tr>
      <w:tr w:rsidR="0064565A" w:rsidRPr="00C928F6" w14:paraId="5610DC12" w14:textId="6636A1F3"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A0ECED0"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20</w:t>
            </w:r>
          </w:p>
        </w:tc>
        <w:tc>
          <w:tcPr>
            <w:tcW w:w="89" w:type="pct"/>
            <w:noWrap/>
            <w:hideMark/>
          </w:tcPr>
          <w:p w14:paraId="4520D05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6E463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52BFA3E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47</w:t>
            </w:r>
          </w:p>
        </w:tc>
        <w:tc>
          <w:tcPr>
            <w:tcW w:w="132" w:type="pct"/>
            <w:noWrap/>
            <w:hideMark/>
          </w:tcPr>
          <w:p w14:paraId="1D009E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3BD15C2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69CA09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06D00E7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2" w:type="pct"/>
            <w:noWrap/>
            <w:hideMark/>
          </w:tcPr>
          <w:p w14:paraId="76C6FD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4AEDCE1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2" w:type="pct"/>
            <w:noWrap/>
            <w:hideMark/>
          </w:tcPr>
          <w:p w14:paraId="200967A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2" w:type="pct"/>
            <w:noWrap/>
            <w:hideMark/>
          </w:tcPr>
          <w:p w14:paraId="23DB780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359925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2" w:type="pct"/>
            <w:noWrap/>
            <w:hideMark/>
          </w:tcPr>
          <w:p w14:paraId="4F33E76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1540E2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753BA6D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C7D9E1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4A26B3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49C2B78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4E06D22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76B96A3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22D0C2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3859A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D571C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7ACC0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F17E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8F1EE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A0C66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E8326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E1D90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50C6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E782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98E4A9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2D0982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6B43A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90F2BD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58EFDBA4" w14:textId="7F0AD3BC"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3271</w:t>
            </w:r>
          </w:p>
        </w:tc>
      </w:tr>
      <w:tr w:rsidR="00083FCD" w:rsidRPr="00C928F6" w14:paraId="430C0F27" w14:textId="04FC58F8"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FD79526"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21</w:t>
            </w:r>
          </w:p>
        </w:tc>
        <w:tc>
          <w:tcPr>
            <w:tcW w:w="89" w:type="pct"/>
            <w:noWrap/>
            <w:hideMark/>
          </w:tcPr>
          <w:p w14:paraId="6C81C13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8DF840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41D9AB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2" w:type="pct"/>
            <w:noWrap/>
            <w:hideMark/>
          </w:tcPr>
          <w:p w14:paraId="56928A7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2" w:type="pct"/>
            <w:noWrap/>
            <w:hideMark/>
          </w:tcPr>
          <w:p w14:paraId="4ED668C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127E253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0C67363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6E9746B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2" w:type="pct"/>
            <w:noWrap/>
            <w:hideMark/>
          </w:tcPr>
          <w:p w14:paraId="3C802A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1BF4EC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1E341BD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2" w:type="pct"/>
            <w:noWrap/>
            <w:hideMark/>
          </w:tcPr>
          <w:p w14:paraId="501E06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2" w:type="pct"/>
            <w:noWrap/>
            <w:hideMark/>
          </w:tcPr>
          <w:p w14:paraId="2AF83A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0FE41C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3D156B9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79CCD77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284</w:t>
            </w:r>
          </w:p>
        </w:tc>
        <w:tc>
          <w:tcPr>
            <w:tcW w:w="132" w:type="pct"/>
            <w:noWrap/>
            <w:hideMark/>
          </w:tcPr>
          <w:p w14:paraId="4272F4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4F0B7DA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06E08B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6F5AFFB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11107B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05ADE2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90A7AA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1040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909E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19A60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03B8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CC01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54AE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C8773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91879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20C72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98D64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6143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A72D96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FEDDAD0" w14:textId="5D69DF9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3446</w:t>
            </w:r>
          </w:p>
        </w:tc>
      </w:tr>
      <w:tr w:rsidR="0064565A" w:rsidRPr="00C928F6" w14:paraId="0DA99899" w14:textId="4AE065A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0AE1BD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22</w:t>
            </w:r>
          </w:p>
        </w:tc>
        <w:tc>
          <w:tcPr>
            <w:tcW w:w="89" w:type="pct"/>
            <w:noWrap/>
            <w:hideMark/>
          </w:tcPr>
          <w:p w14:paraId="726FDF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8D19EC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2CC54BF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2" w:type="pct"/>
            <w:noWrap/>
            <w:hideMark/>
          </w:tcPr>
          <w:p w14:paraId="2800903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2" w:type="pct"/>
            <w:noWrap/>
            <w:hideMark/>
          </w:tcPr>
          <w:p w14:paraId="38A8372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2" w:type="pct"/>
            <w:noWrap/>
            <w:hideMark/>
          </w:tcPr>
          <w:p w14:paraId="285902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79CD435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529C7A4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580AE4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34FE60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170</w:t>
            </w:r>
          </w:p>
        </w:tc>
        <w:tc>
          <w:tcPr>
            <w:tcW w:w="132" w:type="pct"/>
            <w:noWrap/>
            <w:hideMark/>
          </w:tcPr>
          <w:p w14:paraId="1DCBAB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2" w:type="pct"/>
            <w:noWrap/>
            <w:hideMark/>
          </w:tcPr>
          <w:p w14:paraId="297F9E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1FF818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2" w:type="pct"/>
            <w:noWrap/>
            <w:hideMark/>
          </w:tcPr>
          <w:p w14:paraId="0BC7970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2F90B4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2733988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016F9A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2" w:type="pct"/>
            <w:noWrap/>
            <w:hideMark/>
          </w:tcPr>
          <w:p w14:paraId="31875CC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30FFC3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5EF5E6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1A85FDE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169A1C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6C6FADC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6B63E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E41A8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EDAEB8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89D01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00D17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12E5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0B33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CDCBB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0DA37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45FB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CC73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175C23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DA84CBA" w14:textId="41B2725A"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3605</w:t>
            </w:r>
          </w:p>
        </w:tc>
      </w:tr>
      <w:tr w:rsidR="00083FCD" w:rsidRPr="00C928F6" w14:paraId="545CDFA4" w14:textId="4EA40900"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E4FD16A"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23</w:t>
            </w:r>
          </w:p>
        </w:tc>
        <w:tc>
          <w:tcPr>
            <w:tcW w:w="89" w:type="pct"/>
            <w:noWrap/>
            <w:hideMark/>
          </w:tcPr>
          <w:p w14:paraId="1721B3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2E8DBC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3A453C3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0D23BD5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33</w:t>
            </w:r>
          </w:p>
        </w:tc>
        <w:tc>
          <w:tcPr>
            <w:tcW w:w="132" w:type="pct"/>
            <w:noWrap/>
            <w:hideMark/>
          </w:tcPr>
          <w:p w14:paraId="2F225A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2" w:type="pct"/>
            <w:noWrap/>
            <w:hideMark/>
          </w:tcPr>
          <w:p w14:paraId="53F453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32" w:type="pct"/>
            <w:noWrap/>
            <w:hideMark/>
          </w:tcPr>
          <w:p w14:paraId="5F2AB2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041E8DB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233006C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048154A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7098E89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2" w:type="pct"/>
            <w:noWrap/>
            <w:hideMark/>
          </w:tcPr>
          <w:p w14:paraId="351F36C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187</w:t>
            </w:r>
          </w:p>
        </w:tc>
        <w:tc>
          <w:tcPr>
            <w:tcW w:w="132" w:type="pct"/>
            <w:noWrap/>
            <w:hideMark/>
          </w:tcPr>
          <w:p w14:paraId="098649C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7FC992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3102E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4ED5322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63F2D96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768B95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63E0AEA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3D99A57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4A6DD42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72706A5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5DABFF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2" w:type="pct"/>
            <w:noWrap/>
            <w:hideMark/>
          </w:tcPr>
          <w:p w14:paraId="2A6328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23ECD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24201A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45F5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2527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817D3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AE4C0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A76B3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C9833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BC759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F888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2A739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05FA1B19" w14:textId="75D9B4C5"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3750</w:t>
            </w:r>
          </w:p>
        </w:tc>
      </w:tr>
      <w:tr w:rsidR="0064565A" w:rsidRPr="00C928F6" w14:paraId="62C6EC96" w14:textId="367523A9"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9FC7418"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24</w:t>
            </w:r>
          </w:p>
        </w:tc>
        <w:tc>
          <w:tcPr>
            <w:tcW w:w="89" w:type="pct"/>
            <w:noWrap/>
            <w:hideMark/>
          </w:tcPr>
          <w:p w14:paraId="34FE643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E57148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DBB5FA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68505C2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2" w:type="pct"/>
            <w:noWrap/>
            <w:hideMark/>
          </w:tcPr>
          <w:p w14:paraId="6DEB6A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2" w:type="pct"/>
            <w:noWrap/>
            <w:hideMark/>
          </w:tcPr>
          <w:p w14:paraId="7B60BA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2" w:type="pct"/>
            <w:noWrap/>
            <w:hideMark/>
          </w:tcPr>
          <w:p w14:paraId="48D684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2" w:type="pct"/>
            <w:noWrap/>
            <w:hideMark/>
          </w:tcPr>
          <w:p w14:paraId="68A87B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107</w:t>
            </w:r>
          </w:p>
        </w:tc>
        <w:tc>
          <w:tcPr>
            <w:tcW w:w="132" w:type="pct"/>
            <w:noWrap/>
            <w:hideMark/>
          </w:tcPr>
          <w:p w14:paraId="229B97D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461E0B5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09A5234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146</w:t>
            </w:r>
          </w:p>
        </w:tc>
        <w:tc>
          <w:tcPr>
            <w:tcW w:w="132" w:type="pct"/>
            <w:noWrap/>
            <w:hideMark/>
          </w:tcPr>
          <w:p w14:paraId="1F482B0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192</w:t>
            </w:r>
          </w:p>
        </w:tc>
        <w:tc>
          <w:tcPr>
            <w:tcW w:w="132" w:type="pct"/>
            <w:noWrap/>
            <w:hideMark/>
          </w:tcPr>
          <w:p w14:paraId="2EA653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2" w:type="pct"/>
            <w:noWrap/>
            <w:hideMark/>
          </w:tcPr>
          <w:p w14:paraId="3DD682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695BED7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6B19A3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2" w:type="pct"/>
            <w:noWrap/>
            <w:hideMark/>
          </w:tcPr>
          <w:p w14:paraId="6675FB5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5738C7E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85A77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01B505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18A372E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2" w:type="pct"/>
            <w:noWrap/>
            <w:hideMark/>
          </w:tcPr>
          <w:p w14:paraId="517CD3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3CC9D6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2647E3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2EF9DEF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EAD6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63BD4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4362C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3019A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559E9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B3186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BBC45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681B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FEFA9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5AE01D0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46E5ECC6" w14:textId="3BF8CDBF"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3875</w:t>
            </w:r>
          </w:p>
        </w:tc>
      </w:tr>
      <w:tr w:rsidR="00083FCD" w:rsidRPr="00C928F6" w14:paraId="6F649942" w14:textId="386947F7"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46F1C2D"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25</w:t>
            </w:r>
          </w:p>
        </w:tc>
        <w:tc>
          <w:tcPr>
            <w:tcW w:w="89" w:type="pct"/>
            <w:noWrap/>
            <w:hideMark/>
          </w:tcPr>
          <w:p w14:paraId="35988A1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7F77B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2C4375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2" w:type="pct"/>
            <w:noWrap/>
            <w:hideMark/>
          </w:tcPr>
          <w:p w14:paraId="32F7C3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2" w:type="pct"/>
            <w:noWrap/>
            <w:hideMark/>
          </w:tcPr>
          <w:p w14:paraId="660FCA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36</w:t>
            </w:r>
          </w:p>
        </w:tc>
        <w:tc>
          <w:tcPr>
            <w:tcW w:w="132" w:type="pct"/>
            <w:noWrap/>
            <w:hideMark/>
          </w:tcPr>
          <w:p w14:paraId="06E848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43</w:t>
            </w:r>
          </w:p>
        </w:tc>
        <w:tc>
          <w:tcPr>
            <w:tcW w:w="132" w:type="pct"/>
            <w:noWrap/>
            <w:hideMark/>
          </w:tcPr>
          <w:p w14:paraId="184379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2" w:type="pct"/>
            <w:noWrap/>
            <w:hideMark/>
          </w:tcPr>
          <w:p w14:paraId="6F8E95F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2" w:type="pct"/>
            <w:noWrap/>
            <w:hideMark/>
          </w:tcPr>
          <w:p w14:paraId="4C1AF9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41DA9B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7A92DE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2" w:type="pct"/>
            <w:noWrap/>
            <w:hideMark/>
          </w:tcPr>
          <w:p w14:paraId="6F78D1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154</w:t>
            </w:r>
          </w:p>
        </w:tc>
        <w:tc>
          <w:tcPr>
            <w:tcW w:w="132" w:type="pct"/>
            <w:noWrap/>
            <w:hideMark/>
          </w:tcPr>
          <w:p w14:paraId="090652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2" w:type="pct"/>
            <w:noWrap/>
            <w:hideMark/>
          </w:tcPr>
          <w:p w14:paraId="528F635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61E373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2" w:type="pct"/>
            <w:noWrap/>
            <w:hideMark/>
          </w:tcPr>
          <w:p w14:paraId="6DD9709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49C21CC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2" w:type="pct"/>
            <w:noWrap/>
            <w:hideMark/>
          </w:tcPr>
          <w:p w14:paraId="36D73EA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7A8AB11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5B933F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1D0C99B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0772311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2" w:type="pct"/>
            <w:noWrap/>
            <w:hideMark/>
          </w:tcPr>
          <w:p w14:paraId="42D2F66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3242E7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2" w:type="pct"/>
            <w:noWrap/>
            <w:hideMark/>
          </w:tcPr>
          <w:p w14:paraId="4BA74C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6C29A02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F177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8D842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D14C5F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FB1B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56F8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7F04D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EAB3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F35E2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770D9E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9FA8F9E" w14:textId="52F9ECA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3983</w:t>
            </w:r>
          </w:p>
        </w:tc>
      </w:tr>
      <w:tr w:rsidR="0064565A" w:rsidRPr="00C928F6" w14:paraId="675FCCA7" w14:textId="49D642E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1585C1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26</w:t>
            </w:r>
          </w:p>
        </w:tc>
        <w:tc>
          <w:tcPr>
            <w:tcW w:w="89" w:type="pct"/>
            <w:noWrap/>
            <w:hideMark/>
          </w:tcPr>
          <w:p w14:paraId="35D25DA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25F0A4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731A702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584E707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543EA5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026413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2" w:type="pct"/>
            <w:noWrap/>
            <w:hideMark/>
          </w:tcPr>
          <w:p w14:paraId="54511B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2" w:type="pct"/>
            <w:noWrap/>
            <w:hideMark/>
          </w:tcPr>
          <w:p w14:paraId="46997A9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090193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1C83A33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011A0E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148</w:t>
            </w:r>
          </w:p>
        </w:tc>
        <w:tc>
          <w:tcPr>
            <w:tcW w:w="132" w:type="pct"/>
            <w:noWrap/>
            <w:hideMark/>
          </w:tcPr>
          <w:p w14:paraId="5FAD75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1C6EF7F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682B980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6B74CB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7AB43C4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6F79152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132E78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78C34B8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7736379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75FF6DE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290</w:t>
            </w:r>
          </w:p>
        </w:tc>
        <w:tc>
          <w:tcPr>
            <w:tcW w:w="132" w:type="pct"/>
            <w:noWrap/>
            <w:hideMark/>
          </w:tcPr>
          <w:p w14:paraId="63280C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12823AF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291C4CC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3DB93EB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06A89C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2" w:type="pct"/>
            <w:noWrap/>
            <w:hideMark/>
          </w:tcPr>
          <w:p w14:paraId="0D7930D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53861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4B0B7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03FD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31F05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DE72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D9AA1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5F78B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AA7EDF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BD28605" w14:textId="58F9B650"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4074</w:t>
            </w:r>
          </w:p>
        </w:tc>
      </w:tr>
      <w:tr w:rsidR="00083FCD" w:rsidRPr="00C928F6" w14:paraId="1B8E1DB6" w14:textId="7D211FF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13B12E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27</w:t>
            </w:r>
          </w:p>
        </w:tc>
        <w:tc>
          <w:tcPr>
            <w:tcW w:w="89" w:type="pct"/>
            <w:noWrap/>
            <w:hideMark/>
          </w:tcPr>
          <w:p w14:paraId="325152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4CC76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62E166C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2" w:type="pct"/>
            <w:noWrap/>
            <w:hideMark/>
          </w:tcPr>
          <w:p w14:paraId="7C304E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2" w:type="pct"/>
            <w:noWrap/>
            <w:hideMark/>
          </w:tcPr>
          <w:p w14:paraId="643636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0ECC29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2" w:type="pct"/>
            <w:noWrap/>
            <w:hideMark/>
          </w:tcPr>
          <w:p w14:paraId="49540A0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2" w:type="pct"/>
            <w:noWrap/>
            <w:hideMark/>
          </w:tcPr>
          <w:p w14:paraId="381152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2" w:type="pct"/>
            <w:noWrap/>
            <w:hideMark/>
          </w:tcPr>
          <w:p w14:paraId="0BA585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6803A5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2" w:type="pct"/>
            <w:noWrap/>
            <w:hideMark/>
          </w:tcPr>
          <w:p w14:paraId="6EFFC4B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652B67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4D24949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0F65EB6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5404BA3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2" w:type="pct"/>
            <w:noWrap/>
            <w:hideMark/>
          </w:tcPr>
          <w:p w14:paraId="54699E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72F6A8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7BA945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27DE232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FF6EBB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0EBE1BA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E36E04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2" w:type="pct"/>
            <w:noWrap/>
            <w:hideMark/>
          </w:tcPr>
          <w:p w14:paraId="0A4605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3B5236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5BFCA8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06D0E73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1742012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A32A0B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4C4FC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19CF06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BEEC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76FE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01A7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77C80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F41D4D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7AD50D90" w14:textId="7ED3F28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4148</w:t>
            </w:r>
          </w:p>
        </w:tc>
      </w:tr>
      <w:tr w:rsidR="0064565A" w:rsidRPr="00C928F6" w14:paraId="364EDB8F" w14:textId="428C9374"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616833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28</w:t>
            </w:r>
          </w:p>
        </w:tc>
        <w:tc>
          <w:tcPr>
            <w:tcW w:w="89" w:type="pct"/>
            <w:noWrap/>
            <w:hideMark/>
          </w:tcPr>
          <w:p w14:paraId="18B3D1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5869D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584F0A3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2" w:type="pct"/>
            <w:noWrap/>
            <w:hideMark/>
          </w:tcPr>
          <w:p w14:paraId="6B46CFB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2" w:type="pct"/>
            <w:noWrap/>
            <w:hideMark/>
          </w:tcPr>
          <w:p w14:paraId="169C92F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0FBF4A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3898F30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2" w:type="pct"/>
            <w:noWrap/>
            <w:hideMark/>
          </w:tcPr>
          <w:p w14:paraId="5EAF282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2" w:type="pct"/>
            <w:noWrap/>
            <w:hideMark/>
          </w:tcPr>
          <w:p w14:paraId="00A55D1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58</w:t>
            </w:r>
          </w:p>
        </w:tc>
        <w:tc>
          <w:tcPr>
            <w:tcW w:w="132" w:type="pct"/>
            <w:noWrap/>
            <w:hideMark/>
          </w:tcPr>
          <w:p w14:paraId="62F199F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2" w:type="pct"/>
            <w:noWrap/>
            <w:hideMark/>
          </w:tcPr>
          <w:p w14:paraId="69AC8BA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2" w:type="pct"/>
            <w:noWrap/>
            <w:hideMark/>
          </w:tcPr>
          <w:p w14:paraId="1B771CD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2" w:type="pct"/>
            <w:noWrap/>
            <w:hideMark/>
          </w:tcPr>
          <w:p w14:paraId="439AA91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2" w:type="pct"/>
            <w:noWrap/>
            <w:hideMark/>
          </w:tcPr>
          <w:p w14:paraId="1F55C5A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2" w:type="pct"/>
            <w:noWrap/>
            <w:hideMark/>
          </w:tcPr>
          <w:p w14:paraId="388C598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7B53834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4DE048E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305AC2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24DDF1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718B4A2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7A9DCB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1A854B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06A29A8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286</w:t>
            </w:r>
          </w:p>
        </w:tc>
        <w:tc>
          <w:tcPr>
            <w:tcW w:w="132" w:type="pct"/>
            <w:noWrap/>
            <w:hideMark/>
          </w:tcPr>
          <w:p w14:paraId="270EEC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02A54A8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2" w:type="pct"/>
            <w:noWrap/>
            <w:hideMark/>
          </w:tcPr>
          <w:p w14:paraId="1A28B0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5FA87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173ADC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88</w:t>
            </w:r>
          </w:p>
        </w:tc>
        <w:tc>
          <w:tcPr>
            <w:tcW w:w="132" w:type="pct"/>
            <w:noWrap/>
            <w:hideMark/>
          </w:tcPr>
          <w:p w14:paraId="482B56E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B19B4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9FF2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3278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50C0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01C6E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7384F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601AA53" w14:textId="240B17BB"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4204</w:t>
            </w:r>
          </w:p>
        </w:tc>
      </w:tr>
      <w:tr w:rsidR="00083FCD" w:rsidRPr="00C928F6" w14:paraId="55AF6880" w14:textId="37A13660"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A49D2A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29</w:t>
            </w:r>
          </w:p>
        </w:tc>
        <w:tc>
          <w:tcPr>
            <w:tcW w:w="89" w:type="pct"/>
            <w:noWrap/>
            <w:hideMark/>
          </w:tcPr>
          <w:p w14:paraId="4D23BC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EF693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048502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DB9AA6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2" w:type="pct"/>
            <w:noWrap/>
            <w:hideMark/>
          </w:tcPr>
          <w:p w14:paraId="56CAA60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375043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1D354B6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w:t>
            </w:r>
          </w:p>
        </w:tc>
        <w:tc>
          <w:tcPr>
            <w:tcW w:w="132" w:type="pct"/>
            <w:noWrap/>
            <w:hideMark/>
          </w:tcPr>
          <w:p w14:paraId="209AC1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2" w:type="pct"/>
            <w:noWrap/>
            <w:hideMark/>
          </w:tcPr>
          <w:p w14:paraId="6C0F7A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2" w:type="pct"/>
            <w:noWrap/>
            <w:hideMark/>
          </w:tcPr>
          <w:p w14:paraId="28CAC2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2" w:type="pct"/>
            <w:noWrap/>
            <w:hideMark/>
          </w:tcPr>
          <w:p w14:paraId="0594B11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2" w:type="pct"/>
            <w:noWrap/>
            <w:hideMark/>
          </w:tcPr>
          <w:p w14:paraId="345AC49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2" w:type="pct"/>
            <w:noWrap/>
            <w:hideMark/>
          </w:tcPr>
          <w:p w14:paraId="193439F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151</w:t>
            </w:r>
          </w:p>
        </w:tc>
        <w:tc>
          <w:tcPr>
            <w:tcW w:w="132" w:type="pct"/>
            <w:noWrap/>
            <w:hideMark/>
          </w:tcPr>
          <w:p w14:paraId="03A03D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2" w:type="pct"/>
            <w:noWrap/>
            <w:hideMark/>
          </w:tcPr>
          <w:p w14:paraId="3570AE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3EF599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6F01D3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340D37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7A1946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36C509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4016498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320EA4A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2" w:type="pct"/>
            <w:noWrap/>
            <w:hideMark/>
          </w:tcPr>
          <w:p w14:paraId="76CF0C0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2" w:type="pct"/>
            <w:noWrap/>
            <w:hideMark/>
          </w:tcPr>
          <w:p w14:paraId="000E652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283</w:t>
            </w:r>
          </w:p>
        </w:tc>
        <w:tc>
          <w:tcPr>
            <w:tcW w:w="132" w:type="pct"/>
            <w:noWrap/>
            <w:hideMark/>
          </w:tcPr>
          <w:p w14:paraId="434C655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64D9577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2" w:type="pct"/>
            <w:noWrap/>
            <w:hideMark/>
          </w:tcPr>
          <w:p w14:paraId="00FE081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C891E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2359F9B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4DCE4BA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39C15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BA08A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EAF2C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702BF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5533F4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EAFCCC7" w14:textId="589A24E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4242</w:t>
            </w:r>
          </w:p>
        </w:tc>
      </w:tr>
      <w:tr w:rsidR="0064565A" w:rsidRPr="00C928F6" w14:paraId="67770184" w14:textId="65DE3388"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548CAF2"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30</w:t>
            </w:r>
          </w:p>
        </w:tc>
        <w:tc>
          <w:tcPr>
            <w:tcW w:w="89" w:type="pct"/>
            <w:noWrap/>
            <w:hideMark/>
          </w:tcPr>
          <w:p w14:paraId="149E749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DEB940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719BB6B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DBCD4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5023E85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2" w:type="pct"/>
            <w:noWrap/>
            <w:hideMark/>
          </w:tcPr>
          <w:p w14:paraId="0C95E5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2" w:type="pct"/>
            <w:noWrap/>
            <w:hideMark/>
          </w:tcPr>
          <w:p w14:paraId="6D94C4D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7F504BC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2" w:type="pct"/>
            <w:noWrap/>
            <w:hideMark/>
          </w:tcPr>
          <w:p w14:paraId="46785C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2" w:type="pct"/>
            <w:noWrap/>
            <w:hideMark/>
          </w:tcPr>
          <w:p w14:paraId="128445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60</w:t>
            </w:r>
          </w:p>
        </w:tc>
        <w:tc>
          <w:tcPr>
            <w:tcW w:w="132" w:type="pct"/>
            <w:noWrap/>
            <w:hideMark/>
          </w:tcPr>
          <w:p w14:paraId="776362E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3AD6202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439BF86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120</w:t>
            </w:r>
          </w:p>
        </w:tc>
        <w:tc>
          <w:tcPr>
            <w:tcW w:w="132" w:type="pct"/>
            <w:noWrap/>
            <w:hideMark/>
          </w:tcPr>
          <w:p w14:paraId="519503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156</w:t>
            </w:r>
          </w:p>
        </w:tc>
        <w:tc>
          <w:tcPr>
            <w:tcW w:w="132" w:type="pct"/>
            <w:noWrap/>
            <w:hideMark/>
          </w:tcPr>
          <w:p w14:paraId="5CA3B53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175</w:t>
            </w:r>
          </w:p>
        </w:tc>
        <w:tc>
          <w:tcPr>
            <w:tcW w:w="132" w:type="pct"/>
            <w:noWrap/>
            <w:hideMark/>
          </w:tcPr>
          <w:p w14:paraId="0F6BB32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31C3E30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42E8C4C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76D0F1B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48D5A5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473C71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74DA470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74E5004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2" w:type="pct"/>
            <w:noWrap/>
            <w:hideMark/>
          </w:tcPr>
          <w:p w14:paraId="1049CC4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7A2E00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51C3F6A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65D9D33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70888C1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417347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2" w:type="pct"/>
            <w:noWrap/>
            <w:hideMark/>
          </w:tcPr>
          <w:p w14:paraId="7E8B61D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4435CC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EEB733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B035F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12F9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AFC98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86BE457" w14:textId="2C86355E"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4263</w:t>
            </w:r>
          </w:p>
        </w:tc>
      </w:tr>
      <w:tr w:rsidR="00083FCD" w:rsidRPr="00C928F6" w14:paraId="70544100" w14:textId="6A98CB16" w:rsidTr="00C928F6">
        <w:trPr>
          <w:trHeight w:val="27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B82204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31</w:t>
            </w:r>
          </w:p>
        </w:tc>
        <w:tc>
          <w:tcPr>
            <w:tcW w:w="89" w:type="pct"/>
            <w:noWrap/>
            <w:hideMark/>
          </w:tcPr>
          <w:p w14:paraId="2A1D69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5695E6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7656D83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CB10D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2F5ABE4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47421EE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4EA95D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32" w:type="pct"/>
            <w:noWrap/>
            <w:hideMark/>
          </w:tcPr>
          <w:p w14:paraId="526E94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2" w:type="pct"/>
            <w:noWrap/>
            <w:hideMark/>
          </w:tcPr>
          <w:p w14:paraId="77314D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2" w:type="pct"/>
            <w:noWrap/>
            <w:hideMark/>
          </w:tcPr>
          <w:p w14:paraId="396D440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2" w:type="pct"/>
            <w:noWrap/>
            <w:hideMark/>
          </w:tcPr>
          <w:p w14:paraId="2FD787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7A81935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2" w:type="pct"/>
            <w:noWrap/>
            <w:hideMark/>
          </w:tcPr>
          <w:p w14:paraId="57FE88E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5AD81D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124</w:t>
            </w:r>
          </w:p>
        </w:tc>
        <w:tc>
          <w:tcPr>
            <w:tcW w:w="132" w:type="pct"/>
            <w:noWrap/>
            <w:hideMark/>
          </w:tcPr>
          <w:p w14:paraId="2FE903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192772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196CE5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01B567E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275F31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09EB90C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2D1E2D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79C1E0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1DDEC9A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06E9DD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54ED452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2D81BA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64E87D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461FA8F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47A1EFA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2A74F24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2" w:type="pct"/>
            <w:noWrap/>
            <w:hideMark/>
          </w:tcPr>
          <w:p w14:paraId="637E6DB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80</w:t>
            </w:r>
          </w:p>
        </w:tc>
        <w:tc>
          <w:tcPr>
            <w:tcW w:w="132" w:type="pct"/>
            <w:noWrap/>
            <w:hideMark/>
          </w:tcPr>
          <w:p w14:paraId="044512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F00B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FDFD8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9F4685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02B40607" w14:textId="33BA1843"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4268</w:t>
            </w:r>
          </w:p>
        </w:tc>
      </w:tr>
      <w:tr w:rsidR="0064565A" w:rsidRPr="00C928F6" w14:paraId="1C0933AA" w14:textId="3B14FC97"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B4E83F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32</w:t>
            </w:r>
          </w:p>
        </w:tc>
        <w:tc>
          <w:tcPr>
            <w:tcW w:w="89" w:type="pct"/>
            <w:noWrap/>
            <w:hideMark/>
          </w:tcPr>
          <w:p w14:paraId="3E28F14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3BDB95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607D0C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386619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3FDD999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335B0B7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46D33E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311D1A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4485435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w:t>
            </w:r>
          </w:p>
        </w:tc>
        <w:tc>
          <w:tcPr>
            <w:tcW w:w="132" w:type="pct"/>
            <w:noWrap/>
            <w:hideMark/>
          </w:tcPr>
          <w:p w14:paraId="477674D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2" w:type="pct"/>
            <w:noWrap/>
            <w:hideMark/>
          </w:tcPr>
          <w:p w14:paraId="266D5A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49</w:t>
            </w:r>
          </w:p>
        </w:tc>
        <w:tc>
          <w:tcPr>
            <w:tcW w:w="132" w:type="pct"/>
            <w:noWrap/>
            <w:hideMark/>
          </w:tcPr>
          <w:p w14:paraId="4C3337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63E902A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2" w:type="pct"/>
            <w:noWrap/>
            <w:hideMark/>
          </w:tcPr>
          <w:p w14:paraId="7D16EC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736B6BF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7B19E5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2" w:type="pct"/>
            <w:noWrap/>
            <w:hideMark/>
          </w:tcPr>
          <w:p w14:paraId="2B8B37E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2" w:type="pct"/>
            <w:noWrap/>
            <w:hideMark/>
          </w:tcPr>
          <w:p w14:paraId="16ECF1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1AFAF3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2855C0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7CBB207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31D981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0046E06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A1AC2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2FA0C91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464FD0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F0FC0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1A5276B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2" w:type="pct"/>
            <w:noWrap/>
            <w:hideMark/>
          </w:tcPr>
          <w:p w14:paraId="68A10B7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0540DA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2407478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4650FDE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2C28A5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E5407F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20" w:type="pct"/>
            <w:noWrap/>
            <w:hideMark/>
          </w:tcPr>
          <w:p w14:paraId="68C300F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267" w:type="pct"/>
          </w:tcPr>
          <w:p w14:paraId="2F2AFC81" w14:textId="05419643"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4255</w:t>
            </w:r>
          </w:p>
        </w:tc>
      </w:tr>
      <w:tr w:rsidR="00083FCD" w:rsidRPr="00C928F6" w14:paraId="4AF2178D" w14:textId="7B6AD17F"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80FC71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33</w:t>
            </w:r>
          </w:p>
        </w:tc>
        <w:tc>
          <w:tcPr>
            <w:tcW w:w="89" w:type="pct"/>
            <w:noWrap/>
            <w:hideMark/>
          </w:tcPr>
          <w:p w14:paraId="005692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44D98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7FDD93D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727EA70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7FDAEC3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0CA411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0D4440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0E61A20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2" w:type="pct"/>
            <w:noWrap/>
            <w:hideMark/>
          </w:tcPr>
          <w:p w14:paraId="5291CB0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3E266E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30</w:t>
            </w:r>
          </w:p>
        </w:tc>
        <w:tc>
          <w:tcPr>
            <w:tcW w:w="132" w:type="pct"/>
            <w:noWrap/>
            <w:hideMark/>
          </w:tcPr>
          <w:p w14:paraId="6379B0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2" w:type="pct"/>
            <w:noWrap/>
            <w:hideMark/>
          </w:tcPr>
          <w:p w14:paraId="4E6D0A4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51</w:t>
            </w:r>
          </w:p>
        </w:tc>
        <w:tc>
          <w:tcPr>
            <w:tcW w:w="132" w:type="pct"/>
            <w:noWrap/>
            <w:hideMark/>
          </w:tcPr>
          <w:p w14:paraId="4831431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2" w:type="pct"/>
            <w:noWrap/>
            <w:hideMark/>
          </w:tcPr>
          <w:p w14:paraId="24E824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2" w:type="pct"/>
            <w:noWrap/>
            <w:hideMark/>
          </w:tcPr>
          <w:p w14:paraId="78CB07B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2" w:type="pct"/>
            <w:noWrap/>
            <w:hideMark/>
          </w:tcPr>
          <w:p w14:paraId="1FF51E8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131</w:t>
            </w:r>
          </w:p>
        </w:tc>
        <w:tc>
          <w:tcPr>
            <w:tcW w:w="132" w:type="pct"/>
            <w:noWrap/>
            <w:hideMark/>
          </w:tcPr>
          <w:p w14:paraId="19A0E98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167</w:t>
            </w:r>
          </w:p>
        </w:tc>
        <w:tc>
          <w:tcPr>
            <w:tcW w:w="132" w:type="pct"/>
            <w:noWrap/>
            <w:hideMark/>
          </w:tcPr>
          <w:p w14:paraId="4D2A9FC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77406BA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7D7002F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4D2EE19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1A918E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2" w:type="pct"/>
            <w:noWrap/>
            <w:hideMark/>
          </w:tcPr>
          <w:p w14:paraId="5D01E45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2" w:type="pct"/>
            <w:noWrap/>
            <w:hideMark/>
          </w:tcPr>
          <w:p w14:paraId="2CA233A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65A54BA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11548E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233</w:t>
            </w:r>
          </w:p>
        </w:tc>
        <w:tc>
          <w:tcPr>
            <w:tcW w:w="132" w:type="pct"/>
            <w:noWrap/>
            <w:hideMark/>
          </w:tcPr>
          <w:p w14:paraId="73DC510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661CCA9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7993D47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374BF25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2" w:type="pct"/>
            <w:noWrap/>
            <w:hideMark/>
          </w:tcPr>
          <w:p w14:paraId="779CC4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2" w:type="pct"/>
            <w:noWrap/>
            <w:hideMark/>
          </w:tcPr>
          <w:p w14:paraId="541DF0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1B91BB1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40C3356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BE568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BF3F9D6" w14:textId="402E4C9A"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4225</w:t>
            </w:r>
          </w:p>
        </w:tc>
      </w:tr>
      <w:tr w:rsidR="0064565A" w:rsidRPr="00C928F6" w14:paraId="30C949FD" w14:textId="687B345B"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47E53F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34</w:t>
            </w:r>
          </w:p>
        </w:tc>
        <w:tc>
          <w:tcPr>
            <w:tcW w:w="89" w:type="pct"/>
            <w:noWrap/>
            <w:hideMark/>
          </w:tcPr>
          <w:p w14:paraId="3D67F91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CC5A7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32B8A4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7081736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313610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2216BA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572B02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281015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0C26349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30BC32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2" w:type="pct"/>
            <w:noWrap/>
            <w:hideMark/>
          </w:tcPr>
          <w:p w14:paraId="3EE111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2" w:type="pct"/>
            <w:noWrap/>
            <w:hideMark/>
          </w:tcPr>
          <w:p w14:paraId="5B57077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2" w:type="pct"/>
            <w:noWrap/>
            <w:hideMark/>
          </w:tcPr>
          <w:p w14:paraId="34C65CD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2" w:type="pct"/>
            <w:noWrap/>
            <w:hideMark/>
          </w:tcPr>
          <w:p w14:paraId="38E45A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2B655C4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2" w:type="pct"/>
            <w:noWrap/>
            <w:hideMark/>
          </w:tcPr>
          <w:p w14:paraId="6A91CC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2" w:type="pct"/>
            <w:noWrap/>
            <w:hideMark/>
          </w:tcPr>
          <w:p w14:paraId="764D50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2" w:type="pct"/>
            <w:noWrap/>
            <w:hideMark/>
          </w:tcPr>
          <w:p w14:paraId="0F1A34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7B539B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518DAAF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42E3CFD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38AA5C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2" w:type="pct"/>
            <w:noWrap/>
            <w:hideMark/>
          </w:tcPr>
          <w:p w14:paraId="7AA0079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2" w:type="pct"/>
            <w:noWrap/>
            <w:hideMark/>
          </w:tcPr>
          <w:p w14:paraId="684FF76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5ED2480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44226E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77F691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4932E3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405007A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5942D92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74908EB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228</w:t>
            </w:r>
          </w:p>
        </w:tc>
        <w:tc>
          <w:tcPr>
            <w:tcW w:w="132" w:type="pct"/>
            <w:noWrap/>
            <w:hideMark/>
          </w:tcPr>
          <w:p w14:paraId="68BF15F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05BB3DC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2" w:type="pct"/>
            <w:noWrap/>
            <w:hideMark/>
          </w:tcPr>
          <w:p w14:paraId="7B3E2EA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20" w:type="pct"/>
            <w:noWrap/>
            <w:hideMark/>
          </w:tcPr>
          <w:p w14:paraId="1B9150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59946611" w14:textId="4B3D75A1" w:rsidR="00C928F6" w:rsidRPr="008163A2" w:rsidRDefault="00C928F6"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4178</w:t>
            </w:r>
          </w:p>
        </w:tc>
      </w:tr>
      <w:tr w:rsidR="00083FCD" w:rsidRPr="00C928F6" w14:paraId="195E187B" w14:textId="0AEA6E16"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528377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35</w:t>
            </w:r>
          </w:p>
        </w:tc>
        <w:tc>
          <w:tcPr>
            <w:tcW w:w="89" w:type="pct"/>
            <w:noWrap/>
            <w:hideMark/>
          </w:tcPr>
          <w:p w14:paraId="62E3BD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5E1DE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5530488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385A9D3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074DEF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53E4BF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98C5B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68AF29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22E658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2" w:type="pct"/>
            <w:noWrap/>
            <w:hideMark/>
          </w:tcPr>
          <w:p w14:paraId="79E2112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70B976C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160FDB7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2" w:type="pct"/>
            <w:noWrap/>
            <w:hideMark/>
          </w:tcPr>
          <w:p w14:paraId="796305D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2" w:type="pct"/>
            <w:noWrap/>
            <w:hideMark/>
          </w:tcPr>
          <w:p w14:paraId="66E52B3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2" w:type="pct"/>
            <w:noWrap/>
            <w:hideMark/>
          </w:tcPr>
          <w:p w14:paraId="00B7590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2" w:type="pct"/>
            <w:noWrap/>
            <w:hideMark/>
          </w:tcPr>
          <w:p w14:paraId="14DE89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2" w:type="pct"/>
            <w:noWrap/>
            <w:hideMark/>
          </w:tcPr>
          <w:p w14:paraId="385C42A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2" w:type="pct"/>
            <w:noWrap/>
            <w:hideMark/>
          </w:tcPr>
          <w:p w14:paraId="4675AB5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134</w:t>
            </w:r>
          </w:p>
        </w:tc>
        <w:tc>
          <w:tcPr>
            <w:tcW w:w="132" w:type="pct"/>
            <w:noWrap/>
            <w:hideMark/>
          </w:tcPr>
          <w:p w14:paraId="2B3B004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118644D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670BA3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448E41F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2084C61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20AF5C4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213</w:t>
            </w:r>
          </w:p>
        </w:tc>
        <w:tc>
          <w:tcPr>
            <w:tcW w:w="132" w:type="pct"/>
            <w:noWrap/>
            <w:hideMark/>
          </w:tcPr>
          <w:p w14:paraId="027320E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15C1F7F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4D5375F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15E223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1F7AE4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48A50A0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2" w:type="pct"/>
            <w:noWrap/>
            <w:hideMark/>
          </w:tcPr>
          <w:p w14:paraId="7E7FC9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2" w:type="pct"/>
            <w:noWrap/>
            <w:hideMark/>
          </w:tcPr>
          <w:p w14:paraId="0762FEF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7BDCD33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619F3A9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20" w:type="pct"/>
            <w:noWrap/>
            <w:hideMark/>
          </w:tcPr>
          <w:p w14:paraId="3496D4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65</w:t>
            </w:r>
          </w:p>
        </w:tc>
        <w:tc>
          <w:tcPr>
            <w:tcW w:w="267" w:type="pct"/>
          </w:tcPr>
          <w:p w14:paraId="5E8E00EE" w14:textId="0FD6787C" w:rsidR="00C928F6" w:rsidRPr="008163A2" w:rsidRDefault="00C928F6"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4115</w:t>
            </w:r>
          </w:p>
        </w:tc>
      </w:tr>
    </w:tbl>
    <w:p w14:paraId="402BDE39" w14:textId="77777777" w:rsidR="0093019E" w:rsidRDefault="0093019E" w:rsidP="00BB3D46"/>
    <w:p w14:paraId="7D752DD1" w14:textId="285AD862" w:rsidR="00271A50" w:rsidRDefault="00271A50" w:rsidP="00BB3D46">
      <w:pPr>
        <w:sectPr w:rsidR="00271A50" w:rsidSect="00271A50">
          <w:pgSz w:w="23811" w:h="16838" w:orient="landscape" w:code="8"/>
          <w:pgMar w:top="1440" w:right="1276" w:bottom="991" w:left="1276" w:header="567" w:footer="0" w:gutter="0"/>
          <w:cols w:space="708"/>
          <w:titlePg/>
          <w:docGrid w:linePitch="360"/>
        </w:sectPr>
      </w:pPr>
    </w:p>
    <w:p w14:paraId="0E70ABE3" w14:textId="4512AB28" w:rsidR="00271A50" w:rsidRPr="00930D6A" w:rsidRDefault="00271A50" w:rsidP="00310D3F">
      <w:pPr>
        <w:pStyle w:val="ListNumbered1"/>
        <w:ind w:left="567" w:hanging="567"/>
        <w:rPr>
          <w:lang w:val="en-AU"/>
        </w:rPr>
      </w:pPr>
      <w:r w:rsidRPr="00930D6A">
        <w:rPr>
          <w:lang w:val="en-AU"/>
        </w:rPr>
        <w:lastRenderedPageBreak/>
        <w:t xml:space="preserve">From the number of crashes affected determined in step 8, the trauma alleviated by year was determined </w:t>
      </w:r>
      <w:r w:rsidR="00254BA6">
        <w:rPr>
          <w:lang w:val="en-AU"/>
        </w:rPr>
        <w:t>from</w:t>
      </w:r>
      <w:r w:rsidRPr="00930D6A">
        <w:rPr>
          <w:lang w:val="en-AU"/>
        </w:rPr>
        <w:t xml:space="preserve"> effectiveness for each trauma type and the technology impact (</w:t>
      </w:r>
      <w:r w:rsidR="00254BA6">
        <w:rPr>
          <w:lang w:val="en-US"/>
        </w:rPr>
        <w:fldChar w:fldCharType="begin"/>
      </w:r>
      <w:r w:rsidR="00254BA6">
        <w:instrText xml:space="preserve"> REF _Ref95924337 \h </w:instrText>
      </w:r>
      <w:r w:rsidR="00254BA6">
        <w:rPr>
          <w:lang w:val="en-US"/>
        </w:rPr>
      </w:r>
      <w:r w:rsidR="00254BA6">
        <w:rPr>
          <w:lang w:val="en-US"/>
        </w:rPr>
        <w:fldChar w:fldCharType="separate"/>
      </w:r>
      <w:r w:rsidR="005E58C6" w:rsidRPr="00930D6A">
        <w:t xml:space="preserve">Table </w:t>
      </w:r>
      <w:r w:rsidR="005E58C6">
        <w:rPr>
          <w:noProof/>
        </w:rPr>
        <w:t>13</w:t>
      </w:r>
      <w:r w:rsidR="00254BA6">
        <w:rPr>
          <w:lang w:val="en-US"/>
        </w:rPr>
        <w:fldChar w:fldCharType="end"/>
      </w:r>
      <w:r w:rsidRPr="00930D6A">
        <w:rPr>
          <w:lang w:val="en-AU"/>
        </w:rPr>
        <w:t>).</w:t>
      </w:r>
    </w:p>
    <w:p w14:paraId="137EECF9" w14:textId="2321BA35" w:rsidR="00271A50" w:rsidRPr="00930D6A" w:rsidRDefault="00271A50" w:rsidP="00310D3F">
      <w:pPr>
        <w:pStyle w:val="Tablefigureheading"/>
      </w:pPr>
      <w:bookmarkStart w:id="265" w:name="_Ref95924337"/>
      <w:bookmarkStart w:id="266" w:name="_Toc128476439"/>
      <w:bookmarkStart w:id="267" w:name="_Toc153795501"/>
      <w:r w:rsidRPr="00930D6A">
        <w:t xml:space="preserve">Table </w:t>
      </w:r>
      <w:fldSimple w:instr=" SEQ Table \* ARABIC ">
        <w:r w:rsidR="005E58C6">
          <w:rPr>
            <w:noProof/>
          </w:rPr>
          <w:t>13</w:t>
        </w:r>
      </w:fldSimple>
      <w:bookmarkEnd w:id="265"/>
      <w:r w:rsidRPr="00930D6A">
        <w:t>: Expected reduction in fatal and serious and minor injury crashes under Option 2</w:t>
      </w:r>
      <w:bookmarkEnd w:id="266"/>
      <w:r w:rsidR="00C928F6">
        <w:t>, 3a and 3b</w:t>
      </w:r>
      <w:bookmarkEnd w:id="267"/>
    </w:p>
    <w:tbl>
      <w:tblPr>
        <w:tblStyle w:val="DefaultTable1"/>
        <w:tblW w:w="5000" w:type="pct"/>
        <w:tblLook w:val="0460" w:firstRow="1" w:lastRow="1" w:firstColumn="0" w:lastColumn="0" w:noHBand="0" w:noVBand="1"/>
        <w:tblCaption w:val="Expected reduction in fatal and serious and minor injury crashes under Option 2"/>
        <w:tblDescription w:val="Table showing the number of fatal crashes, and serious and minor injury crashes avoided each year under Option 2, from 2025 to 2059."/>
      </w:tblPr>
      <w:tblGrid>
        <w:gridCol w:w="640"/>
        <w:gridCol w:w="933"/>
        <w:gridCol w:w="1139"/>
        <w:gridCol w:w="1133"/>
        <w:gridCol w:w="923"/>
        <w:gridCol w:w="948"/>
        <w:gridCol w:w="944"/>
        <w:gridCol w:w="923"/>
        <w:gridCol w:w="948"/>
        <w:gridCol w:w="944"/>
      </w:tblGrid>
      <w:tr w:rsidR="00271A50" w:rsidRPr="00930D6A" w14:paraId="7DE0D01C" w14:textId="4252F78E" w:rsidTr="00254BA6">
        <w:trPr>
          <w:cnfStyle w:val="100000000000" w:firstRow="1" w:lastRow="0" w:firstColumn="0" w:lastColumn="0" w:oddVBand="0" w:evenVBand="0" w:oddHBand="0" w:evenHBand="0" w:firstRowFirstColumn="0" w:firstRowLastColumn="0" w:lastRowFirstColumn="0" w:lastRowLastColumn="0"/>
        </w:trPr>
        <w:tc>
          <w:tcPr>
            <w:tcW w:w="338" w:type="pct"/>
            <w:tcBorders>
              <w:bottom w:val="single" w:sz="4" w:space="0" w:color="595959" w:themeColor="text1" w:themeTint="A6"/>
            </w:tcBorders>
            <w:shd w:val="clear" w:color="auto" w:fill="081E3E"/>
          </w:tcPr>
          <w:p w14:paraId="0755C734" w14:textId="77777777" w:rsidR="00271A50" w:rsidRPr="00310D3F" w:rsidRDefault="00271A50" w:rsidP="00310D3F">
            <w:pPr>
              <w:pStyle w:val="Tablerowcolumnheading"/>
              <w:rPr>
                <w:b/>
              </w:rPr>
            </w:pPr>
            <w:r w:rsidRPr="35E123EC">
              <w:t>Year</w:t>
            </w:r>
          </w:p>
        </w:tc>
        <w:tc>
          <w:tcPr>
            <w:tcW w:w="493" w:type="pct"/>
            <w:tcBorders>
              <w:bottom w:val="single" w:sz="4" w:space="0" w:color="595959" w:themeColor="text1" w:themeTint="A6"/>
            </w:tcBorders>
            <w:shd w:val="clear" w:color="auto" w:fill="081E3E"/>
          </w:tcPr>
          <w:p w14:paraId="5D398DB2" w14:textId="77777777" w:rsidR="00254BA6" w:rsidRPr="00254BA6" w:rsidRDefault="00271A50" w:rsidP="00254BA6">
            <w:pPr>
              <w:pStyle w:val="Tablerowcolumnheadingcentred"/>
              <w:rPr>
                <w:b/>
              </w:rPr>
            </w:pPr>
            <w:r w:rsidRPr="35E123EC">
              <w:t>Fatal crashes avoided</w:t>
            </w:r>
          </w:p>
          <w:p w14:paraId="00C7D8F5" w14:textId="5BA6DF43" w:rsidR="00271A50" w:rsidRPr="00254BA6" w:rsidRDefault="00254BA6" w:rsidP="008163A2">
            <w:r w:rsidRPr="008163A2">
              <w:rPr>
                <w:b w:val="0"/>
                <w:color w:val="auto"/>
                <w:szCs w:val="22"/>
              </w:rPr>
              <w:t xml:space="preserve">Option2 </w:t>
            </w:r>
          </w:p>
        </w:tc>
        <w:tc>
          <w:tcPr>
            <w:tcW w:w="601" w:type="pct"/>
            <w:tcBorders>
              <w:bottom w:val="single" w:sz="4" w:space="0" w:color="595959" w:themeColor="text1" w:themeTint="A6"/>
            </w:tcBorders>
            <w:shd w:val="clear" w:color="auto" w:fill="081E3E"/>
          </w:tcPr>
          <w:p w14:paraId="7F4ED8C9" w14:textId="77777777" w:rsidR="00254BA6" w:rsidRPr="00254BA6" w:rsidRDefault="00271A50" w:rsidP="00254BA6">
            <w:pPr>
              <w:pStyle w:val="Tablerowcolumnheadingcentred"/>
              <w:rPr>
                <w:b/>
              </w:rPr>
            </w:pPr>
            <w:r w:rsidRPr="35E123EC">
              <w:t>Serious injury crashes avoided</w:t>
            </w:r>
          </w:p>
          <w:p w14:paraId="0DDAD1ED" w14:textId="16244CC5" w:rsidR="00271A50" w:rsidRPr="00254BA6" w:rsidRDefault="00254BA6" w:rsidP="008163A2">
            <w:r w:rsidRPr="008163A2">
              <w:rPr>
                <w:b w:val="0"/>
                <w:color w:val="auto"/>
                <w:szCs w:val="22"/>
              </w:rPr>
              <w:t>Option 2</w:t>
            </w:r>
          </w:p>
        </w:tc>
        <w:tc>
          <w:tcPr>
            <w:tcW w:w="598" w:type="pct"/>
            <w:tcBorders>
              <w:bottom w:val="single" w:sz="4" w:space="0" w:color="595959" w:themeColor="text1" w:themeTint="A6"/>
            </w:tcBorders>
            <w:shd w:val="clear" w:color="auto" w:fill="081E3E"/>
          </w:tcPr>
          <w:p w14:paraId="03F56A9C" w14:textId="77777777" w:rsidR="00254BA6" w:rsidRPr="00254BA6" w:rsidRDefault="00271A50" w:rsidP="00254BA6">
            <w:pPr>
              <w:pStyle w:val="Tablerowcolumnheadingcentred"/>
              <w:rPr>
                <w:b/>
              </w:rPr>
            </w:pPr>
            <w:r w:rsidRPr="35E123EC">
              <w:t>Minor injury crashes avoided</w:t>
            </w:r>
          </w:p>
          <w:p w14:paraId="1EB416F1" w14:textId="0146BDBD" w:rsidR="00271A50" w:rsidRPr="00254BA6" w:rsidRDefault="00254BA6" w:rsidP="008163A2">
            <w:r w:rsidRPr="008163A2">
              <w:rPr>
                <w:b w:val="0"/>
                <w:color w:val="auto"/>
                <w:szCs w:val="22"/>
              </w:rPr>
              <w:t>Option 2</w:t>
            </w:r>
          </w:p>
        </w:tc>
        <w:tc>
          <w:tcPr>
            <w:tcW w:w="487" w:type="pct"/>
            <w:tcBorders>
              <w:bottom w:val="single" w:sz="4" w:space="0" w:color="595959" w:themeColor="text1" w:themeTint="A6"/>
            </w:tcBorders>
            <w:shd w:val="clear" w:color="auto" w:fill="081E3E"/>
          </w:tcPr>
          <w:p w14:paraId="0B9AEC1A" w14:textId="77777777" w:rsidR="00254BA6" w:rsidRPr="00254BA6" w:rsidRDefault="00254BA6" w:rsidP="00254BA6">
            <w:pPr>
              <w:pStyle w:val="Tablerowcolumnheadingcentred"/>
              <w:rPr>
                <w:b/>
              </w:rPr>
            </w:pPr>
            <w:r w:rsidRPr="00254BA6">
              <w:t>Fatal crashes avoided</w:t>
            </w:r>
          </w:p>
          <w:p w14:paraId="463038E0" w14:textId="08D45D18" w:rsidR="00254BA6" w:rsidRPr="00254BA6" w:rsidRDefault="00254BA6" w:rsidP="00254BA6">
            <w:pPr>
              <w:pStyle w:val="Tablerowcolumnheadingcentred"/>
            </w:pPr>
            <w:r w:rsidRPr="00254BA6">
              <w:t xml:space="preserve">Option 3a </w:t>
            </w:r>
          </w:p>
        </w:tc>
        <w:tc>
          <w:tcPr>
            <w:tcW w:w="500" w:type="pct"/>
            <w:tcBorders>
              <w:bottom w:val="single" w:sz="4" w:space="0" w:color="595959" w:themeColor="text1" w:themeTint="A6"/>
            </w:tcBorders>
            <w:shd w:val="clear" w:color="auto" w:fill="081E3E"/>
          </w:tcPr>
          <w:p w14:paraId="78F70446" w14:textId="77777777" w:rsidR="00254BA6" w:rsidRPr="00254BA6" w:rsidRDefault="00254BA6" w:rsidP="00254BA6">
            <w:pPr>
              <w:pStyle w:val="Tablerowcolumnheadingcentred"/>
              <w:rPr>
                <w:b/>
              </w:rPr>
            </w:pPr>
            <w:r w:rsidRPr="00254BA6">
              <w:t>Serious injury crashes avoided</w:t>
            </w:r>
          </w:p>
          <w:p w14:paraId="26EE7671" w14:textId="5FFA5C47" w:rsidR="00254BA6" w:rsidRPr="00254BA6" w:rsidRDefault="00254BA6" w:rsidP="00254BA6">
            <w:pPr>
              <w:pStyle w:val="Tablerowcolumnheadingcentred"/>
            </w:pPr>
            <w:r w:rsidRPr="00254BA6">
              <w:t>Option 3a</w:t>
            </w:r>
          </w:p>
        </w:tc>
        <w:tc>
          <w:tcPr>
            <w:tcW w:w="498" w:type="pct"/>
            <w:tcBorders>
              <w:bottom w:val="single" w:sz="4" w:space="0" w:color="595959" w:themeColor="text1" w:themeTint="A6"/>
            </w:tcBorders>
            <w:shd w:val="clear" w:color="auto" w:fill="081E3E"/>
          </w:tcPr>
          <w:p w14:paraId="3FCBEC15" w14:textId="77777777" w:rsidR="00254BA6" w:rsidRPr="00254BA6" w:rsidRDefault="00254BA6" w:rsidP="00254BA6">
            <w:pPr>
              <w:pStyle w:val="Tablerowcolumnheadingcentred"/>
              <w:rPr>
                <w:b/>
              </w:rPr>
            </w:pPr>
            <w:r w:rsidRPr="00254BA6">
              <w:t>Minor injury crashes avoided</w:t>
            </w:r>
          </w:p>
          <w:p w14:paraId="178E8194" w14:textId="12F3A343" w:rsidR="00254BA6" w:rsidRPr="00254BA6" w:rsidRDefault="00254BA6" w:rsidP="00254BA6">
            <w:pPr>
              <w:pStyle w:val="Tablerowcolumnheadingcentred"/>
            </w:pPr>
            <w:r w:rsidRPr="00254BA6">
              <w:t>Option 3a</w:t>
            </w:r>
          </w:p>
        </w:tc>
        <w:tc>
          <w:tcPr>
            <w:tcW w:w="487" w:type="pct"/>
            <w:tcBorders>
              <w:bottom w:val="single" w:sz="4" w:space="0" w:color="595959" w:themeColor="text1" w:themeTint="A6"/>
            </w:tcBorders>
            <w:shd w:val="clear" w:color="auto" w:fill="081E3E"/>
          </w:tcPr>
          <w:p w14:paraId="09994B54" w14:textId="77777777" w:rsidR="00254BA6" w:rsidRPr="00254BA6" w:rsidRDefault="00254BA6" w:rsidP="00254BA6">
            <w:pPr>
              <w:pStyle w:val="Tablerowcolumnheadingcentred"/>
              <w:rPr>
                <w:b/>
              </w:rPr>
            </w:pPr>
            <w:r w:rsidRPr="00254BA6">
              <w:t>Fatal crashes avoided</w:t>
            </w:r>
          </w:p>
          <w:p w14:paraId="02F82D14" w14:textId="7DA6125F" w:rsidR="00254BA6" w:rsidRPr="00254BA6" w:rsidRDefault="00254BA6" w:rsidP="00254BA6">
            <w:pPr>
              <w:pStyle w:val="Tablerowcolumnheadingcentred"/>
            </w:pPr>
            <w:r w:rsidRPr="00254BA6">
              <w:t xml:space="preserve">Option 3b </w:t>
            </w:r>
          </w:p>
        </w:tc>
        <w:tc>
          <w:tcPr>
            <w:tcW w:w="500" w:type="pct"/>
            <w:tcBorders>
              <w:bottom w:val="single" w:sz="4" w:space="0" w:color="595959" w:themeColor="text1" w:themeTint="A6"/>
            </w:tcBorders>
            <w:shd w:val="clear" w:color="auto" w:fill="081E3E"/>
          </w:tcPr>
          <w:p w14:paraId="5E77AF81" w14:textId="77777777" w:rsidR="00254BA6" w:rsidRPr="00254BA6" w:rsidRDefault="00254BA6" w:rsidP="00254BA6">
            <w:pPr>
              <w:pStyle w:val="Tablerowcolumnheadingcentred"/>
              <w:rPr>
                <w:b/>
              </w:rPr>
            </w:pPr>
            <w:r w:rsidRPr="00254BA6">
              <w:t>Serious injury crashes avoided</w:t>
            </w:r>
          </w:p>
          <w:p w14:paraId="560411D0" w14:textId="0D51004C" w:rsidR="00254BA6" w:rsidRPr="00254BA6" w:rsidRDefault="00254BA6" w:rsidP="00254BA6">
            <w:pPr>
              <w:pStyle w:val="Tablerowcolumnheadingcentred"/>
            </w:pPr>
            <w:r w:rsidRPr="00254BA6">
              <w:t>Option 3b</w:t>
            </w:r>
          </w:p>
        </w:tc>
        <w:tc>
          <w:tcPr>
            <w:tcW w:w="498" w:type="pct"/>
            <w:tcBorders>
              <w:bottom w:val="single" w:sz="4" w:space="0" w:color="595959" w:themeColor="text1" w:themeTint="A6"/>
            </w:tcBorders>
            <w:shd w:val="clear" w:color="auto" w:fill="081E3E"/>
          </w:tcPr>
          <w:p w14:paraId="5955DFD7" w14:textId="77777777" w:rsidR="00254BA6" w:rsidRPr="00254BA6" w:rsidRDefault="00254BA6" w:rsidP="00254BA6">
            <w:pPr>
              <w:pStyle w:val="Tablerowcolumnheadingcentred"/>
              <w:rPr>
                <w:b/>
              </w:rPr>
            </w:pPr>
            <w:r w:rsidRPr="00254BA6">
              <w:t>Minor injury crashes avoided</w:t>
            </w:r>
          </w:p>
          <w:p w14:paraId="2C1C84F0" w14:textId="22621DBA" w:rsidR="00254BA6" w:rsidRPr="00254BA6" w:rsidRDefault="00254BA6" w:rsidP="00254BA6">
            <w:pPr>
              <w:pStyle w:val="Tablerowcolumnheadingcentred"/>
            </w:pPr>
            <w:r w:rsidRPr="00254BA6">
              <w:t>Option 3b</w:t>
            </w:r>
          </w:p>
        </w:tc>
      </w:tr>
      <w:tr w:rsidR="00271A50" w:rsidRPr="00930D6A" w14:paraId="5B0404EE" w14:textId="489EAA3F" w:rsidTr="00254BA6">
        <w:tc>
          <w:tcPr>
            <w:tcW w:w="338" w:type="pct"/>
            <w:tcBorders>
              <w:bottom w:val="single" w:sz="4" w:space="0" w:color="4BB3B5"/>
            </w:tcBorders>
          </w:tcPr>
          <w:p w14:paraId="349CBF57" w14:textId="77777777" w:rsidR="00271A50" w:rsidRPr="00310D3F" w:rsidRDefault="00271A50" w:rsidP="00310D3F">
            <w:pPr>
              <w:pStyle w:val="Tabletext"/>
              <w:rPr>
                <w:b/>
              </w:rPr>
            </w:pPr>
            <w:r w:rsidRPr="35E123EC">
              <w:rPr>
                <w:b/>
              </w:rPr>
              <w:t>2025</w:t>
            </w:r>
          </w:p>
        </w:tc>
        <w:tc>
          <w:tcPr>
            <w:tcW w:w="493" w:type="pct"/>
            <w:tcBorders>
              <w:bottom w:val="single" w:sz="4" w:space="0" w:color="4BB3B5"/>
            </w:tcBorders>
          </w:tcPr>
          <w:p w14:paraId="7C6543E5" w14:textId="31FD503A" w:rsidR="00271A50" w:rsidRPr="00930D6A" w:rsidRDefault="00254BA6" w:rsidP="00310D3F">
            <w:pPr>
              <w:pStyle w:val="Tabletextcentred"/>
            </w:pPr>
            <w:r w:rsidRPr="00F51E6E">
              <w:t xml:space="preserve"> 0.01 </w:t>
            </w:r>
          </w:p>
        </w:tc>
        <w:tc>
          <w:tcPr>
            <w:tcW w:w="601" w:type="pct"/>
            <w:tcBorders>
              <w:bottom w:val="single" w:sz="4" w:space="0" w:color="4BB3B5"/>
            </w:tcBorders>
          </w:tcPr>
          <w:p w14:paraId="53EA997B" w14:textId="5DFB9C42" w:rsidR="00271A50" w:rsidRPr="00930D6A" w:rsidRDefault="00254BA6" w:rsidP="00310D3F">
            <w:pPr>
              <w:pStyle w:val="Tabletextcentred"/>
            </w:pPr>
            <w:r w:rsidRPr="00F51E6E">
              <w:t xml:space="preserve"> 0.22 </w:t>
            </w:r>
          </w:p>
        </w:tc>
        <w:tc>
          <w:tcPr>
            <w:tcW w:w="598" w:type="pct"/>
            <w:tcBorders>
              <w:bottom w:val="single" w:sz="4" w:space="0" w:color="4BB3B5"/>
            </w:tcBorders>
          </w:tcPr>
          <w:p w14:paraId="6A0EF619" w14:textId="18A66BFE" w:rsidR="00271A50" w:rsidRPr="00930D6A" w:rsidRDefault="00254BA6" w:rsidP="00310D3F">
            <w:pPr>
              <w:pStyle w:val="Tabletextcentred"/>
            </w:pPr>
            <w:r w:rsidRPr="00F51E6E">
              <w:t xml:space="preserve"> 0.25 </w:t>
            </w:r>
          </w:p>
        </w:tc>
        <w:tc>
          <w:tcPr>
            <w:tcW w:w="487" w:type="pct"/>
            <w:tcBorders>
              <w:bottom w:val="single" w:sz="4" w:space="0" w:color="4BB3B5"/>
            </w:tcBorders>
          </w:tcPr>
          <w:p w14:paraId="38D5E27A" w14:textId="5FFCAE08" w:rsidR="00254BA6" w:rsidRPr="005A06AF" w:rsidRDefault="00254BA6" w:rsidP="00254BA6">
            <w:pPr>
              <w:pStyle w:val="Tabletextcentred"/>
            </w:pPr>
            <w:r w:rsidRPr="005A06AF">
              <w:t xml:space="preserve"> 0.01 </w:t>
            </w:r>
          </w:p>
        </w:tc>
        <w:tc>
          <w:tcPr>
            <w:tcW w:w="500" w:type="pct"/>
            <w:tcBorders>
              <w:bottom w:val="single" w:sz="4" w:space="0" w:color="4BB3B5"/>
            </w:tcBorders>
          </w:tcPr>
          <w:p w14:paraId="682CAF07" w14:textId="7BAD528D" w:rsidR="00254BA6" w:rsidRPr="005A06AF" w:rsidRDefault="00254BA6" w:rsidP="00254BA6">
            <w:pPr>
              <w:pStyle w:val="Tabletextcentred"/>
            </w:pPr>
            <w:r w:rsidRPr="005A06AF">
              <w:t xml:space="preserve"> 0.23 </w:t>
            </w:r>
          </w:p>
        </w:tc>
        <w:tc>
          <w:tcPr>
            <w:tcW w:w="498" w:type="pct"/>
            <w:tcBorders>
              <w:bottom w:val="single" w:sz="4" w:space="0" w:color="4BB3B5"/>
            </w:tcBorders>
          </w:tcPr>
          <w:p w14:paraId="6B72DAC6" w14:textId="4344EFC5" w:rsidR="00254BA6" w:rsidRPr="005A06AF" w:rsidRDefault="00254BA6" w:rsidP="00254BA6">
            <w:pPr>
              <w:pStyle w:val="Tabletextcentred"/>
            </w:pPr>
            <w:r w:rsidRPr="005A06AF">
              <w:t xml:space="preserve"> 0.25 </w:t>
            </w:r>
          </w:p>
        </w:tc>
        <w:tc>
          <w:tcPr>
            <w:tcW w:w="487" w:type="pct"/>
            <w:tcBorders>
              <w:bottom w:val="single" w:sz="4" w:space="0" w:color="4BB3B5"/>
            </w:tcBorders>
          </w:tcPr>
          <w:p w14:paraId="2030E7E4" w14:textId="2613C449" w:rsidR="00254BA6" w:rsidRPr="00CE599B" w:rsidRDefault="00254BA6" w:rsidP="00254BA6">
            <w:pPr>
              <w:pStyle w:val="Tabletextcentred"/>
            </w:pPr>
            <w:r w:rsidRPr="00CE599B">
              <w:t xml:space="preserve"> -   </w:t>
            </w:r>
          </w:p>
        </w:tc>
        <w:tc>
          <w:tcPr>
            <w:tcW w:w="500" w:type="pct"/>
            <w:tcBorders>
              <w:bottom w:val="single" w:sz="4" w:space="0" w:color="4BB3B5"/>
            </w:tcBorders>
          </w:tcPr>
          <w:p w14:paraId="5139FAC8" w14:textId="5F5DFBF6" w:rsidR="00254BA6" w:rsidRPr="00CE599B" w:rsidRDefault="00254BA6" w:rsidP="00254BA6">
            <w:pPr>
              <w:pStyle w:val="Tabletextcentred"/>
            </w:pPr>
            <w:r w:rsidRPr="00CE599B">
              <w:t xml:space="preserve"> -   </w:t>
            </w:r>
          </w:p>
        </w:tc>
        <w:tc>
          <w:tcPr>
            <w:tcW w:w="498" w:type="pct"/>
            <w:tcBorders>
              <w:bottom w:val="single" w:sz="4" w:space="0" w:color="4BB3B5"/>
            </w:tcBorders>
          </w:tcPr>
          <w:p w14:paraId="0E0683D6" w14:textId="3397E53C" w:rsidR="00254BA6" w:rsidRPr="00CE599B" w:rsidRDefault="00254BA6" w:rsidP="00254BA6">
            <w:pPr>
              <w:pStyle w:val="Tabletextcentred"/>
            </w:pPr>
            <w:r w:rsidRPr="00CE599B">
              <w:t xml:space="preserve"> -   </w:t>
            </w:r>
          </w:p>
        </w:tc>
      </w:tr>
      <w:tr w:rsidR="00271A50" w:rsidRPr="00930D6A" w14:paraId="2C77BCFF" w14:textId="7A039FCB"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43E1539" w14:textId="77777777" w:rsidR="00271A50" w:rsidRPr="00310D3F" w:rsidRDefault="00271A50" w:rsidP="00310D3F">
            <w:pPr>
              <w:pStyle w:val="Tabletext"/>
              <w:rPr>
                <w:b/>
              </w:rPr>
            </w:pPr>
            <w:r w:rsidRPr="35E123EC">
              <w:rPr>
                <w:b/>
              </w:rPr>
              <w:t>2026</w:t>
            </w:r>
          </w:p>
        </w:tc>
        <w:tc>
          <w:tcPr>
            <w:tcW w:w="493" w:type="pct"/>
            <w:tcBorders>
              <w:top w:val="single" w:sz="4" w:space="0" w:color="4BB3B5"/>
              <w:bottom w:val="single" w:sz="4" w:space="0" w:color="4BB3B5"/>
            </w:tcBorders>
          </w:tcPr>
          <w:p w14:paraId="1CC101BA" w14:textId="4389A4D9" w:rsidR="00271A50" w:rsidRPr="00930D6A" w:rsidRDefault="00254BA6" w:rsidP="00310D3F">
            <w:pPr>
              <w:pStyle w:val="Tabletextcentred"/>
            </w:pPr>
            <w:r w:rsidRPr="00F51E6E">
              <w:t xml:space="preserve"> 0.04 </w:t>
            </w:r>
          </w:p>
        </w:tc>
        <w:tc>
          <w:tcPr>
            <w:tcW w:w="601" w:type="pct"/>
            <w:tcBorders>
              <w:top w:val="single" w:sz="4" w:space="0" w:color="4BB3B5"/>
              <w:bottom w:val="single" w:sz="4" w:space="0" w:color="4BB3B5"/>
            </w:tcBorders>
          </w:tcPr>
          <w:p w14:paraId="336C0421" w14:textId="1285EDCE" w:rsidR="00271A50" w:rsidRPr="00930D6A" w:rsidRDefault="00254BA6" w:rsidP="00310D3F">
            <w:pPr>
              <w:pStyle w:val="Tabletextcentred"/>
            </w:pPr>
            <w:r w:rsidRPr="00F51E6E">
              <w:t xml:space="preserve"> 1.46 </w:t>
            </w:r>
          </w:p>
        </w:tc>
        <w:tc>
          <w:tcPr>
            <w:tcW w:w="598" w:type="pct"/>
            <w:tcBorders>
              <w:top w:val="single" w:sz="4" w:space="0" w:color="4BB3B5"/>
              <w:bottom w:val="single" w:sz="4" w:space="0" w:color="4BB3B5"/>
            </w:tcBorders>
          </w:tcPr>
          <w:p w14:paraId="51E72B5F" w14:textId="3700AA90" w:rsidR="00271A50" w:rsidRPr="00930D6A" w:rsidRDefault="00254BA6" w:rsidP="00310D3F">
            <w:pPr>
              <w:pStyle w:val="Tabletextcentred"/>
            </w:pPr>
            <w:r w:rsidRPr="00F51E6E">
              <w:t xml:space="preserve"> 1.61 </w:t>
            </w:r>
          </w:p>
        </w:tc>
        <w:tc>
          <w:tcPr>
            <w:tcW w:w="487" w:type="pct"/>
            <w:tcBorders>
              <w:top w:val="single" w:sz="4" w:space="0" w:color="4BB3B5"/>
              <w:bottom w:val="single" w:sz="4" w:space="0" w:color="4BB3B5"/>
            </w:tcBorders>
          </w:tcPr>
          <w:p w14:paraId="056087B2" w14:textId="46AF3ED8" w:rsidR="00254BA6" w:rsidRPr="005A06AF" w:rsidRDefault="00254BA6" w:rsidP="00254BA6">
            <w:pPr>
              <w:pStyle w:val="Tabletextcentred"/>
            </w:pPr>
            <w:r w:rsidRPr="005A06AF">
              <w:t xml:space="preserve"> 0.04 </w:t>
            </w:r>
          </w:p>
        </w:tc>
        <w:tc>
          <w:tcPr>
            <w:tcW w:w="500" w:type="pct"/>
            <w:tcBorders>
              <w:top w:val="single" w:sz="4" w:space="0" w:color="4BB3B5"/>
              <w:bottom w:val="single" w:sz="4" w:space="0" w:color="4BB3B5"/>
            </w:tcBorders>
          </w:tcPr>
          <w:p w14:paraId="1389E0E1" w14:textId="4C0ABBFC" w:rsidR="00254BA6" w:rsidRPr="005A06AF" w:rsidRDefault="00254BA6" w:rsidP="00254BA6">
            <w:pPr>
              <w:pStyle w:val="Tabletextcentred"/>
            </w:pPr>
            <w:r w:rsidRPr="005A06AF">
              <w:t xml:space="preserve"> 1.50 </w:t>
            </w:r>
          </w:p>
        </w:tc>
        <w:tc>
          <w:tcPr>
            <w:tcW w:w="498" w:type="pct"/>
            <w:tcBorders>
              <w:top w:val="single" w:sz="4" w:space="0" w:color="4BB3B5"/>
              <w:bottom w:val="single" w:sz="4" w:space="0" w:color="4BB3B5"/>
            </w:tcBorders>
          </w:tcPr>
          <w:p w14:paraId="25F2C329" w14:textId="52DA9261" w:rsidR="00254BA6" w:rsidRPr="005A06AF" w:rsidRDefault="00254BA6" w:rsidP="00254BA6">
            <w:pPr>
              <w:pStyle w:val="Tabletextcentred"/>
            </w:pPr>
            <w:r w:rsidRPr="005A06AF">
              <w:t xml:space="preserve"> 1.66 </w:t>
            </w:r>
          </w:p>
        </w:tc>
        <w:tc>
          <w:tcPr>
            <w:tcW w:w="487" w:type="pct"/>
            <w:tcBorders>
              <w:top w:val="single" w:sz="4" w:space="0" w:color="4BB3B5"/>
              <w:bottom w:val="single" w:sz="4" w:space="0" w:color="4BB3B5"/>
            </w:tcBorders>
          </w:tcPr>
          <w:p w14:paraId="2F66D281" w14:textId="6541F29B" w:rsidR="00254BA6" w:rsidRPr="00CE599B" w:rsidRDefault="00254BA6" w:rsidP="00254BA6">
            <w:pPr>
              <w:pStyle w:val="Tabletextcentred"/>
            </w:pPr>
            <w:r w:rsidRPr="00CE599B">
              <w:t xml:space="preserve"> 0.01 </w:t>
            </w:r>
          </w:p>
        </w:tc>
        <w:tc>
          <w:tcPr>
            <w:tcW w:w="500" w:type="pct"/>
            <w:tcBorders>
              <w:top w:val="single" w:sz="4" w:space="0" w:color="4BB3B5"/>
              <w:bottom w:val="single" w:sz="4" w:space="0" w:color="4BB3B5"/>
            </w:tcBorders>
          </w:tcPr>
          <w:p w14:paraId="7031E622" w14:textId="2E050CE9" w:rsidR="00254BA6" w:rsidRPr="00CE599B" w:rsidRDefault="00254BA6" w:rsidP="00254BA6">
            <w:pPr>
              <w:pStyle w:val="Tabletextcentred"/>
            </w:pPr>
            <w:r w:rsidRPr="00CE599B">
              <w:t xml:space="preserve"> 0.24 </w:t>
            </w:r>
          </w:p>
        </w:tc>
        <w:tc>
          <w:tcPr>
            <w:tcW w:w="498" w:type="pct"/>
            <w:tcBorders>
              <w:top w:val="single" w:sz="4" w:space="0" w:color="4BB3B5"/>
              <w:bottom w:val="single" w:sz="4" w:space="0" w:color="4BB3B5"/>
            </w:tcBorders>
          </w:tcPr>
          <w:p w14:paraId="3C66244A" w14:textId="12CD1001" w:rsidR="00254BA6" w:rsidRPr="00CE599B" w:rsidRDefault="00254BA6" w:rsidP="00254BA6">
            <w:pPr>
              <w:pStyle w:val="Tabletextcentred"/>
            </w:pPr>
            <w:r w:rsidRPr="00CE599B">
              <w:t xml:space="preserve"> 0.26 </w:t>
            </w:r>
          </w:p>
        </w:tc>
      </w:tr>
      <w:tr w:rsidR="00271A50" w:rsidRPr="00930D6A" w14:paraId="674799C8" w14:textId="7A2EC22E" w:rsidTr="00254BA6">
        <w:tc>
          <w:tcPr>
            <w:tcW w:w="338" w:type="pct"/>
            <w:tcBorders>
              <w:top w:val="single" w:sz="4" w:space="0" w:color="4BB3B5"/>
              <w:bottom w:val="single" w:sz="4" w:space="0" w:color="4BB3B5"/>
            </w:tcBorders>
          </w:tcPr>
          <w:p w14:paraId="089A422E" w14:textId="77777777" w:rsidR="00271A50" w:rsidRPr="00310D3F" w:rsidRDefault="00271A50" w:rsidP="00310D3F">
            <w:pPr>
              <w:pStyle w:val="Tabletext"/>
              <w:rPr>
                <w:b/>
              </w:rPr>
            </w:pPr>
            <w:r w:rsidRPr="35E123EC">
              <w:rPr>
                <w:b/>
              </w:rPr>
              <w:t>2027</w:t>
            </w:r>
          </w:p>
        </w:tc>
        <w:tc>
          <w:tcPr>
            <w:tcW w:w="493" w:type="pct"/>
            <w:tcBorders>
              <w:top w:val="single" w:sz="4" w:space="0" w:color="4BB3B5"/>
              <w:bottom w:val="single" w:sz="4" w:space="0" w:color="4BB3B5"/>
            </w:tcBorders>
          </w:tcPr>
          <w:p w14:paraId="20E99363" w14:textId="2F9C2F07" w:rsidR="00271A50" w:rsidRPr="00930D6A" w:rsidRDefault="00254BA6" w:rsidP="00310D3F">
            <w:pPr>
              <w:pStyle w:val="Tabletextcentred"/>
            </w:pPr>
            <w:r w:rsidRPr="00F51E6E">
              <w:t xml:space="preserve"> 0.10 </w:t>
            </w:r>
          </w:p>
        </w:tc>
        <w:tc>
          <w:tcPr>
            <w:tcW w:w="601" w:type="pct"/>
            <w:tcBorders>
              <w:top w:val="single" w:sz="4" w:space="0" w:color="4BB3B5"/>
              <w:bottom w:val="single" w:sz="4" w:space="0" w:color="4BB3B5"/>
            </w:tcBorders>
          </w:tcPr>
          <w:p w14:paraId="3BC80B0A" w14:textId="15C4FBC8" w:rsidR="00271A50" w:rsidRPr="00930D6A" w:rsidRDefault="00254BA6" w:rsidP="00310D3F">
            <w:pPr>
              <w:pStyle w:val="Tabletextcentred"/>
            </w:pPr>
            <w:r w:rsidRPr="00F51E6E">
              <w:t xml:space="preserve"> 3.92 </w:t>
            </w:r>
          </w:p>
        </w:tc>
        <w:tc>
          <w:tcPr>
            <w:tcW w:w="598" w:type="pct"/>
            <w:tcBorders>
              <w:top w:val="single" w:sz="4" w:space="0" w:color="4BB3B5"/>
              <w:bottom w:val="single" w:sz="4" w:space="0" w:color="4BB3B5"/>
            </w:tcBorders>
          </w:tcPr>
          <w:p w14:paraId="045C62D1" w14:textId="40FBF223" w:rsidR="00271A50" w:rsidRPr="00930D6A" w:rsidRDefault="00254BA6" w:rsidP="00310D3F">
            <w:pPr>
              <w:pStyle w:val="Tabletextcentred"/>
            </w:pPr>
            <w:r w:rsidRPr="00F51E6E">
              <w:t xml:space="preserve"> 4.34 </w:t>
            </w:r>
          </w:p>
        </w:tc>
        <w:tc>
          <w:tcPr>
            <w:tcW w:w="487" w:type="pct"/>
            <w:tcBorders>
              <w:top w:val="single" w:sz="4" w:space="0" w:color="4BB3B5"/>
              <w:bottom w:val="single" w:sz="4" w:space="0" w:color="4BB3B5"/>
            </w:tcBorders>
          </w:tcPr>
          <w:p w14:paraId="5138A64F" w14:textId="262E794B" w:rsidR="00254BA6" w:rsidRPr="005A06AF" w:rsidRDefault="00254BA6" w:rsidP="00254BA6">
            <w:pPr>
              <w:pStyle w:val="Tabletextcentred"/>
            </w:pPr>
            <w:r w:rsidRPr="005A06AF">
              <w:t xml:space="preserve"> 0.10 </w:t>
            </w:r>
          </w:p>
        </w:tc>
        <w:tc>
          <w:tcPr>
            <w:tcW w:w="500" w:type="pct"/>
            <w:tcBorders>
              <w:top w:val="single" w:sz="4" w:space="0" w:color="4BB3B5"/>
              <w:bottom w:val="single" w:sz="4" w:space="0" w:color="4BB3B5"/>
            </w:tcBorders>
          </w:tcPr>
          <w:p w14:paraId="0C2DC4C4" w14:textId="5FEFF4DB" w:rsidR="00254BA6" w:rsidRPr="005A06AF" w:rsidRDefault="00254BA6" w:rsidP="00254BA6">
            <w:pPr>
              <w:pStyle w:val="Tabletextcentred"/>
            </w:pPr>
            <w:r w:rsidRPr="005A06AF">
              <w:t xml:space="preserve"> 4.05 </w:t>
            </w:r>
          </w:p>
        </w:tc>
        <w:tc>
          <w:tcPr>
            <w:tcW w:w="498" w:type="pct"/>
            <w:tcBorders>
              <w:top w:val="single" w:sz="4" w:space="0" w:color="4BB3B5"/>
              <w:bottom w:val="single" w:sz="4" w:space="0" w:color="4BB3B5"/>
            </w:tcBorders>
          </w:tcPr>
          <w:p w14:paraId="74C657E6" w14:textId="139161C2" w:rsidR="00254BA6" w:rsidRPr="005A06AF" w:rsidRDefault="00254BA6" w:rsidP="00254BA6">
            <w:pPr>
              <w:pStyle w:val="Tabletextcentred"/>
            </w:pPr>
            <w:r w:rsidRPr="005A06AF">
              <w:t xml:space="preserve"> 4.49 </w:t>
            </w:r>
          </w:p>
        </w:tc>
        <w:tc>
          <w:tcPr>
            <w:tcW w:w="487" w:type="pct"/>
            <w:tcBorders>
              <w:top w:val="single" w:sz="4" w:space="0" w:color="4BB3B5"/>
              <w:bottom w:val="single" w:sz="4" w:space="0" w:color="4BB3B5"/>
            </w:tcBorders>
          </w:tcPr>
          <w:p w14:paraId="3DB4AFC3" w14:textId="5FEBA32B" w:rsidR="00254BA6" w:rsidRPr="00CE599B" w:rsidRDefault="00254BA6" w:rsidP="00254BA6">
            <w:pPr>
              <w:pStyle w:val="Tabletextcentred"/>
            </w:pPr>
            <w:r w:rsidRPr="00CE599B">
              <w:t xml:space="preserve"> 0.04 </w:t>
            </w:r>
          </w:p>
        </w:tc>
        <w:tc>
          <w:tcPr>
            <w:tcW w:w="500" w:type="pct"/>
            <w:tcBorders>
              <w:top w:val="single" w:sz="4" w:space="0" w:color="4BB3B5"/>
              <w:bottom w:val="single" w:sz="4" w:space="0" w:color="4BB3B5"/>
            </w:tcBorders>
          </w:tcPr>
          <w:p w14:paraId="25EFBF5D" w14:textId="6DDF9A49" w:rsidR="00254BA6" w:rsidRPr="00CE599B" w:rsidRDefault="00254BA6" w:rsidP="00254BA6">
            <w:pPr>
              <w:pStyle w:val="Tabletextcentred"/>
            </w:pPr>
            <w:r w:rsidRPr="00CE599B">
              <w:t xml:space="preserve"> 1.66 </w:t>
            </w:r>
          </w:p>
        </w:tc>
        <w:tc>
          <w:tcPr>
            <w:tcW w:w="498" w:type="pct"/>
            <w:tcBorders>
              <w:top w:val="single" w:sz="4" w:space="0" w:color="4BB3B5"/>
              <w:bottom w:val="single" w:sz="4" w:space="0" w:color="4BB3B5"/>
            </w:tcBorders>
          </w:tcPr>
          <w:p w14:paraId="5F434077" w14:textId="362ED16A" w:rsidR="00254BA6" w:rsidRPr="00CE599B" w:rsidRDefault="00254BA6" w:rsidP="00254BA6">
            <w:pPr>
              <w:pStyle w:val="Tabletextcentred"/>
            </w:pPr>
            <w:r w:rsidRPr="00CE599B">
              <w:t xml:space="preserve"> 1.84 </w:t>
            </w:r>
          </w:p>
        </w:tc>
      </w:tr>
      <w:tr w:rsidR="00271A50" w:rsidRPr="00930D6A" w14:paraId="5CC9713F" w14:textId="6D3E93BA"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0E36DCA" w14:textId="77777777" w:rsidR="00271A50" w:rsidRPr="00310D3F" w:rsidRDefault="00271A50" w:rsidP="00310D3F">
            <w:pPr>
              <w:pStyle w:val="Tabletext"/>
              <w:rPr>
                <w:b/>
              </w:rPr>
            </w:pPr>
            <w:r w:rsidRPr="35E123EC">
              <w:rPr>
                <w:b/>
              </w:rPr>
              <w:t>2028</w:t>
            </w:r>
          </w:p>
        </w:tc>
        <w:tc>
          <w:tcPr>
            <w:tcW w:w="493" w:type="pct"/>
            <w:tcBorders>
              <w:top w:val="single" w:sz="4" w:space="0" w:color="4BB3B5"/>
              <w:bottom w:val="single" w:sz="4" w:space="0" w:color="4BB3B5"/>
            </w:tcBorders>
          </w:tcPr>
          <w:p w14:paraId="6FF7B9F1" w14:textId="1C84F153" w:rsidR="00271A50" w:rsidRPr="00930D6A" w:rsidRDefault="00254BA6" w:rsidP="00310D3F">
            <w:pPr>
              <w:pStyle w:val="Tabletextcentred"/>
            </w:pPr>
            <w:r w:rsidRPr="00F51E6E">
              <w:t xml:space="preserve"> 0.17 </w:t>
            </w:r>
          </w:p>
        </w:tc>
        <w:tc>
          <w:tcPr>
            <w:tcW w:w="601" w:type="pct"/>
            <w:tcBorders>
              <w:top w:val="single" w:sz="4" w:space="0" w:color="4BB3B5"/>
              <w:bottom w:val="single" w:sz="4" w:space="0" w:color="4BB3B5"/>
            </w:tcBorders>
          </w:tcPr>
          <w:p w14:paraId="0DA55168" w14:textId="332AB101" w:rsidR="00271A50" w:rsidRPr="00930D6A" w:rsidRDefault="00254BA6" w:rsidP="00310D3F">
            <w:pPr>
              <w:pStyle w:val="Tabletextcentred"/>
            </w:pPr>
            <w:r w:rsidRPr="00F51E6E">
              <w:t xml:space="preserve"> 6.87 </w:t>
            </w:r>
          </w:p>
        </w:tc>
        <w:tc>
          <w:tcPr>
            <w:tcW w:w="598" w:type="pct"/>
            <w:tcBorders>
              <w:top w:val="single" w:sz="4" w:space="0" w:color="4BB3B5"/>
              <w:bottom w:val="single" w:sz="4" w:space="0" w:color="4BB3B5"/>
            </w:tcBorders>
          </w:tcPr>
          <w:p w14:paraId="1A30CA31" w14:textId="07D54184" w:rsidR="00271A50" w:rsidRPr="00930D6A" w:rsidRDefault="00254BA6" w:rsidP="00310D3F">
            <w:pPr>
              <w:pStyle w:val="Tabletextcentred"/>
            </w:pPr>
            <w:r w:rsidRPr="00F51E6E">
              <w:t xml:space="preserve"> 7.61 </w:t>
            </w:r>
          </w:p>
        </w:tc>
        <w:tc>
          <w:tcPr>
            <w:tcW w:w="487" w:type="pct"/>
            <w:tcBorders>
              <w:top w:val="single" w:sz="4" w:space="0" w:color="4BB3B5"/>
              <w:bottom w:val="single" w:sz="4" w:space="0" w:color="4BB3B5"/>
            </w:tcBorders>
          </w:tcPr>
          <w:p w14:paraId="65B17B5A" w14:textId="4B600E0B" w:rsidR="00254BA6" w:rsidRPr="005A06AF" w:rsidRDefault="00254BA6" w:rsidP="00254BA6">
            <w:pPr>
              <w:pStyle w:val="Tabletextcentred"/>
            </w:pPr>
            <w:r w:rsidRPr="005A06AF">
              <w:t xml:space="preserve"> 0.18 </w:t>
            </w:r>
          </w:p>
        </w:tc>
        <w:tc>
          <w:tcPr>
            <w:tcW w:w="500" w:type="pct"/>
            <w:tcBorders>
              <w:top w:val="single" w:sz="4" w:space="0" w:color="4BB3B5"/>
              <w:bottom w:val="single" w:sz="4" w:space="0" w:color="4BB3B5"/>
            </w:tcBorders>
          </w:tcPr>
          <w:p w14:paraId="2F1F7D9C" w14:textId="3F07892C" w:rsidR="00254BA6" w:rsidRPr="005A06AF" w:rsidRDefault="00254BA6" w:rsidP="00254BA6">
            <w:pPr>
              <w:pStyle w:val="Tabletextcentred"/>
            </w:pPr>
            <w:r w:rsidRPr="005A06AF">
              <w:t xml:space="preserve"> 7.13 </w:t>
            </w:r>
          </w:p>
        </w:tc>
        <w:tc>
          <w:tcPr>
            <w:tcW w:w="498" w:type="pct"/>
            <w:tcBorders>
              <w:top w:val="single" w:sz="4" w:space="0" w:color="4BB3B5"/>
              <w:bottom w:val="single" w:sz="4" w:space="0" w:color="4BB3B5"/>
            </w:tcBorders>
          </w:tcPr>
          <w:p w14:paraId="04DB8022" w14:textId="1F263A46" w:rsidR="00254BA6" w:rsidRPr="005A06AF" w:rsidRDefault="00254BA6" w:rsidP="00254BA6">
            <w:pPr>
              <w:pStyle w:val="Tabletextcentred"/>
            </w:pPr>
            <w:r w:rsidRPr="005A06AF">
              <w:t xml:space="preserve"> 7.90 </w:t>
            </w:r>
          </w:p>
        </w:tc>
        <w:tc>
          <w:tcPr>
            <w:tcW w:w="487" w:type="pct"/>
            <w:tcBorders>
              <w:top w:val="single" w:sz="4" w:space="0" w:color="4BB3B5"/>
              <w:bottom w:val="single" w:sz="4" w:space="0" w:color="4BB3B5"/>
            </w:tcBorders>
          </w:tcPr>
          <w:p w14:paraId="3A6C885E" w14:textId="3D24A2C1" w:rsidR="00254BA6" w:rsidRPr="00CE599B" w:rsidRDefault="00254BA6" w:rsidP="00254BA6">
            <w:pPr>
              <w:pStyle w:val="Tabletextcentred"/>
            </w:pPr>
            <w:r w:rsidRPr="00CE599B">
              <w:t xml:space="preserve"> 0.12 </w:t>
            </w:r>
          </w:p>
        </w:tc>
        <w:tc>
          <w:tcPr>
            <w:tcW w:w="500" w:type="pct"/>
            <w:tcBorders>
              <w:top w:val="single" w:sz="4" w:space="0" w:color="4BB3B5"/>
              <w:bottom w:val="single" w:sz="4" w:space="0" w:color="4BB3B5"/>
            </w:tcBorders>
          </w:tcPr>
          <w:p w14:paraId="4035B278" w14:textId="41849863" w:rsidR="00254BA6" w:rsidRPr="00CE599B" w:rsidRDefault="00254BA6" w:rsidP="00254BA6">
            <w:pPr>
              <w:pStyle w:val="Tabletextcentred"/>
            </w:pPr>
            <w:r w:rsidRPr="00CE599B">
              <w:t xml:space="preserve"> 4.62 </w:t>
            </w:r>
          </w:p>
        </w:tc>
        <w:tc>
          <w:tcPr>
            <w:tcW w:w="498" w:type="pct"/>
            <w:tcBorders>
              <w:top w:val="single" w:sz="4" w:space="0" w:color="4BB3B5"/>
              <w:bottom w:val="single" w:sz="4" w:space="0" w:color="4BB3B5"/>
            </w:tcBorders>
          </w:tcPr>
          <w:p w14:paraId="180DDAA9" w14:textId="16D6D261" w:rsidR="00254BA6" w:rsidRPr="00CE599B" w:rsidRDefault="00254BA6" w:rsidP="00254BA6">
            <w:pPr>
              <w:pStyle w:val="Tabletextcentred"/>
            </w:pPr>
            <w:r w:rsidRPr="00CE599B">
              <w:t xml:space="preserve"> 5.11 </w:t>
            </w:r>
          </w:p>
        </w:tc>
      </w:tr>
      <w:tr w:rsidR="00271A50" w:rsidRPr="00930D6A" w14:paraId="7A841DC6" w14:textId="3BB8CF68" w:rsidTr="00254BA6">
        <w:tc>
          <w:tcPr>
            <w:tcW w:w="338" w:type="pct"/>
            <w:tcBorders>
              <w:top w:val="single" w:sz="4" w:space="0" w:color="4BB3B5"/>
              <w:bottom w:val="single" w:sz="4" w:space="0" w:color="4BB3B5"/>
            </w:tcBorders>
          </w:tcPr>
          <w:p w14:paraId="370A679D" w14:textId="77777777" w:rsidR="00271A50" w:rsidRPr="00310D3F" w:rsidRDefault="00271A50" w:rsidP="00310D3F">
            <w:pPr>
              <w:pStyle w:val="Tabletext"/>
              <w:rPr>
                <w:b/>
              </w:rPr>
            </w:pPr>
            <w:r w:rsidRPr="35E123EC">
              <w:rPr>
                <w:b/>
              </w:rPr>
              <w:t>2029</w:t>
            </w:r>
          </w:p>
        </w:tc>
        <w:tc>
          <w:tcPr>
            <w:tcW w:w="493" w:type="pct"/>
            <w:tcBorders>
              <w:top w:val="single" w:sz="4" w:space="0" w:color="4BB3B5"/>
              <w:bottom w:val="single" w:sz="4" w:space="0" w:color="4BB3B5"/>
            </w:tcBorders>
          </w:tcPr>
          <w:p w14:paraId="2535B0D4" w14:textId="1B3F29BD" w:rsidR="00271A50" w:rsidRPr="00930D6A" w:rsidRDefault="00254BA6" w:rsidP="00310D3F">
            <w:pPr>
              <w:pStyle w:val="Tabletextcentred"/>
            </w:pPr>
            <w:r w:rsidRPr="00F51E6E">
              <w:t xml:space="preserve"> 0.26 </w:t>
            </w:r>
          </w:p>
        </w:tc>
        <w:tc>
          <w:tcPr>
            <w:tcW w:w="601" w:type="pct"/>
            <w:tcBorders>
              <w:top w:val="single" w:sz="4" w:space="0" w:color="4BB3B5"/>
              <w:bottom w:val="single" w:sz="4" w:space="0" w:color="4BB3B5"/>
            </w:tcBorders>
          </w:tcPr>
          <w:p w14:paraId="17CD70BC" w14:textId="613107C2" w:rsidR="00271A50" w:rsidRPr="00930D6A" w:rsidRDefault="00254BA6" w:rsidP="00310D3F">
            <w:pPr>
              <w:pStyle w:val="Tabletextcentred"/>
            </w:pPr>
            <w:r w:rsidRPr="00F51E6E">
              <w:t xml:space="preserve"> 10.24 </w:t>
            </w:r>
          </w:p>
        </w:tc>
        <w:tc>
          <w:tcPr>
            <w:tcW w:w="598" w:type="pct"/>
            <w:tcBorders>
              <w:top w:val="single" w:sz="4" w:space="0" w:color="4BB3B5"/>
              <w:bottom w:val="single" w:sz="4" w:space="0" w:color="4BB3B5"/>
            </w:tcBorders>
          </w:tcPr>
          <w:p w14:paraId="3F6AAD38" w14:textId="31037DFC" w:rsidR="00271A50" w:rsidRPr="00930D6A" w:rsidRDefault="00254BA6" w:rsidP="00310D3F">
            <w:pPr>
              <w:pStyle w:val="Tabletextcentred"/>
            </w:pPr>
            <w:r w:rsidRPr="00F51E6E">
              <w:t xml:space="preserve"> 11.33 </w:t>
            </w:r>
          </w:p>
        </w:tc>
        <w:tc>
          <w:tcPr>
            <w:tcW w:w="487" w:type="pct"/>
            <w:tcBorders>
              <w:top w:val="single" w:sz="4" w:space="0" w:color="4BB3B5"/>
              <w:bottom w:val="single" w:sz="4" w:space="0" w:color="4BB3B5"/>
            </w:tcBorders>
          </w:tcPr>
          <w:p w14:paraId="19E5DF64" w14:textId="18964861" w:rsidR="00254BA6" w:rsidRPr="005A06AF" w:rsidRDefault="00254BA6" w:rsidP="00254BA6">
            <w:pPr>
              <w:pStyle w:val="Tabletextcentred"/>
            </w:pPr>
            <w:r w:rsidRPr="005A06AF">
              <w:t xml:space="preserve"> 0.27 </w:t>
            </w:r>
          </w:p>
        </w:tc>
        <w:tc>
          <w:tcPr>
            <w:tcW w:w="500" w:type="pct"/>
            <w:tcBorders>
              <w:top w:val="single" w:sz="4" w:space="0" w:color="4BB3B5"/>
              <w:bottom w:val="single" w:sz="4" w:space="0" w:color="4BB3B5"/>
            </w:tcBorders>
          </w:tcPr>
          <w:p w14:paraId="107EB274" w14:textId="58636683" w:rsidR="00254BA6" w:rsidRPr="005A06AF" w:rsidRDefault="00254BA6" w:rsidP="00254BA6">
            <w:pPr>
              <w:pStyle w:val="Tabletextcentred"/>
            </w:pPr>
            <w:r w:rsidRPr="005A06AF">
              <w:t xml:space="preserve"> 10.65 </w:t>
            </w:r>
          </w:p>
        </w:tc>
        <w:tc>
          <w:tcPr>
            <w:tcW w:w="498" w:type="pct"/>
            <w:tcBorders>
              <w:top w:val="single" w:sz="4" w:space="0" w:color="4BB3B5"/>
              <w:bottom w:val="single" w:sz="4" w:space="0" w:color="4BB3B5"/>
            </w:tcBorders>
          </w:tcPr>
          <w:p w14:paraId="3E54D389" w14:textId="78608F0C" w:rsidR="00254BA6" w:rsidRPr="005A06AF" w:rsidRDefault="00254BA6" w:rsidP="00254BA6">
            <w:pPr>
              <w:pStyle w:val="Tabletextcentred"/>
            </w:pPr>
            <w:r w:rsidRPr="005A06AF">
              <w:t xml:space="preserve"> 11.79 </w:t>
            </w:r>
          </w:p>
        </w:tc>
        <w:tc>
          <w:tcPr>
            <w:tcW w:w="487" w:type="pct"/>
            <w:tcBorders>
              <w:top w:val="single" w:sz="4" w:space="0" w:color="4BB3B5"/>
              <w:bottom w:val="single" w:sz="4" w:space="0" w:color="4BB3B5"/>
            </w:tcBorders>
          </w:tcPr>
          <w:p w14:paraId="20E9D67E" w14:textId="4A51807F" w:rsidR="00254BA6" w:rsidRPr="00CE599B" w:rsidRDefault="00254BA6" w:rsidP="00254BA6">
            <w:pPr>
              <w:pStyle w:val="Tabletextcentred"/>
            </w:pPr>
            <w:r w:rsidRPr="00CE599B">
              <w:t xml:space="preserve"> 0.21 </w:t>
            </w:r>
          </w:p>
        </w:tc>
        <w:tc>
          <w:tcPr>
            <w:tcW w:w="500" w:type="pct"/>
            <w:tcBorders>
              <w:top w:val="single" w:sz="4" w:space="0" w:color="4BB3B5"/>
              <w:bottom w:val="single" w:sz="4" w:space="0" w:color="4BB3B5"/>
            </w:tcBorders>
          </w:tcPr>
          <w:p w14:paraId="37671797" w14:textId="33BB56E3" w:rsidR="00254BA6" w:rsidRPr="00CE599B" w:rsidRDefault="00254BA6" w:rsidP="00254BA6">
            <w:pPr>
              <w:pStyle w:val="Tabletextcentred"/>
            </w:pPr>
            <w:r w:rsidRPr="00CE599B">
              <w:t xml:space="preserve"> 8.14 </w:t>
            </w:r>
          </w:p>
        </w:tc>
        <w:tc>
          <w:tcPr>
            <w:tcW w:w="498" w:type="pct"/>
            <w:tcBorders>
              <w:top w:val="single" w:sz="4" w:space="0" w:color="4BB3B5"/>
              <w:bottom w:val="single" w:sz="4" w:space="0" w:color="4BB3B5"/>
            </w:tcBorders>
          </w:tcPr>
          <w:p w14:paraId="22639747" w14:textId="350118A2" w:rsidR="00254BA6" w:rsidRPr="00CE599B" w:rsidRDefault="00254BA6" w:rsidP="00254BA6">
            <w:pPr>
              <w:pStyle w:val="Tabletextcentred"/>
            </w:pPr>
            <w:r w:rsidRPr="00CE599B">
              <w:t xml:space="preserve"> 9.01 </w:t>
            </w:r>
          </w:p>
        </w:tc>
      </w:tr>
      <w:tr w:rsidR="00271A50" w:rsidRPr="00930D6A" w14:paraId="655D8FB0" w14:textId="674E746A"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9772C5E" w14:textId="77777777" w:rsidR="00271A50" w:rsidRPr="00310D3F" w:rsidRDefault="00271A50" w:rsidP="00310D3F">
            <w:pPr>
              <w:pStyle w:val="Tabletext"/>
              <w:rPr>
                <w:b/>
              </w:rPr>
            </w:pPr>
            <w:r w:rsidRPr="35E123EC">
              <w:rPr>
                <w:b/>
              </w:rPr>
              <w:t>2030</w:t>
            </w:r>
          </w:p>
        </w:tc>
        <w:tc>
          <w:tcPr>
            <w:tcW w:w="493" w:type="pct"/>
            <w:tcBorders>
              <w:top w:val="single" w:sz="4" w:space="0" w:color="4BB3B5"/>
              <w:bottom w:val="single" w:sz="4" w:space="0" w:color="4BB3B5"/>
            </w:tcBorders>
          </w:tcPr>
          <w:p w14:paraId="2BEDDA4E" w14:textId="6E050496" w:rsidR="00271A50" w:rsidRPr="00930D6A" w:rsidRDefault="00254BA6" w:rsidP="00310D3F">
            <w:pPr>
              <w:pStyle w:val="Tabletextcentred"/>
            </w:pPr>
            <w:r w:rsidRPr="00F51E6E">
              <w:t xml:space="preserve"> 0.36 </w:t>
            </w:r>
          </w:p>
        </w:tc>
        <w:tc>
          <w:tcPr>
            <w:tcW w:w="601" w:type="pct"/>
            <w:tcBorders>
              <w:top w:val="single" w:sz="4" w:space="0" w:color="4BB3B5"/>
              <w:bottom w:val="single" w:sz="4" w:space="0" w:color="4BB3B5"/>
            </w:tcBorders>
          </w:tcPr>
          <w:p w14:paraId="5EDCB91A" w14:textId="518DD8BD" w:rsidR="00271A50" w:rsidRPr="00930D6A" w:rsidRDefault="00254BA6" w:rsidP="00310D3F">
            <w:pPr>
              <w:pStyle w:val="Tabletextcentred"/>
            </w:pPr>
            <w:r w:rsidRPr="00F51E6E">
              <w:t xml:space="preserve"> 14.10 </w:t>
            </w:r>
          </w:p>
        </w:tc>
        <w:tc>
          <w:tcPr>
            <w:tcW w:w="598" w:type="pct"/>
            <w:tcBorders>
              <w:top w:val="single" w:sz="4" w:space="0" w:color="4BB3B5"/>
              <w:bottom w:val="single" w:sz="4" w:space="0" w:color="4BB3B5"/>
            </w:tcBorders>
          </w:tcPr>
          <w:p w14:paraId="54B60152" w14:textId="49C0BA61" w:rsidR="00271A50" w:rsidRPr="00930D6A" w:rsidRDefault="00254BA6" w:rsidP="00310D3F">
            <w:pPr>
              <w:pStyle w:val="Tabletextcentred"/>
            </w:pPr>
            <w:r w:rsidRPr="00F51E6E">
              <w:t xml:space="preserve"> 15.61 </w:t>
            </w:r>
          </w:p>
        </w:tc>
        <w:tc>
          <w:tcPr>
            <w:tcW w:w="487" w:type="pct"/>
            <w:tcBorders>
              <w:top w:val="single" w:sz="4" w:space="0" w:color="4BB3B5"/>
              <w:bottom w:val="single" w:sz="4" w:space="0" w:color="4BB3B5"/>
            </w:tcBorders>
          </w:tcPr>
          <w:p w14:paraId="7AF29485" w14:textId="2B5CA8EF" w:rsidR="00254BA6" w:rsidRPr="005A06AF" w:rsidRDefault="00254BA6" w:rsidP="00254BA6">
            <w:pPr>
              <w:pStyle w:val="Tabletextcentred"/>
            </w:pPr>
            <w:r w:rsidRPr="005A06AF">
              <w:t xml:space="preserve"> 0.37 </w:t>
            </w:r>
          </w:p>
        </w:tc>
        <w:tc>
          <w:tcPr>
            <w:tcW w:w="500" w:type="pct"/>
            <w:tcBorders>
              <w:top w:val="single" w:sz="4" w:space="0" w:color="4BB3B5"/>
              <w:bottom w:val="single" w:sz="4" w:space="0" w:color="4BB3B5"/>
            </w:tcBorders>
          </w:tcPr>
          <w:p w14:paraId="33E418A8" w14:textId="1CC9B01E" w:rsidR="00254BA6" w:rsidRPr="005A06AF" w:rsidRDefault="00254BA6" w:rsidP="00254BA6">
            <w:pPr>
              <w:pStyle w:val="Tabletextcentred"/>
            </w:pPr>
            <w:r w:rsidRPr="005A06AF">
              <w:t xml:space="preserve"> 14.69 </w:t>
            </w:r>
          </w:p>
        </w:tc>
        <w:tc>
          <w:tcPr>
            <w:tcW w:w="498" w:type="pct"/>
            <w:tcBorders>
              <w:top w:val="single" w:sz="4" w:space="0" w:color="4BB3B5"/>
              <w:bottom w:val="single" w:sz="4" w:space="0" w:color="4BB3B5"/>
            </w:tcBorders>
          </w:tcPr>
          <w:p w14:paraId="3251208C" w14:textId="007639D5" w:rsidR="00254BA6" w:rsidRPr="005A06AF" w:rsidRDefault="00254BA6" w:rsidP="00254BA6">
            <w:pPr>
              <w:pStyle w:val="Tabletextcentred"/>
            </w:pPr>
            <w:r w:rsidRPr="005A06AF">
              <w:t xml:space="preserve"> 16.26 </w:t>
            </w:r>
          </w:p>
        </w:tc>
        <w:tc>
          <w:tcPr>
            <w:tcW w:w="487" w:type="pct"/>
            <w:tcBorders>
              <w:top w:val="single" w:sz="4" w:space="0" w:color="4BB3B5"/>
              <w:bottom w:val="single" w:sz="4" w:space="0" w:color="4BB3B5"/>
            </w:tcBorders>
          </w:tcPr>
          <w:p w14:paraId="0DAB9F31" w14:textId="061AD459" w:rsidR="00254BA6" w:rsidRPr="00CE599B" w:rsidRDefault="00254BA6" w:rsidP="00254BA6">
            <w:pPr>
              <w:pStyle w:val="Tabletextcentred"/>
            </w:pPr>
            <w:r w:rsidRPr="00CE599B">
              <w:t xml:space="preserve"> 0.31 </w:t>
            </w:r>
          </w:p>
        </w:tc>
        <w:tc>
          <w:tcPr>
            <w:tcW w:w="500" w:type="pct"/>
            <w:tcBorders>
              <w:top w:val="single" w:sz="4" w:space="0" w:color="4BB3B5"/>
              <w:bottom w:val="single" w:sz="4" w:space="0" w:color="4BB3B5"/>
            </w:tcBorders>
          </w:tcPr>
          <w:p w14:paraId="78856645" w14:textId="4E511779" w:rsidR="00254BA6" w:rsidRPr="00CE599B" w:rsidRDefault="00254BA6" w:rsidP="00254BA6">
            <w:pPr>
              <w:pStyle w:val="Tabletextcentred"/>
            </w:pPr>
            <w:r w:rsidRPr="00CE599B">
              <w:t xml:space="preserve"> 12.13 </w:t>
            </w:r>
          </w:p>
        </w:tc>
        <w:tc>
          <w:tcPr>
            <w:tcW w:w="498" w:type="pct"/>
            <w:tcBorders>
              <w:top w:val="single" w:sz="4" w:space="0" w:color="4BB3B5"/>
              <w:bottom w:val="single" w:sz="4" w:space="0" w:color="4BB3B5"/>
            </w:tcBorders>
          </w:tcPr>
          <w:p w14:paraId="495E56DB" w14:textId="17FE5F31" w:rsidR="00254BA6" w:rsidRPr="00CE599B" w:rsidRDefault="00254BA6" w:rsidP="00254BA6">
            <w:pPr>
              <w:pStyle w:val="Tabletextcentred"/>
            </w:pPr>
            <w:r w:rsidRPr="00CE599B">
              <w:t xml:space="preserve"> 13.43 </w:t>
            </w:r>
          </w:p>
        </w:tc>
      </w:tr>
      <w:tr w:rsidR="00271A50" w:rsidRPr="00930D6A" w14:paraId="061ACE41" w14:textId="4CB5F4EF" w:rsidTr="00254BA6">
        <w:tc>
          <w:tcPr>
            <w:tcW w:w="338" w:type="pct"/>
            <w:tcBorders>
              <w:top w:val="single" w:sz="4" w:space="0" w:color="4BB3B5"/>
              <w:bottom w:val="single" w:sz="4" w:space="0" w:color="4BB3B5"/>
            </w:tcBorders>
          </w:tcPr>
          <w:p w14:paraId="515E382A" w14:textId="77777777" w:rsidR="00271A50" w:rsidRPr="00310D3F" w:rsidRDefault="00271A50" w:rsidP="00310D3F">
            <w:pPr>
              <w:pStyle w:val="Tabletext"/>
              <w:rPr>
                <w:b/>
              </w:rPr>
            </w:pPr>
            <w:r w:rsidRPr="35E123EC">
              <w:rPr>
                <w:b/>
              </w:rPr>
              <w:t>2031</w:t>
            </w:r>
          </w:p>
        </w:tc>
        <w:tc>
          <w:tcPr>
            <w:tcW w:w="493" w:type="pct"/>
            <w:tcBorders>
              <w:top w:val="single" w:sz="4" w:space="0" w:color="4BB3B5"/>
              <w:bottom w:val="single" w:sz="4" w:space="0" w:color="4BB3B5"/>
            </w:tcBorders>
          </w:tcPr>
          <w:p w14:paraId="269D8C4F" w14:textId="01BAEE6A" w:rsidR="00271A50" w:rsidRPr="00930D6A" w:rsidRDefault="00254BA6" w:rsidP="00310D3F">
            <w:pPr>
              <w:pStyle w:val="Tabletextcentred"/>
            </w:pPr>
            <w:r w:rsidRPr="00F51E6E">
              <w:t xml:space="preserve"> 0.47 </w:t>
            </w:r>
          </w:p>
        </w:tc>
        <w:tc>
          <w:tcPr>
            <w:tcW w:w="601" w:type="pct"/>
            <w:tcBorders>
              <w:top w:val="single" w:sz="4" w:space="0" w:color="4BB3B5"/>
              <w:bottom w:val="single" w:sz="4" w:space="0" w:color="4BB3B5"/>
            </w:tcBorders>
          </w:tcPr>
          <w:p w14:paraId="051C7F81" w14:textId="7B58FD72" w:rsidR="00271A50" w:rsidRPr="00930D6A" w:rsidRDefault="00254BA6" w:rsidP="00310D3F">
            <w:pPr>
              <w:pStyle w:val="Tabletextcentred"/>
            </w:pPr>
            <w:r w:rsidRPr="00F51E6E">
              <w:t xml:space="preserve"> 18.47 </w:t>
            </w:r>
          </w:p>
        </w:tc>
        <w:tc>
          <w:tcPr>
            <w:tcW w:w="598" w:type="pct"/>
            <w:tcBorders>
              <w:top w:val="single" w:sz="4" w:space="0" w:color="4BB3B5"/>
              <w:bottom w:val="single" w:sz="4" w:space="0" w:color="4BB3B5"/>
            </w:tcBorders>
          </w:tcPr>
          <w:p w14:paraId="3154324F" w14:textId="1FFFED50" w:rsidR="00271A50" w:rsidRPr="00930D6A" w:rsidRDefault="00254BA6" w:rsidP="00310D3F">
            <w:pPr>
              <w:pStyle w:val="Tabletextcentred"/>
            </w:pPr>
            <w:r w:rsidRPr="00F51E6E">
              <w:t xml:space="preserve"> 20.45 </w:t>
            </w:r>
          </w:p>
        </w:tc>
        <w:tc>
          <w:tcPr>
            <w:tcW w:w="487" w:type="pct"/>
            <w:tcBorders>
              <w:top w:val="single" w:sz="4" w:space="0" w:color="4BB3B5"/>
              <w:bottom w:val="single" w:sz="4" w:space="0" w:color="4BB3B5"/>
            </w:tcBorders>
          </w:tcPr>
          <w:p w14:paraId="4CDDC64D" w14:textId="52954611" w:rsidR="00254BA6" w:rsidRPr="005A06AF" w:rsidRDefault="00254BA6" w:rsidP="00254BA6">
            <w:pPr>
              <w:pStyle w:val="Tabletextcentred"/>
            </w:pPr>
            <w:r w:rsidRPr="005A06AF">
              <w:t xml:space="preserve"> 0.49 </w:t>
            </w:r>
          </w:p>
        </w:tc>
        <w:tc>
          <w:tcPr>
            <w:tcW w:w="500" w:type="pct"/>
            <w:tcBorders>
              <w:top w:val="single" w:sz="4" w:space="0" w:color="4BB3B5"/>
              <w:bottom w:val="single" w:sz="4" w:space="0" w:color="4BB3B5"/>
            </w:tcBorders>
          </w:tcPr>
          <w:p w14:paraId="7FCCE9D3" w14:textId="43ADE207" w:rsidR="00254BA6" w:rsidRPr="005A06AF" w:rsidRDefault="00254BA6" w:rsidP="00254BA6">
            <w:pPr>
              <w:pStyle w:val="Tabletextcentred"/>
            </w:pPr>
            <w:r w:rsidRPr="005A06AF">
              <w:t xml:space="preserve"> 19.25 </w:t>
            </w:r>
          </w:p>
        </w:tc>
        <w:tc>
          <w:tcPr>
            <w:tcW w:w="498" w:type="pct"/>
            <w:tcBorders>
              <w:top w:val="single" w:sz="4" w:space="0" w:color="4BB3B5"/>
              <w:bottom w:val="single" w:sz="4" w:space="0" w:color="4BB3B5"/>
            </w:tcBorders>
          </w:tcPr>
          <w:p w14:paraId="55834574" w14:textId="00C50269" w:rsidR="00254BA6" w:rsidRPr="005A06AF" w:rsidRDefault="00254BA6" w:rsidP="00254BA6">
            <w:pPr>
              <w:pStyle w:val="Tabletextcentred"/>
            </w:pPr>
            <w:r w:rsidRPr="005A06AF">
              <w:t xml:space="preserve"> 21.32 </w:t>
            </w:r>
          </w:p>
        </w:tc>
        <w:tc>
          <w:tcPr>
            <w:tcW w:w="487" w:type="pct"/>
            <w:tcBorders>
              <w:top w:val="single" w:sz="4" w:space="0" w:color="4BB3B5"/>
              <w:bottom w:val="single" w:sz="4" w:space="0" w:color="4BB3B5"/>
            </w:tcBorders>
          </w:tcPr>
          <w:p w14:paraId="1A60610E" w14:textId="1496934D" w:rsidR="00254BA6" w:rsidRPr="00CE599B" w:rsidRDefault="00254BA6" w:rsidP="00254BA6">
            <w:pPr>
              <w:pStyle w:val="Tabletextcentred"/>
            </w:pPr>
            <w:r w:rsidRPr="00CE599B">
              <w:t xml:space="preserve"> 0.42 </w:t>
            </w:r>
          </w:p>
        </w:tc>
        <w:tc>
          <w:tcPr>
            <w:tcW w:w="500" w:type="pct"/>
            <w:tcBorders>
              <w:top w:val="single" w:sz="4" w:space="0" w:color="4BB3B5"/>
              <w:bottom w:val="single" w:sz="4" w:space="0" w:color="4BB3B5"/>
            </w:tcBorders>
          </w:tcPr>
          <w:p w14:paraId="0B170964" w14:textId="6F9DA2CC" w:rsidR="00254BA6" w:rsidRPr="00CE599B" w:rsidRDefault="00254BA6" w:rsidP="00254BA6">
            <w:pPr>
              <w:pStyle w:val="Tabletextcentred"/>
            </w:pPr>
            <w:r w:rsidRPr="00CE599B">
              <w:t xml:space="preserve"> 16.68 </w:t>
            </w:r>
          </w:p>
        </w:tc>
        <w:tc>
          <w:tcPr>
            <w:tcW w:w="498" w:type="pct"/>
            <w:tcBorders>
              <w:top w:val="single" w:sz="4" w:space="0" w:color="4BB3B5"/>
              <w:bottom w:val="single" w:sz="4" w:space="0" w:color="4BB3B5"/>
            </w:tcBorders>
          </w:tcPr>
          <w:p w14:paraId="0CB5F012" w14:textId="0D7B644C" w:rsidR="00254BA6" w:rsidRPr="00CE599B" w:rsidRDefault="00254BA6" w:rsidP="00254BA6">
            <w:pPr>
              <w:pStyle w:val="Tabletextcentred"/>
            </w:pPr>
            <w:r w:rsidRPr="00CE599B">
              <w:t xml:space="preserve"> 18.47 </w:t>
            </w:r>
          </w:p>
        </w:tc>
      </w:tr>
      <w:tr w:rsidR="00271A50" w:rsidRPr="00930D6A" w14:paraId="6EFEC21B" w14:textId="3DA3FF61"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D674703" w14:textId="77777777" w:rsidR="00271A50" w:rsidRPr="00310D3F" w:rsidRDefault="00271A50" w:rsidP="00310D3F">
            <w:pPr>
              <w:pStyle w:val="Tabletext"/>
              <w:rPr>
                <w:b/>
              </w:rPr>
            </w:pPr>
            <w:r w:rsidRPr="35E123EC">
              <w:rPr>
                <w:b/>
              </w:rPr>
              <w:t>2032</w:t>
            </w:r>
          </w:p>
        </w:tc>
        <w:tc>
          <w:tcPr>
            <w:tcW w:w="493" w:type="pct"/>
            <w:tcBorders>
              <w:top w:val="single" w:sz="4" w:space="0" w:color="4BB3B5"/>
              <w:bottom w:val="single" w:sz="4" w:space="0" w:color="4BB3B5"/>
            </w:tcBorders>
          </w:tcPr>
          <w:p w14:paraId="0E1C2F29" w14:textId="049BE85B" w:rsidR="00271A50" w:rsidRPr="00930D6A" w:rsidRDefault="00254BA6" w:rsidP="00310D3F">
            <w:pPr>
              <w:pStyle w:val="Tabletextcentred"/>
            </w:pPr>
            <w:r w:rsidRPr="00F51E6E">
              <w:t xml:space="preserve"> 0.58 </w:t>
            </w:r>
          </w:p>
        </w:tc>
        <w:tc>
          <w:tcPr>
            <w:tcW w:w="601" w:type="pct"/>
            <w:tcBorders>
              <w:top w:val="single" w:sz="4" w:space="0" w:color="4BB3B5"/>
              <w:bottom w:val="single" w:sz="4" w:space="0" w:color="4BB3B5"/>
            </w:tcBorders>
          </w:tcPr>
          <w:p w14:paraId="6A49EF0A" w14:textId="6C2DAC2B" w:rsidR="00271A50" w:rsidRPr="00930D6A" w:rsidRDefault="00254BA6" w:rsidP="00310D3F">
            <w:pPr>
              <w:pStyle w:val="Tabletextcentred"/>
            </w:pPr>
            <w:r w:rsidRPr="00F51E6E">
              <w:t xml:space="preserve"> 23.14 </w:t>
            </w:r>
          </w:p>
        </w:tc>
        <w:tc>
          <w:tcPr>
            <w:tcW w:w="598" w:type="pct"/>
            <w:tcBorders>
              <w:top w:val="single" w:sz="4" w:space="0" w:color="4BB3B5"/>
              <w:bottom w:val="single" w:sz="4" w:space="0" w:color="4BB3B5"/>
            </w:tcBorders>
          </w:tcPr>
          <w:p w14:paraId="316446D9" w14:textId="2F32E7E8" w:rsidR="00271A50" w:rsidRPr="00930D6A" w:rsidRDefault="00254BA6" w:rsidP="00310D3F">
            <w:pPr>
              <w:pStyle w:val="Tabletextcentred"/>
            </w:pPr>
            <w:r w:rsidRPr="00F51E6E">
              <w:t xml:space="preserve"> 25.63 </w:t>
            </w:r>
          </w:p>
        </w:tc>
        <w:tc>
          <w:tcPr>
            <w:tcW w:w="487" w:type="pct"/>
            <w:tcBorders>
              <w:top w:val="single" w:sz="4" w:space="0" w:color="4BB3B5"/>
              <w:bottom w:val="single" w:sz="4" w:space="0" w:color="4BB3B5"/>
            </w:tcBorders>
          </w:tcPr>
          <w:p w14:paraId="35DD5DCE" w14:textId="20FA1DC9" w:rsidR="00254BA6" w:rsidRPr="005A06AF" w:rsidRDefault="00254BA6" w:rsidP="00254BA6">
            <w:pPr>
              <w:pStyle w:val="Tabletextcentred"/>
            </w:pPr>
            <w:r w:rsidRPr="005A06AF">
              <w:t xml:space="preserve"> 0.61 </w:t>
            </w:r>
          </w:p>
        </w:tc>
        <w:tc>
          <w:tcPr>
            <w:tcW w:w="500" w:type="pct"/>
            <w:tcBorders>
              <w:top w:val="single" w:sz="4" w:space="0" w:color="4BB3B5"/>
              <w:bottom w:val="single" w:sz="4" w:space="0" w:color="4BB3B5"/>
            </w:tcBorders>
          </w:tcPr>
          <w:p w14:paraId="4F16FA4C" w14:textId="36555EDE" w:rsidR="00254BA6" w:rsidRPr="005A06AF" w:rsidRDefault="00254BA6" w:rsidP="00254BA6">
            <w:pPr>
              <w:pStyle w:val="Tabletextcentred"/>
            </w:pPr>
            <w:r w:rsidRPr="005A06AF">
              <w:t xml:space="preserve"> 24.14 </w:t>
            </w:r>
          </w:p>
        </w:tc>
        <w:tc>
          <w:tcPr>
            <w:tcW w:w="498" w:type="pct"/>
            <w:tcBorders>
              <w:top w:val="single" w:sz="4" w:space="0" w:color="4BB3B5"/>
              <w:bottom w:val="single" w:sz="4" w:space="0" w:color="4BB3B5"/>
            </w:tcBorders>
          </w:tcPr>
          <w:p w14:paraId="4AF1494C" w14:textId="04254E7F" w:rsidR="00254BA6" w:rsidRPr="005A06AF" w:rsidRDefault="00254BA6" w:rsidP="00254BA6">
            <w:pPr>
              <w:pStyle w:val="Tabletextcentred"/>
            </w:pPr>
            <w:r w:rsidRPr="005A06AF">
              <w:t xml:space="preserve"> 26.73 </w:t>
            </w:r>
          </w:p>
        </w:tc>
        <w:tc>
          <w:tcPr>
            <w:tcW w:w="487" w:type="pct"/>
            <w:tcBorders>
              <w:top w:val="single" w:sz="4" w:space="0" w:color="4BB3B5"/>
              <w:bottom w:val="single" w:sz="4" w:space="0" w:color="4BB3B5"/>
            </w:tcBorders>
          </w:tcPr>
          <w:p w14:paraId="17F8F8F2" w14:textId="51C37892" w:rsidR="00254BA6" w:rsidRPr="00CE599B" w:rsidRDefault="00254BA6" w:rsidP="00254BA6">
            <w:pPr>
              <w:pStyle w:val="Tabletextcentred"/>
            </w:pPr>
            <w:r w:rsidRPr="00CE599B">
              <w:t xml:space="preserve"> 0.55 </w:t>
            </w:r>
          </w:p>
        </w:tc>
        <w:tc>
          <w:tcPr>
            <w:tcW w:w="500" w:type="pct"/>
            <w:tcBorders>
              <w:top w:val="single" w:sz="4" w:space="0" w:color="4BB3B5"/>
              <w:bottom w:val="single" w:sz="4" w:space="0" w:color="4BB3B5"/>
            </w:tcBorders>
          </w:tcPr>
          <w:p w14:paraId="72767B0D" w14:textId="52F56562" w:rsidR="00254BA6" w:rsidRPr="00CE599B" w:rsidRDefault="00254BA6" w:rsidP="00254BA6">
            <w:pPr>
              <w:pStyle w:val="Tabletextcentred"/>
            </w:pPr>
            <w:r w:rsidRPr="00CE599B">
              <w:t xml:space="preserve"> 21.79 </w:t>
            </w:r>
          </w:p>
        </w:tc>
        <w:tc>
          <w:tcPr>
            <w:tcW w:w="498" w:type="pct"/>
            <w:tcBorders>
              <w:top w:val="single" w:sz="4" w:space="0" w:color="4BB3B5"/>
              <w:bottom w:val="single" w:sz="4" w:space="0" w:color="4BB3B5"/>
            </w:tcBorders>
          </w:tcPr>
          <w:p w14:paraId="431F09B2" w14:textId="2B3F5378" w:rsidR="00254BA6" w:rsidRPr="00CE599B" w:rsidRDefault="00254BA6" w:rsidP="00254BA6">
            <w:pPr>
              <w:pStyle w:val="Tabletextcentred"/>
            </w:pPr>
            <w:r w:rsidRPr="00CE599B">
              <w:t xml:space="preserve"> 24.13 </w:t>
            </w:r>
          </w:p>
        </w:tc>
      </w:tr>
      <w:tr w:rsidR="00271A50" w:rsidRPr="00930D6A" w14:paraId="296F36A3" w14:textId="56C345BA" w:rsidTr="00254BA6">
        <w:tc>
          <w:tcPr>
            <w:tcW w:w="338" w:type="pct"/>
            <w:tcBorders>
              <w:top w:val="single" w:sz="4" w:space="0" w:color="4BB3B5"/>
              <w:bottom w:val="single" w:sz="4" w:space="0" w:color="4BB3B5"/>
            </w:tcBorders>
          </w:tcPr>
          <w:p w14:paraId="3E696664" w14:textId="77777777" w:rsidR="00271A50" w:rsidRPr="00310D3F" w:rsidRDefault="00271A50" w:rsidP="00310D3F">
            <w:pPr>
              <w:pStyle w:val="Tabletext"/>
              <w:rPr>
                <w:b/>
              </w:rPr>
            </w:pPr>
            <w:r w:rsidRPr="35E123EC">
              <w:rPr>
                <w:b/>
              </w:rPr>
              <w:t>2033</w:t>
            </w:r>
          </w:p>
        </w:tc>
        <w:tc>
          <w:tcPr>
            <w:tcW w:w="493" w:type="pct"/>
            <w:tcBorders>
              <w:top w:val="single" w:sz="4" w:space="0" w:color="4BB3B5"/>
              <w:bottom w:val="single" w:sz="4" w:space="0" w:color="4BB3B5"/>
            </w:tcBorders>
          </w:tcPr>
          <w:p w14:paraId="6C89E969" w14:textId="4EF7738A" w:rsidR="00271A50" w:rsidRPr="00930D6A" w:rsidRDefault="00254BA6" w:rsidP="00310D3F">
            <w:pPr>
              <w:pStyle w:val="Tabletextcentred"/>
            </w:pPr>
            <w:r w:rsidRPr="00F51E6E">
              <w:t xml:space="preserve"> 0.71 </w:t>
            </w:r>
          </w:p>
        </w:tc>
        <w:tc>
          <w:tcPr>
            <w:tcW w:w="601" w:type="pct"/>
            <w:tcBorders>
              <w:top w:val="single" w:sz="4" w:space="0" w:color="4BB3B5"/>
              <w:bottom w:val="single" w:sz="4" w:space="0" w:color="4BB3B5"/>
            </w:tcBorders>
          </w:tcPr>
          <w:p w14:paraId="01CC4E3F" w14:textId="0618612F" w:rsidR="00271A50" w:rsidRPr="00930D6A" w:rsidRDefault="00254BA6" w:rsidP="00310D3F">
            <w:pPr>
              <w:pStyle w:val="Tabletextcentred"/>
            </w:pPr>
            <w:r w:rsidRPr="00F51E6E">
              <w:t xml:space="preserve"> 28.24 </w:t>
            </w:r>
          </w:p>
        </w:tc>
        <w:tc>
          <w:tcPr>
            <w:tcW w:w="598" w:type="pct"/>
            <w:tcBorders>
              <w:top w:val="single" w:sz="4" w:space="0" w:color="4BB3B5"/>
              <w:bottom w:val="single" w:sz="4" w:space="0" w:color="4BB3B5"/>
            </w:tcBorders>
          </w:tcPr>
          <w:p w14:paraId="15E265FC" w14:textId="7054F8B3" w:rsidR="00271A50" w:rsidRPr="00930D6A" w:rsidRDefault="00254BA6" w:rsidP="00310D3F">
            <w:pPr>
              <w:pStyle w:val="Tabletextcentred"/>
            </w:pPr>
            <w:r w:rsidRPr="00F51E6E">
              <w:t xml:space="preserve"> 31.27 </w:t>
            </w:r>
          </w:p>
        </w:tc>
        <w:tc>
          <w:tcPr>
            <w:tcW w:w="487" w:type="pct"/>
            <w:tcBorders>
              <w:top w:val="single" w:sz="4" w:space="0" w:color="4BB3B5"/>
              <w:bottom w:val="single" w:sz="4" w:space="0" w:color="4BB3B5"/>
            </w:tcBorders>
          </w:tcPr>
          <w:p w14:paraId="65FB520F" w14:textId="2640FFDB" w:rsidR="00254BA6" w:rsidRPr="005A06AF" w:rsidRDefault="00254BA6" w:rsidP="00254BA6">
            <w:pPr>
              <w:pStyle w:val="Tabletextcentred"/>
            </w:pPr>
            <w:r w:rsidRPr="005A06AF">
              <w:t xml:space="preserve"> 0.74 </w:t>
            </w:r>
          </w:p>
        </w:tc>
        <w:tc>
          <w:tcPr>
            <w:tcW w:w="500" w:type="pct"/>
            <w:tcBorders>
              <w:top w:val="single" w:sz="4" w:space="0" w:color="4BB3B5"/>
              <w:bottom w:val="single" w:sz="4" w:space="0" w:color="4BB3B5"/>
            </w:tcBorders>
          </w:tcPr>
          <w:p w14:paraId="4EA74F0A" w14:textId="26A4445C" w:rsidR="00254BA6" w:rsidRPr="005A06AF" w:rsidRDefault="00254BA6" w:rsidP="00254BA6">
            <w:pPr>
              <w:pStyle w:val="Tabletextcentred"/>
            </w:pPr>
            <w:r w:rsidRPr="005A06AF">
              <w:t xml:space="preserve"> 29.47 </w:t>
            </w:r>
          </w:p>
        </w:tc>
        <w:tc>
          <w:tcPr>
            <w:tcW w:w="498" w:type="pct"/>
            <w:tcBorders>
              <w:top w:val="single" w:sz="4" w:space="0" w:color="4BB3B5"/>
              <w:bottom w:val="single" w:sz="4" w:space="0" w:color="4BB3B5"/>
            </w:tcBorders>
          </w:tcPr>
          <w:p w14:paraId="61C06A85" w14:textId="06DF420F" w:rsidR="00254BA6" w:rsidRPr="005A06AF" w:rsidRDefault="00254BA6" w:rsidP="00254BA6">
            <w:pPr>
              <w:pStyle w:val="Tabletextcentred"/>
            </w:pPr>
            <w:r w:rsidRPr="005A06AF">
              <w:t xml:space="preserve"> 32.63 </w:t>
            </w:r>
          </w:p>
        </w:tc>
        <w:tc>
          <w:tcPr>
            <w:tcW w:w="487" w:type="pct"/>
            <w:tcBorders>
              <w:top w:val="single" w:sz="4" w:space="0" w:color="4BB3B5"/>
              <w:bottom w:val="single" w:sz="4" w:space="0" w:color="4BB3B5"/>
            </w:tcBorders>
          </w:tcPr>
          <w:p w14:paraId="244B7B49" w14:textId="3771E787" w:rsidR="00254BA6" w:rsidRPr="00CE599B" w:rsidRDefault="00254BA6" w:rsidP="00254BA6">
            <w:pPr>
              <w:pStyle w:val="Tabletextcentred"/>
            </w:pPr>
            <w:r w:rsidRPr="00CE599B">
              <w:t xml:space="preserve"> 0.69 </w:t>
            </w:r>
          </w:p>
        </w:tc>
        <w:tc>
          <w:tcPr>
            <w:tcW w:w="500" w:type="pct"/>
            <w:tcBorders>
              <w:top w:val="single" w:sz="4" w:space="0" w:color="4BB3B5"/>
              <w:bottom w:val="single" w:sz="4" w:space="0" w:color="4BB3B5"/>
            </w:tcBorders>
          </w:tcPr>
          <w:p w14:paraId="5BB74B21" w14:textId="27CC0414" w:rsidR="00254BA6" w:rsidRPr="00CE599B" w:rsidRDefault="00254BA6" w:rsidP="00254BA6">
            <w:pPr>
              <w:pStyle w:val="Tabletextcentred"/>
            </w:pPr>
            <w:r w:rsidRPr="00CE599B">
              <w:t xml:space="preserve"> 27.17 </w:t>
            </w:r>
          </w:p>
        </w:tc>
        <w:tc>
          <w:tcPr>
            <w:tcW w:w="498" w:type="pct"/>
            <w:tcBorders>
              <w:top w:val="single" w:sz="4" w:space="0" w:color="4BB3B5"/>
              <w:bottom w:val="single" w:sz="4" w:space="0" w:color="4BB3B5"/>
            </w:tcBorders>
          </w:tcPr>
          <w:p w14:paraId="137114AA" w14:textId="58C54B88" w:rsidR="00254BA6" w:rsidRPr="00CE599B" w:rsidRDefault="00254BA6" w:rsidP="00254BA6">
            <w:pPr>
              <w:pStyle w:val="Tabletextcentred"/>
            </w:pPr>
            <w:r w:rsidRPr="00CE599B">
              <w:t xml:space="preserve"> 30.08 </w:t>
            </w:r>
          </w:p>
        </w:tc>
      </w:tr>
      <w:tr w:rsidR="00271A50" w:rsidRPr="00930D6A" w14:paraId="2D896758" w14:textId="41666BFF"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A8FDDA3" w14:textId="77777777" w:rsidR="00271A50" w:rsidRPr="00310D3F" w:rsidRDefault="00271A50" w:rsidP="00310D3F">
            <w:pPr>
              <w:pStyle w:val="Tabletext"/>
              <w:rPr>
                <w:b/>
              </w:rPr>
            </w:pPr>
            <w:r w:rsidRPr="35E123EC">
              <w:rPr>
                <w:b/>
              </w:rPr>
              <w:t>2034</w:t>
            </w:r>
          </w:p>
        </w:tc>
        <w:tc>
          <w:tcPr>
            <w:tcW w:w="493" w:type="pct"/>
            <w:tcBorders>
              <w:top w:val="single" w:sz="4" w:space="0" w:color="4BB3B5"/>
              <w:bottom w:val="single" w:sz="4" w:space="0" w:color="4BB3B5"/>
            </w:tcBorders>
          </w:tcPr>
          <w:p w14:paraId="6C36888F" w14:textId="06D5E6D0" w:rsidR="00271A50" w:rsidRPr="00930D6A" w:rsidRDefault="00254BA6" w:rsidP="00310D3F">
            <w:pPr>
              <w:pStyle w:val="Tabletextcentred"/>
            </w:pPr>
            <w:r w:rsidRPr="00F51E6E">
              <w:t xml:space="preserve"> 0.86 </w:t>
            </w:r>
          </w:p>
        </w:tc>
        <w:tc>
          <w:tcPr>
            <w:tcW w:w="601" w:type="pct"/>
            <w:tcBorders>
              <w:top w:val="single" w:sz="4" w:space="0" w:color="4BB3B5"/>
              <w:bottom w:val="single" w:sz="4" w:space="0" w:color="4BB3B5"/>
            </w:tcBorders>
          </w:tcPr>
          <w:p w14:paraId="0321C7B2" w14:textId="57046FBC" w:rsidR="00271A50" w:rsidRPr="00930D6A" w:rsidRDefault="00254BA6" w:rsidP="00310D3F">
            <w:pPr>
              <w:pStyle w:val="Tabletextcentred"/>
            </w:pPr>
            <w:r w:rsidRPr="00F51E6E">
              <w:t xml:space="preserve"> 33.97 </w:t>
            </w:r>
          </w:p>
        </w:tc>
        <w:tc>
          <w:tcPr>
            <w:tcW w:w="598" w:type="pct"/>
            <w:tcBorders>
              <w:top w:val="single" w:sz="4" w:space="0" w:color="4BB3B5"/>
              <w:bottom w:val="single" w:sz="4" w:space="0" w:color="4BB3B5"/>
            </w:tcBorders>
          </w:tcPr>
          <w:p w14:paraId="41F6A0F3" w14:textId="603F65A6" w:rsidR="00271A50" w:rsidRPr="00930D6A" w:rsidRDefault="00254BA6" w:rsidP="00310D3F">
            <w:pPr>
              <w:pStyle w:val="Tabletextcentred"/>
            </w:pPr>
            <w:r w:rsidRPr="00F51E6E">
              <w:t xml:space="preserve"> 37.61 </w:t>
            </w:r>
          </w:p>
        </w:tc>
        <w:tc>
          <w:tcPr>
            <w:tcW w:w="487" w:type="pct"/>
            <w:tcBorders>
              <w:top w:val="single" w:sz="4" w:space="0" w:color="4BB3B5"/>
              <w:bottom w:val="single" w:sz="4" w:space="0" w:color="4BB3B5"/>
            </w:tcBorders>
          </w:tcPr>
          <w:p w14:paraId="0FD6F834" w14:textId="3DF5FB9D" w:rsidR="00254BA6" w:rsidRPr="005A06AF" w:rsidRDefault="00254BA6" w:rsidP="00254BA6">
            <w:pPr>
              <w:pStyle w:val="Tabletextcentred"/>
            </w:pPr>
            <w:r w:rsidRPr="005A06AF">
              <w:t xml:space="preserve"> 0.89 </w:t>
            </w:r>
          </w:p>
        </w:tc>
        <w:tc>
          <w:tcPr>
            <w:tcW w:w="500" w:type="pct"/>
            <w:tcBorders>
              <w:top w:val="single" w:sz="4" w:space="0" w:color="4BB3B5"/>
              <w:bottom w:val="single" w:sz="4" w:space="0" w:color="4BB3B5"/>
            </w:tcBorders>
          </w:tcPr>
          <w:p w14:paraId="43103775" w14:textId="20C2786D" w:rsidR="00254BA6" w:rsidRPr="005A06AF" w:rsidRDefault="00254BA6" w:rsidP="00254BA6">
            <w:pPr>
              <w:pStyle w:val="Tabletextcentred"/>
            </w:pPr>
            <w:r w:rsidRPr="005A06AF">
              <w:t xml:space="preserve"> 35.45 </w:t>
            </w:r>
          </w:p>
        </w:tc>
        <w:tc>
          <w:tcPr>
            <w:tcW w:w="498" w:type="pct"/>
            <w:tcBorders>
              <w:top w:val="single" w:sz="4" w:space="0" w:color="4BB3B5"/>
              <w:bottom w:val="single" w:sz="4" w:space="0" w:color="4BB3B5"/>
            </w:tcBorders>
          </w:tcPr>
          <w:p w14:paraId="6D550FA7" w14:textId="5F929E86" w:rsidR="00254BA6" w:rsidRPr="005A06AF" w:rsidRDefault="00254BA6" w:rsidP="00254BA6">
            <w:pPr>
              <w:pStyle w:val="Tabletextcentred"/>
            </w:pPr>
            <w:r w:rsidRPr="005A06AF">
              <w:t xml:space="preserve"> 39.25 </w:t>
            </w:r>
          </w:p>
        </w:tc>
        <w:tc>
          <w:tcPr>
            <w:tcW w:w="487" w:type="pct"/>
            <w:tcBorders>
              <w:top w:val="single" w:sz="4" w:space="0" w:color="4BB3B5"/>
              <w:bottom w:val="single" w:sz="4" w:space="0" w:color="4BB3B5"/>
            </w:tcBorders>
          </w:tcPr>
          <w:p w14:paraId="446628D9" w14:textId="23EF7933" w:rsidR="00254BA6" w:rsidRPr="00CE599B" w:rsidRDefault="00254BA6" w:rsidP="00254BA6">
            <w:pPr>
              <w:pStyle w:val="Tabletextcentred"/>
            </w:pPr>
            <w:r w:rsidRPr="00CE599B">
              <w:t xml:space="preserve"> 0.83 </w:t>
            </w:r>
          </w:p>
        </w:tc>
        <w:tc>
          <w:tcPr>
            <w:tcW w:w="500" w:type="pct"/>
            <w:tcBorders>
              <w:top w:val="single" w:sz="4" w:space="0" w:color="4BB3B5"/>
              <w:bottom w:val="single" w:sz="4" w:space="0" w:color="4BB3B5"/>
            </w:tcBorders>
          </w:tcPr>
          <w:p w14:paraId="474F8263" w14:textId="3509565F" w:rsidR="00254BA6" w:rsidRPr="00CE599B" w:rsidRDefault="00254BA6" w:rsidP="00254BA6">
            <w:pPr>
              <w:pStyle w:val="Tabletextcentred"/>
            </w:pPr>
            <w:r w:rsidRPr="00CE599B">
              <w:t xml:space="preserve"> 32.96 </w:t>
            </w:r>
          </w:p>
        </w:tc>
        <w:tc>
          <w:tcPr>
            <w:tcW w:w="498" w:type="pct"/>
            <w:tcBorders>
              <w:top w:val="single" w:sz="4" w:space="0" w:color="4BB3B5"/>
              <w:bottom w:val="single" w:sz="4" w:space="0" w:color="4BB3B5"/>
            </w:tcBorders>
          </w:tcPr>
          <w:p w14:paraId="644045DD" w14:textId="424340DF" w:rsidR="00254BA6" w:rsidRPr="00CE599B" w:rsidRDefault="00254BA6" w:rsidP="00254BA6">
            <w:pPr>
              <w:pStyle w:val="Tabletextcentred"/>
            </w:pPr>
            <w:r w:rsidRPr="00CE599B">
              <w:t xml:space="preserve"> 36.50 </w:t>
            </w:r>
          </w:p>
        </w:tc>
      </w:tr>
      <w:tr w:rsidR="00271A50" w:rsidRPr="00930D6A" w14:paraId="3187300A" w14:textId="6C749049" w:rsidTr="00254BA6">
        <w:tc>
          <w:tcPr>
            <w:tcW w:w="338" w:type="pct"/>
            <w:tcBorders>
              <w:top w:val="single" w:sz="4" w:space="0" w:color="4BB3B5"/>
              <w:bottom w:val="single" w:sz="4" w:space="0" w:color="4BB3B5"/>
            </w:tcBorders>
          </w:tcPr>
          <w:p w14:paraId="0B4E5604" w14:textId="77777777" w:rsidR="00271A50" w:rsidRPr="00310D3F" w:rsidRDefault="00271A50" w:rsidP="00310D3F">
            <w:pPr>
              <w:pStyle w:val="Tabletext"/>
              <w:rPr>
                <w:b/>
              </w:rPr>
            </w:pPr>
            <w:r w:rsidRPr="35E123EC">
              <w:rPr>
                <w:b/>
              </w:rPr>
              <w:t>2035</w:t>
            </w:r>
          </w:p>
        </w:tc>
        <w:tc>
          <w:tcPr>
            <w:tcW w:w="493" w:type="pct"/>
            <w:tcBorders>
              <w:top w:val="single" w:sz="4" w:space="0" w:color="4BB3B5"/>
              <w:bottom w:val="single" w:sz="4" w:space="0" w:color="4BB3B5"/>
            </w:tcBorders>
          </w:tcPr>
          <w:p w14:paraId="57469006" w14:textId="7B2B6FC9" w:rsidR="00271A50" w:rsidRPr="00930D6A" w:rsidRDefault="00254BA6" w:rsidP="00310D3F">
            <w:pPr>
              <w:pStyle w:val="Tabletextcentred"/>
            </w:pPr>
            <w:r w:rsidRPr="00F51E6E">
              <w:t xml:space="preserve"> 1.01 </w:t>
            </w:r>
          </w:p>
        </w:tc>
        <w:tc>
          <w:tcPr>
            <w:tcW w:w="601" w:type="pct"/>
            <w:tcBorders>
              <w:top w:val="single" w:sz="4" w:space="0" w:color="4BB3B5"/>
              <w:bottom w:val="single" w:sz="4" w:space="0" w:color="4BB3B5"/>
            </w:tcBorders>
          </w:tcPr>
          <w:p w14:paraId="49101557" w14:textId="4C6C7418" w:rsidR="00271A50" w:rsidRPr="00930D6A" w:rsidRDefault="00254BA6" w:rsidP="00310D3F">
            <w:pPr>
              <w:pStyle w:val="Tabletextcentred"/>
            </w:pPr>
            <w:r w:rsidRPr="00F51E6E">
              <w:t xml:space="preserve"> 40.04 </w:t>
            </w:r>
          </w:p>
        </w:tc>
        <w:tc>
          <w:tcPr>
            <w:tcW w:w="598" w:type="pct"/>
            <w:tcBorders>
              <w:top w:val="single" w:sz="4" w:space="0" w:color="4BB3B5"/>
              <w:bottom w:val="single" w:sz="4" w:space="0" w:color="4BB3B5"/>
            </w:tcBorders>
          </w:tcPr>
          <w:p w14:paraId="090F784F" w14:textId="77AEA325" w:rsidR="00271A50" w:rsidRPr="00930D6A" w:rsidRDefault="00254BA6" w:rsidP="00310D3F">
            <w:pPr>
              <w:pStyle w:val="Tabletextcentred"/>
            </w:pPr>
            <w:r w:rsidRPr="00F51E6E">
              <w:t xml:space="preserve"> 44.34 </w:t>
            </w:r>
          </w:p>
        </w:tc>
        <w:tc>
          <w:tcPr>
            <w:tcW w:w="487" w:type="pct"/>
            <w:tcBorders>
              <w:top w:val="single" w:sz="4" w:space="0" w:color="4BB3B5"/>
              <w:bottom w:val="single" w:sz="4" w:space="0" w:color="4BB3B5"/>
            </w:tcBorders>
          </w:tcPr>
          <w:p w14:paraId="25B3B70D" w14:textId="16D86BF9" w:rsidR="00254BA6" w:rsidRPr="005A06AF" w:rsidRDefault="00254BA6" w:rsidP="00254BA6">
            <w:pPr>
              <w:pStyle w:val="Tabletextcentred"/>
            </w:pPr>
            <w:r w:rsidRPr="005A06AF">
              <w:t xml:space="preserve"> 1.05 </w:t>
            </w:r>
          </w:p>
        </w:tc>
        <w:tc>
          <w:tcPr>
            <w:tcW w:w="500" w:type="pct"/>
            <w:tcBorders>
              <w:top w:val="single" w:sz="4" w:space="0" w:color="4BB3B5"/>
              <w:bottom w:val="single" w:sz="4" w:space="0" w:color="4BB3B5"/>
            </w:tcBorders>
          </w:tcPr>
          <w:p w14:paraId="4A98242E" w14:textId="07B2FB83" w:rsidR="00254BA6" w:rsidRPr="005A06AF" w:rsidRDefault="00254BA6" w:rsidP="00254BA6">
            <w:pPr>
              <w:pStyle w:val="Tabletextcentred"/>
            </w:pPr>
            <w:r w:rsidRPr="005A06AF">
              <w:t xml:space="preserve"> 41.80 </w:t>
            </w:r>
          </w:p>
        </w:tc>
        <w:tc>
          <w:tcPr>
            <w:tcW w:w="498" w:type="pct"/>
            <w:tcBorders>
              <w:top w:val="single" w:sz="4" w:space="0" w:color="4BB3B5"/>
              <w:bottom w:val="single" w:sz="4" w:space="0" w:color="4BB3B5"/>
            </w:tcBorders>
          </w:tcPr>
          <w:p w14:paraId="774872BA" w14:textId="78679213" w:rsidR="00254BA6" w:rsidRPr="005A06AF" w:rsidRDefault="00254BA6" w:rsidP="00254BA6">
            <w:pPr>
              <w:pStyle w:val="Tabletextcentred"/>
            </w:pPr>
            <w:r w:rsidRPr="005A06AF">
              <w:t xml:space="preserve"> 46.28 </w:t>
            </w:r>
          </w:p>
        </w:tc>
        <w:tc>
          <w:tcPr>
            <w:tcW w:w="487" w:type="pct"/>
            <w:tcBorders>
              <w:top w:val="single" w:sz="4" w:space="0" w:color="4BB3B5"/>
              <w:bottom w:val="single" w:sz="4" w:space="0" w:color="4BB3B5"/>
            </w:tcBorders>
          </w:tcPr>
          <w:p w14:paraId="34D67211" w14:textId="291C73FE" w:rsidR="00254BA6" w:rsidRPr="00CE599B" w:rsidRDefault="00254BA6" w:rsidP="00254BA6">
            <w:pPr>
              <w:pStyle w:val="Tabletextcentred"/>
            </w:pPr>
            <w:r w:rsidRPr="00CE599B">
              <w:t xml:space="preserve"> 0.99 </w:t>
            </w:r>
          </w:p>
        </w:tc>
        <w:tc>
          <w:tcPr>
            <w:tcW w:w="500" w:type="pct"/>
            <w:tcBorders>
              <w:top w:val="single" w:sz="4" w:space="0" w:color="4BB3B5"/>
              <w:bottom w:val="single" w:sz="4" w:space="0" w:color="4BB3B5"/>
            </w:tcBorders>
          </w:tcPr>
          <w:p w14:paraId="0BB63D6B" w14:textId="439AADF7" w:rsidR="00254BA6" w:rsidRPr="00CE599B" w:rsidRDefault="00254BA6" w:rsidP="00254BA6">
            <w:pPr>
              <w:pStyle w:val="Tabletextcentred"/>
            </w:pPr>
            <w:r w:rsidRPr="00CE599B">
              <w:t xml:space="preserve"> 39.42 </w:t>
            </w:r>
          </w:p>
        </w:tc>
        <w:tc>
          <w:tcPr>
            <w:tcW w:w="498" w:type="pct"/>
            <w:tcBorders>
              <w:top w:val="single" w:sz="4" w:space="0" w:color="4BB3B5"/>
              <w:bottom w:val="single" w:sz="4" w:space="0" w:color="4BB3B5"/>
            </w:tcBorders>
          </w:tcPr>
          <w:p w14:paraId="4A07B3D8" w14:textId="2010BCA4" w:rsidR="00254BA6" w:rsidRPr="00CE599B" w:rsidRDefault="00254BA6" w:rsidP="00254BA6">
            <w:pPr>
              <w:pStyle w:val="Tabletextcentred"/>
            </w:pPr>
            <w:r w:rsidRPr="00CE599B">
              <w:t xml:space="preserve"> 43.64 </w:t>
            </w:r>
          </w:p>
        </w:tc>
      </w:tr>
      <w:tr w:rsidR="00271A50" w:rsidRPr="00930D6A" w14:paraId="6E0BFE5B" w14:textId="3515715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A4AB219" w14:textId="77777777" w:rsidR="00271A50" w:rsidRPr="00310D3F" w:rsidRDefault="00271A50" w:rsidP="00310D3F">
            <w:pPr>
              <w:pStyle w:val="Tabletext"/>
              <w:rPr>
                <w:b/>
              </w:rPr>
            </w:pPr>
            <w:r w:rsidRPr="35E123EC">
              <w:rPr>
                <w:b/>
              </w:rPr>
              <w:t>2036</w:t>
            </w:r>
          </w:p>
        </w:tc>
        <w:tc>
          <w:tcPr>
            <w:tcW w:w="493" w:type="pct"/>
            <w:tcBorders>
              <w:top w:val="single" w:sz="4" w:space="0" w:color="4BB3B5"/>
              <w:bottom w:val="single" w:sz="4" w:space="0" w:color="4BB3B5"/>
            </w:tcBorders>
          </w:tcPr>
          <w:p w14:paraId="0E9F20FB" w14:textId="01B5A7E6" w:rsidR="00271A50" w:rsidRPr="00930D6A" w:rsidRDefault="00254BA6" w:rsidP="00310D3F">
            <w:pPr>
              <w:pStyle w:val="Tabletextcentred"/>
            </w:pPr>
            <w:r w:rsidRPr="00F51E6E">
              <w:t xml:space="preserve"> 1.17 </w:t>
            </w:r>
          </w:p>
        </w:tc>
        <w:tc>
          <w:tcPr>
            <w:tcW w:w="601" w:type="pct"/>
            <w:tcBorders>
              <w:top w:val="single" w:sz="4" w:space="0" w:color="4BB3B5"/>
              <w:bottom w:val="single" w:sz="4" w:space="0" w:color="4BB3B5"/>
            </w:tcBorders>
          </w:tcPr>
          <w:p w14:paraId="09C103FF" w14:textId="30F6D3EF" w:rsidR="00271A50" w:rsidRPr="00930D6A" w:rsidRDefault="00254BA6" w:rsidP="00310D3F">
            <w:pPr>
              <w:pStyle w:val="Tabletextcentred"/>
            </w:pPr>
            <w:r w:rsidRPr="00F51E6E">
              <w:t xml:space="preserve"> 46.30 </w:t>
            </w:r>
          </w:p>
        </w:tc>
        <w:tc>
          <w:tcPr>
            <w:tcW w:w="598" w:type="pct"/>
            <w:tcBorders>
              <w:top w:val="single" w:sz="4" w:space="0" w:color="4BB3B5"/>
              <w:bottom w:val="single" w:sz="4" w:space="0" w:color="4BB3B5"/>
            </w:tcBorders>
          </w:tcPr>
          <w:p w14:paraId="4CC2F3B3" w14:textId="082D4635" w:rsidR="00271A50" w:rsidRPr="00930D6A" w:rsidRDefault="00254BA6" w:rsidP="00310D3F">
            <w:pPr>
              <w:pStyle w:val="Tabletextcentred"/>
            </w:pPr>
            <w:r w:rsidRPr="00F51E6E">
              <w:t xml:space="preserve"> 51.27 </w:t>
            </w:r>
          </w:p>
        </w:tc>
        <w:tc>
          <w:tcPr>
            <w:tcW w:w="487" w:type="pct"/>
            <w:tcBorders>
              <w:top w:val="single" w:sz="4" w:space="0" w:color="4BB3B5"/>
              <w:bottom w:val="single" w:sz="4" w:space="0" w:color="4BB3B5"/>
            </w:tcBorders>
          </w:tcPr>
          <w:p w14:paraId="66101C95" w14:textId="385BD9AA" w:rsidR="00254BA6" w:rsidRPr="005A06AF" w:rsidRDefault="00254BA6" w:rsidP="00254BA6">
            <w:pPr>
              <w:pStyle w:val="Tabletextcentred"/>
            </w:pPr>
            <w:r w:rsidRPr="005A06AF">
              <w:t xml:space="preserve"> 1.22 </w:t>
            </w:r>
          </w:p>
        </w:tc>
        <w:tc>
          <w:tcPr>
            <w:tcW w:w="500" w:type="pct"/>
            <w:tcBorders>
              <w:top w:val="single" w:sz="4" w:space="0" w:color="4BB3B5"/>
              <w:bottom w:val="single" w:sz="4" w:space="0" w:color="4BB3B5"/>
            </w:tcBorders>
          </w:tcPr>
          <w:p w14:paraId="0FEAD7E1" w14:textId="36BA24DA" w:rsidR="00254BA6" w:rsidRPr="005A06AF" w:rsidRDefault="00254BA6" w:rsidP="00254BA6">
            <w:pPr>
              <w:pStyle w:val="Tabletextcentred"/>
            </w:pPr>
            <w:r w:rsidRPr="005A06AF">
              <w:t xml:space="preserve"> 48.35 </w:t>
            </w:r>
          </w:p>
        </w:tc>
        <w:tc>
          <w:tcPr>
            <w:tcW w:w="498" w:type="pct"/>
            <w:tcBorders>
              <w:top w:val="single" w:sz="4" w:space="0" w:color="4BB3B5"/>
              <w:bottom w:val="single" w:sz="4" w:space="0" w:color="4BB3B5"/>
            </w:tcBorders>
          </w:tcPr>
          <w:p w14:paraId="2E716198" w14:textId="1E248DB9" w:rsidR="00254BA6" w:rsidRPr="005A06AF" w:rsidRDefault="00254BA6" w:rsidP="00254BA6">
            <w:pPr>
              <w:pStyle w:val="Tabletextcentred"/>
            </w:pPr>
            <w:r w:rsidRPr="005A06AF">
              <w:t xml:space="preserve"> 53.53 </w:t>
            </w:r>
          </w:p>
        </w:tc>
        <w:tc>
          <w:tcPr>
            <w:tcW w:w="487" w:type="pct"/>
            <w:tcBorders>
              <w:top w:val="single" w:sz="4" w:space="0" w:color="4BB3B5"/>
              <w:bottom w:val="single" w:sz="4" w:space="0" w:color="4BB3B5"/>
            </w:tcBorders>
          </w:tcPr>
          <w:p w14:paraId="3D13CA72" w14:textId="3D21A63C" w:rsidR="00254BA6" w:rsidRPr="00CE599B" w:rsidRDefault="00254BA6" w:rsidP="00254BA6">
            <w:pPr>
              <w:pStyle w:val="Tabletextcentred"/>
            </w:pPr>
            <w:r w:rsidRPr="00CE599B">
              <w:t xml:space="preserve"> 1.17 </w:t>
            </w:r>
          </w:p>
        </w:tc>
        <w:tc>
          <w:tcPr>
            <w:tcW w:w="500" w:type="pct"/>
            <w:tcBorders>
              <w:top w:val="single" w:sz="4" w:space="0" w:color="4BB3B5"/>
              <w:bottom w:val="single" w:sz="4" w:space="0" w:color="4BB3B5"/>
            </w:tcBorders>
          </w:tcPr>
          <w:p w14:paraId="268F4439" w14:textId="4EF330A6" w:rsidR="00254BA6" w:rsidRPr="00CE599B" w:rsidRDefault="00254BA6" w:rsidP="00254BA6">
            <w:pPr>
              <w:pStyle w:val="Tabletextcentred"/>
            </w:pPr>
            <w:r w:rsidRPr="00CE599B">
              <w:t xml:space="preserve"> 46.18 </w:t>
            </w:r>
          </w:p>
        </w:tc>
        <w:tc>
          <w:tcPr>
            <w:tcW w:w="498" w:type="pct"/>
            <w:tcBorders>
              <w:top w:val="single" w:sz="4" w:space="0" w:color="4BB3B5"/>
              <w:bottom w:val="single" w:sz="4" w:space="0" w:color="4BB3B5"/>
            </w:tcBorders>
          </w:tcPr>
          <w:p w14:paraId="7DBAC466" w14:textId="629E3CE0" w:rsidR="00254BA6" w:rsidRPr="00CE599B" w:rsidRDefault="00254BA6" w:rsidP="00254BA6">
            <w:pPr>
              <w:pStyle w:val="Tabletextcentred"/>
            </w:pPr>
            <w:r w:rsidRPr="00CE599B">
              <w:t xml:space="preserve"> 51.14 </w:t>
            </w:r>
          </w:p>
        </w:tc>
      </w:tr>
      <w:tr w:rsidR="00271A50" w:rsidRPr="00930D6A" w14:paraId="42ECF8D6" w14:textId="721382D8" w:rsidTr="00254BA6">
        <w:tc>
          <w:tcPr>
            <w:tcW w:w="338" w:type="pct"/>
            <w:tcBorders>
              <w:top w:val="single" w:sz="4" w:space="0" w:color="4BB3B5"/>
              <w:bottom w:val="single" w:sz="4" w:space="0" w:color="4BB3B5"/>
            </w:tcBorders>
          </w:tcPr>
          <w:p w14:paraId="5D29CB37" w14:textId="77777777" w:rsidR="00271A50" w:rsidRPr="00310D3F" w:rsidRDefault="00271A50" w:rsidP="00310D3F">
            <w:pPr>
              <w:pStyle w:val="Tabletext"/>
              <w:rPr>
                <w:b/>
              </w:rPr>
            </w:pPr>
            <w:r w:rsidRPr="35E123EC">
              <w:rPr>
                <w:b/>
              </w:rPr>
              <w:t>2037</w:t>
            </w:r>
          </w:p>
        </w:tc>
        <w:tc>
          <w:tcPr>
            <w:tcW w:w="493" w:type="pct"/>
            <w:tcBorders>
              <w:top w:val="single" w:sz="4" w:space="0" w:color="4BB3B5"/>
              <w:bottom w:val="single" w:sz="4" w:space="0" w:color="4BB3B5"/>
            </w:tcBorders>
          </w:tcPr>
          <w:p w14:paraId="2765D506" w14:textId="4BEB0338" w:rsidR="00271A50" w:rsidRPr="00930D6A" w:rsidRDefault="00254BA6" w:rsidP="00310D3F">
            <w:pPr>
              <w:pStyle w:val="Tabletextcentred"/>
            </w:pPr>
            <w:r w:rsidRPr="00F51E6E">
              <w:t xml:space="preserve"> 1.33 </w:t>
            </w:r>
          </w:p>
        </w:tc>
        <w:tc>
          <w:tcPr>
            <w:tcW w:w="601" w:type="pct"/>
            <w:tcBorders>
              <w:top w:val="single" w:sz="4" w:space="0" w:color="4BB3B5"/>
              <w:bottom w:val="single" w:sz="4" w:space="0" w:color="4BB3B5"/>
            </w:tcBorders>
          </w:tcPr>
          <w:p w14:paraId="08AA0B12" w14:textId="11E75C61" w:rsidR="00271A50" w:rsidRPr="00930D6A" w:rsidRDefault="00254BA6" w:rsidP="00310D3F">
            <w:pPr>
              <w:pStyle w:val="Tabletextcentred"/>
            </w:pPr>
            <w:r w:rsidRPr="00F51E6E">
              <w:t xml:space="preserve"> 52.72 </w:t>
            </w:r>
          </w:p>
        </w:tc>
        <w:tc>
          <w:tcPr>
            <w:tcW w:w="598" w:type="pct"/>
            <w:tcBorders>
              <w:top w:val="single" w:sz="4" w:space="0" w:color="4BB3B5"/>
              <w:bottom w:val="single" w:sz="4" w:space="0" w:color="4BB3B5"/>
            </w:tcBorders>
          </w:tcPr>
          <w:p w14:paraId="7E775461" w14:textId="73CFB154" w:rsidR="00271A50" w:rsidRPr="00930D6A" w:rsidRDefault="00254BA6" w:rsidP="00310D3F">
            <w:pPr>
              <w:pStyle w:val="Tabletextcentred"/>
            </w:pPr>
            <w:r w:rsidRPr="00F51E6E">
              <w:t xml:space="preserve"> 58.37 </w:t>
            </w:r>
          </w:p>
        </w:tc>
        <w:tc>
          <w:tcPr>
            <w:tcW w:w="487" w:type="pct"/>
            <w:tcBorders>
              <w:top w:val="single" w:sz="4" w:space="0" w:color="4BB3B5"/>
              <w:bottom w:val="single" w:sz="4" w:space="0" w:color="4BB3B5"/>
            </w:tcBorders>
          </w:tcPr>
          <w:p w14:paraId="5AA26004" w14:textId="7B5DB377" w:rsidR="00254BA6" w:rsidRPr="005A06AF" w:rsidRDefault="00254BA6" w:rsidP="00254BA6">
            <w:pPr>
              <w:pStyle w:val="Tabletextcentred"/>
            </w:pPr>
            <w:r w:rsidRPr="005A06AF">
              <w:t xml:space="preserve"> 1.39 </w:t>
            </w:r>
          </w:p>
        </w:tc>
        <w:tc>
          <w:tcPr>
            <w:tcW w:w="500" w:type="pct"/>
            <w:tcBorders>
              <w:top w:val="single" w:sz="4" w:space="0" w:color="4BB3B5"/>
              <w:bottom w:val="single" w:sz="4" w:space="0" w:color="4BB3B5"/>
            </w:tcBorders>
          </w:tcPr>
          <w:p w14:paraId="5505510D" w14:textId="54BAE473" w:rsidR="00254BA6" w:rsidRPr="005A06AF" w:rsidRDefault="00254BA6" w:rsidP="00254BA6">
            <w:pPr>
              <w:pStyle w:val="Tabletextcentred"/>
            </w:pPr>
            <w:r w:rsidRPr="005A06AF">
              <w:t xml:space="preserve"> 55.05 </w:t>
            </w:r>
          </w:p>
        </w:tc>
        <w:tc>
          <w:tcPr>
            <w:tcW w:w="498" w:type="pct"/>
            <w:tcBorders>
              <w:top w:val="single" w:sz="4" w:space="0" w:color="4BB3B5"/>
              <w:bottom w:val="single" w:sz="4" w:space="0" w:color="4BB3B5"/>
            </w:tcBorders>
          </w:tcPr>
          <w:p w14:paraId="70A26BEB" w14:textId="20DAF24F" w:rsidR="00254BA6" w:rsidRPr="005A06AF" w:rsidRDefault="00254BA6" w:rsidP="00254BA6">
            <w:pPr>
              <w:pStyle w:val="Tabletextcentred"/>
            </w:pPr>
            <w:r w:rsidRPr="005A06AF">
              <w:t xml:space="preserve"> 60.95 </w:t>
            </w:r>
          </w:p>
        </w:tc>
        <w:tc>
          <w:tcPr>
            <w:tcW w:w="487" w:type="pct"/>
            <w:tcBorders>
              <w:top w:val="single" w:sz="4" w:space="0" w:color="4BB3B5"/>
              <w:bottom w:val="single" w:sz="4" w:space="0" w:color="4BB3B5"/>
            </w:tcBorders>
          </w:tcPr>
          <w:p w14:paraId="59880F45" w14:textId="6B923EC8" w:rsidR="00254BA6" w:rsidRPr="00CE599B" w:rsidRDefault="00254BA6" w:rsidP="00254BA6">
            <w:pPr>
              <w:pStyle w:val="Tabletextcentred"/>
            </w:pPr>
            <w:r w:rsidRPr="00CE599B">
              <w:t xml:space="preserve"> 1.34 </w:t>
            </w:r>
          </w:p>
        </w:tc>
        <w:tc>
          <w:tcPr>
            <w:tcW w:w="500" w:type="pct"/>
            <w:tcBorders>
              <w:top w:val="single" w:sz="4" w:space="0" w:color="4BB3B5"/>
              <w:bottom w:val="single" w:sz="4" w:space="0" w:color="4BB3B5"/>
            </w:tcBorders>
          </w:tcPr>
          <w:p w14:paraId="757B2410" w14:textId="647F5D97" w:rsidR="00254BA6" w:rsidRPr="00CE599B" w:rsidRDefault="00254BA6" w:rsidP="00254BA6">
            <w:pPr>
              <w:pStyle w:val="Tabletextcentred"/>
            </w:pPr>
            <w:r w:rsidRPr="00CE599B">
              <w:t xml:space="preserve"> 53.06 </w:t>
            </w:r>
          </w:p>
        </w:tc>
        <w:tc>
          <w:tcPr>
            <w:tcW w:w="498" w:type="pct"/>
            <w:tcBorders>
              <w:top w:val="single" w:sz="4" w:space="0" w:color="4BB3B5"/>
              <w:bottom w:val="single" w:sz="4" w:space="0" w:color="4BB3B5"/>
            </w:tcBorders>
          </w:tcPr>
          <w:p w14:paraId="48AEFACF" w14:textId="05364918" w:rsidR="00254BA6" w:rsidRPr="00CE599B" w:rsidRDefault="00254BA6" w:rsidP="00254BA6">
            <w:pPr>
              <w:pStyle w:val="Tabletextcentred"/>
            </w:pPr>
            <w:r w:rsidRPr="00CE599B">
              <w:t xml:space="preserve"> 58.75 </w:t>
            </w:r>
          </w:p>
        </w:tc>
      </w:tr>
      <w:tr w:rsidR="00271A50" w:rsidRPr="00930D6A" w14:paraId="76A48358" w14:textId="4A30C819"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1812FD4A" w14:textId="77777777" w:rsidR="00271A50" w:rsidRPr="00310D3F" w:rsidRDefault="00271A50" w:rsidP="00310D3F">
            <w:pPr>
              <w:pStyle w:val="Tabletext"/>
              <w:rPr>
                <w:b/>
              </w:rPr>
            </w:pPr>
            <w:r w:rsidRPr="35E123EC">
              <w:rPr>
                <w:b/>
              </w:rPr>
              <w:t>2038</w:t>
            </w:r>
          </w:p>
        </w:tc>
        <w:tc>
          <w:tcPr>
            <w:tcW w:w="493" w:type="pct"/>
            <w:tcBorders>
              <w:top w:val="single" w:sz="4" w:space="0" w:color="4BB3B5"/>
              <w:bottom w:val="single" w:sz="4" w:space="0" w:color="4BB3B5"/>
            </w:tcBorders>
          </w:tcPr>
          <w:p w14:paraId="2B8BC7AA" w14:textId="01D2D749" w:rsidR="00271A50" w:rsidRPr="00930D6A" w:rsidRDefault="00254BA6" w:rsidP="00310D3F">
            <w:pPr>
              <w:pStyle w:val="Tabletextcentred"/>
            </w:pPr>
            <w:r w:rsidRPr="00F51E6E">
              <w:t xml:space="preserve"> 1.50 </w:t>
            </w:r>
          </w:p>
        </w:tc>
        <w:tc>
          <w:tcPr>
            <w:tcW w:w="601" w:type="pct"/>
            <w:tcBorders>
              <w:top w:val="single" w:sz="4" w:space="0" w:color="4BB3B5"/>
              <w:bottom w:val="single" w:sz="4" w:space="0" w:color="4BB3B5"/>
            </w:tcBorders>
          </w:tcPr>
          <w:p w14:paraId="2C779F0C" w14:textId="1099B110" w:rsidR="00271A50" w:rsidRPr="00930D6A" w:rsidRDefault="00254BA6" w:rsidP="00310D3F">
            <w:pPr>
              <w:pStyle w:val="Tabletextcentred"/>
            </w:pPr>
            <w:r w:rsidRPr="00F51E6E">
              <w:t xml:space="preserve"> 59.29 </w:t>
            </w:r>
          </w:p>
        </w:tc>
        <w:tc>
          <w:tcPr>
            <w:tcW w:w="598" w:type="pct"/>
            <w:tcBorders>
              <w:top w:val="single" w:sz="4" w:space="0" w:color="4BB3B5"/>
              <w:bottom w:val="single" w:sz="4" w:space="0" w:color="4BB3B5"/>
            </w:tcBorders>
          </w:tcPr>
          <w:p w14:paraId="041D647B" w14:textId="732A665D" w:rsidR="00271A50" w:rsidRPr="00930D6A" w:rsidRDefault="00254BA6" w:rsidP="00310D3F">
            <w:pPr>
              <w:pStyle w:val="Tabletextcentred"/>
            </w:pPr>
            <w:r w:rsidRPr="00F51E6E">
              <w:t xml:space="preserve"> 65.65 </w:t>
            </w:r>
          </w:p>
        </w:tc>
        <w:tc>
          <w:tcPr>
            <w:tcW w:w="487" w:type="pct"/>
            <w:tcBorders>
              <w:top w:val="single" w:sz="4" w:space="0" w:color="4BB3B5"/>
              <w:bottom w:val="single" w:sz="4" w:space="0" w:color="4BB3B5"/>
            </w:tcBorders>
          </w:tcPr>
          <w:p w14:paraId="1098810C" w14:textId="0A8E9512" w:rsidR="00254BA6" w:rsidRPr="005A06AF" w:rsidRDefault="00254BA6" w:rsidP="00254BA6">
            <w:pPr>
              <w:pStyle w:val="Tabletextcentred"/>
            </w:pPr>
            <w:r w:rsidRPr="005A06AF">
              <w:t xml:space="preserve"> 1.56 </w:t>
            </w:r>
          </w:p>
        </w:tc>
        <w:tc>
          <w:tcPr>
            <w:tcW w:w="500" w:type="pct"/>
            <w:tcBorders>
              <w:top w:val="single" w:sz="4" w:space="0" w:color="4BB3B5"/>
              <w:bottom w:val="single" w:sz="4" w:space="0" w:color="4BB3B5"/>
            </w:tcBorders>
          </w:tcPr>
          <w:p w14:paraId="60F0C188" w14:textId="1AF99B3F" w:rsidR="00254BA6" w:rsidRPr="005A06AF" w:rsidRDefault="00254BA6" w:rsidP="00254BA6">
            <w:pPr>
              <w:pStyle w:val="Tabletextcentred"/>
            </w:pPr>
            <w:r w:rsidRPr="005A06AF">
              <w:t xml:space="preserve"> 61.92 </w:t>
            </w:r>
          </w:p>
        </w:tc>
        <w:tc>
          <w:tcPr>
            <w:tcW w:w="498" w:type="pct"/>
            <w:tcBorders>
              <w:top w:val="single" w:sz="4" w:space="0" w:color="4BB3B5"/>
              <w:bottom w:val="single" w:sz="4" w:space="0" w:color="4BB3B5"/>
            </w:tcBorders>
          </w:tcPr>
          <w:p w14:paraId="761930C1" w14:textId="74C59334" w:rsidR="00254BA6" w:rsidRPr="005A06AF" w:rsidRDefault="00254BA6" w:rsidP="00254BA6">
            <w:pPr>
              <w:pStyle w:val="Tabletextcentred"/>
            </w:pPr>
            <w:r w:rsidRPr="005A06AF">
              <w:t xml:space="preserve"> 68.56 </w:t>
            </w:r>
          </w:p>
        </w:tc>
        <w:tc>
          <w:tcPr>
            <w:tcW w:w="487" w:type="pct"/>
            <w:tcBorders>
              <w:top w:val="single" w:sz="4" w:space="0" w:color="4BB3B5"/>
              <w:bottom w:val="single" w:sz="4" w:space="0" w:color="4BB3B5"/>
            </w:tcBorders>
          </w:tcPr>
          <w:p w14:paraId="72E9AFF5" w14:textId="0E9ECC07" w:rsidR="00254BA6" w:rsidRPr="00CE599B" w:rsidRDefault="00254BA6" w:rsidP="00254BA6">
            <w:pPr>
              <w:pStyle w:val="Tabletextcentred"/>
            </w:pPr>
            <w:r w:rsidRPr="00CE599B">
              <w:t xml:space="preserve"> 1.51 </w:t>
            </w:r>
          </w:p>
        </w:tc>
        <w:tc>
          <w:tcPr>
            <w:tcW w:w="500" w:type="pct"/>
            <w:tcBorders>
              <w:top w:val="single" w:sz="4" w:space="0" w:color="4BB3B5"/>
              <w:bottom w:val="single" w:sz="4" w:space="0" w:color="4BB3B5"/>
            </w:tcBorders>
          </w:tcPr>
          <w:p w14:paraId="736610AA" w14:textId="7D05E5C2" w:rsidR="00254BA6" w:rsidRPr="00CE599B" w:rsidRDefault="00254BA6" w:rsidP="00254BA6">
            <w:pPr>
              <w:pStyle w:val="Tabletextcentred"/>
            </w:pPr>
            <w:r w:rsidRPr="00CE599B">
              <w:t xml:space="preserve"> 60.00 </w:t>
            </w:r>
          </w:p>
        </w:tc>
        <w:tc>
          <w:tcPr>
            <w:tcW w:w="498" w:type="pct"/>
            <w:tcBorders>
              <w:top w:val="single" w:sz="4" w:space="0" w:color="4BB3B5"/>
              <w:bottom w:val="single" w:sz="4" w:space="0" w:color="4BB3B5"/>
            </w:tcBorders>
          </w:tcPr>
          <w:p w14:paraId="03384122" w14:textId="664C2CAD" w:rsidR="00254BA6" w:rsidRPr="00CE599B" w:rsidRDefault="00254BA6" w:rsidP="00254BA6">
            <w:pPr>
              <w:pStyle w:val="Tabletextcentred"/>
            </w:pPr>
            <w:r w:rsidRPr="00CE599B">
              <w:t xml:space="preserve"> 66.43 </w:t>
            </w:r>
          </w:p>
        </w:tc>
      </w:tr>
      <w:tr w:rsidR="00271A50" w:rsidRPr="00930D6A" w14:paraId="002814E8" w14:textId="744890FC" w:rsidTr="00254BA6">
        <w:tc>
          <w:tcPr>
            <w:tcW w:w="338" w:type="pct"/>
            <w:tcBorders>
              <w:top w:val="single" w:sz="4" w:space="0" w:color="4BB3B5"/>
              <w:bottom w:val="single" w:sz="4" w:space="0" w:color="4BB3B5"/>
            </w:tcBorders>
          </w:tcPr>
          <w:p w14:paraId="204FBDCF" w14:textId="77777777" w:rsidR="00271A50" w:rsidRPr="00310D3F" w:rsidRDefault="00271A50" w:rsidP="00310D3F">
            <w:pPr>
              <w:pStyle w:val="Tabletext"/>
              <w:rPr>
                <w:b/>
              </w:rPr>
            </w:pPr>
            <w:r w:rsidRPr="35E123EC">
              <w:rPr>
                <w:b/>
              </w:rPr>
              <w:t>2039</w:t>
            </w:r>
          </w:p>
        </w:tc>
        <w:tc>
          <w:tcPr>
            <w:tcW w:w="493" w:type="pct"/>
            <w:tcBorders>
              <w:top w:val="single" w:sz="4" w:space="0" w:color="4BB3B5"/>
              <w:bottom w:val="single" w:sz="4" w:space="0" w:color="4BB3B5"/>
            </w:tcBorders>
          </w:tcPr>
          <w:p w14:paraId="2E3164F9" w14:textId="3CA5ED6E" w:rsidR="00271A50" w:rsidRPr="00930D6A" w:rsidRDefault="00254BA6" w:rsidP="00310D3F">
            <w:pPr>
              <w:pStyle w:val="Tabletextcentred"/>
            </w:pPr>
            <w:r w:rsidRPr="00F51E6E">
              <w:t xml:space="preserve"> 1.66 </w:t>
            </w:r>
          </w:p>
        </w:tc>
        <w:tc>
          <w:tcPr>
            <w:tcW w:w="601" w:type="pct"/>
            <w:tcBorders>
              <w:top w:val="single" w:sz="4" w:space="0" w:color="4BB3B5"/>
              <w:bottom w:val="single" w:sz="4" w:space="0" w:color="4BB3B5"/>
            </w:tcBorders>
          </w:tcPr>
          <w:p w14:paraId="37FB75D4" w14:textId="44926150" w:rsidR="00271A50" w:rsidRPr="00930D6A" w:rsidRDefault="00254BA6" w:rsidP="00310D3F">
            <w:pPr>
              <w:pStyle w:val="Tabletextcentred"/>
            </w:pPr>
            <w:r w:rsidRPr="00F51E6E">
              <w:t xml:space="preserve"> 65.75 </w:t>
            </w:r>
          </w:p>
        </w:tc>
        <w:tc>
          <w:tcPr>
            <w:tcW w:w="598" w:type="pct"/>
            <w:tcBorders>
              <w:top w:val="single" w:sz="4" w:space="0" w:color="4BB3B5"/>
              <w:bottom w:val="single" w:sz="4" w:space="0" w:color="4BB3B5"/>
            </w:tcBorders>
          </w:tcPr>
          <w:p w14:paraId="44E429E5" w14:textId="3EAC176C" w:rsidR="00271A50" w:rsidRPr="00930D6A" w:rsidRDefault="00254BA6" w:rsidP="00310D3F">
            <w:pPr>
              <w:pStyle w:val="Tabletextcentred"/>
            </w:pPr>
            <w:r w:rsidRPr="00F51E6E">
              <w:t xml:space="preserve"> 72.80 </w:t>
            </w:r>
          </w:p>
        </w:tc>
        <w:tc>
          <w:tcPr>
            <w:tcW w:w="487" w:type="pct"/>
            <w:tcBorders>
              <w:top w:val="single" w:sz="4" w:space="0" w:color="4BB3B5"/>
              <w:bottom w:val="single" w:sz="4" w:space="0" w:color="4BB3B5"/>
            </w:tcBorders>
          </w:tcPr>
          <w:p w14:paraId="062862B7" w14:textId="5AAD317E" w:rsidR="00254BA6" w:rsidRPr="005A06AF" w:rsidRDefault="00254BA6" w:rsidP="00254BA6">
            <w:pPr>
              <w:pStyle w:val="Tabletextcentred"/>
            </w:pPr>
            <w:r w:rsidRPr="005A06AF">
              <w:t xml:space="preserve"> 1.73 </w:t>
            </w:r>
          </w:p>
        </w:tc>
        <w:tc>
          <w:tcPr>
            <w:tcW w:w="500" w:type="pct"/>
            <w:tcBorders>
              <w:top w:val="single" w:sz="4" w:space="0" w:color="4BB3B5"/>
              <w:bottom w:val="single" w:sz="4" w:space="0" w:color="4BB3B5"/>
            </w:tcBorders>
          </w:tcPr>
          <w:p w14:paraId="695CD988" w14:textId="41509580" w:rsidR="00254BA6" w:rsidRPr="005A06AF" w:rsidRDefault="00254BA6" w:rsidP="00254BA6">
            <w:pPr>
              <w:pStyle w:val="Tabletextcentred"/>
            </w:pPr>
            <w:r w:rsidRPr="005A06AF">
              <w:t xml:space="preserve"> 68.68 </w:t>
            </w:r>
          </w:p>
        </w:tc>
        <w:tc>
          <w:tcPr>
            <w:tcW w:w="498" w:type="pct"/>
            <w:tcBorders>
              <w:top w:val="single" w:sz="4" w:space="0" w:color="4BB3B5"/>
              <w:bottom w:val="single" w:sz="4" w:space="0" w:color="4BB3B5"/>
            </w:tcBorders>
          </w:tcPr>
          <w:p w14:paraId="60783902" w14:textId="4B842A76" w:rsidR="00254BA6" w:rsidRPr="005A06AF" w:rsidRDefault="00254BA6" w:rsidP="00254BA6">
            <w:pPr>
              <w:pStyle w:val="Tabletextcentred"/>
            </w:pPr>
            <w:r w:rsidRPr="005A06AF">
              <w:t xml:space="preserve"> 76.05 </w:t>
            </w:r>
          </w:p>
        </w:tc>
        <w:tc>
          <w:tcPr>
            <w:tcW w:w="487" w:type="pct"/>
            <w:tcBorders>
              <w:top w:val="single" w:sz="4" w:space="0" w:color="4BB3B5"/>
              <w:bottom w:val="single" w:sz="4" w:space="0" w:color="4BB3B5"/>
            </w:tcBorders>
          </w:tcPr>
          <w:p w14:paraId="5BCA1BD6" w14:textId="135AC397" w:rsidR="00254BA6" w:rsidRPr="00CE599B" w:rsidRDefault="00254BA6" w:rsidP="00254BA6">
            <w:pPr>
              <w:pStyle w:val="Tabletextcentred"/>
            </w:pPr>
            <w:r w:rsidRPr="00CE599B">
              <w:t xml:space="preserve"> 1.69 </w:t>
            </w:r>
          </w:p>
        </w:tc>
        <w:tc>
          <w:tcPr>
            <w:tcW w:w="500" w:type="pct"/>
            <w:tcBorders>
              <w:top w:val="single" w:sz="4" w:space="0" w:color="4BB3B5"/>
              <w:bottom w:val="single" w:sz="4" w:space="0" w:color="4BB3B5"/>
            </w:tcBorders>
          </w:tcPr>
          <w:p w14:paraId="39419547" w14:textId="1C0E2A0F" w:rsidR="00254BA6" w:rsidRPr="00CE599B" w:rsidRDefault="00254BA6" w:rsidP="00254BA6">
            <w:pPr>
              <w:pStyle w:val="Tabletextcentred"/>
            </w:pPr>
            <w:r w:rsidRPr="00CE599B">
              <w:t xml:space="preserve"> 67.04 </w:t>
            </w:r>
          </w:p>
        </w:tc>
        <w:tc>
          <w:tcPr>
            <w:tcW w:w="498" w:type="pct"/>
            <w:tcBorders>
              <w:top w:val="single" w:sz="4" w:space="0" w:color="4BB3B5"/>
              <w:bottom w:val="single" w:sz="4" w:space="0" w:color="4BB3B5"/>
            </w:tcBorders>
          </w:tcPr>
          <w:p w14:paraId="5FD3F50D" w14:textId="66704FBF" w:rsidR="00254BA6" w:rsidRPr="00CE599B" w:rsidRDefault="00254BA6" w:rsidP="00254BA6">
            <w:pPr>
              <w:pStyle w:val="Tabletextcentred"/>
            </w:pPr>
            <w:r w:rsidRPr="00CE599B">
              <w:t xml:space="preserve"> 74.23 </w:t>
            </w:r>
          </w:p>
        </w:tc>
      </w:tr>
      <w:tr w:rsidR="00271A50" w:rsidRPr="00930D6A" w14:paraId="726F1456" w14:textId="2806E97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1CB6AC2D" w14:textId="77777777" w:rsidR="00271A50" w:rsidRPr="00310D3F" w:rsidRDefault="00271A50" w:rsidP="00310D3F">
            <w:pPr>
              <w:pStyle w:val="Tabletext"/>
              <w:rPr>
                <w:b/>
              </w:rPr>
            </w:pPr>
            <w:r w:rsidRPr="35E123EC">
              <w:rPr>
                <w:b/>
              </w:rPr>
              <w:t>2040</w:t>
            </w:r>
          </w:p>
        </w:tc>
        <w:tc>
          <w:tcPr>
            <w:tcW w:w="493" w:type="pct"/>
            <w:tcBorders>
              <w:top w:val="single" w:sz="4" w:space="0" w:color="4BB3B5"/>
              <w:bottom w:val="single" w:sz="4" w:space="0" w:color="4BB3B5"/>
            </w:tcBorders>
          </w:tcPr>
          <w:p w14:paraId="26F7EE0D" w14:textId="6B0B7082" w:rsidR="00271A50" w:rsidRPr="00930D6A" w:rsidRDefault="00254BA6" w:rsidP="00310D3F">
            <w:pPr>
              <w:pStyle w:val="Tabletextcentred"/>
            </w:pPr>
            <w:r w:rsidRPr="00F51E6E">
              <w:t xml:space="preserve"> 1.82 </w:t>
            </w:r>
          </w:p>
        </w:tc>
        <w:tc>
          <w:tcPr>
            <w:tcW w:w="601" w:type="pct"/>
            <w:tcBorders>
              <w:top w:val="single" w:sz="4" w:space="0" w:color="4BB3B5"/>
              <w:bottom w:val="single" w:sz="4" w:space="0" w:color="4BB3B5"/>
            </w:tcBorders>
          </w:tcPr>
          <w:p w14:paraId="10743753" w14:textId="30E8291B" w:rsidR="00271A50" w:rsidRPr="00930D6A" w:rsidRDefault="00254BA6" w:rsidP="00310D3F">
            <w:pPr>
              <w:pStyle w:val="Tabletextcentred"/>
            </w:pPr>
            <w:r w:rsidRPr="00F51E6E">
              <w:t xml:space="preserve"> 72.28 </w:t>
            </w:r>
          </w:p>
        </w:tc>
        <w:tc>
          <w:tcPr>
            <w:tcW w:w="598" w:type="pct"/>
            <w:tcBorders>
              <w:top w:val="single" w:sz="4" w:space="0" w:color="4BB3B5"/>
              <w:bottom w:val="single" w:sz="4" w:space="0" w:color="4BB3B5"/>
            </w:tcBorders>
          </w:tcPr>
          <w:p w14:paraId="557B3362" w14:textId="557DD0A4" w:rsidR="00271A50" w:rsidRPr="00930D6A" w:rsidRDefault="00254BA6" w:rsidP="00310D3F">
            <w:pPr>
              <w:pStyle w:val="Tabletextcentred"/>
            </w:pPr>
            <w:r w:rsidRPr="00F51E6E">
              <w:t xml:space="preserve"> 80.04 </w:t>
            </w:r>
          </w:p>
        </w:tc>
        <w:tc>
          <w:tcPr>
            <w:tcW w:w="487" w:type="pct"/>
            <w:tcBorders>
              <w:top w:val="single" w:sz="4" w:space="0" w:color="4BB3B5"/>
              <w:bottom w:val="single" w:sz="4" w:space="0" w:color="4BB3B5"/>
            </w:tcBorders>
          </w:tcPr>
          <w:p w14:paraId="5D5DE9DD" w14:textId="285DDE57" w:rsidR="00254BA6" w:rsidRPr="005A06AF" w:rsidRDefault="00254BA6" w:rsidP="00254BA6">
            <w:pPr>
              <w:pStyle w:val="Tabletextcentred"/>
            </w:pPr>
            <w:r w:rsidRPr="005A06AF">
              <w:t xml:space="preserve"> 1.91 </w:t>
            </w:r>
          </w:p>
        </w:tc>
        <w:tc>
          <w:tcPr>
            <w:tcW w:w="500" w:type="pct"/>
            <w:tcBorders>
              <w:top w:val="single" w:sz="4" w:space="0" w:color="4BB3B5"/>
              <w:bottom w:val="single" w:sz="4" w:space="0" w:color="4BB3B5"/>
            </w:tcBorders>
          </w:tcPr>
          <w:p w14:paraId="7C746961" w14:textId="3427718B" w:rsidR="00254BA6" w:rsidRPr="005A06AF" w:rsidRDefault="00254BA6" w:rsidP="00254BA6">
            <w:pPr>
              <w:pStyle w:val="Tabletextcentred"/>
            </w:pPr>
            <w:r w:rsidRPr="005A06AF">
              <w:t xml:space="preserve"> 75.51 </w:t>
            </w:r>
          </w:p>
        </w:tc>
        <w:tc>
          <w:tcPr>
            <w:tcW w:w="498" w:type="pct"/>
            <w:tcBorders>
              <w:top w:val="single" w:sz="4" w:space="0" w:color="4BB3B5"/>
              <w:bottom w:val="single" w:sz="4" w:space="0" w:color="4BB3B5"/>
            </w:tcBorders>
          </w:tcPr>
          <w:p w14:paraId="28553046" w14:textId="683BB557" w:rsidR="00254BA6" w:rsidRPr="005A06AF" w:rsidRDefault="00254BA6" w:rsidP="00254BA6">
            <w:pPr>
              <w:pStyle w:val="Tabletextcentred"/>
            </w:pPr>
            <w:r w:rsidRPr="005A06AF">
              <w:t xml:space="preserve"> 83.60 </w:t>
            </w:r>
          </w:p>
        </w:tc>
        <w:tc>
          <w:tcPr>
            <w:tcW w:w="487" w:type="pct"/>
            <w:tcBorders>
              <w:top w:val="single" w:sz="4" w:space="0" w:color="4BB3B5"/>
              <w:bottom w:val="single" w:sz="4" w:space="0" w:color="4BB3B5"/>
            </w:tcBorders>
          </w:tcPr>
          <w:p w14:paraId="4F46B965" w14:textId="7DB04B78" w:rsidR="00254BA6" w:rsidRPr="00CE599B" w:rsidRDefault="00254BA6" w:rsidP="00254BA6">
            <w:pPr>
              <w:pStyle w:val="Tabletextcentred"/>
            </w:pPr>
            <w:r w:rsidRPr="00CE599B">
              <w:t xml:space="preserve"> 1.86 </w:t>
            </w:r>
          </w:p>
        </w:tc>
        <w:tc>
          <w:tcPr>
            <w:tcW w:w="500" w:type="pct"/>
            <w:tcBorders>
              <w:top w:val="single" w:sz="4" w:space="0" w:color="4BB3B5"/>
              <w:bottom w:val="single" w:sz="4" w:space="0" w:color="4BB3B5"/>
            </w:tcBorders>
          </w:tcPr>
          <w:p w14:paraId="3121C6E3" w14:textId="6F4C28D0" w:rsidR="00254BA6" w:rsidRPr="00CE599B" w:rsidRDefault="00254BA6" w:rsidP="00254BA6">
            <w:pPr>
              <w:pStyle w:val="Tabletextcentred"/>
            </w:pPr>
            <w:r w:rsidRPr="00CE599B">
              <w:t xml:space="preserve"> 73.85 </w:t>
            </w:r>
          </w:p>
        </w:tc>
        <w:tc>
          <w:tcPr>
            <w:tcW w:w="498" w:type="pct"/>
            <w:tcBorders>
              <w:top w:val="single" w:sz="4" w:space="0" w:color="4BB3B5"/>
              <w:bottom w:val="single" w:sz="4" w:space="0" w:color="4BB3B5"/>
            </w:tcBorders>
          </w:tcPr>
          <w:p w14:paraId="2E2C3B61" w14:textId="57C694E5" w:rsidR="00254BA6" w:rsidRPr="00CE599B" w:rsidRDefault="00254BA6" w:rsidP="00254BA6">
            <w:pPr>
              <w:pStyle w:val="Tabletextcentred"/>
            </w:pPr>
            <w:r w:rsidRPr="00CE599B">
              <w:t xml:space="preserve"> 81.77 </w:t>
            </w:r>
          </w:p>
        </w:tc>
      </w:tr>
      <w:tr w:rsidR="00271A50" w:rsidRPr="00930D6A" w14:paraId="776D6128" w14:textId="4EAE767F" w:rsidTr="00254BA6">
        <w:tc>
          <w:tcPr>
            <w:tcW w:w="338" w:type="pct"/>
            <w:tcBorders>
              <w:top w:val="single" w:sz="4" w:space="0" w:color="4BB3B5"/>
              <w:bottom w:val="single" w:sz="4" w:space="0" w:color="4BB3B5"/>
            </w:tcBorders>
          </w:tcPr>
          <w:p w14:paraId="2A6C0A00" w14:textId="77777777" w:rsidR="00271A50" w:rsidRPr="00310D3F" w:rsidRDefault="00271A50" w:rsidP="00310D3F">
            <w:pPr>
              <w:pStyle w:val="Tabletext"/>
              <w:rPr>
                <w:b/>
              </w:rPr>
            </w:pPr>
            <w:r w:rsidRPr="35E123EC">
              <w:rPr>
                <w:b/>
              </w:rPr>
              <w:t>2041</w:t>
            </w:r>
          </w:p>
        </w:tc>
        <w:tc>
          <w:tcPr>
            <w:tcW w:w="493" w:type="pct"/>
            <w:tcBorders>
              <w:top w:val="single" w:sz="4" w:space="0" w:color="4BB3B5"/>
              <w:bottom w:val="single" w:sz="4" w:space="0" w:color="4BB3B5"/>
            </w:tcBorders>
          </w:tcPr>
          <w:p w14:paraId="0DC86510" w14:textId="56BA09A1" w:rsidR="00271A50" w:rsidRPr="00930D6A" w:rsidRDefault="00254BA6" w:rsidP="00310D3F">
            <w:pPr>
              <w:pStyle w:val="Tabletextcentred"/>
            </w:pPr>
            <w:r w:rsidRPr="00F51E6E">
              <w:t xml:space="preserve"> 1.99 </w:t>
            </w:r>
          </w:p>
        </w:tc>
        <w:tc>
          <w:tcPr>
            <w:tcW w:w="601" w:type="pct"/>
            <w:tcBorders>
              <w:top w:val="single" w:sz="4" w:space="0" w:color="4BB3B5"/>
              <w:bottom w:val="single" w:sz="4" w:space="0" w:color="4BB3B5"/>
            </w:tcBorders>
          </w:tcPr>
          <w:p w14:paraId="5BD9E017" w14:textId="3A104E77" w:rsidR="00271A50" w:rsidRPr="00930D6A" w:rsidRDefault="00254BA6" w:rsidP="00310D3F">
            <w:pPr>
              <w:pStyle w:val="Tabletextcentred"/>
            </w:pPr>
            <w:r w:rsidRPr="00F51E6E">
              <w:t xml:space="preserve"> 78.76 </w:t>
            </w:r>
          </w:p>
        </w:tc>
        <w:tc>
          <w:tcPr>
            <w:tcW w:w="598" w:type="pct"/>
            <w:tcBorders>
              <w:top w:val="single" w:sz="4" w:space="0" w:color="4BB3B5"/>
              <w:bottom w:val="single" w:sz="4" w:space="0" w:color="4BB3B5"/>
            </w:tcBorders>
          </w:tcPr>
          <w:p w14:paraId="5076C4EC" w14:textId="1E9EF111" w:rsidR="00271A50" w:rsidRPr="00930D6A" w:rsidRDefault="00254BA6" w:rsidP="00310D3F">
            <w:pPr>
              <w:pStyle w:val="Tabletextcentred"/>
            </w:pPr>
            <w:r w:rsidRPr="00F51E6E">
              <w:t xml:space="preserve"> 87.21 </w:t>
            </w:r>
          </w:p>
        </w:tc>
        <w:tc>
          <w:tcPr>
            <w:tcW w:w="487" w:type="pct"/>
            <w:tcBorders>
              <w:top w:val="single" w:sz="4" w:space="0" w:color="4BB3B5"/>
              <w:bottom w:val="single" w:sz="4" w:space="0" w:color="4BB3B5"/>
            </w:tcBorders>
          </w:tcPr>
          <w:p w14:paraId="4EDF229B" w14:textId="55A8AE42" w:rsidR="00254BA6" w:rsidRPr="005A06AF" w:rsidRDefault="00254BA6" w:rsidP="00254BA6">
            <w:pPr>
              <w:pStyle w:val="Tabletextcentred"/>
            </w:pPr>
            <w:r w:rsidRPr="005A06AF">
              <w:t xml:space="preserve"> 2.08 </w:t>
            </w:r>
          </w:p>
        </w:tc>
        <w:tc>
          <w:tcPr>
            <w:tcW w:w="500" w:type="pct"/>
            <w:tcBorders>
              <w:top w:val="single" w:sz="4" w:space="0" w:color="4BB3B5"/>
              <w:bottom w:val="single" w:sz="4" w:space="0" w:color="4BB3B5"/>
            </w:tcBorders>
          </w:tcPr>
          <w:p w14:paraId="5B77A082" w14:textId="43320A25" w:rsidR="00254BA6" w:rsidRPr="005A06AF" w:rsidRDefault="00254BA6" w:rsidP="00254BA6">
            <w:pPr>
              <w:pStyle w:val="Tabletextcentred"/>
            </w:pPr>
            <w:r w:rsidRPr="005A06AF">
              <w:t xml:space="preserve"> 82.27 </w:t>
            </w:r>
          </w:p>
        </w:tc>
        <w:tc>
          <w:tcPr>
            <w:tcW w:w="498" w:type="pct"/>
            <w:tcBorders>
              <w:top w:val="single" w:sz="4" w:space="0" w:color="4BB3B5"/>
              <w:bottom w:val="single" w:sz="4" w:space="0" w:color="4BB3B5"/>
            </w:tcBorders>
          </w:tcPr>
          <w:p w14:paraId="29FA643A" w14:textId="71BC040E" w:rsidR="00254BA6" w:rsidRPr="005A06AF" w:rsidRDefault="00254BA6" w:rsidP="00254BA6">
            <w:pPr>
              <w:pStyle w:val="Tabletextcentred"/>
            </w:pPr>
            <w:r w:rsidRPr="005A06AF">
              <w:t xml:space="preserve"> 91.10 </w:t>
            </w:r>
          </w:p>
        </w:tc>
        <w:tc>
          <w:tcPr>
            <w:tcW w:w="487" w:type="pct"/>
            <w:tcBorders>
              <w:top w:val="single" w:sz="4" w:space="0" w:color="4BB3B5"/>
              <w:bottom w:val="single" w:sz="4" w:space="0" w:color="4BB3B5"/>
            </w:tcBorders>
          </w:tcPr>
          <w:p w14:paraId="7C6A1A26" w14:textId="784AED3B" w:rsidR="00254BA6" w:rsidRPr="00CE599B" w:rsidRDefault="00254BA6" w:rsidP="00254BA6">
            <w:pPr>
              <w:pStyle w:val="Tabletextcentred"/>
            </w:pPr>
            <w:r w:rsidRPr="00CE599B">
              <w:t xml:space="preserve"> 2.04 </w:t>
            </w:r>
          </w:p>
        </w:tc>
        <w:tc>
          <w:tcPr>
            <w:tcW w:w="500" w:type="pct"/>
            <w:tcBorders>
              <w:top w:val="single" w:sz="4" w:space="0" w:color="4BB3B5"/>
              <w:bottom w:val="single" w:sz="4" w:space="0" w:color="4BB3B5"/>
            </w:tcBorders>
          </w:tcPr>
          <w:p w14:paraId="38F767C3" w14:textId="6D7BDAAE" w:rsidR="00254BA6" w:rsidRPr="00CE599B" w:rsidRDefault="00254BA6" w:rsidP="00254BA6">
            <w:pPr>
              <w:pStyle w:val="Tabletextcentred"/>
            </w:pPr>
            <w:r w:rsidRPr="00CE599B">
              <w:t xml:space="preserve"> 80.68 </w:t>
            </w:r>
          </w:p>
        </w:tc>
        <w:tc>
          <w:tcPr>
            <w:tcW w:w="498" w:type="pct"/>
            <w:tcBorders>
              <w:top w:val="single" w:sz="4" w:space="0" w:color="4BB3B5"/>
              <w:bottom w:val="single" w:sz="4" w:space="0" w:color="4BB3B5"/>
            </w:tcBorders>
          </w:tcPr>
          <w:p w14:paraId="0FEC34A1" w14:textId="438134EE" w:rsidR="00254BA6" w:rsidRPr="00CE599B" w:rsidRDefault="00254BA6" w:rsidP="00254BA6">
            <w:pPr>
              <w:pStyle w:val="Tabletextcentred"/>
            </w:pPr>
            <w:r w:rsidRPr="00CE599B">
              <w:t xml:space="preserve"> 89.33 </w:t>
            </w:r>
          </w:p>
        </w:tc>
      </w:tr>
      <w:tr w:rsidR="00271A50" w:rsidRPr="00930D6A" w14:paraId="6D587C60" w14:textId="3668A1C7"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A352A0D" w14:textId="77777777" w:rsidR="00271A50" w:rsidRPr="00310D3F" w:rsidRDefault="00271A50" w:rsidP="00310D3F">
            <w:pPr>
              <w:pStyle w:val="Tabletext"/>
              <w:rPr>
                <w:b/>
              </w:rPr>
            </w:pPr>
            <w:r w:rsidRPr="35E123EC">
              <w:rPr>
                <w:b/>
              </w:rPr>
              <w:t>2042</w:t>
            </w:r>
          </w:p>
        </w:tc>
        <w:tc>
          <w:tcPr>
            <w:tcW w:w="493" w:type="pct"/>
            <w:tcBorders>
              <w:top w:val="single" w:sz="4" w:space="0" w:color="4BB3B5"/>
              <w:bottom w:val="single" w:sz="4" w:space="0" w:color="4BB3B5"/>
            </w:tcBorders>
          </w:tcPr>
          <w:p w14:paraId="249B0B91" w14:textId="5292D7BD" w:rsidR="00271A50" w:rsidRPr="00930D6A" w:rsidRDefault="00254BA6" w:rsidP="00310D3F">
            <w:pPr>
              <w:pStyle w:val="Tabletextcentred"/>
            </w:pPr>
            <w:r w:rsidRPr="00F51E6E">
              <w:t xml:space="preserve"> 2.14 </w:t>
            </w:r>
          </w:p>
        </w:tc>
        <w:tc>
          <w:tcPr>
            <w:tcW w:w="601" w:type="pct"/>
            <w:tcBorders>
              <w:top w:val="single" w:sz="4" w:space="0" w:color="4BB3B5"/>
              <w:bottom w:val="single" w:sz="4" w:space="0" w:color="4BB3B5"/>
            </w:tcBorders>
          </w:tcPr>
          <w:p w14:paraId="6B178128" w14:textId="666B6133" w:rsidR="00271A50" w:rsidRPr="00930D6A" w:rsidRDefault="00254BA6" w:rsidP="00310D3F">
            <w:pPr>
              <w:pStyle w:val="Tabletextcentred"/>
            </w:pPr>
            <w:r w:rsidRPr="00F51E6E">
              <w:t xml:space="preserve"> 84.96 </w:t>
            </w:r>
          </w:p>
        </w:tc>
        <w:tc>
          <w:tcPr>
            <w:tcW w:w="598" w:type="pct"/>
            <w:tcBorders>
              <w:top w:val="single" w:sz="4" w:space="0" w:color="4BB3B5"/>
              <w:bottom w:val="single" w:sz="4" w:space="0" w:color="4BB3B5"/>
            </w:tcBorders>
          </w:tcPr>
          <w:p w14:paraId="7FC2C04E" w14:textId="407CBED0" w:rsidR="00271A50" w:rsidRPr="00930D6A" w:rsidRDefault="00254BA6" w:rsidP="00310D3F">
            <w:pPr>
              <w:pStyle w:val="Tabletextcentred"/>
            </w:pPr>
            <w:r w:rsidRPr="00F51E6E">
              <w:t xml:space="preserve"> 94.08 </w:t>
            </w:r>
          </w:p>
        </w:tc>
        <w:tc>
          <w:tcPr>
            <w:tcW w:w="487" w:type="pct"/>
            <w:tcBorders>
              <w:top w:val="single" w:sz="4" w:space="0" w:color="4BB3B5"/>
              <w:bottom w:val="single" w:sz="4" w:space="0" w:color="4BB3B5"/>
            </w:tcBorders>
          </w:tcPr>
          <w:p w14:paraId="70A92AB5" w14:textId="54F48C63" w:rsidR="00254BA6" w:rsidRPr="005A06AF" w:rsidRDefault="00254BA6" w:rsidP="00254BA6">
            <w:pPr>
              <w:pStyle w:val="Tabletextcentred"/>
            </w:pPr>
            <w:r w:rsidRPr="005A06AF">
              <w:t xml:space="preserve"> 2.24 </w:t>
            </w:r>
          </w:p>
        </w:tc>
        <w:tc>
          <w:tcPr>
            <w:tcW w:w="500" w:type="pct"/>
            <w:tcBorders>
              <w:top w:val="single" w:sz="4" w:space="0" w:color="4BB3B5"/>
              <w:bottom w:val="single" w:sz="4" w:space="0" w:color="4BB3B5"/>
            </w:tcBorders>
          </w:tcPr>
          <w:p w14:paraId="74FF9EC1" w14:textId="44BAA32E" w:rsidR="00254BA6" w:rsidRPr="005A06AF" w:rsidRDefault="00254BA6" w:rsidP="00254BA6">
            <w:pPr>
              <w:pStyle w:val="Tabletextcentred"/>
            </w:pPr>
            <w:r w:rsidRPr="005A06AF">
              <w:t xml:space="preserve"> 88.76 </w:t>
            </w:r>
          </w:p>
        </w:tc>
        <w:tc>
          <w:tcPr>
            <w:tcW w:w="498" w:type="pct"/>
            <w:tcBorders>
              <w:top w:val="single" w:sz="4" w:space="0" w:color="4BB3B5"/>
              <w:bottom w:val="single" w:sz="4" w:space="0" w:color="4BB3B5"/>
            </w:tcBorders>
          </w:tcPr>
          <w:p w14:paraId="75E834BF" w14:textId="47130728" w:rsidR="00254BA6" w:rsidRPr="005A06AF" w:rsidRDefault="00254BA6" w:rsidP="00254BA6">
            <w:pPr>
              <w:pStyle w:val="Tabletextcentred"/>
            </w:pPr>
            <w:r w:rsidRPr="005A06AF">
              <w:t xml:space="preserve"> 98.28 </w:t>
            </w:r>
          </w:p>
        </w:tc>
        <w:tc>
          <w:tcPr>
            <w:tcW w:w="487" w:type="pct"/>
            <w:tcBorders>
              <w:top w:val="single" w:sz="4" w:space="0" w:color="4BB3B5"/>
              <w:bottom w:val="single" w:sz="4" w:space="0" w:color="4BB3B5"/>
            </w:tcBorders>
          </w:tcPr>
          <w:p w14:paraId="011796D8" w14:textId="4ED861B5" w:rsidR="00254BA6" w:rsidRPr="00CE599B" w:rsidRDefault="00254BA6" w:rsidP="00254BA6">
            <w:pPr>
              <w:pStyle w:val="Tabletextcentred"/>
            </w:pPr>
            <w:r w:rsidRPr="00CE599B">
              <w:t xml:space="preserve"> 2.21 </w:t>
            </w:r>
          </w:p>
        </w:tc>
        <w:tc>
          <w:tcPr>
            <w:tcW w:w="500" w:type="pct"/>
            <w:tcBorders>
              <w:top w:val="single" w:sz="4" w:space="0" w:color="4BB3B5"/>
              <w:bottom w:val="single" w:sz="4" w:space="0" w:color="4BB3B5"/>
            </w:tcBorders>
          </w:tcPr>
          <w:p w14:paraId="47E1DA52" w14:textId="5E292F06" w:rsidR="00254BA6" w:rsidRPr="00CE599B" w:rsidRDefault="00254BA6" w:rsidP="00254BA6">
            <w:pPr>
              <w:pStyle w:val="Tabletextcentred"/>
            </w:pPr>
            <w:r w:rsidRPr="00CE599B">
              <w:t xml:space="preserve"> 87.43 </w:t>
            </w:r>
          </w:p>
        </w:tc>
        <w:tc>
          <w:tcPr>
            <w:tcW w:w="498" w:type="pct"/>
            <w:tcBorders>
              <w:top w:val="single" w:sz="4" w:space="0" w:color="4BB3B5"/>
              <w:bottom w:val="single" w:sz="4" w:space="0" w:color="4BB3B5"/>
            </w:tcBorders>
          </w:tcPr>
          <w:p w14:paraId="607ABB81" w14:textId="6CFDE3F3" w:rsidR="00254BA6" w:rsidRPr="00CE599B" w:rsidRDefault="00254BA6" w:rsidP="00254BA6">
            <w:pPr>
              <w:pStyle w:val="Tabletextcentred"/>
            </w:pPr>
            <w:r w:rsidRPr="00CE599B">
              <w:t xml:space="preserve"> 96.80 </w:t>
            </w:r>
          </w:p>
        </w:tc>
      </w:tr>
      <w:tr w:rsidR="00271A50" w:rsidRPr="00930D6A" w14:paraId="39FE5971" w14:textId="52409E02" w:rsidTr="00254BA6">
        <w:tc>
          <w:tcPr>
            <w:tcW w:w="338" w:type="pct"/>
            <w:tcBorders>
              <w:top w:val="single" w:sz="4" w:space="0" w:color="4BB3B5"/>
              <w:bottom w:val="single" w:sz="4" w:space="0" w:color="4BB3B5"/>
            </w:tcBorders>
          </w:tcPr>
          <w:p w14:paraId="76A85B71" w14:textId="77777777" w:rsidR="00271A50" w:rsidRPr="00310D3F" w:rsidRDefault="00271A50" w:rsidP="00310D3F">
            <w:pPr>
              <w:pStyle w:val="Tabletext"/>
              <w:rPr>
                <w:b/>
              </w:rPr>
            </w:pPr>
            <w:r w:rsidRPr="35E123EC">
              <w:rPr>
                <w:b/>
              </w:rPr>
              <w:t>2043</w:t>
            </w:r>
          </w:p>
        </w:tc>
        <w:tc>
          <w:tcPr>
            <w:tcW w:w="493" w:type="pct"/>
            <w:tcBorders>
              <w:top w:val="single" w:sz="4" w:space="0" w:color="4BB3B5"/>
              <w:bottom w:val="single" w:sz="4" w:space="0" w:color="4BB3B5"/>
            </w:tcBorders>
          </w:tcPr>
          <w:p w14:paraId="33C905E6" w14:textId="0CB110E0" w:rsidR="00271A50" w:rsidRPr="00930D6A" w:rsidRDefault="00254BA6" w:rsidP="00310D3F">
            <w:pPr>
              <w:pStyle w:val="Tabletextcentred"/>
            </w:pPr>
            <w:r w:rsidRPr="00F51E6E">
              <w:t xml:space="preserve"> 2.29 </w:t>
            </w:r>
          </w:p>
        </w:tc>
        <w:tc>
          <w:tcPr>
            <w:tcW w:w="601" w:type="pct"/>
            <w:tcBorders>
              <w:top w:val="single" w:sz="4" w:space="0" w:color="4BB3B5"/>
              <w:bottom w:val="single" w:sz="4" w:space="0" w:color="4BB3B5"/>
            </w:tcBorders>
          </w:tcPr>
          <w:p w14:paraId="41F4082B" w14:textId="7FE116A5" w:rsidR="00271A50" w:rsidRPr="00930D6A" w:rsidRDefault="00254BA6" w:rsidP="00310D3F">
            <w:pPr>
              <w:pStyle w:val="Tabletextcentred"/>
            </w:pPr>
            <w:r w:rsidRPr="00F51E6E">
              <w:t xml:space="preserve"> 90.73 </w:t>
            </w:r>
          </w:p>
        </w:tc>
        <w:tc>
          <w:tcPr>
            <w:tcW w:w="598" w:type="pct"/>
            <w:tcBorders>
              <w:top w:val="single" w:sz="4" w:space="0" w:color="4BB3B5"/>
              <w:bottom w:val="single" w:sz="4" w:space="0" w:color="4BB3B5"/>
            </w:tcBorders>
          </w:tcPr>
          <w:p w14:paraId="49EA3BA1" w14:textId="792EBDC3" w:rsidR="00271A50" w:rsidRPr="00930D6A" w:rsidRDefault="00254BA6" w:rsidP="00310D3F">
            <w:pPr>
              <w:pStyle w:val="Tabletextcentred"/>
            </w:pPr>
            <w:r w:rsidRPr="00F51E6E">
              <w:t xml:space="preserve"> 100.46 </w:t>
            </w:r>
          </w:p>
        </w:tc>
        <w:tc>
          <w:tcPr>
            <w:tcW w:w="487" w:type="pct"/>
            <w:tcBorders>
              <w:top w:val="single" w:sz="4" w:space="0" w:color="4BB3B5"/>
              <w:bottom w:val="single" w:sz="4" w:space="0" w:color="4BB3B5"/>
            </w:tcBorders>
          </w:tcPr>
          <w:p w14:paraId="016E230A" w14:textId="40067581" w:rsidR="00254BA6" w:rsidRPr="005A06AF" w:rsidRDefault="00254BA6" w:rsidP="00254BA6">
            <w:pPr>
              <w:pStyle w:val="Tabletextcentred"/>
            </w:pPr>
            <w:r w:rsidRPr="005A06AF">
              <w:t xml:space="preserve"> 2.39 </w:t>
            </w:r>
          </w:p>
        </w:tc>
        <w:tc>
          <w:tcPr>
            <w:tcW w:w="500" w:type="pct"/>
            <w:tcBorders>
              <w:top w:val="single" w:sz="4" w:space="0" w:color="4BB3B5"/>
              <w:bottom w:val="single" w:sz="4" w:space="0" w:color="4BB3B5"/>
            </w:tcBorders>
          </w:tcPr>
          <w:p w14:paraId="08201B1D" w14:textId="52D6A5E3" w:rsidR="00254BA6" w:rsidRPr="005A06AF" w:rsidRDefault="00254BA6" w:rsidP="00254BA6">
            <w:pPr>
              <w:pStyle w:val="Tabletextcentred"/>
            </w:pPr>
            <w:r w:rsidRPr="005A06AF">
              <w:t xml:space="preserve"> 94.79 </w:t>
            </w:r>
          </w:p>
        </w:tc>
        <w:tc>
          <w:tcPr>
            <w:tcW w:w="498" w:type="pct"/>
            <w:tcBorders>
              <w:top w:val="single" w:sz="4" w:space="0" w:color="4BB3B5"/>
              <w:bottom w:val="single" w:sz="4" w:space="0" w:color="4BB3B5"/>
            </w:tcBorders>
          </w:tcPr>
          <w:p w14:paraId="3707413F" w14:textId="0FA6CF02" w:rsidR="00254BA6" w:rsidRPr="005A06AF" w:rsidRDefault="00254BA6" w:rsidP="00254BA6">
            <w:pPr>
              <w:pStyle w:val="Tabletextcentred"/>
            </w:pPr>
            <w:r w:rsidRPr="005A06AF">
              <w:t xml:space="preserve"> 104.96 </w:t>
            </w:r>
          </w:p>
        </w:tc>
        <w:tc>
          <w:tcPr>
            <w:tcW w:w="487" w:type="pct"/>
            <w:tcBorders>
              <w:top w:val="single" w:sz="4" w:space="0" w:color="4BB3B5"/>
              <w:bottom w:val="single" w:sz="4" w:space="0" w:color="4BB3B5"/>
            </w:tcBorders>
          </w:tcPr>
          <w:p w14:paraId="2890C622" w14:textId="631EDB42" w:rsidR="00254BA6" w:rsidRPr="00CE599B" w:rsidRDefault="00254BA6" w:rsidP="00254BA6">
            <w:pPr>
              <w:pStyle w:val="Tabletextcentred"/>
            </w:pPr>
            <w:r w:rsidRPr="00CE599B">
              <w:t xml:space="preserve"> 2.37 </w:t>
            </w:r>
          </w:p>
        </w:tc>
        <w:tc>
          <w:tcPr>
            <w:tcW w:w="500" w:type="pct"/>
            <w:tcBorders>
              <w:top w:val="single" w:sz="4" w:space="0" w:color="4BB3B5"/>
              <w:bottom w:val="single" w:sz="4" w:space="0" w:color="4BB3B5"/>
            </w:tcBorders>
          </w:tcPr>
          <w:p w14:paraId="5037A880" w14:textId="31CE6817" w:rsidR="00254BA6" w:rsidRPr="00CE599B" w:rsidRDefault="00254BA6" w:rsidP="00254BA6">
            <w:pPr>
              <w:pStyle w:val="Tabletextcentred"/>
            </w:pPr>
            <w:r w:rsidRPr="00CE599B">
              <w:t xml:space="preserve"> 93.84 </w:t>
            </w:r>
          </w:p>
        </w:tc>
        <w:tc>
          <w:tcPr>
            <w:tcW w:w="498" w:type="pct"/>
            <w:tcBorders>
              <w:top w:val="single" w:sz="4" w:space="0" w:color="4BB3B5"/>
              <w:bottom w:val="single" w:sz="4" w:space="0" w:color="4BB3B5"/>
            </w:tcBorders>
          </w:tcPr>
          <w:p w14:paraId="70BE3F86" w14:textId="567C1086" w:rsidR="00254BA6" w:rsidRPr="00CE599B" w:rsidRDefault="00254BA6" w:rsidP="00254BA6">
            <w:pPr>
              <w:pStyle w:val="Tabletextcentred"/>
            </w:pPr>
            <w:r w:rsidRPr="00CE599B">
              <w:t xml:space="preserve"> 103.90 </w:t>
            </w:r>
          </w:p>
        </w:tc>
      </w:tr>
      <w:tr w:rsidR="00271A50" w:rsidRPr="00930D6A" w14:paraId="47EC297F" w14:textId="1C462453"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6DBA289A" w14:textId="77777777" w:rsidR="00271A50" w:rsidRPr="00310D3F" w:rsidRDefault="00271A50" w:rsidP="00310D3F">
            <w:pPr>
              <w:pStyle w:val="Tabletext"/>
              <w:rPr>
                <w:b/>
              </w:rPr>
            </w:pPr>
            <w:r w:rsidRPr="35E123EC">
              <w:rPr>
                <w:b/>
              </w:rPr>
              <w:t>2044</w:t>
            </w:r>
          </w:p>
        </w:tc>
        <w:tc>
          <w:tcPr>
            <w:tcW w:w="493" w:type="pct"/>
            <w:tcBorders>
              <w:top w:val="single" w:sz="4" w:space="0" w:color="4BB3B5"/>
              <w:bottom w:val="single" w:sz="4" w:space="0" w:color="4BB3B5"/>
            </w:tcBorders>
          </w:tcPr>
          <w:p w14:paraId="19B49302" w14:textId="1132CB91" w:rsidR="00271A50" w:rsidRPr="00930D6A" w:rsidRDefault="00254BA6" w:rsidP="00310D3F">
            <w:pPr>
              <w:pStyle w:val="Tabletextcentred"/>
            </w:pPr>
            <w:r w:rsidRPr="00F51E6E">
              <w:t xml:space="preserve"> 2.42 </w:t>
            </w:r>
          </w:p>
        </w:tc>
        <w:tc>
          <w:tcPr>
            <w:tcW w:w="601" w:type="pct"/>
            <w:tcBorders>
              <w:top w:val="single" w:sz="4" w:space="0" w:color="4BB3B5"/>
              <w:bottom w:val="single" w:sz="4" w:space="0" w:color="4BB3B5"/>
            </w:tcBorders>
          </w:tcPr>
          <w:p w14:paraId="3F787F54" w14:textId="64B8388A" w:rsidR="00271A50" w:rsidRPr="00930D6A" w:rsidRDefault="00254BA6" w:rsidP="00310D3F">
            <w:pPr>
              <w:pStyle w:val="Tabletextcentred"/>
            </w:pPr>
            <w:r w:rsidRPr="00F51E6E">
              <w:t xml:space="preserve"> 96.04 </w:t>
            </w:r>
          </w:p>
        </w:tc>
        <w:tc>
          <w:tcPr>
            <w:tcW w:w="598" w:type="pct"/>
            <w:tcBorders>
              <w:top w:val="single" w:sz="4" w:space="0" w:color="4BB3B5"/>
              <w:bottom w:val="single" w:sz="4" w:space="0" w:color="4BB3B5"/>
            </w:tcBorders>
          </w:tcPr>
          <w:p w14:paraId="0CB99DEC" w14:textId="0A5DEF30" w:rsidR="00271A50" w:rsidRPr="00930D6A" w:rsidRDefault="00254BA6" w:rsidP="00310D3F">
            <w:pPr>
              <w:pStyle w:val="Tabletextcentred"/>
            </w:pPr>
            <w:r w:rsidRPr="00F51E6E">
              <w:t xml:space="preserve"> 106.34 </w:t>
            </w:r>
          </w:p>
        </w:tc>
        <w:tc>
          <w:tcPr>
            <w:tcW w:w="487" w:type="pct"/>
            <w:tcBorders>
              <w:top w:val="single" w:sz="4" w:space="0" w:color="4BB3B5"/>
              <w:bottom w:val="single" w:sz="4" w:space="0" w:color="4BB3B5"/>
            </w:tcBorders>
          </w:tcPr>
          <w:p w14:paraId="5BCA4B27" w14:textId="0D603587" w:rsidR="00254BA6" w:rsidRPr="005A06AF" w:rsidRDefault="00254BA6" w:rsidP="00254BA6">
            <w:pPr>
              <w:pStyle w:val="Tabletextcentred"/>
            </w:pPr>
            <w:r w:rsidRPr="005A06AF">
              <w:t xml:space="preserve"> 2.53 </w:t>
            </w:r>
          </w:p>
        </w:tc>
        <w:tc>
          <w:tcPr>
            <w:tcW w:w="500" w:type="pct"/>
            <w:tcBorders>
              <w:top w:val="single" w:sz="4" w:space="0" w:color="4BB3B5"/>
              <w:bottom w:val="single" w:sz="4" w:space="0" w:color="4BB3B5"/>
            </w:tcBorders>
          </w:tcPr>
          <w:p w14:paraId="4ED00DAA" w14:textId="3EF23F8E" w:rsidR="00254BA6" w:rsidRPr="005A06AF" w:rsidRDefault="00254BA6" w:rsidP="00254BA6">
            <w:pPr>
              <w:pStyle w:val="Tabletextcentred"/>
            </w:pPr>
            <w:r w:rsidRPr="005A06AF">
              <w:t xml:space="preserve"> 100.34 </w:t>
            </w:r>
          </w:p>
        </w:tc>
        <w:tc>
          <w:tcPr>
            <w:tcW w:w="498" w:type="pct"/>
            <w:tcBorders>
              <w:top w:val="single" w:sz="4" w:space="0" w:color="4BB3B5"/>
              <w:bottom w:val="single" w:sz="4" w:space="0" w:color="4BB3B5"/>
            </w:tcBorders>
          </w:tcPr>
          <w:p w14:paraId="02CE0955" w14:textId="6E7CF74F" w:rsidR="00254BA6" w:rsidRPr="005A06AF" w:rsidRDefault="00254BA6" w:rsidP="00254BA6">
            <w:pPr>
              <w:pStyle w:val="Tabletextcentred"/>
            </w:pPr>
            <w:r w:rsidRPr="005A06AF">
              <w:t xml:space="preserve"> 111.10 </w:t>
            </w:r>
          </w:p>
        </w:tc>
        <w:tc>
          <w:tcPr>
            <w:tcW w:w="487" w:type="pct"/>
            <w:tcBorders>
              <w:top w:val="single" w:sz="4" w:space="0" w:color="4BB3B5"/>
              <w:bottom w:val="single" w:sz="4" w:space="0" w:color="4BB3B5"/>
            </w:tcBorders>
          </w:tcPr>
          <w:p w14:paraId="2684C0DF" w14:textId="7092BA2C" w:rsidR="00254BA6" w:rsidRPr="00CE599B" w:rsidRDefault="00254BA6" w:rsidP="00254BA6">
            <w:pPr>
              <w:pStyle w:val="Tabletextcentred"/>
            </w:pPr>
            <w:r w:rsidRPr="00CE599B">
              <w:t xml:space="preserve"> 2.52 </w:t>
            </w:r>
          </w:p>
        </w:tc>
        <w:tc>
          <w:tcPr>
            <w:tcW w:w="500" w:type="pct"/>
            <w:tcBorders>
              <w:top w:val="single" w:sz="4" w:space="0" w:color="4BB3B5"/>
              <w:bottom w:val="single" w:sz="4" w:space="0" w:color="4BB3B5"/>
            </w:tcBorders>
          </w:tcPr>
          <w:p w14:paraId="2B38BB98" w14:textId="47FD0D7D" w:rsidR="00254BA6" w:rsidRPr="00CE599B" w:rsidRDefault="00254BA6" w:rsidP="00254BA6">
            <w:pPr>
              <w:pStyle w:val="Tabletextcentred"/>
            </w:pPr>
            <w:r w:rsidRPr="00CE599B">
              <w:t xml:space="preserve"> 99.71 </w:t>
            </w:r>
          </w:p>
        </w:tc>
        <w:tc>
          <w:tcPr>
            <w:tcW w:w="498" w:type="pct"/>
            <w:tcBorders>
              <w:top w:val="single" w:sz="4" w:space="0" w:color="4BB3B5"/>
              <w:bottom w:val="single" w:sz="4" w:space="0" w:color="4BB3B5"/>
            </w:tcBorders>
          </w:tcPr>
          <w:p w14:paraId="24E2E938" w14:textId="51FB56A4" w:rsidR="00254BA6" w:rsidRPr="00CE599B" w:rsidRDefault="00254BA6" w:rsidP="00254BA6">
            <w:pPr>
              <w:pStyle w:val="Tabletextcentred"/>
            </w:pPr>
            <w:r w:rsidRPr="00CE599B">
              <w:t xml:space="preserve"> 110.41 </w:t>
            </w:r>
          </w:p>
        </w:tc>
      </w:tr>
      <w:tr w:rsidR="00271A50" w:rsidRPr="00930D6A" w14:paraId="0E6131FD" w14:textId="273611CD" w:rsidTr="00254BA6">
        <w:tc>
          <w:tcPr>
            <w:tcW w:w="338" w:type="pct"/>
            <w:tcBorders>
              <w:top w:val="single" w:sz="4" w:space="0" w:color="4BB3B5"/>
              <w:bottom w:val="single" w:sz="4" w:space="0" w:color="4BB3B5"/>
            </w:tcBorders>
          </w:tcPr>
          <w:p w14:paraId="4A00C0E8" w14:textId="77777777" w:rsidR="00271A50" w:rsidRPr="00310D3F" w:rsidRDefault="00271A50" w:rsidP="00310D3F">
            <w:pPr>
              <w:pStyle w:val="Tabletext"/>
              <w:rPr>
                <w:b/>
              </w:rPr>
            </w:pPr>
            <w:r w:rsidRPr="35E123EC">
              <w:rPr>
                <w:b/>
              </w:rPr>
              <w:t>2045</w:t>
            </w:r>
          </w:p>
        </w:tc>
        <w:tc>
          <w:tcPr>
            <w:tcW w:w="493" w:type="pct"/>
            <w:tcBorders>
              <w:top w:val="single" w:sz="4" w:space="0" w:color="4BB3B5"/>
              <w:bottom w:val="single" w:sz="4" w:space="0" w:color="4BB3B5"/>
            </w:tcBorders>
          </w:tcPr>
          <w:p w14:paraId="19F560F8" w14:textId="50ADAAE0" w:rsidR="00271A50" w:rsidRPr="00930D6A" w:rsidRDefault="00254BA6" w:rsidP="00310D3F">
            <w:pPr>
              <w:pStyle w:val="Tabletextcentred"/>
            </w:pPr>
            <w:r w:rsidRPr="00F51E6E">
              <w:t xml:space="preserve"> 2.55 </w:t>
            </w:r>
          </w:p>
        </w:tc>
        <w:tc>
          <w:tcPr>
            <w:tcW w:w="601" w:type="pct"/>
            <w:tcBorders>
              <w:top w:val="single" w:sz="4" w:space="0" w:color="4BB3B5"/>
              <w:bottom w:val="single" w:sz="4" w:space="0" w:color="4BB3B5"/>
            </w:tcBorders>
          </w:tcPr>
          <w:p w14:paraId="7595D804" w14:textId="3181342F" w:rsidR="00271A50" w:rsidRPr="00930D6A" w:rsidRDefault="00254BA6" w:rsidP="00310D3F">
            <w:pPr>
              <w:pStyle w:val="Tabletextcentred"/>
            </w:pPr>
            <w:r w:rsidRPr="00F51E6E">
              <w:t xml:space="preserve"> 100.91 </w:t>
            </w:r>
          </w:p>
        </w:tc>
        <w:tc>
          <w:tcPr>
            <w:tcW w:w="598" w:type="pct"/>
            <w:tcBorders>
              <w:top w:val="single" w:sz="4" w:space="0" w:color="4BB3B5"/>
              <w:bottom w:val="single" w:sz="4" w:space="0" w:color="4BB3B5"/>
            </w:tcBorders>
          </w:tcPr>
          <w:p w14:paraId="108D0E10" w14:textId="44BBBCA0" w:rsidR="00271A50" w:rsidRPr="00930D6A" w:rsidRDefault="00254BA6" w:rsidP="00310D3F">
            <w:pPr>
              <w:pStyle w:val="Tabletextcentred"/>
            </w:pPr>
            <w:r w:rsidRPr="00F51E6E">
              <w:t xml:space="preserve"> 111.73 </w:t>
            </w:r>
          </w:p>
        </w:tc>
        <w:tc>
          <w:tcPr>
            <w:tcW w:w="487" w:type="pct"/>
            <w:tcBorders>
              <w:top w:val="single" w:sz="4" w:space="0" w:color="4BB3B5"/>
              <w:bottom w:val="single" w:sz="4" w:space="0" w:color="4BB3B5"/>
            </w:tcBorders>
          </w:tcPr>
          <w:p w14:paraId="1D91A2AB" w14:textId="4B2891E7" w:rsidR="00254BA6" w:rsidRPr="005A06AF" w:rsidRDefault="00254BA6" w:rsidP="00254BA6">
            <w:pPr>
              <w:pStyle w:val="Tabletextcentred"/>
            </w:pPr>
            <w:r w:rsidRPr="005A06AF">
              <w:t xml:space="preserve"> 2.66 </w:t>
            </w:r>
          </w:p>
        </w:tc>
        <w:tc>
          <w:tcPr>
            <w:tcW w:w="500" w:type="pct"/>
            <w:tcBorders>
              <w:top w:val="single" w:sz="4" w:space="0" w:color="4BB3B5"/>
              <w:bottom w:val="single" w:sz="4" w:space="0" w:color="4BB3B5"/>
            </w:tcBorders>
          </w:tcPr>
          <w:p w14:paraId="79C279A5" w14:textId="6E721CAA" w:rsidR="00254BA6" w:rsidRPr="005A06AF" w:rsidRDefault="00254BA6" w:rsidP="00254BA6">
            <w:pPr>
              <w:pStyle w:val="Tabletextcentred"/>
            </w:pPr>
            <w:r w:rsidRPr="005A06AF">
              <w:t xml:space="preserve"> 105.44 </w:t>
            </w:r>
          </w:p>
        </w:tc>
        <w:tc>
          <w:tcPr>
            <w:tcW w:w="498" w:type="pct"/>
            <w:tcBorders>
              <w:top w:val="single" w:sz="4" w:space="0" w:color="4BB3B5"/>
              <w:bottom w:val="single" w:sz="4" w:space="0" w:color="4BB3B5"/>
            </w:tcBorders>
          </w:tcPr>
          <w:p w14:paraId="34D2B245" w14:textId="2AC2861E" w:rsidR="00254BA6" w:rsidRPr="005A06AF" w:rsidRDefault="00254BA6" w:rsidP="00254BA6">
            <w:pPr>
              <w:pStyle w:val="Tabletextcentred"/>
            </w:pPr>
            <w:r w:rsidRPr="005A06AF">
              <w:t xml:space="preserve"> 116.75 </w:t>
            </w:r>
          </w:p>
        </w:tc>
        <w:tc>
          <w:tcPr>
            <w:tcW w:w="487" w:type="pct"/>
            <w:tcBorders>
              <w:top w:val="single" w:sz="4" w:space="0" w:color="4BB3B5"/>
              <w:bottom w:val="single" w:sz="4" w:space="0" w:color="4BB3B5"/>
            </w:tcBorders>
          </w:tcPr>
          <w:p w14:paraId="72FBCDF5" w14:textId="3237B070" w:rsidR="00254BA6" w:rsidRPr="00CE599B" w:rsidRDefault="00254BA6" w:rsidP="00254BA6">
            <w:pPr>
              <w:pStyle w:val="Tabletextcentred"/>
            </w:pPr>
            <w:r w:rsidRPr="00CE599B">
              <w:t xml:space="preserve"> 2.65 </w:t>
            </w:r>
          </w:p>
        </w:tc>
        <w:tc>
          <w:tcPr>
            <w:tcW w:w="500" w:type="pct"/>
            <w:tcBorders>
              <w:top w:val="single" w:sz="4" w:space="0" w:color="4BB3B5"/>
              <w:bottom w:val="single" w:sz="4" w:space="0" w:color="4BB3B5"/>
            </w:tcBorders>
          </w:tcPr>
          <w:p w14:paraId="32DAE518" w14:textId="1D7890E1" w:rsidR="00254BA6" w:rsidRPr="00CE599B" w:rsidRDefault="00254BA6" w:rsidP="00254BA6">
            <w:pPr>
              <w:pStyle w:val="Tabletextcentred"/>
            </w:pPr>
            <w:r w:rsidRPr="00CE599B">
              <w:t xml:space="preserve"> 105.06 </w:t>
            </w:r>
          </w:p>
        </w:tc>
        <w:tc>
          <w:tcPr>
            <w:tcW w:w="498" w:type="pct"/>
            <w:tcBorders>
              <w:top w:val="single" w:sz="4" w:space="0" w:color="4BB3B5"/>
              <w:bottom w:val="single" w:sz="4" w:space="0" w:color="4BB3B5"/>
            </w:tcBorders>
          </w:tcPr>
          <w:p w14:paraId="23806EEA" w14:textId="355AD990" w:rsidR="00254BA6" w:rsidRPr="00CE599B" w:rsidRDefault="00254BA6" w:rsidP="00254BA6">
            <w:pPr>
              <w:pStyle w:val="Tabletextcentred"/>
            </w:pPr>
            <w:r w:rsidRPr="00CE599B">
              <w:t xml:space="preserve"> 116.32 </w:t>
            </w:r>
          </w:p>
        </w:tc>
      </w:tr>
      <w:tr w:rsidR="00271A50" w:rsidRPr="00930D6A" w14:paraId="28BC7D39" w14:textId="665E550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1C776E6" w14:textId="77777777" w:rsidR="00271A50" w:rsidRPr="00310D3F" w:rsidRDefault="00271A50" w:rsidP="00310D3F">
            <w:pPr>
              <w:pStyle w:val="Tabletext"/>
              <w:rPr>
                <w:b/>
              </w:rPr>
            </w:pPr>
            <w:r w:rsidRPr="35E123EC">
              <w:rPr>
                <w:b/>
              </w:rPr>
              <w:t>2046</w:t>
            </w:r>
          </w:p>
        </w:tc>
        <w:tc>
          <w:tcPr>
            <w:tcW w:w="493" w:type="pct"/>
            <w:tcBorders>
              <w:top w:val="single" w:sz="4" w:space="0" w:color="4BB3B5"/>
              <w:bottom w:val="single" w:sz="4" w:space="0" w:color="4BB3B5"/>
            </w:tcBorders>
          </w:tcPr>
          <w:p w14:paraId="1C29340B" w14:textId="71401FE3" w:rsidR="00271A50" w:rsidRPr="00930D6A" w:rsidRDefault="00254BA6" w:rsidP="00310D3F">
            <w:pPr>
              <w:pStyle w:val="Tabletextcentred"/>
            </w:pPr>
            <w:r w:rsidRPr="00F51E6E">
              <w:t xml:space="preserve"> 2.66 </w:t>
            </w:r>
          </w:p>
        </w:tc>
        <w:tc>
          <w:tcPr>
            <w:tcW w:w="601" w:type="pct"/>
            <w:tcBorders>
              <w:top w:val="single" w:sz="4" w:space="0" w:color="4BB3B5"/>
              <w:bottom w:val="single" w:sz="4" w:space="0" w:color="4BB3B5"/>
            </w:tcBorders>
          </w:tcPr>
          <w:p w14:paraId="73BE3F58" w14:textId="44143888" w:rsidR="00271A50" w:rsidRPr="00930D6A" w:rsidRDefault="00254BA6" w:rsidP="00310D3F">
            <w:pPr>
              <w:pStyle w:val="Tabletextcentred"/>
            </w:pPr>
            <w:r w:rsidRPr="00F51E6E">
              <w:t xml:space="preserve"> 105.38 </w:t>
            </w:r>
          </w:p>
        </w:tc>
        <w:tc>
          <w:tcPr>
            <w:tcW w:w="598" w:type="pct"/>
            <w:tcBorders>
              <w:top w:val="single" w:sz="4" w:space="0" w:color="4BB3B5"/>
              <w:bottom w:val="single" w:sz="4" w:space="0" w:color="4BB3B5"/>
            </w:tcBorders>
          </w:tcPr>
          <w:p w14:paraId="6490F965" w14:textId="56C996FE" w:rsidR="00271A50" w:rsidRPr="00930D6A" w:rsidRDefault="00254BA6" w:rsidP="00310D3F">
            <w:pPr>
              <w:pStyle w:val="Tabletextcentred"/>
            </w:pPr>
            <w:r w:rsidRPr="00F51E6E">
              <w:t xml:space="preserve"> 116.69 </w:t>
            </w:r>
          </w:p>
        </w:tc>
        <w:tc>
          <w:tcPr>
            <w:tcW w:w="487" w:type="pct"/>
            <w:tcBorders>
              <w:top w:val="single" w:sz="4" w:space="0" w:color="4BB3B5"/>
              <w:bottom w:val="single" w:sz="4" w:space="0" w:color="4BB3B5"/>
            </w:tcBorders>
          </w:tcPr>
          <w:p w14:paraId="158551CE" w14:textId="039FF728" w:rsidR="00254BA6" w:rsidRPr="005A06AF" w:rsidRDefault="00254BA6" w:rsidP="00254BA6">
            <w:pPr>
              <w:pStyle w:val="Tabletextcentred"/>
            </w:pPr>
            <w:r w:rsidRPr="005A06AF">
              <w:t xml:space="preserve"> 2.78 </w:t>
            </w:r>
          </w:p>
        </w:tc>
        <w:tc>
          <w:tcPr>
            <w:tcW w:w="500" w:type="pct"/>
            <w:tcBorders>
              <w:top w:val="single" w:sz="4" w:space="0" w:color="4BB3B5"/>
              <w:bottom w:val="single" w:sz="4" w:space="0" w:color="4BB3B5"/>
            </w:tcBorders>
          </w:tcPr>
          <w:p w14:paraId="45A9576A" w14:textId="2AD96D3C" w:rsidR="00254BA6" w:rsidRPr="005A06AF" w:rsidRDefault="00254BA6" w:rsidP="00254BA6">
            <w:pPr>
              <w:pStyle w:val="Tabletextcentred"/>
            </w:pPr>
            <w:r w:rsidRPr="005A06AF">
              <w:t xml:space="preserve"> 110.11 </w:t>
            </w:r>
          </w:p>
        </w:tc>
        <w:tc>
          <w:tcPr>
            <w:tcW w:w="498" w:type="pct"/>
            <w:tcBorders>
              <w:top w:val="single" w:sz="4" w:space="0" w:color="4BB3B5"/>
              <w:bottom w:val="single" w:sz="4" w:space="0" w:color="4BB3B5"/>
            </w:tcBorders>
          </w:tcPr>
          <w:p w14:paraId="462A999D" w14:textId="72405702" w:rsidR="00254BA6" w:rsidRPr="005A06AF" w:rsidRDefault="00254BA6" w:rsidP="00254BA6">
            <w:pPr>
              <w:pStyle w:val="Tabletextcentred"/>
            </w:pPr>
            <w:r w:rsidRPr="005A06AF">
              <w:t xml:space="preserve"> 121.92 </w:t>
            </w:r>
          </w:p>
        </w:tc>
        <w:tc>
          <w:tcPr>
            <w:tcW w:w="487" w:type="pct"/>
            <w:tcBorders>
              <w:top w:val="single" w:sz="4" w:space="0" w:color="4BB3B5"/>
              <w:bottom w:val="single" w:sz="4" w:space="0" w:color="4BB3B5"/>
            </w:tcBorders>
          </w:tcPr>
          <w:p w14:paraId="72214FA2" w14:textId="79592A46" w:rsidR="00254BA6" w:rsidRPr="00CE599B" w:rsidRDefault="00254BA6" w:rsidP="00254BA6">
            <w:pPr>
              <w:pStyle w:val="Tabletextcentred"/>
            </w:pPr>
            <w:r w:rsidRPr="00CE599B">
              <w:t xml:space="preserve"> 2.77 </w:t>
            </w:r>
          </w:p>
        </w:tc>
        <w:tc>
          <w:tcPr>
            <w:tcW w:w="500" w:type="pct"/>
            <w:tcBorders>
              <w:top w:val="single" w:sz="4" w:space="0" w:color="4BB3B5"/>
              <w:bottom w:val="single" w:sz="4" w:space="0" w:color="4BB3B5"/>
            </w:tcBorders>
          </w:tcPr>
          <w:p w14:paraId="290D5040" w14:textId="6CB7ABC6" w:rsidR="00254BA6" w:rsidRPr="00CE599B" w:rsidRDefault="00254BA6" w:rsidP="00254BA6">
            <w:pPr>
              <w:pStyle w:val="Tabletextcentred"/>
            </w:pPr>
            <w:r w:rsidRPr="00CE599B">
              <w:t xml:space="preserve"> 109.90 </w:t>
            </w:r>
          </w:p>
        </w:tc>
        <w:tc>
          <w:tcPr>
            <w:tcW w:w="498" w:type="pct"/>
            <w:tcBorders>
              <w:top w:val="single" w:sz="4" w:space="0" w:color="4BB3B5"/>
              <w:bottom w:val="single" w:sz="4" w:space="0" w:color="4BB3B5"/>
            </w:tcBorders>
          </w:tcPr>
          <w:p w14:paraId="060D427A" w14:textId="5D45BDF1" w:rsidR="00254BA6" w:rsidRPr="00CE599B" w:rsidRDefault="00254BA6" w:rsidP="00254BA6">
            <w:pPr>
              <w:pStyle w:val="Tabletextcentred"/>
            </w:pPr>
            <w:r w:rsidRPr="00CE599B">
              <w:t xml:space="preserve"> 121.69 </w:t>
            </w:r>
          </w:p>
        </w:tc>
      </w:tr>
      <w:tr w:rsidR="00271A50" w:rsidRPr="00930D6A" w14:paraId="47F1C0C8" w14:textId="39C04E72" w:rsidTr="00254BA6">
        <w:tc>
          <w:tcPr>
            <w:tcW w:w="338" w:type="pct"/>
            <w:tcBorders>
              <w:top w:val="single" w:sz="4" w:space="0" w:color="4BB3B5"/>
              <w:bottom w:val="single" w:sz="4" w:space="0" w:color="4BB3B5"/>
            </w:tcBorders>
          </w:tcPr>
          <w:p w14:paraId="621CABE7" w14:textId="77777777" w:rsidR="00271A50" w:rsidRPr="00310D3F" w:rsidRDefault="00271A50" w:rsidP="00310D3F">
            <w:pPr>
              <w:pStyle w:val="Tabletext"/>
              <w:rPr>
                <w:b/>
              </w:rPr>
            </w:pPr>
            <w:r w:rsidRPr="35E123EC">
              <w:rPr>
                <w:b/>
              </w:rPr>
              <w:t>2047</w:t>
            </w:r>
          </w:p>
        </w:tc>
        <w:tc>
          <w:tcPr>
            <w:tcW w:w="493" w:type="pct"/>
            <w:tcBorders>
              <w:top w:val="single" w:sz="4" w:space="0" w:color="4BB3B5"/>
              <w:bottom w:val="single" w:sz="4" w:space="0" w:color="4BB3B5"/>
            </w:tcBorders>
          </w:tcPr>
          <w:p w14:paraId="00FB9F9A" w14:textId="0EB26318" w:rsidR="00271A50" w:rsidRPr="00930D6A" w:rsidRDefault="00254BA6" w:rsidP="00310D3F">
            <w:pPr>
              <w:pStyle w:val="Tabletextcentred"/>
            </w:pPr>
            <w:r w:rsidRPr="00F51E6E">
              <w:t xml:space="preserve"> 2.76 </w:t>
            </w:r>
          </w:p>
        </w:tc>
        <w:tc>
          <w:tcPr>
            <w:tcW w:w="601" w:type="pct"/>
            <w:tcBorders>
              <w:top w:val="single" w:sz="4" w:space="0" w:color="4BB3B5"/>
              <w:bottom w:val="single" w:sz="4" w:space="0" w:color="4BB3B5"/>
            </w:tcBorders>
          </w:tcPr>
          <w:p w14:paraId="502692E3" w14:textId="6C905ADF" w:rsidR="00271A50" w:rsidRPr="00930D6A" w:rsidRDefault="00254BA6" w:rsidP="00310D3F">
            <w:pPr>
              <w:pStyle w:val="Tabletextcentred"/>
            </w:pPr>
            <w:r w:rsidRPr="00F51E6E">
              <w:t xml:space="preserve"> 109.35 </w:t>
            </w:r>
          </w:p>
        </w:tc>
        <w:tc>
          <w:tcPr>
            <w:tcW w:w="598" w:type="pct"/>
            <w:tcBorders>
              <w:top w:val="single" w:sz="4" w:space="0" w:color="4BB3B5"/>
              <w:bottom w:val="single" w:sz="4" w:space="0" w:color="4BB3B5"/>
            </w:tcBorders>
          </w:tcPr>
          <w:p w14:paraId="72DDF44A" w14:textId="78FAFDF7" w:rsidR="00271A50" w:rsidRPr="00930D6A" w:rsidRDefault="00254BA6" w:rsidP="00310D3F">
            <w:pPr>
              <w:pStyle w:val="Tabletextcentred"/>
            </w:pPr>
            <w:r w:rsidRPr="00F51E6E">
              <w:t xml:space="preserve"> 121.08 </w:t>
            </w:r>
          </w:p>
        </w:tc>
        <w:tc>
          <w:tcPr>
            <w:tcW w:w="487" w:type="pct"/>
            <w:tcBorders>
              <w:top w:val="single" w:sz="4" w:space="0" w:color="4BB3B5"/>
              <w:bottom w:val="single" w:sz="4" w:space="0" w:color="4BB3B5"/>
            </w:tcBorders>
          </w:tcPr>
          <w:p w14:paraId="51115BD0" w14:textId="2956DB1E" w:rsidR="00254BA6" w:rsidRPr="005A06AF" w:rsidRDefault="00254BA6" w:rsidP="00254BA6">
            <w:pPr>
              <w:pStyle w:val="Tabletextcentred"/>
            </w:pPr>
            <w:r w:rsidRPr="005A06AF">
              <w:t xml:space="preserve"> 2.88 </w:t>
            </w:r>
          </w:p>
        </w:tc>
        <w:tc>
          <w:tcPr>
            <w:tcW w:w="500" w:type="pct"/>
            <w:tcBorders>
              <w:top w:val="single" w:sz="4" w:space="0" w:color="4BB3B5"/>
              <w:bottom w:val="single" w:sz="4" w:space="0" w:color="4BB3B5"/>
            </w:tcBorders>
          </w:tcPr>
          <w:p w14:paraId="02FC9E72" w14:textId="0420DD40" w:rsidR="00254BA6" w:rsidRPr="005A06AF" w:rsidRDefault="00254BA6" w:rsidP="00254BA6">
            <w:pPr>
              <w:pStyle w:val="Tabletextcentred"/>
            </w:pPr>
            <w:r w:rsidRPr="005A06AF">
              <w:t xml:space="preserve"> 114.26 </w:t>
            </w:r>
          </w:p>
        </w:tc>
        <w:tc>
          <w:tcPr>
            <w:tcW w:w="498" w:type="pct"/>
            <w:tcBorders>
              <w:top w:val="single" w:sz="4" w:space="0" w:color="4BB3B5"/>
              <w:bottom w:val="single" w:sz="4" w:space="0" w:color="4BB3B5"/>
            </w:tcBorders>
          </w:tcPr>
          <w:p w14:paraId="4F2684CF" w14:textId="7BD4A16F" w:rsidR="00254BA6" w:rsidRPr="005A06AF" w:rsidRDefault="00254BA6" w:rsidP="00254BA6">
            <w:pPr>
              <w:pStyle w:val="Tabletextcentred"/>
            </w:pPr>
            <w:r w:rsidRPr="005A06AF">
              <w:t xml:space="preserve"> 126.52 </w:t>
            </w:r>
          </w:p>
        </w:tc>
        <w:tc>
          <w:tcPr>
            <w:tcW w:w="487" w:type="pct"/>
            <w:tcBorders>
              <w:top w:val="single" w:sz="4" w:space="0" w:color="4BB3B5"/>
              <w:bottom w:val="single" w:sz="4" w:space="0" w:color="4BB3B5"/>
            </w:tcBorders>
          </w:tcPr>
          <w:p w14:paraId="6D102045" w14:textId="5794BFDC" w:rsidR="00254BA6" w:rsidRPr="00CE599B" w:rsidRDefault="00254BA6" w:rsidP="00254BA6">
            <w:pPr>
              <w:pStyle w:val="Tabletextcentred"/>
            </w:pPr>
            <w:r w:rsidRPr="00CE599B">
              <w:t xml:space="preserve"> 2.88 </w:t>
            </w:r>
          </w:p>
        </w:tc>
        <w:tc>
          <w:tcPr>
            <w:tcW w:w="500" w:type="pct"/>
            <w:tcBorders>
              <w:top w:val="single" w:sz="4" w:space="0" w:color="4BB3B5"/>
              <w:bottom w:val="single" w:sz="4" w:space="0" w:color="4BB3B5"/>
            </w:tcBorders>
          </w:tcPr>
          <w:p w14:paraId="2227423B" w14:textId="009137B0" w:rsidR="00254BA6" w:rsidRPr="00CE599B" w:rsidRDefault="00254BA6" w:rsidP="00254BA6">
            <w:pPr>
              <w:pStyle w:val="Tabletextcentred"/>
            </w:pPr>
            <w:r w:rsidRPr="00CE599B">
              <w:t xml:space="preserve"> 114.30 </w:t>
            </w:r>
          </w:p>
        </w:tc>
        <w:tc>
          <w:tcPr>
            <w:tcW w:w="498" w:type="pct"/>
            <w:tcBorders>
              <w:top w:val="single" w:sz="4" w:space="0" w:color="4BB3B5"/>
              <w:bottom w:val="single" w:sz="4" w:space="0" w:color="4BB3B5"/>
            </w:tcBorders>
          </w:tcPr>
          <w:p w14:paraId="09A53595" w14:textId="5E120977" w:rsidR="00254BA6" w:rsidRPr="00CE599B" w:rsidRDefault="00254BA6" w:rsidP="00254BA6">
            <w:pPr>
              <w:pStyle w:val="Tabletextcentred"/>
            </w:pPr>
            <w:r w:rsidRPr="00CE599B">
              <w:t xml:space="preserve"> 126.55 </w:t>
            </w:r>
          </w:p>
        </w:tc>
      </w:tr>
      <w:tr w:rsidR="00271A50" w:rsidRPr="00930D6A" w14:paraId="417B04A1" w14:textId="423989C4"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07D82EA" w14:textId="77777777" w:rsidR="00271A50" w:rsidRPr="00310D3F" w:rsidRDefault="00271A50" w:rsidP="00310D3F">
            <w:pPr>
              <w:pStyle w:val="Tabletext"/>
              <w:rPr>
                <w:b/>
              </w:rPr>
            </w:pPr>
            <w:r w:rsidRPr="35E123EC">
              <w:rPr>
                <w:b/>
              </w:rPr>
              <w:t>2048</w:t>
            </w:r>
          </w:p>
        </w:tc>
        <w:tc>
          <w:tcPr>
            <w:tcW w:w="493" w:type="pct"/>
            <w:tcBorders>
              <w:top w:val="single" w:sz="4" w:space="0" w:color="4BB3B5"/>
              <w:bottom w:val="single" w:sz="4" w:space="0" w:color="4BB3B5"/>
            </w:tcBorders>
          </w:tcPr>
          <w:p w14:paraId="0A13FEB6" w14:textId="4FEDEEBB" w:rsidR="00271A50" w:rsidRPr="00930D6A" w:rsidRDefault="00254BA6" w:rsidP="00310D3F">
            <w:pPr>
              <w:pStyle w:val="Tabletextcentred"/>
            </w:pPr>
            <w:r w:rsidRPr="00F51E6E">
              <w:t xml:space="preserve"> 2.85 </w:t>
            </w:r>
          </w:p>
        </w:tc>
        <w:tc>
          <w:tcPr>
            <w:tcW w:w="601" w:type="pct"/>
            <w:tcBorders>
              <w:top w:val="single" w:sz="4" w:space="0" w:color="4BB3B5"/>
              <w:bottom w:val="single" w:sz="4" w:space="0" w:color="4BB3B5"/>
            </w:tcBorders>
          </w:tcPr>
          <w:p w14:paraId="3C1F4C55" w14:textId="75EC5B77" w:rsidR="00271A50" w:rsidRPr="00930D6A" w:rsidRDefault="00254BA6" w:rsidP="00310D3F">
            <w:pPr>
              <w:pStyle w:val="Tabletextcentred"/>
            </w:pPr>
            <w:r w:rsidRPr="00F51E6E">
              <w:t xml:space="preserve"> 112.82 </w:t>
            </w:r>
          </w:p>
        </w:tc>
        <w:tc>
          <w:tcPr>
            <w:tcW w:w="598" w:type="pct"/>
            <w:tcBorders>
              <w:top w:val="single" w:sz="4" w:space="0" w:color="4BB3B5"/>
              <w:bottom w:val="single" w:sz="4" w:space="0" w:color="4BB3B5"/>
            </w:tcBorders>
          </w:tcPr>
          <w:p w14:paraId="17C025E8" w14:textId="077DD4C7" w:rsidR="00271A50" w:rsidRPr="00930D6A" w:rsidRDefault="00254BA6" w:rsidP="00310D3F">
            <w:pPr>
              <w:pStyle w:val="Tabletextcentred"/>
            </w:pPr>
            <w:r w:rsidRPr="00F51E6E">
              <w:t xml:space="preserve"> 124.93 </w:t>
            </w:r>
          </w:p>
        </w:tc>
        <w:tc>
          <w:tcPr>
            <w:tcW w:w="487" w:type="pct"/>
            <w:tcBorders>
              <w:top w:val="single" w:sz="4" w:space="0" w:color="4BB3B5"/>
              <w:bottom w:val="single" w:sz="4" w:space="0" w:color="4BB3B5"/>
            </w:tcBorders>
          </w:tcPr>
          <w:p w14:paraId="73F3F795" w14:textId="27422094" w:rsidR="00254BA6" w:rsidRPr="005A06AF" w:rsidRDefault="00254BA6" w:rsidP="00254BA6">
            <w:pPr>
              <w:pStyle w:val="Tabletextcentred"/>
            </w:pPr>
            <w:r w:rsidRPr="005A06AF">
              <w:t xml:space="preserve"> 2.98 </w:t>
            </w:r>
          </w:p>
        </w:tc>
        <w:tc>
          <w:tcPr>
            <w:tcW w:w="500" w:type="pct"/>
            <w:tcBorders>
              <w:top w:val="single" w:sz="4" w:space="0" w:color="4BB3B5"/>
              <w:bottom w:val="single" w:sz="4" w:space="0" w:color="4BB3B5"/>
            </w:tcBorders>
          </w:tcPr>
          <w:p w14:paraId="4B3E37D3" w14:textId="2EE88DFB" w:rsidR="00254BA6" w:rsidRPr="005A06AF" w:rsidRDefault="00254BA6" w:rsidP="00254BA6">
            <w:pPr>
              <w:pStyle w:val="Tabletextcentred"/>
            </w:pPr>
            <w:r w:rsidRPr="005A06AF">
              <w:t xml:space="preserve"> 117.89 </w:t>
            </w:r>
          </w:p>
        </w:tc>
        <w:tc>
          <w:tcPr>
            <w:tcW w:w="498" w:type="pct"/>
            <w:tcBorders>
              <w:top w:val="single" w:sz="4" w:space="0" w:color="4BB3B5"/>
              <w:bottom w:val="single" w:sz="4" w:space="0" w:color="4BB3B5"/>
            </w:tcBorders>
          </w:tcPr>
          <w:p w14:paraId="05CF7219" w14:textId="2A9BA336" w:rsidR="00254BA6" w:rsidRPr="005A06AF" w:rsidRDefault="00254BA6" w:rsidP="00254BA6">
            <w:pPr>
              <w:pStyle w:val="Tabletextcentred"/>
            </w:pPr>
            <w:r w:rsidRPr="005A06AF">
              <w:t xml:space="preserve"> 130.54 </w:t>
            </w:r>
          </w:p>
        </w:tc>
        <w:tc>
          <w:tcPr>
            <w:tcW w:w="487" w:type="pct"/>
            <w:tcBorders>
              <w:top w:val="single" w:sz="4" w:space="0" w:color="4BB3B5"/>
              <w:bottom w:val="single" w:sz="4" w:space="0" w:color="4BB3B5"/>
            </w:tcBorders>
          </w:tcPr>
          <w:p w14:paraId="5CFD0D7C" w14:textId="750212B7" w:rsidR="00254BA6" w:rsidRPr="00CE599B" w:rsidRDefault="00254BA6" w:rsidP="00254BA6">
            <w:pPr>
              <w:pStyle w:val="Tabletextcentred"/>
            </w:pPr>
            <w:r w:rsidRPr="00CE599B">
              <w:t xml:space="preserve"> 2.98 </w:t>
            </w:r>
          </w:p>
        </w:tc>
        <w:tc>
          <w:tcPr>
            <w:tcW w:w="500" w:type="pct"/>
            <w:tcBorders>
              <w:top w:val="single" w:sz="4" w:space="0" w:color="4BB3B5"/>
              <w:bottom w:val="single" w:sz="4" w:space="0" w:color="4BB3B5"/>
            </w:tcBorders>
          </w:tcPr>
          <w:p w14:paraId="326DD5BD" w14:textId="6B94DEC7" w:rsidR="00254BA6" w:rsidRPr="00CE599B" w:rsidRDefault="00254BA6" w:rsidP="00254BA6">
            <w:pPr>
              <w:pStyle w:val="Tabletextcentred"/>
            </w:pPr>
            <w:r w:rsidRPr="00CE599B">
              <w:t xml:space="preserve"> 118.12 </w:t>
            </w:r>
          </w:p>
        </w:tc>
        <w:tc>
          <w:tcPr>
            <w:tcW w:w="498" w:type="pct"/>
            <w:tcBorders>
              <w:top w:val="single" w:sz="4" w:space="0" w:color="4BB3B5"/>
              <w:bottom w:val="single" w:sz="4" w:space="0" w:color="4BB3B5"/>
            </w:tcBorders>
          </w:tcPr>
          <w:p w14:paraId="12F6E326" w14:textId="49337280" w:rsidR="00254BA6" w:rsidRPr="00CE599B" w:rsidRDefault="00254BA6" w:rsidP="00254BA6">
            <w:pPr>
              <w:pStyle w:val="Tabletextcentred"/>
            </w:pPr>
            <w:r w:rsidRPr="00CE599B">
              <w:t xml:space="preserve"> 130.79 </w:t>
            </w:r>
          </w:p>
        </w:tc>
      </w:tr>
      <w:tr w:rsidR="00271A50" w:rsidRPr="00930D6A" w14:paraId="698921CD" w14:textId="2BDB8808" w:rsidTr="00254BA6">
        <w:tc>
          <w:tcPr>
            <w:tcW w:w="338" w:type="pct"/>
            <w:tcBorders>
              <w:top w:val="single" w:sz="4" w:space="0" w:color="4BB3B5"/>
              <w:bottom w:val="single" w:sz="4" w:space="0" w:color="4BB3B5"/>
            </w:tcBorders>
          </w:tcPr>
          <w:p w14:paraId="276D7C0A" w14:textId="77777777" w:rsidR="00271A50" w:rsidRPr="00310D3F" w:rsidRDefault="00271A50" w:rsidP="00310D3F">
            <w:pPr>
              <w:pStyle w:val="Tabletext"/>
              <w:rPr>
                <w:b/>
              </w:rPr>
            </w:pPr>
            <w:r w:rsidRPr="35E123EC">
              <w:rPr>
                <w:b/>
              </w:rPr>
              <w:t>2049</w:t>
            </w:r>
          </w:p>
        </w:tc>
        <w:tc>
          <w:tcPr>
            <w:tcW w:w="493" w:type="pct"/>
            <w:tcBorders>
              <w:top w:val="single" w:sz="4" w:space="0" w:color="4BB3B5"/>
              <w:bottom w:val="single" w:sz="4" w:space="0" w:color="4BB3B5"/>
            </w:tcBorders>
          </w:tcPr>
          <w:p w14:paraId="2E3C6686" w14:textId="0158832E" w:rsidR="00271A50" w:rsidRPr="00930D6A" w:rsidRDefault="00254BA6" w:rsidP="00310D3F">
            <w:pPr>
              <w:pStyle w:val="Tabletextcentred"/>
            </w:pPr>
            <w:r w:rsidRPr="00F51E6E">
              <w:t xml:space="preserve"> 2.92 </w:t>
            </w:r>
          </w:p>
        </w:tc>
        <w:tc>
          <w:tcPr>
            <w:tcW w:w="601" w:type="pct"/>
            <w:tcBorders>
              <w:top w:val="single" w:sz="4" w:space="0" w:color="4BB3B5"/>
              <w:bottom w:val="single" w:sz="4" w:space="0" w:color="4BB3B5"/>
            </w:tcBorders>
          </w:tcPr>
          <w:p w14:paraId="5E35E2D1" w14:textId="3BAD279F" w:rsidR="00271A50" w:rsidRPr="00930D6A" w:rsidRDefault="00254BA6" w:rsidP="00310D3F">
            <w:pPr>
              <w:pStyle w:val="Tabletextcentred"/>
            </w:pPr>
            <w:r w:rsidRPr="00F51E6E">
              <w:t xml:space="preserve"> 115.82 </w:t>
            </w:r>
          </w:p>
        </w:tc>
        <w:tc>
          <w:tcPr>
            <w:tcW w:w="598" w:type="pct"/>
            <w:tcBorders>
              <w:top w:val="single" w:sz="4" w:space="0" w:color="4BB3B5"/>
              <w:bottom w:val="single" w:sz="4" w:space="0" w:color="4BB3B5"/>
            </w:tcBorders>
          </w:tcPr>
          <w:p w14:paraId="544B5859" w14:textId="7CD5C32B" w:rsidR="00271A50" w:rsidRPr="00930D6A" w:rsidRDefault="00254BA6" w:rsidP="00310D3F">
            <w:pPr>
              <w:pStyle w:val="Tabletextcentred"/>
            </w:pPr>
            <w:r w:rsidRPr="00F51E6E">
              <w:t xml:space="preserve"> 128.25 </w:t>
            </w:r>
          </w:p>
        </w:tc>
        <w:tc>
          <w:tcPr>
            <w:tcW w:w="487" w:type="pct"/>
            <w:tcBorders>
              <w:top w:val="single" w:sz="4" w:space="0" w:color="4BB3B5"/>
              <w:bottom w:val="single" w:sz="4" w:space="0" w:color="4BB3B5"/>
            </w:tcBorders>
          </w:tcPr>
          <w:p w14:paraId="20162B63" w14:textId="2FD11DF8" w:rsidR="00254BA6" w:rsidRPr="005A06AF" w:rsidRDefault="00254BA6" w:rsidP="00254BA6">
            <w:pPr>
              <w:pStyle w:val="Tabletextcentred"/>
            </w:pPr>
            <w:r w:rsidRPr="005A06AF">
              <w:t xml:space="preserve"> 3.05 </w:t>
            </w:r>
          </w:p>
        </w:tc>
        <w:tc>
          <w:tcPr>
            <w:tcW w:w="500" w:type="pct"/>
            <w:tcBorders>
              <w:top w:val="single" w:sz="4" w:space="0" w:color="4BB3B5"/>
              <w:bottom w:val="single" w:sz="4" w:space="0" w:color="4BB3B5"/>
            </w:tcBorders>
          </w:tcPr>
          <w:p w14:paraId="4B8F46FF" w14:textId="04777449" w:rsidR="00254BA6" w:rsidRPr="005A06AF" w:rsidRDefault="00254BA6" w:rsidP="00254BA6">
            <w:pPr>
              <w:pStyle w:val="Tabletextcentred"/>
            </w:pPr>
            <w:r w:rsidRPr="005A06AF">
              <w:t xml:space="preserve"> 121.03 </w:t>
            </w:r>
          </w:p>
        </w:tc>
        <w:tc>
          <w:tcPr>
            <w:tcW w:w="498" w:type="pct"/>
            <w:tcBorders>
              <w:top w:val="single" w:sz="4" w:space="0" w:color="4BB3B5"/>
              <w:bottom w:val="single" w:sz="4" w:space="0" w:color="4BB3B5"/>
            </w:tcBorders>
          </w:tcPr>
          <w:p w14:paraId="762AFB75" w14:textId="75B4C90B" w:rsidR="00254BA6" w:rsidRPr="005A06AF" w:rsidRDefault="00254BA6" w:rsidP="00254BA6">
            <w:pPr>
              <w:pStyle w:val="Tabletextcentred"/>
            </w:pPr>
            <w:r w:rsidRPr="005A06AF">
              <w:t xml:space="preserve"> 134.01 </w:t>
            </w:r>
          </w:p>
        </w:tc>
        <w:tc>
          <w:tcPr>
            <w:tcW w:w="487" w:type="pct"/>
            <w:tcBorders>
              <w:top w:val="single" w:sz="4" w:space="0" w:color="4BB3B5"/>
              <w:bottom w:val="single" w:sz="4" w:space="0" w:color="4BB3B5"/>
            </w:tcBorders>
          </w:tcPr>
          <w:p w14:paraId="4A0B6114" w14:textId="55BC7C3B" w:rsidR="00254BA6" w:rsidRPr="00CE599B" w:rsidRDefault="00254BA6" w:rsidP="00254BA6">
            <w:pPr>
              <w:pStyle w:val="Tabletextcentred"/>
            </w:pPr>
            <w:r w:rsidRPr="00CE599B">
              <w:t xml:space="preserve"> 3.06 </w:t>
            </w:r>
          </w:p>
        </w:tc>
        <w:tc>
          <w:tcPr>
            <w:tcW w:w="500" w:type="pct"/>
            <w:tcBorders>
              <w:top w:val="single" w:sz="4" w:space="0" w:color="4BB3B5"/>
              <w:bottom w:val="single" w:sz="4" w:space="0" w:color="4BB3B5"/>
            </w:tcBorders>
          </w:tcPr>
          <w:p w14:paraId="4FD6D1AE" w14:textId="3AF6B435" w:rsidR="00254BA6" w:rsidRPr="00CE599B" w:rsidRDefault="00254BA6" w:rsidP="00254BA6">
            <w:pPr>
              <w:pStyle w:val="Tabletextcentred"/>
            </w:pPr>
            <w:r w:rsidRPr="00CE599B">
              <w:t xml:space="preserve"> 121.41 </w:t>
            </w:r>
          </w:p>
        </w:tc>
        <w:tc>
          <w:tcPr>
            <w:tcW w:w="498" w:type="pct"/>
            <w:tcBorders>
              <w:top w:val="single" w:sz="4" w:space="0" w:color="4BB3B5"/>
              <w:bottom w:val="single" w:sz="4" w:space="0" w:color="4BB3B5"/>
            </w:tcBorders>
          </w:tcPr>
          <w:p w14:paraId="5BA01E1F" w14:textId="256C27C0" w:rsidR="00254BA6" w:rsidRPr="00CE599B" w:rsidRDefault="00254BA6" w:rsidP="00254BA6">
            <w:pPr>
              <w:pStyle w:val="Tabletextcentred"/>
            </w:pPr>
            <w:r w:rsidRPr="00CE599B">
              <w:t xml:space="preserve"> 134.44 </w:t>
            </w:r>
          </w:p>
        </w:tc>
      </w:tr>
      <w:tr w:rsidR="00271A50" w:rsidRPr="00930D6A" w14:paraId="3ACA3EB1" w14:textId="7FCE185B"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CE29CA6" w14:textId="77777777" w:rsidR="00271A50" w:rsidRPr="00310D3F" w:rsidRDefault="00271A50" w:rsidP="00310D3F">
            <w:pPr>
              <w:pStyle w:val="Tabletext"/>
              <w:rPr>
                <w:b/>
              </w:rPr>
            </w:pPr>
            <w:r w:rsidRPr="35E123EC">
              <w:rPr>
                <w:b/>
              </w:rPr>
              <w:t>2050</w:t>
            </w:r>
          </w:p>
        </w:tc>
        <w:tc>
          <w:tcPr>
            <w:tcW w:w="493" w:type="pct"/>
            <w:tcBorders>
              <w:top w:val="single" w:sz="4" w:space="0" w:color="4BB3B5"/>
              <w:bottom w:val="single" w:sz="4" w:space="0" w:color="4BB3B5"/>
            </w:tcBorders>
          </w:tcPr>
          <w:p w14:paraId="2CA06AB7" w14:textId="2FAD4E12" w:rsidR="00271A50" w:rsidRPr="00930D6A" w:rsidRDefault="00254BA6" w:rsidP="00310D3F">
            <w:pPr>
              <w:pStyle w:val="Tabletextcentred"/>
            </w:pPr>
            <w:r w:rsidRPr="00F51E6E">
              <w:t xml:space="preserve"> 2.99 </w:t>
            </w:r>
          </w:p>
        </w:tc>
        <w:tc>
          <w:tcPr>
            <w:tcW w:w="601" w:type="pct"/>
            <w:tcBorders>
              <w:top w:val="single" w:sz="4" w:space="0" w:color="4BB3B5"/>
              <w:bottom w:val="single" w:sz="4" w:space="0" w:color="4BB3B5"/>
            </w:tcBorders>
          </w:tcPr>
          <w:p w14:paraId="212AC33A" w14:textId="2698CF59" w:rsidR="00271A50" w:rsidRPr="00930D6A" w:rsidRDefault="00254BA6" w:rsidP="00310D3F">
            <w:pPr>
              <w:pStyle w:val="Tabletextcentred"/>
            </w:pPr>
            <w:r w:rsidRPr="00F51E6E">
              <w:t xml:space="preserve"> 118.33 </w:t>
            </w:r>
          </w:p>
        </w:tc>
        <w:tc>
          <w:tcPr>
            <w:tcW w:w="598" w:type="pct"/>
            <w:tcBorders>
              <w:top w:val="single" w:sz="4" w:space="0" w:color="4BB3B5"/>
              <w:bottom w:val="single" w:sz="4" w:space="0" w:color="4BB3B5"/>
            </w:tcBorders>
          </w:tcPr>
          <w:p w14:paraId="00904C42" w14:textId="4F5755C2" w:rsidR="00271A50" w:rsidRPr="00930D6A" w:rsidRDefault="00254BA6" w:rsidP="00310D3F">
            <w:pPr>
              <w:pStyle w:val="Tabletextcentred"/>
            </w:pPr>
            <w:r w:rsidRPr="00F51E6E">
              <w:t xml:space="preserve"> 131.03 </w:t>
            </w:r>
          </w:p>
        </w:tc>
        <w:tc>
          <w:tcPr>
            <w:tcW w:w="487" w:type="pct"/>
            <w:tcBorders>
              <w:top w:val="single" w:sz="4" w:space="0" w:color="4BB3B5"/>
              <w:bottom w:val="single" w:sz="4" w:space="0" w:color="4BB3B5"/>
            </w:tcBorders>
          </w:tcPr>
          <w:p w14:paraId="39985120" w14:textId="33919180" w:rsidR="00254BA6" w:rsidRPr="005A06AF" w:rsidRDefault="00254BA6" w:rsidP="00254BA6">
            <w:pPr>
              <w:pStyle w:val="Tabletextcentred"/>
            </w:pPr>
            <w:r w:rsidRPr="005A06AF">
              <w:t xml:space="preserve"> 3.12 </w:t>
            </w:r>
          </w:p>
        </w:tc>
        <w:tc>
          <w:tcPr>
            <w:tcW w:w="500" w:type="pct"/>
            <w:tcBorders>
              <w:top w:val="single" w:sz="4" w:space="0" w:color="4BB3B5"/>
              <w:bottom w:val="single" w:sz="4" w:space="0" w:color="4BB3B5"/>
            </w:tcBorders>
          </w:tcPr>
          <w:p w14:paraId="084DA1FA" w14:textId="7287A18E" w:rsidR="00254BA6" w:rsidRPr="005A06AF" w:rsidRDefault="00254BA6" w:rsidP="00254BA6">
            <w:pPr>
              <w:pStyle w:val="Tabletextcentred"/>
            </w:pPr>
            <w:r w:rsidRPr="005A06AF">
              <w:t xml:space="preserve"> 123.65 </w:t>
            </w:r>
          </w:p>
        </w:tc>
        <w:tc>
          <w:tcPr>
            <w:tcW w:w="498" w:type="pct"/>
            <w:tcBorders>
              <w:top w:val="single" w:sz="4" w:space="0" w:color="4BB3B5"/>
              <w:bottom w:val="single" w:sz="4" w:space="0" w:color="4BB3B5"/>
            </w:tcBorders>
          </w:tcPr>
          <w:p w14:paraId="0FC59283" w14:textId="584DBE6B" w:rsidR="00254BA6" w:rsidRPr="005A06AF" w:rsidRDefault="00254BA6" w:rsidP="00254BA6">
            <w:pPr>
              <w:pStyle w:val="Tabletextcentred"/>
            </w:pPr>
            <w:r w:rsidRPr="005A06AF">
              <w:t xml:space="preserve"> 136.92 </w:t>
            </w:r>
          </w:p>
        </w:tc>
        <w:tc>
          <w:tcPr>
            <w:tcW w:w="487" w:type="pct"/>
            <w:tcBorders>
              <w:top w:val="single" w:sz="4" w:space="0" w:color="4BB3B5"/>
              <w:bottom w:val="single" w:sz="4" w:space="0" w:color="4BB3B5"/>
            </w:tcBorders>
          </w:tcPr>
          <w:p w14:paraId="7BC5D740" w14:textId="413DCA11" w:rsidR="00254BA6" w:rsidRPr="00CE599B" w:rsidRDefault="00254BA6" w:rsidP="00254BA6">
            <w:pPr>
              <w:pStyle w:val="Tabletextcentred"/>
            </w:pPr>
            <w:r w:rsidRPr="00CE599B">
              <w:t xml:space="preserve"> 3.13 </w:t>
            </w:r>
          </w:p>
        </w:tc>
        <w:tc>
          <w:tcPr>
            <w:tcW w:w="500" w:type="pct"/>
            <w:tcBorders>
              <w:top w:val="single" w:sz="4" w:space="0" w:color="4BB3B5"/>
              <w:bottom w:val="single" w:sz="4" w:space="0" w:color="4BB3B5"/>
            </w:tcBorders>
          </w:tcPr>
          <w:p w14:paraId="4B25B9F2" w14:textId="7A7DB56E" w:rsidR="00254BA6" w:rsidRPr="00CE599B" w:rsidRDefault="00254BA6" w:rsidP="00254BA6">
            <w:pPr>
              <w:pStyle w:val="Tabletextcentred"/>
            </w:pPr>
            <w:r w:rsidRPr="00CE599B">
              <w:t xml:space="preserve"> 124.20 </w:t>
            </w:r>
          </w:p>
        </w:tc>
        <w:tc>
          <w:tcPr>
            <w:tcW w:w="498" w:type="pct"/>
            <w:tcBorders>
              <w:top w:val="single" w:sz="4" w:space="0" w:color="4BB3B5"/>
              <w:bottom w:val="single" w:sz="4" w:space="0" w:color="4BB3B5"/>
            </w:tcBorders>
          </w:tcPr>
          <w:p w14:paraId="6B954ADB" w14:textId="43A63333" w:rsidR="00254BA6" w:rsidRPr="00CE599B" w:rsidRDefault="00254BA6" w:rsidP="00254BA6">
            <w:pPr>
              <w:pStyle w:val="Tabletextcentred"/>
            </w:pPr>
            <w:r w:rsidRPr="00CE599B">
              <w:t xml:space="preserve"> 137.52 </w:t>
            </w:r>
          </w:p>
        </w:tc>
      </w:tr>
      <w:tr w:rsidR="00271A50" w:rsidRPr="00930D6A" w14:paraId="19B5EA63" w14:textId="232F89E9" w:rsidTr="00254BA6">
        <w:tc>
          <w:tcPr>
            <w:tcW w:w="338" w:type="pct"/>
            <w:tcBorders>
              <w:top w:val="single" w:sz="4" w:space="0" w:color="4BB3B5"/>
              <w:bottom w:val="single" w:sz="4" w:space="0" w:color="4BB3B5"/>
            </w:tcBorders>
          </w:tcPr>
          <w:p w14:paraId="7BD3E769" w14:textId="77777777" w:rsidR="00271A50" w:rsidRPr="00310D3F" w:rsidRDefault="00271A50" w:rsidP="00310D3F">
            <w:pPr>
              <w:pStyle w:val="Tabletext"/>
              <w:rPr>
                <w:b/>
              </w:rPr>
            </w:pPr>
            <w:r w:rsidRPr="35E123EC">
              <w:rPr>
                <w:b/>
              </w:rPr>
              <w:t>2051</w:t>
            </w:r>
          </w:p>
        </w:tc>
        <w:tc>
          <w:tcPr>
            <w:tcW w:w="493" w:type="pct"/>
            <w:tcBorders>
              <w:top w:val="single" w:sz="4" w:space="0" w:color="4BB3B5"/>
              <w:bottom w:val="single" w:sz="4" w:space="0" w:color="4BB3B5"/>
            </w:tcBorders>
          </w:tcPr>
          <w:p w14:paraId="0B61AE05" w14:textId="6481D7CE" w:rsidR="00271A50" w:rsidRPr="00930D6A" w:rsidRDefault="00254BA6" w:rsidP="00310D3F">
            <w:pPr>
              <w:pStyle w:val="Tabletextcentred"/>
            </w:pPr>
            <w:r w:rsidRPr="00F51E6E">
              <w:t xml:space="preserve"> 3.04 </w:t>
            </w:r>
          </w:p>
        </w:tc>
        <w:tc>
          <w:tcPr>
            <w:tcW w:w="601" w:type="pct"/>
            <w:tcBorders>
              <w:top w:val="single" w:sz="4" w:space="0" w:color="4BB3B5"/>
              <w:bottom w:val="single" w:sz="4" w:space="0" w:color="4BB3B5"/>
            </w:tcBorders>
          </w:tcPr>
          <w:p w14:paraId="3D5DA77F" w14:textId="6440DBFD" w:rsidR="00271A50" w:rsidRPr="00930D6A" w:rsidRDefault="00254BA6" w:rsidP="00310D3F">
            <w:pPr>
              <w:pStyle w:val="Tabletextcentred"/>
            </w:pPr>
            <w:r w:rsidRPr="00F51E6E">
              <w:t xml:space="preserve"> 120.33 </w:t>
            </w:r>
          </w:p>
        </w:tc>
        <w:tc>
          <w:tcPr>
            <w:tcW w:w="598" w:type="pct"/>
            <w:tcBorders>
              <w:top w:val="single" w:sz="4" w:space="0" w:color="4BB3B5"/>
              <w:bottom w:val="single" w:sz="4" w:space="0" w:color="4BB3B5"/>
            </w:tcBorders>
          </w:tcPr>
          <w:p w14:paraId="4CEF7705" w14:textId="2744772B" w:rsidR="00271A50" w:rsidRPr="00930D6A" w:rsidRDefault="00254BA6" w:rsidP="00310D3F">
            <w:pPr>
              <w:pStyle w:val="Tabletextcentred"/>
            </w:pPr>
            <w:r w:rsidRPr="00F51E6E">
              <w:t xml:space="preserve"> 133.23 </w:t>
            </w:r>
          </w:p>
        </w:tc>
        <w:tc>
          <w:tcPr>
            <w:tcW w:w="487" w:type="pct"/>
            <w:tcBorders>
              <w:top w:val="single" w:sz="4" w:space="0" w:color="4BB3B5"/>
              <w:bottom w:val="single" w:sz="4" w:space="0" w:color="4BB3B5"/>
            </w:tcBorders>
          </w:tcPr>
          <w:p w14:paraId="11A9A026" w14:textId="398EF633" w:rsidR="00254BA6" w:rsidRPr="005A06AF" w:rsidRDefault="00254BA6" w:rsidP="00254BA6">
            <w:pPr>
              <w:pStyle w:val="Tabletextcentred"/>
            </w:pPr>
            <w:r w:rsidRPr="005A06AF">
              <w:t xml:space="preserve"> 3.17 </w:t>
            </w:r>
          </w:p>
        </w:tc>
        <w:tc>
          <w:tcPr>
            <w:tcW w:w="500" w:type="pct"/>
            <w:tcBorders>
              <w:top w:val="single" w:sz="4" w:space="0" w:color="4BB3B5"/>
              <w:bottom w:val="single" w:sz="4" w:space="0" w:color="4BB3B5"/>
            </w:tcBorders>
          </w:tcPr>
          <w:p w14:paraId="179ACF1C" w14:textId="3C87C883" w:rsidR="00254BA6" w:rsidRPr="005A06AF" w:rsidRDefault="00254BA6" w:rsidP="00254BA6">
            <w:pPr>
              <w:pStyle w:val="Tabletextcentred"/>
            </w:pPr>
            <w:r w:rsidRPr="005A06AF">
              <w:t xml:space="preserve"> 125.74 </w:t>
            </w:r>
          </w:p>
        </w:tc>
        <w:tc>
          <w:tcPr>
            <w:tcW w:w="498" w:type="pct"/>
            <w:tcBorders>
              <w:top w:val="single" w:sz="4" w:space="0" w:color="4BB3B5"/>
              <w:bottom w:val="single" w:sz="4" w:space="0" w:color="4BB3B5"/>
            </w:tcBorders>
          </w:tcPr>
          <w:p w14:paraId="2EB56FE9" w14:textId="40241618" w:rsidR="00254BA6" w:rsidRPr="005A06AF" w:rsidRDefault="00254BA6" w:rsidP="00254BA6">
            <w:pPr>
              <w:pStyle w:val="Tabletextcentred"/>
            </w:pPr>
            <w:r w:rsidRPr="005A06AF">
              <w:t xml:space="preserve"> 139.22 </w:t>
            </w:r>
          </w:p>
        </w:tc>
        <w:tc>
          <w:tcPr>
            <w:tcW w:w="487" w:type="pct"/>
            <w:tcBorders>
              <w:top w:val="single" w:sz="4" w:space="0" w:color="4BB3B5"/>
              <w:bottom w:val="single" w:sz="4" w:space="0" w:color="4BB3B5"/>
            </w:tcBorders>
          </w:tcPr>
          <w:p w14:paraId="01A936B8" w14:textId="5A06F747" w:rsidR="00254BA6" w:rsidRPr="00CE599B" w:rsidRDefault="00254BA6" w:rsidP="00254BA6">
            <w:pPr>
              <w:pStyle w:val="Tabletextcentred"/>
            </w:pPr>
            <w:r w:rsidRPr="00CE599B">
              <w:t xml:space="preserve"> 3.19 </w:t>
            </w:r>
          </w:p>
        </w:tc>
        <w:tc>
          <w:tcPr>
            <w:tcW w:w="500" w:type="pct"/>
            <w:tcBorders>
              <w:top w:val="single" w:sz="4" w:space="0" w:color="4BB3B5"/>
              <w:bottom w:val="single" w:sz="4" w:space="0" w:color="4BB3B5"/>
            </w:tcBorders>
          </w:tcPr>
          <w:p w14:paraId="3BC70877" w14:textId="58495122" w:rsidR="00254BA6" w:rsidRPr="00CE599B" w:rsidRDefault="00254BA6" w:rsidP="00254BA6">
            <w:pPr>
              <w:pStyle w:val="Tabletextcentred"/>
            </w:pPr>
            <w:r w:rsidRPr="00CE599B">
              <w:t xml:space="preserve"> 126.45 </w:t>
            </w:r>
          </w:p>
        </w:tc>
        <w:tc>
          <w:tcPr>
            <w:tcW w:w="498" w:type="pct"/>
            <w:tcBorders>
              <w:top w:val="single" w:sz="4" w:space="0" w:color="4BB3B5"/>
              <w:bottom w:val="single" w:sz="4" w:space="0" w:color="4BB3B5"/>
            </w:tcBorders>
          </w:tcPr>
          <w:p w14:paraId="21F245FB" w14:textId="0FBA663D" w:rsidR="00254BA6" w:rsidRPr="00CE599B" w:rsidRDefault="00254BA6" w:rsidP="00254BA6">
            <w:pPr>
              <w:pStyle w:val="Tabletextcentred"/>
            </w:pPr>
            <w:r w:rsidRPr="00CE599B">
              <w:t xml:space="preserve"> 140.02 </w:t>
            </w:r>
          </w:p>
        </w:tc>
      </w:tr>
      <w:tr w:rsidR="00271A50" w:rsidRPr="00930D6A" w14:paraId="572B694B" w14:textId="0FDD8E04"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72ED9D32" w14:textId="77777777" w:rsidR="00271A50" w:rsidRPr="00310D3F" w:rsidRDefault="00271A50" w:rsidP="00310D3F">
            <w:pPr>
              <w:pStyle w:val="Tabletext"/>
              <w:rPr>
                <w:b/>
              </w:rPr>
            </w:pPr>
            <w:r w:rsidRPr="35E123EC">
              <w:rPr>
                <w:b/>
              </w:rPr>
              <w:t>2052</w:t>
            </w:r>
          </w:p>
        </w:tc>
        <w:tc>
          <w:tcPr>
            <w:tcW w:w="493" w:type="pct"/>
            <w:tcBorders>
              <w:top w:val="single" w:sz="4" w:space="0" w:color="4BB3B5"/>
              <w:bottom w:val="single" w:sz="4" w:space="0" w:color="4BB3B5"/>
            </w:tcBorders>
          </w:tcPr>
          <w:p w14:paraId="20B48113" w14:textId="089C6293" w:rsidR="00271A50" w:rsidRPr="00930D6A" w:rsidRDefault="00254BA6" w:rsidP="00310D3F">
            <w:pPr>
              <w:pStyle w:val="Tabletextcentred"/>
            </w:pPr>
            <w:r w:rsidRPr="00F51E6E">
              <w:t xml:space="preserve"> 3.07 </w:t>
            </w:r>
          </w:p>
        </w:tc>
        <w:tc>
          <w:tcPr>
            <w:tcW w:w="601" w:type="pct"/>
            <w:tcBorders>
              <w:top w:val="single" w:sz="4" w:space="0" w:color="4BB3B5"/>
              <w:bottom w:val="single" w:sz="4" w:space="0" w:color="4BB3B5"/>
            </w:tcBorders>
          </w:tcPr>
          <w:p w14:paraId="47C87DC2" w14:textId="727E4C7C" w:rsidR="00271A50" w:rsidRPr="00930D6A" w:rsidRDefault="00254BA6" w:rsidP="00310D3F">
            <w:pPr>
              <w:pStyle w:val="Tabletextcentred"/>
            </w:pPr>
            <w:r w:rsidRPr="00F51E6E">
              <w:t xml:space="preserve"> 121.78 </w:t>
            </w:r>
          </w:p>
        </w:tc>
        <w:tc>
          <w:tcPr>
            <w:tcW w:w="598" w:type="pct"/>
            <w:tcBorders>
              <w:top w:val="single" w:sz="4" w:space="0" w:color="4BB3B5"/>
              <w:bottom w:val="single" w:sz="4" w:space="0" w:color="4BB3B5"/>
            </w:tcBorders>
          </w:tcPr>
          <w:p w14:paraId="718D5CBB" w14:textId="72491BE4" w:rsidR="00271A50" w:rsidRPr="00930D6A" w:rsidRDefault="00254BA6" w:rsidP="00310D3F">
            <w:pPr>
              <w:pStyle w:val="Tabletextcentred"/>
            </w:pPr>
            <w:r w:rsidRPr="00F51E6E">
              <w:t xml:space="preserve"> 134.85 </w:t>
            </w:r>
          </w:p>
        </w:tc>
        <w:tc>
          <w:tcPr>
            <w:tcW w:w="487" w:type="pct"/>
            <w:tcBorders>
              <w:top w:val="single" w:sz="4" w:space="0" w:color="4BB3B5"/>
              <w:bottom w:val="single" w:sz="4" w:space="0" w:color="4BB3B5"/>
            </w:tcBorders>
          </w:tcPr>
          <w:p w14:paraId="29FB7404" w14:textId="43705BA7" w:rsidR="00254BA6" w:rsidRPr="005A06AF" w:rsidRDefault="00254BA6" w:rsidP="00254BA6">
            <w:pPr>
              <w:pStyle w:val="Tabletextcentred"/>
            </w:pPr>
            <w:r w:rsidRPr="005A06AF">
              <w:t xml:space="preserve"> 3.21 </w:t>
            </w:r>
          </w:p>
        </w:tc>
        <w:tc>
          <w:tcPr>
            <w:tcW w:w="500" w:type="pct"/>
            <w:tcBorders>
              <w:top w:val="single" w:sz="4" w:space="0" w:color="4BB3B5"/>
              <w:bottom w:val="single" w:sz="4" w:space="0" w:color="4BB3B5"/>
            </w:tcBorders>
          </w:tcPr>
          <w:p w14:paraId="7023B3DF" w14:textId="4878F3B4" w:rsidR="00254BA6" w:rsidRPr="005A06AF" w:rsidRDefault="00254BA6" w:rsidP="00254BA6">
            <w:pPr>
              <w:pStyle w:val="Tabletextcentred"/>
            </w:pPr>
            <w:r w:rsidRPr="005A06AF">
              <w:t xml:space="preserve"> 127.26 </w:t>
            </w:r>
          </w:p>
        </w:tc>
        <w:tc>
          <w:tcPr>
            <w:tcW w:w="498" w:type="pct"/>
            <w:tcBorders>
              <w:top w:val="single" w:sz="4" w:space="0" w:color="4BB3B5"/>
              <w:bottom w:val="single" w:sz="4" w:space="0" w:color="4BB3B5"/>
            </w:tcBorders>
          </w:tcPr>
          <w:p w14:paraId="5369EB10" w14:textId="632A18A8" w:rsidR="00254BA6" w:rsidRPr="005A06AF" w:rsidRDefault="00254BA6" w:rsidP="00254BA6">
            <w:pPr>
              <w:pStyle w:val="Tabletextcentred"/>
            </w:pPr>
            <w:r w:rsidRPr="005A06AF">
              <w:t xml:space="preserve"> 140.91 </w:t>
            </w:r>
          </w:p>
        </w:tc>
        <w:tc>
          <w:tcPr>
            <w:tcW w:w="487" w:type="pct"/>
            <w:tcBorders>
              <w:top w:val="single" w:sz="4" w:space="0" w:color="4BB3B5"/>
              <w:bottom w:val="single" w:sz="4" w:space="0" w:color="4BB3B5"/>
            </w:tcBorders>
          </w:tcPr>
          <w:p w14:paraId="00340FF2" w14:textId="7CF0E050" w:rsidR="00254BA6" w:rsidRPr="00CE599B" w:rsidRDefault="00254BA6" w:rsidP="00254BA6">
            <w:pPr>
              <w:pStyle w:val="Tabletextcentred"/>
            </w:pPr>
            <w:r w:rsidRPr="00CE599B">
              <w:t xml:space="preserve"> 3.23 </w:t>
            </w:r>
          </w:p>
        </w:tc>
        <w:tc>
          <w:tcPr>
            <w:tcW w:w="500" w:type="pct"/>
            <w:tcBorders>
              <w:top w:val="single" w:sz="4" w:space="0" w:color="4BB3B5"/>
              <w:bottom w:val="single" w:sz="4" w:space="0" w:color="4BB3B5"/>
            </w:tcBorders>
          </w:tcPr>
          <w:p w14:paraId="37055C27" w14:textId="3FDA5912" w:rsidR="00254BA6" w:rsidRPr="00CE599B" w:rsidRDefault="00254BA6" w:rsidP="00254BA6">
            <w:pPr>
              <w:pStyle w:val="Tabletextcentred"/>
            </w:pPr>
            <w:r w:rsidRPr="00CE599B">
              <w:t xml:space="preserve"> 128.16 </w:t>
            </w:r>
          </w:p>
        </w:tc>
        <w:tc>
          <w:tcPr>
            <w:tcW w:w="498" w:type="pct"/>
            <w:tcBorders>
              <w:top w:val="single" w:sz="4" w:space="0" w:color="4BB3B5"/>
              <w:bottom w:val="single" w:sz="4" w:space="0" w:color="4BB3B5"/>
            </w:tcBorders>
          </w:tcPr>
          <w:p w14:paraId="5F0CC38D" w14:textId="3697D2B1" w:rsidR="00254BA6" w:rsidRPr="00CE599B" w:rsidRDefault="00254BA6" w:rsidP="00254BA6">
            <w:pPr>
              <w:pStyle w:val="Tabletextcentred"/>
            </w:pPr>
            <w:r w:rsidRPr="00CE599B">
              <w:t xml:space="preserve"> 141.91 </w:t>
            </w:r>
          </w:p>
        </w:tc>
      </w:tr>
      <w:tr w:rsidR="00271A50" w:rsidRPr="00930D6A" w14:paraId="16AE53D2" w14:textId="38E20D5E" w:rsidTr="00254BA6">
        <w:tc>
          <w:tcPr>
            <w:tcW w:w="338" w:type="pct"/>
            <w:tcBorders>
              <w:top w:val="single" w:sz="4" w:space="0" w:color="4BB3B5"/>
              <w:bottom w:val="single" w:sz="4" w:space="0" w:color="4BB3B5"/>
            </w:tcBorders>
          </w:tcPr>
          <w:p w14:paraId="377349B9" w14:textId="77777777" w:rsidR="00271A50" w:rsidRPr="00310D3F" w:rsidRDefault="00271A50" w:rsidP="00310D3F">
            <w:pPr>
              <w:pStyle w:val="Tabletext"/>
              <w:rPr>
                <w:b/>
              </w:rPr>
            </w:pPr>
            <w:r w:rsidRPr="35E123EC">
              <w:rPr>
                <w:b/>
              </w:rPr>
              <w:t>2053</w:t>
            </w:r>
          </w:p>
        </w:tc>
        <w:tc>
          <w:tcPr>
            <w:tcW w:w="493" w:type="pct"/>
            <w:tcBorders>
              <w:top w:val="single" w:sz="4" w:space="0" w:color="4BB3B5"/>
              <w:bottom w:val="single" w:sz="4" w:space="0" w:color="4BB3B5"/>
            </w:tcBorders>
          </w:tcPr>
          <w:p w14:paraId="5CE01220" w14:textId="79BFFAED" w:rsidR="00271A50" w:rsidRPr="00930D6A" w:rsidRDefault="00254BA6" w:rsidP="00310D3F">
            <w:pPr>
              <w:pStyle w:val="Tabletextcentred"/>
            </w:pPr>
            <w:r w:rsidRPr="00F51E6E">
              <w:t xml:space="preserve"> 3.10 </w:t>
            </w:r>
          </w:p>
        </w:tc>
        <w:tc>
          <w:tcPr>
            <w:tcW w:w="601" w:type="pct"/>
            <w:tcBorders>
              <w:top w:val="single" w:sz="4" w:space="0" w:color="4BB3B5"/>
              <w:bottom w:val="single" w:sz="4" w:space="0" w:color="4BB3B5"/>
            </w:tcBorders>
          </w:tcPr>
          <w:p w14:paraId="1B244040" w14:textId="550A551A" w:rsidR="00271A50" w:rsidRPr="00930D6A" w:rsidRDefault="00254BA6" w:rsidP="00310D3F">
            <w:pPr>
              <w:pStyle w:val="Tabletextcentred"/>
            </w:pPr>
            <w:r w:rsidRPr="00F51E6E">
              <w:t xml:space="preserve"> 122.77 </w:t>
            </w:r>
          </w:p>
        </w:tc>
        <w:tc>
          <w:tcPr>
            <w:tcW w:w="598" w:type="pct"/>
            <w:tcBorders>
              <w:top w:val="single" w:sz="4" w:space="0" w:color="4BB3B5"/>
              <w:bottom w:val="single" w:sz="4" w:space="0" w:color="4BB3B5"/>
            </w:tcBorders>
          </w:tcPr>
          <w:p w14:paraId="58C19CEF" w14:textId="086F9BCB" w:rsidR="00271A50" w:rsidRPr="00930D6A" w:rsidRDefault="00254BA6" w:rsidP="00310D3F">
            <w:pPr>
              <w:pStyle w:val="Tabletextcentred"/>
            </w:pPr>
            <w:r w:rsidRPr="00F51E6E">
              <w:t xml:space="preserve"> 135.93 </w:t>
            </w:r>
          </w:p>
        </w:tc>
        <w:tc>
          <w:tcPr>
            <w:tcW w:w="487" w:type="pct"/>
            <w:tcBorders>
              <w:top w:val="single" w:sz="4" w:space="0" w:color="4BB3B5"/>
              <w:bottom w:val="single" w:sz="4" w:space="0" w:color="4BB3B5"/>
            </w:tcBorders>
          </w:tcPr>
          <w:p w14:paraId="2B714CEF" w14:textId="6100BDD2" w:rsidR="00254BA6" w:rsidRPr="005A06AF" w:rsidRDefault="00254BA6" w:rsidP="00254BA6">
            <w:pPr>
              <w:pStyle w:val="Tabletextcentred"/>
            </w:pPr>
            <w:r w:rsidRPr="005A06AF">
              <w:t xml:space="preserve"> 3.24 </w:t>
            </w:r>
          </w:p>
        </w:tc>
        <w:tc>
          <w:tcPr>
            <w:tcW w:w="500" w:type="pct"/>
            <w:tcBorders>
              <w:top w:val="single" w:sz="4" w:space="0" w:color="4BB3B5"/>
              <w:bottom w:val="single" w:sz="4" w:space="0" w:color="4BB3B5"/>
            </w:tcBorders>
          </w:tcPr>
          <w:p w14:paraId="61A3BEE0" w14:textId="747F047E" w:rsidR="00254BA6" w:rsidRPr="005A06AF" w:rsidRDefault="00254BA6" w:rsidP="00254BA6">
            <w:pPr>
              <w:pStyle w:val="Tabletextcentred"/>
            </w:pPr>
            <w:r w:rsidRPr="005A06AF">
              <w:t xml:space="preserve"> 128.29 </w:t>
            </w:r>
          </w:p>
        </w:tc>
        <w:tc>
          <w:tcPr>
            <w:tcW w:w="498" w:type="pct"/>
            <w:tcBorders>
              <w:top w:val="single" w:sz="4" w:space="0" w:color="4BB3B5"/>
              <w:bottom w:val="single" w:sz="4" w:space="0" w:color="4BB3B5"/>
            </w:tcBorders>
          </w:tcPr>
          <w:p w14:paraId="5FB39BF2" w14:textId="47DC427F" w:rsidR="00254BA6" w:rsidRPr="005A06AF" w:rsidRDefault="00254BA6" w:rsidP="00254BA6">
            <w:pPr>
              <w:pStyle w:val="Tabletextcentred"/>
            </w:pPr>
            <w:r w:rsidRPr="005A06AF">
              <w:t xml:space="preserve"> 142.05 </w:t>
            </w:r>
          </w:p>
        </w:tc>
        <w:tc>
          <w:tcPr>
            <w:tcW w:w="487" w:type="pct"/>
            <w:tcBorders>
              <w:top w:val="single" w:sz="4" w:space="0" w:color="4BB3B5"/>
              <w:bottom w:val="single" w:sz="4" w:space="0" w:color="4BB3B5"/>
            </w:tcBorders>
          </w:tcPr>
          <w:p w14:paraId="6065695B" w14:textId="797AB141" w:rsidR="00254BA6" w:rsidRPr="00CE599B" w:rsidRDefault="00254BA6" w:rsidP="00254BA6">
            <w:pPr>
              <w:pStyle w:val="Tabletextcentred"/>
            </w:pPr>
            <w:r w:rsidRPr="00CE599B">
              <w:t xml:space="preserve"> 3.26 </w:t>
            </w:r>
          </w:p>
        </w:tc>
        <w:tc>
          <w:tcPr>
            <w:tcW w:w="500" w:type="pct"/>
            <w:tcBorders>
              <w:top w:val="single" w:sz="4" w:space="0" w:color="4BB3B5"/>
              <w:bottom w:val="single" w:sz="4" w:space="0" w:color="4BB3B5"/>
            </w:tcBorders>
          </w:tcPr>
          <w:p w14:paraId="7E3864CF" w14:textId="72EF0C76" w:rsidR="00254BA6" w:rsidRPr="00CE599B" w:rsidRDefault="00254BA6" w:rsidP="00254BA6">
            <w:pPr>
              <w:pStyle w:val="Tabletextcentred"/>
            </w:pPr>
            <w:r w:rsidRPr="00CE599B">
              <w:t xml:space="preserve"> 129.30 </w:t>
            </w:r>
          </w:p>
        </w:tc>
        <w:tc>
          <w:tcPr>
            <w:tcW w:w="498" w:type="pct"/>
            <w:tcBorders>
              <w:top w:val="single" w:sz="4" w:space="0" w:color="4BB3B5"/>
              <w:bottom w:val="single" w:sz="4" w:space="0" w:color="4BB3B5"/>
            </w:tcBorders>
          </w:tcPr>
          <w:p w14:paraId="2890042A" w14:textId="57BE02D4" w:rsidR="00254BA6" w:rsidRPr="00CE599B" w:rsidRDefault="00254BA6" w:rsidP="00254BA6">
            <w:pPr>
              <w:pStyle w:val="Tabletextcentred"/>
            </w:pPr>
            <w:r w:rsidRPr="00CE599B">
              <w:t xml:space="preserve"> 143.17 </w:t>
            </w:r>
          </w:p>
        </w:tc>
      </w:tr>
      <w:tr w:rsidR="00271A50" w:rsidRPr="00930D6A" w14:paraId="36CAD9AF" w14:textId="7BC0BF0D"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8D24E58" w14:textId="77777777" w:rsidR="00271A50" w:rsidRPr="00310D3F" w:rsidRDefault="00271A50" w:rsidP="00310D3F">
            <w:pPr>
              <w:pStyle w:val="Tabletext"/>
              <w:rPr>
                <w:b/>
              </w:rPr>
            </w:pPr>
            <w:r w:rsidRPr="35E123EC">
              <w:rPr>
                <w:b/>
              </w:rPr>
              <w:t>2054</w:t>
            </w:r>
          </w:p>
        </w:tc>
        <w:tc>
          <w:tcPr>
            <w:tcW w:w="493" w:type="pct"/>
            <w:tcBorders>
              <w:top w:val="single" w:sz="4" w:space="0" w:color="4BB3B5"/>
              <w:bottom w:val="single" w:sz="4" w:space="0" w:color="4BB3B5"/>
            </w:tcBorders>
          </w:tcPr>
          <w:p w14:paraId="77146281" w14:textId="3CB869F4" w:rsidR="00271A50" w:rsidRPr="00930D6A" w:rsidRDefault="00254BA6" w:rsidP="00310D3F">
            <w:pPr>
              <w:pStyle w:val="Tabletextcentred"/>
            </w:pPr>
            <w:r w:rsidRPr="00F51E6E">
              <w:t xml:space="preserve"> 3.11 </w:t>
            </w:r>
          </w:p>
        </w:tc>
        <w:tc>
          <w:tcPr>
            <w:tcW w:w="601" w:type="pct"/>
            <w:tcBorders>
              <w:top w:val="single" w:sz="4" w:space="0" w:color="4BB3B5"/>
              <w:bottom w:val="single" w:sz="4" w:space="0" w:color="4BB3B5"/>
            </w:tcBorders>
          </w:tcPr>
          <w:p w14:paraId="6413D537" w14:textId="09C579C1" w:rsidR="00271A50" w:rsidRPr="00930D6A" w:rsidRDefault="00254BA6" w:rsidP="00310D3F">
            <w:pPr>
              <w:pStyle w:val="Tabletextcentred"/>
            </w:pPr>
            <w:r w:rsidRPr="00F51E6E">
              <w:t xml:space="preserve"> 123.30 </w:t>
            </w:r>
          </w:p>
        </w:tc>
        <w:tc>
          <w:tcPr>
            <w:tcW w:w="598" w:type="pct"/>
            <w:tcBorders>
              <w:top w:val="single" w:sz="4" w:space="0" w:color="4BB3B5"/>
              <w:bottom w:val="single" w:sz="4" w:space="0" w:color="4BB3B5"/>
            </w:tcBorders>
          </w:tcPr>
          <w:p w14:paraId="67E77D9D" w14:textId="77DC98DB" w:rsidR="00271A50" w:rsidRPr="00930D6A" w:rsidRDefault="00254BA6" w:rsidP="00310D3F">
            <w:pPr>
              <w:pStyle w:val="Tabletextcentred"/>
            </w:pPr>
            <w:r w:rsidRPr="00F51E6E">
              <w:t xml:space="preserve"> 136.52 </w:t>
            </w:r>
          </w:p>
        </w:tc>
        <w:tc>
          <w:tcPr>
            <w:tcW w:w="487" w:type="pct"/>
            <w:tcBorders>
              <w:top w:val="single" w:sz="4" w:space="0" w:color="4BB3B5"/>
              <w:bottom w:val="single" w:sz="4" w:space="0" w:color="4BB3B5"/>
            </w:tcBorders>
          </w:tcPr>
          <w:p w14:paraId="4F9AF1B6" w14:textId="67EFCB31" w:rsidR="00254BA6" w:rsidRPr="005A06AF" w:rsidRDefault="00254BA6" w:rsidP="00254BA6">
            <w:pPr>
              <w:pStyle w:val="Tabletextcentred"/>
            </w:pPr>
            <w:r w:rsidRPr="005A06AF">
              <w:t xml:space="preserve"> 3.25 </w:t>
            </w:r>
          </w:p>
        </w:tc>
        <w:tc>
          <w:tcPr>
            <w:tcW w:w="500" w:type="pct"/>
            <w:tcBorders>
              <w:top w:val="single" w:sz="4" w:space="0" w:color="4BB3B5"/>
              <w:bottom w:val="single" w:sz="4" w:space="0" w:color="4BB3B5"/>
            </w:tcBorders>
          </w:tcPr>
          <w:p w14:paraId="7DE031D6" w14:textId="7552F475" w:rsidR="00254BA6" w:rsidRPr="005A06AF" w:rsidRDefault="00254BA6" w:rsidP="00254BA6">
            <w:pPr>
              <w:pStyle w:val="Tabletextcentred"/>
            </w:pPr>
            <w:r w:rsidRPr="005A06AF">
              <w:t xml:space="preserve"> 128.85 </w:t>
            </w:r>
          </w:p>
        </w:tc>
        <w:tc>
          <w:tcPr>
            <w:tcW w:w="498" w:type="pct"/>
            <w:tcBorders>
              <w:top w:val="single" w:sz="4" w:space="0" w:color="4BB3B5"/>
              <w:bottom w:val="single" w:sz="4" w:space="0" w:color="4BB3B5"/>
            </w:tcBorders>
          </w:tcPr>
          <w:p w14:paraId="1653CB19" w14:textId="0A792EA8" w:rsidR="00254BA6" w:rsidRPr="005A06AF" w:rsidRDefault="00254BA6" w:rsidP="00254BA6">
            <w:pPr>
              <w:pStyle w:val="Tabletextcentred"/>
            </w:pPr>
            <w:r w:rsidRPr="005A06AF">
              <w:t xml:space="preserve"> 142.66 </w:t>
            </w:r>
          </w:p>
        </w:tc>
        <w:tc>
          <w:tcPr>
            <w:tcW w:w="487" w:type="pct"/>
            <w:tcBorders>
              <w:top w:val="single" w:sz="4" w:space="0" w:color="4BB3B5"/>
              <w:bottom w:val="single" w:sz="4" w:space="0" w:color="4BB3B5"/>
            </w:tcBorders>
          </w:tcPr>
          <w:p w14:paraId="304502EB" w14:textId="2F7F5183" w:rsidR="00254BA6" w:rsidRPr="00CE599B" w:rsidRDefault="00254BA6" w:rsidP="00254BA6">
            <w:pPr>
              <w:pStyle w:val="Tabletextcentred"/>
            </w:pPr>
            <w:r w:rsidRPr="00CE599B">
              <w:t xml:space="preserve"> 3.28 </w:t>
            </w:r>
          </w:p>
        </w:tc>
        <w:tc>
          <w:tcPr>
            <w:tcW w:w="500" w:type="pct"/>
            <w:tcBorders>
              <w:top w:val="single" w:sz="4" w:space="0" w:color="4BB3B5"/>
              <w:bottom w:val="single" w:sz="4" w:space="0" w:color="4BB3B5"/>
            </w:tcBorders>
          </w:tcPr>
          <w:p w14:paraId="168F0B70" w14:textId="4266E7E8" w:rsidR="00254BA6" w:rsidRPr="00CE599B" w:rsidRDefault="00254BA6" w:rsidP="00254BA6">
            <w:pPr>
              <w:pStyle w:val="Tabletextcentred"/>
            </w:pPr>
            <w:r w:rsidRPr="00CE599B">
              <w:t xml:space="preserve"> 129.94 </w:t>
            </w:r>
          </w:p>
        </w:tc>
        <w:tc>
          <w:tcPr>
            <w:tcW w:w="498" w:type="pct"/>
            <w:tcBorders>
              <w:top w:val="single" w:sz="4" w:space="0" w:color="4BB3B5"/>
              <w:bottom w:val="single" w:sz="4" w:space="0" w:color="4BB3B5"/>
            </w:tcBorders>
          </w:tcPr>
          <w:p w14:paraId="028EB81D" w14:textId="00DB768B" w:rsidR="00254BA6" w:rsidRPr="00CE599B" w:rsidRDefault="00254BA6" w:rsidP="00254BA6">
            <w:pPr>
              <w:pStyle w:val="Tabletextcentred"/>
            </w:pPr>
            <w:r w:rsidRPr="00CE599B">
              <w:t xml:space="preserve"> 143.88 </w:t>
            </w:r>
          </w:p>
        </w:tc>
      </w:tr>
      <w:tr w:rsidR="00271A50" w:rsidRPr="00930D6A" w14:paraId="45E55E96" w14:textId="1DC29290" w:rsidTr="00254BA6">
        <w:tc>
          <w:tcPr>
            <w:tcW w:w="338" w:type="pct"/>
            <w:tcBorders>
              <w:top w:val="single" w:sz="4" w:space="0" w:color="4BB3B5"/>
              <w:bottom w:val="single" w:sz="4" w:space="0" w:color="4BB3B5"/>
            </w:tcBorders>
          </w:tcPr>
          <w:p w14:paraId="1F0DECC3" w14:textId="77777777" w:rsidR="00271A50" w:rsidRPr="00310D3F" w:rsidRDefault="00271A50" w:rsidP="00310D3F">
            <w:pPr>
              <w:pStyle w:val="Tabletext"/>
              <w:rPr>
                <w:b/>
              </w:rPr>
            </w:pPr>
            <w:r w:rsidRPr="35E123EC">
              <w:rPr>
                <w:b/>
              </w:rPr>
              <w:t>2055</w:t>
            </w:r>
          </w:p>
        </w:tc>
        <w:tc>
          <w:tcPr>
            <w:tcW w:w="493" w:type="pct"/>
            <w:tcBorders>
              <w:top w:val="single" w:sz="4" w:space="0" w:color="4BB3B5"/>
              <w:bottom w:val="single" w:sz="4" w:space="0" w:color="4BB3B5"/>
            </w:tcBorders>
          </w:tcPr>
          <w:p w14:paraId="7440B4AD" w14:textId="64E10F27" w:rsidR="00271A50" w:rsidRPr="00930D6A" w:rsidRDefault="00254BA6" w:rsidP="00310D3F">
            <w:pPr>
              <w:pStyle w:val="Tabletextcentred"/>
            </w:pPr>
            <w:r w:rsidRPr="00F51E6E">
              <w:t xml:space="preserve"> 3.11 </w:t>
            </w:r>
          </w:p>
        </w:tc>
        <w:tc>
          <w:tcPr>
            <w:tcW w:w="601" w:type="pct"/>
            <w:tcBorders>
              <w:top w:val="single" w:sz="4" w:space="0" w:color="4BB3B5"/>
              <w:bottom w:val="single" w:sz="4" w:space="0" w:color="4BB3B5"/>
            </w:tcBorders>
          </w:tcPr>
          <w:p w14:paraId="716047C2" w14:textId="290F4647" w:rsidR="00271A50" w:rsidRPr="00930D6A" w:rsidRDefault="00254BA6" w:rsidP="00310D3F">
            <w:pPr>
              <w:pStyle w:val="Tabletextcentred"/>
            </w:pPr>
            <w:r w:rsidRPr="00F51E6E">
              <w:t xml:space="preserve"> 123.34 </w:t>
            </w:r>
          </w:p>
        </w:tc>
        <w:tc>
          <w:tcPr>
            <w:tcW w:w="598" w:type="pct"/>
            <w:tcBorders>
              <w:top w:val="single" w:sz="4" w:space="0" w:color="4BB3B5"/>
              <w:bottom w:val="single" w:sz="4" w:space="0" w:color="4BB3B5"/>
            </w:tcBorders>
          </w:tcPr>
          <w:p w14:paraId="15ADC182" w14:textId="4A07D5FA" w:rsidR="00271A50" w:rsidRPr="00930D6A" w:rsidRDefault="00254BA6" w:rsidP="00310D3F">
            <w:pPr>
              <w:pStyle w:val="Tabletextcentred"/>
            </w:pPr>
            <w:r w:rsidRPr="00F51E6E">
              <w:t xml:space="preserve"> 136.57 </w:t>
            </w:r>
          </w:p>
        </w:tc>
        <w:tc>
          <w:tcPr>
            <w:tcW w:w="487" w:type="pct"/>
            <w:tcBorders>
              <w:top w:val="single" w:sz="4" w:space="0" w:color="4BB3B5"/>
              <w:bottom w:val="single" w:sz="4" w:space="0" w:color="4BB3B5"/>
            </w:tcBorders>
          </w:tcPr>
          <w:p w14:paraId="611831CE" w14:textId="65FFAA23" w:rsidR="00254BA6" w:rsidRPr="005A06AF" w:rsidRDefault="00254BA6" w:rsidP="00254BA6">
            <w:pPr>
              <w:pStyle w:val="Tabletextcentred"/>
            </w:pPr>
            <w:r w:rsidRPr="005A06AF">
              <w:t xml:space="preserve"> 3.25 </w:t>
            </w:r>
          </w:p>
        </w:tc>
        <w:tc>
          <w:tcPr>
            <w:tcW w:w="500" w:type="pct"/>
            <w:tcBorders>
              <w:top w:val="single" w:sz="4" w:space="0" w:color="4BB3B5"/>
              <w:bottom w:val="single" w:sz="4" w:space="0" w:color="4BB3B5"/>
            </w:tcBorders>
          </w:tcPr>
          <w:p w14:paraId="28958B9E" w14:textId="1C2EE904" w:rsidR="00254BA6" w:rsidRPr="005A06AF" w:rsidRDefault="00254BA6" w:rsidP="00254BA6">
            <w:pPr>
              <w:pStyle w:val="Tabletextcentred"/>
            </w:pPr>
            <w:r w:rsidRPr="005A06AF">
              <w:t xml:space="preserve"> 128.89 </w:t>
            </w:r>
          </w:p>
        </w:tc>
        <w:tc>
          <w:tcPr>
            <w:tcW w:w="498" w:type="pct"/>
            <w:tcBorders>
              <w:top w:val="single" w:sz="4" w:space="0" w:color="4BB3B5"/>
              <w:bottom w:val="single" w:sz="4" w:space="0" w:color="4BB3B5"/>
            </w:tcBorders>
          </w:tcPr>
          <w:p w14:paraId="728CB03D" w14:textId="4EAE124C" w:rsidR="00254BA6" w:rsidRPr="005A06AF" w:rsidRDefault="00254BA6" w:rsidP="00254BA6">
            <w:pPr>
              <w:pStyle w:val="Tabletextcentred"/>
            </w:pPr>
            <w:r w:rsidRPr="005A06AF">
              <w:t xml:space="preserve"> 142.72 </w:t>
            </w:r>
          </w:p>
        </w:tc>
        <w:tc>
          <w:tcPr>
            <w:tcW w:w="487" w:type="pct"/>
            <w:tcBorders>
              <w:top w:val="single" w:sz="4" w:space="0" w:color="4BB3B5"/>
              <w:bottom w:val="single" w:sz="4" w:space="0" w:color="4BB3B5"/>
            </w:tcBorders>
          </w:tcPr>
          <w:p w14:paraId="0DF5F3EB" w14:textId="7E5F5C01" w:rsidR="00254BA6" w:rsidRPr="00CE599B" w:rsidRDefault="00254BA6" w:rsidP="00254BA6">
            <w:pPr>
              <w:pStyle w:val="Tabletextcentred"/>
            </w:pPr>
            <w:r w:rsidRPr="00CE599B">
              <w:t xml:space="preserve"> 3.28 </w:t>
            </w:r>
          </w:p>
        </w:tc>
        <w:tc>
          <w:tcPr>
            <w:tcW w:w="500" w:type="pct"/>
            <w:tcBorders>
              <w:top w:val="single" w:sz="4" w:space="0" w:color="4BB3B5"/>
              <w:bottom w:val="single" w:sz="4" w:space="0" w:color="4BB3B5"/>
            </w:tcBorders>
          </w:tcPr>
          <w:p w14:paraId="1CD1949F" w14:textId="2B598455" w:rsidR="00254BA6" w:rsidRPr="00CE599B" w:rsidRDefault="00254BA6" w:rsidP="00254BA6">
            <w:pPr>
              <w:pStyle w:val="Tabletextcentred"/>
            </w:pPr>
            <w:r w:rsidRPr="00CE599B">
              <w:t xml:space="preserve"> 130.10 </w:t>
            </w:r>
          </w:p>
        </w:tc>
        <w:tc>
          <w:tcPr>
            <w:tcW w:w="498" w:type="pct"/>
            <w:tcBorders>
              <w:top w:val="single" w:sz="4" w:space="0" w:color="4BB3B5"/>
              <w:bottom w:val="single" w:sz="4" w:space="0" w:color="4BB3B5"/>
            </w:tcBorders>
          </w:tcPr>
          <w:p w14:paraId="14F16C91" w14:textId="24367A89" w:rsidR="00254BA6" w:rsidRPr="00CE599B" w:rsidRDefault="00254BA6" w:rsidP="00254BA6">
            <w:pPr>
              <w:pStyle w:val="Tabletextcentred"/>
            </w:pPr>
            <w:r w:rsidRPr="00CE599B">
              <w:t xml:space="preserve"> 144.05 </w:t>
            </w:r>
          </w:p>
        </w:tc>
      </w:tr>
      <w:tr w:rsidR="00271A50" w:rsidRPr="00930D6A" w14:paraId="633D1724" w14:textId="5D958063"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0B6A697A" w14:textId="77777777" w:rsidR="00271A50" w:rsidRPr="00310D3F" w:rsidRDefault="00271A50" w:rsidP="00310D3F">
            <w:pPr>
              <w:pStyle w:val="Tabletext"/>
              <w:rPr>
                <w:b/>
              </w:rPr>
            </w:pPr>
            <w:r w:rsidRPr="35E123EC">
              <w:rPr>
                <w:b/>
              </w:rPr>
              <w:t>2056</w:t>
            </w:r>
          </w:p>
        </w:tc>
        <w:tc>
          <w:tcPr>
            <w:tcW w:w="493" w:type="pct"/>
            <w:tcBorders>
              <w:top w:val="single" w:sz="4" w:space="0" w:color="4BB3B5"/>
              <w:bottom w:val="single" w:sz="4" w:space="0" w:color="4BB3B5"/>
            </w:tcBorders>
          </w:tcPr>
          <w:p w14:paraId="0C5D1DA7" w14:textId="29A8BCE6" w:rsidR="00271A50" w:rsidRPr="00930D6A" w:rsidRDefault="00254BA6" w:rsidP="00310D3F">
            <w:pPr>
              <w:pStyle w:val="Tabletextcentred"/>
            </w:pPr>
            <w:r w:rsidRPr="00F51E6E">
              <w:t xml:space="preserve"> 3.10 </w:t>
            </w:r>
          </w:p>
        </w:tc>
        <w:tc>
          <w:tcPr>
            <w:tcW w:w="601" w:type="pct"/>
            <w:tcBorders>
              <w:top w:val="single" w:sz="4" w:space="0" w:color="4BB3B5"/>
              <w:bottom w:val="single" w:sz="4" w:space="0" w:color="4BB3B5"/>
            </w:tcBorders>
          </w:tcPr>
          <w:p w14:paraId="6B474936" w14:textId="49639EAB" w:rsidR="00271A50" w:rsidRPr="00930D6A" w:rsidRDefault="00254BA6" w:rsidP="00310D3F">
            <w:pPr>
              <w:pStyle w:val="Tabletextcentred"/>
            </w:pPr>
            <w:r w:rsidRPr="00F51E6E">
              <w:t xml:space="preserve"> 122.86 </w:t>
            </w:r>
          </w:p>
        </w:tc>
        <w:tc>
          <w:tcPr>
            <w:tcW w:w="598" w:type="pct"/>
            <w:tcBorders>
              <w:top w:val="single" w:sz="4" w:space="0" w:color="4BB3B5"/>
              <w:bottom w:val="single" w:sz="4" w:space="0" w:color="4BB3B5"/>
            </w:tcBorders>
          </w:tcPr>
          <w:p w14:paraId="28D089A4" w14:textId="0DCADB2B" w:rsidR="00271A50" w:rsidRPr="00930D6A" w:rsidRDefault="00254BA6" w:rsidP="00310D3F">
            <w:pPr>
              <w:pStyle w:val="Tabletextcentred"/>
            </w:pPr>
            <w:r w:rsidRPr="00F51E6E">
              <w:t xml:space="preserve"> 136.04 </w:t>
            </w:r>
          </w:p>
        </w:tc>
        <w:tc>
          <w:tcPr>
            <w:tcW w:w="487" w:type="pct"/>
            <w:tcBorders>
              <w:top w:val="single" w:sz="4" w:space="0" w:color="4BB3B5"/>
              <w:bottom w:val="single" w:sz="4" w:space="0" w:color="4BB3B5"/>
            </w:tcBorders>
          </w:tcPr>
          <w:p w14:paraId="701E0704" w14:textId="0700D145" w:rsidR="00254BA6" w:rsidRPr="005A06AF" w:rsidRDefault="00254BA6" w:rsidP="00254BA6">
            <w:pPr>
              <w:pStyle w:val="Tabletextcentred"/>
            </w:pPr>
            <w:r w:rsidRPr="005A06AF">
              <w:t xml:space="preserve"> 3.24 </w:t>
            </w:r>
          </w:p>
        </w:tc>
        <w:tc>
          <w:tcPr>
            <w:tcW w:w="500" w:type="pct"/>
            <w:tcBorders>
              <w:top w:val="single" w:sz="4" w:space="0" w:color="4BB3B5"/>
              <w:bottom w:val="single" w:sz="4" w:space="0" w:color="4BB3B5"/>
            </w:tcBorders>
          </w:tcPr>
          <w:p w14:paraId="5DF1122F" w14:textId="4568E782" w:rsidR="00254BA6" w:rsidRPr="005A06AF" w:rsidRDefault="00254BA6" w:rsidP="00254BA6">
            <w:pPr>
              <w:pStyle w:val="Tabletextcentred"/>
            </w:pPr>
            <w:r w:rsidRPr="005A06AF">
              <w:t xml:space="preserve"> 128.39 </w:t>
            </w:r>
          </w:p>
        </w:tc>
        <w:tc>
          <w:tcPr>
            <w:tcW w:w="498" w:type="pct"/>
            <w:tcBorders>
              <w:top w:val="single" w:sz="4" w:space="0" w:color="4BB3B5"/>
              <w:bottom w:val="single" w:sz="4" w:space="0" w:color="4BB3B5"/>
            </w:tcBorders>
          </w:tcPr>
          <w:p w14:paraId="04C0385F" w14:textId="64863CD7" w:rsidR="00254BA6" w:rsidRPr="005A06AF" w:rsidRDefault="00254BA6" w:rsidP="00254BA6">
            <w:pPr>
              <w:pStyle w:val="Tabletextcentred"/>
            </w:pPr>
            <w:r w:rsidRPr="005A06AF">
              <w:t xml:space="preserve"> 142.16 </w:t>
            </w:r>
          </w:p>
        </w:tc>
        <w:tc>
          <w:tcPr>
            <w:tcW w:w="487" w:type="pct"/>
            <w:tcBorders>
              <w:top w:val="single" w:sz="4" w:space="0" w:color="4BB3B5"/>
              <w:bottom w:val="single" w:sz="4" w:space="0" w:color="4BB3B5"/>
            </w:tcBorders>
          </w:tcPr>
          <w:p w14:paraId="1D6DFA7C" w14:textId="5907A273" w:rsidR="00254BA6" w:rsidRPr="00CE599B" w:rsidRDefault="00254BA6" w:rsidP="00254BA6">
            <w:pPr>
              <w:pStyle w:val="Tabletextcentred"/>
            </w:pPr>
            <w:r w:rsidRPr="00CE599B">
              <w:t xml:space="preserve"> 3.27 </w:t>
            </w:r>
          </w:p>
        </w:tc>
        <w:tc>
          <w:tcPr>
            <w:tcW w:w="500" w:type="pct"/>
            <w:tcBorders>
              <w:top w:val="single" w:sz="4" w:space="0" w:color="4BB3B5"/>
              <w:bottom w:val="single" w:sz="4" w:space="0" w:color="4BB3B5"/>
            </w:tcBorders>
          </w:tcPr>
          <w:p w14:paraId="4871EE77" w14:textId="14EFF6F6" w:rsidR="00254BA6" w:rsidRPr="00CE599B" w:rsidRDefault="00254BA6" w:rsidP="00254BA6">
            <w:pPr>
              <w:pStyle w:val="Tabletextcentred"/>
            </w:pPr>
            <w:r w:rsidRPr="00CE599B">
              <w:t xml:space="preserve"> 129.72 </w:t>
            </w:r>
          </w:p>
        </w:tc>
        <w:tc>
          <w:tcPr>
            <w:tcW w:w="498" w:type="pct"/>
            <w:tcBorders>
              <w:top w:val="single" w:sz="4" w:space="0" w:color="4BB3B5"/>
              <w:bottom w:val="single" w:sz="4" w:space="0" w:color="4BB3B5"/>
            </w:tcBorders>
          </w:tcPr>
          <w:p w14:paraId="24A7A604" w14:textId="54E20565" w:rsidR="00254BA6" w:rsidRPr="00CE599B" w:rsidRDefault="00254BA6" w:rsidP="00254BA6">
            <w:pPr>
              <w:pStyle w:val="Tabletextcentred"/>
            </w:pPr>
            <w:r w:rsidRPr="00CE599B">
              <w:t xml:space="preserve"> 143.63 </w:t>
            </w:r>
          </w:p>
        </w:tc>
      </w:tr>
      <w:tr w:rsidR="00271A50" w:rsidRPr="00930D6A" w14:paraId="2C5D1432" w14:textId="7C65B1BF" w:rsidTr="00254BA6">
        <w:tc>
          <w:tcPr>
            <w:tcW w:w="338" w:type="pct"/>
            <w:tcBorders>
              <w:top w:val="single" w:sz="4" w:space="0" w:color="4BB3B5"/>
              <w:bottom w:val="single" w:sz="4" w:space="0" w:color="4BB3B5"/>
            </w:tcBorders>
          </w:tcPr>
          <w:p w14:paraId="39ADB39E" w14:textId="77777777" w:rsidR="00271A50" w:rsidRPr="00310D3F" w:rsidRDefault="00271A50" w:rsidP="00310D3F">
            <w:pPr>
              <w:pStyle w:val="Tabletext"/>
              <w:rPr>
                <w:b/>
              </w:rPr>
            </w:pPr>
            <w:r w:rsidRPr="35E123EC">
              <w:rPr>
                <w:b/>
              </w:rPr>
              <w:t>2057</w:t>
            </w:r>
          </w:p>
        </w:tc>
        <w:tc>
          <w:tcPr>
            <w:tcW w:w="493" w:type="pct"/>
            <w:tcBorders>
              <w:top w:val="single" w:sz="4" w:space="0" w:color="4BB3B5"/>
              <w:bottom w:val="single" w:sz="4" w:space="0" w:color="4BB3B5"/>
            </w:tcBorders>
          </w:tcPr>
          <w:p w14:paraId="57D091AF" w14:textId="3A46BA51" w:rsidR="00271A50" w:rsidRPr="00930D6A" w:rsidRDefault="00254BA6" w:rsidP="00310D3F">
            <w:pPr>
              <w:pStyle w:val="Tabletextcentred"/>
            </w:pPr>
            <w:r w:rsidRPr="00F51E6E">
              <w:t xml:space="preserve"> 3.08 </w:t>
            </w:r>
          </w:p>
        </w:tc>
        <w:tc>
          <w:tcPr>
            <w:tcW w:w="601" w:type="pct"/>
            <w:tcBorders>
              <w:top w:val="single" w:sz="4" w:space="0" w:color="4BB3B5"/>
              <w:bottom w:val="single" w:sz="4" w:space="0" w:color="4BB3B5"/>
            </w:tcBorders>
          </w:tcPr>
          <w:p w14:paraId="7771C5E1" w14:textId="46668A05" w:rsidR="00271A50" w:rsidRPr="00930D6A" w:rsidRDefault="00254BA6" w:rsidP="00310D3F">
            <w:pPr>
              <w:pStyle w:val="Tabletextcentred"/>
            </w:pPr>
            <w:r w:rsidRPr="00F51E6E">
              <w:t xml:space="preserve"> 121.87 </w:t>
            </w:r>
          </w:p>
        </w:tc>
        <w:tc>
          <w:tcPr>
            <w:tcW w:w="598" w:type="pct"/>
            <w:tcBorders>
              <w:top w:val="single" w:sz="4" w:space="0" w:color="4BB3B5"/>
              <w:bottom w:val="single" w:sz="4" w:space="0" w:color="4BB3B5"/>
            </w:tcBorders>
          </w:tcPr>
          <w:p w14:paraId="62C14ABD" w14:textId="66C9BE6D" w:rsidR="00271A50" w:rsidRPr="00930D6A" w:rsidRDefault="00254BA6" w:rsidP="00310D3F">
            <w:pPr>
              <w:pStyle w:val="Tabletextcentred"/>
            </w:pPr>
            <w:r w:rsidRPr="00F51E6E">
              <w:t xml:space="preserve"> 134.94 </w:t>
            </w:r>
          </w:p>
        </w:tc>
        <w:tc>
          <w:tcPr>
            <w:tcW w:w="487" w:type="pct"/>
            <w:tcBorders>
              <w:top w:val="single" w:sz="4" w:space="0" w:color="4BB3B5"/>
              <w:bottom w:val="single" w:sz="4" w:space="0" w:color="4BB3B5"/>
            </w:tcBorders>
          </w:tcPr>
          <w:p w14:paraId="2DD9C889" w14:textId="0CD90369" w:rsidR="00254BA6" w:rsidRPr="005A06AF" w:rsidRDefault="00254BA6" w:rsidP="00254BA6">
            <w:pPr>
              <w:pStyle w:val="Tabletextcentred"/>
            </w:pPr>
            <w:r w:rsidRPr="005A06AF">
              <w:t xml:space="preserve"> 3.21 </w:t>
            </w:r>
          </w:p>
        </w:tc>
        <w:tc>
          <w:tcPr>
            <w:tcW w:w="500" w:type="pct"/>
            <w:tcBorders>
              <w:top w:val="single" w:sz="4" w:space="0" w:color="4BB3B5"/>
              <w:bottom w:val="single" w:sz="4" w:space="0" w:color="4BB3B5"/>
            </w:tcBorders>
          </w:tcPr>
          <w:p w14:paraId="62507CA3" w14:textId="7C649DEB" w:rsidR="00254BA6" w:rsidRPr="005A06AF" w:rsidRDefault="00254BA6" w:rsidP="00254BA6">
            <w:pPr>
              <w:pStyle w:val="Tabletextcentred"/>
            </w:pPr>
            <w:r w:rsidRPr="005A06AF">
              <w:t xml:space="preserve"> 127.36 </w:t>
            </w:r>
          </w:p>
        </w:tc>
        <w:tc>
          <w:tcPr>
            <w:tcW w:w="498" w:type="pct"/>
            <w:tcBorders>
              <w:top w:val="single" w:sz="4" w:space="0" w:color="4BB3B5"/>
              <w:bottom w:val="single" w:sz="4" w:space="0" w:color="4BB3B5"/>
            </w:tcBorders>
          </w:tcPr>
          <w:p w14:paraId="1F797192" w14:textId="3B0B4B37" w:rsidR="00254BA6" w:rsidRPr="005A06AF" w:rsidRDefault="00254BA6" w:rsidP="00254BA6">
            <w:pPr>
              <w:pStyle w:val="Tabletextcentred"/>
            </w:pPr>
            <w:r w:rsidRPr="005A06AF">
              <w:t xml:space="preserve"> 141.02 </w:t>
            </w:r>
          </w:p>
        </w:tc>
        <w:tc>
          <w:tcPr>
            <w:tcW w:w="487" w:type="pct"/>
            <w:tcBorders>
              <w:top w:val="single" w:sz="4" w:space="0" w:color="4BB3B5"/>
              <w:bottom w:val="single" w:sz="4" w:space="0" w:color="4BB3B5"/>
            </w:tcBorders>
          </w:tcPr>
          <w:p w14:paraId="5571F7A6" w14:textId="7DF5DF36" w:rsidR="00254BA6" w:rsidRPr="00CE599B" w:rsidRDefault="00254BA6" w:rsidP="00254BA6">
            <w:pPr>
              <w:pStyle w:val="Tabletextcentred"/>
            </w:pPr>
            <w:r w:rsidRPr="00CE599B">
              <w:t xml:space="preserve"> 3.25 </w:t>
            </w:r>
          </w:p>
        </w:tc>
        <w:tc>
          <w:tcPr>
            <w:tcW w:w="500" w:type="pct"/>
            <w:tcBorders>
              <w:top w:val="single" w:sz="4" w:space="0" w:color="4BB3B5"/>
              <w:bottom w:val="single" w:sz="4" w:space="0" w:color="4BB3B5"/>
            </w:tcBorders>
          </w:tcPr>
          <w:p w14:paraId="4951AE43" w14:textId="5C810D8E" w:rsidR="00254BA6" w:rsidRPr="00CE599B" w:rsidRDefault="00254BA6" w:rsidP="00254BA6">
            <w:pPr>
              <w:pStyle w:val="Tabletextcentred"/>
            </w:pPr>
            <w:r w:rsidRPr="00CE599B">
              <w:t xml:space="preserve"> 128.80 </w:t>
            </w:r>
          </w:p>
        </w:tc>
        <w:tc>
          <w:tcPr>
            <w:tcW w:w="498" w:type="pct"/>
            <w:tcBorders>
              <w:top w:val="single" w:sz="4" w:space="0" w:color="4BB3B5"/>
              <w:bottom w:val="single" w:sz="4" w:space="0" w:color="4BB3B5"/>
            </w:tcBorders>
          </w:tcPr>
          <w:p w14:paraId="5899E888" w14:textId="5DF1F300" w:rsidR="00254BA6" w:rsidRPr="00CE599B" w:rsidRDefault="00254BA6" w:rsidP="00254BA6">
            <w:pPr>
              <w:pStyle w:val="Tabletextcentred"/>
            </w:pPr>
            <w:r w:rsidRPr="00CE599B">
              <w:t xml:space="preserve"> 142.61 </w:t>
            </w:r>
          </w:p>
        </w:tc>
      </w:tr>
      <w:tr w:rsidR="00271A50" w:rsidRPr="00930D6A" w14:paraId="1F843E65" w14:textId="6DE46187"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09DC8C59" w14:textId="77777777" w:rsidR="00271A50" w:rsidRPr="00310D3F" w:rsidRDefault="00271A50" w:rsidP="00310D3F">
            <w:pPr>
              <w:pStyle w:val="Tabletext"/>
              <w:rPr>
                <w:b/>
              </w:rPr>
            </w:pPr>
            <w:r w:rsidRPr="35E123EC">
              <w:rPr>
                <w:b/>
              </w:rPr>
              <w:t>2058</w:t>
            </w:r>
          </w:p>
        </w:tc>
        <w:tc>
          <w:tcPr>
            <w:tcW w:w="493" w:type="pct"/>
            <w:tcBorders>
              <w:top w:val="single" w:sz="4" w:space="0" w:color="4BB3B5"/>
              <w:bottom w:val="single" w:sz="4" w:space="0" w:color="4BB3B5"/>
            </w:tcBorders>
          </w:tcPr>
          <w:p w14:paraId="6D00DF10" w14:textId="649B48EB" w:rsidR="00271A50" w:rsidRPr="00930D6A" w:rsidRDefault="00254BA6" w:rsidP="00310D3F">
            <w:pPr>
              <w:pStyle w:val="Tabletextcentred"/>
            </w:pPr>
            <w:r w:rsidRPr="00F51E6E">
              <w:t xml:space="preserve"> 3.04 </w:t>
            </w:r>
          </w:p>
        </w:tc>
        <w:tc>
          <w:tcPr>
            <w:tcW w:w="601" w:type="pct"/>
            <w:tcBorders>
              <w:top w:val="single" w:sz="4" w:space="0" w:color="4BB3B5"/>
              <w:bottom w:val="single" w:sz="4" w:space="0" w:color="4BB3B5"/>
            </w:tcBorders>
          </w:tcPr>
          <w:p w14:paraId="557A5382" w14:textId="344939BC" w:rsidR="00271A50" w:rsidRPr="00930D6A" w:rsidRDefault="00254BA6" w:rsidP="00310D3F">
            <w:pPr>
              <w:pStyle w:val="Tabletextcentred"/>
            </w:pPr>
            <w:r w:rsidRPr="00F51E6E">
              <w:t xml:space="preserve"> 120.42 </w:t>
            </w:r>
          </w:p>
        </w:tc>
        <w:tc>
          <w:tcPr>
            <w:tcW w:w="598" w:type="pct"/>
            <w:tcBorders>
              <w:top w:val="single" w:sz="4" w:space="0" w:color="4BB3B5"/>
              <w:bottom w:val="single" w:sz="4" w:space="0" w:color="4BB3B5"/>
            </w:tcBorders>
          </w:tcPr>
          <w:p w14:paraId="50E2953E" w14:textId="7838BD61" w:rsidR="00271A50" w:rsidRPr="00930D6A" w:rsidRDefault="00254BA6" w:rsidP="00310D3F">
            <w:pPr>
              <w:pStyle w:val="Tabletextcentred"/>
            </w:pPr>
            <w:r w:rsidRPr="00F51E6E">
              <w:t xml:space="preserve"> 133.33 </w:t>
            </w:r>
          </w:p>
        </w:tc>
        <w:tc>
          <w:tcPr>
            <w:tcW w:w="487" w:type="pct"/>
            <w:tcBorders>
              <w:top w:val="single" w:sz="4" w:space="0" w:color="4BB3B5"/>
              <w:bottom w:val="single" w:sz="4" w:space="0" w:color="4BB3B5"/>
            </w:tcBorders>
          </w:tcPr>
          <w:p w14:paraId="48314516" w14:textId="3B5146C9" w:rsidR="00254BA6" w:rsidRPr="005A06AF" w:rsidRDefault="00254BA6" w:rsidP="00254BA6">
            <w:pPr>
              <w:pStyle w:val="Tabletextcentred"/>
            </w:pPr>
            <w:r w:rsidRPr="005A06AF">
              <w:t xml:space="preserve"> 3.18 </w:t>
            </w:r>
          </w:p>
        </w:tc>
        <w:tc>
          <w:tcPr>
            <w:tcW w:w="500" w:type="pct"/>
            <w:tcBorders>
              <w:top w:val="single" w:sz="4" w:space="0" w:color="4BB3B5"/>
              <w:bottom w:val="single" w:sz="4" w:space="0" w:color="4BB3B5"/>
            </w:tcBorders>
          </w:tcPr>
          <w:p w14:paraId="1B21BD38" w14:textId="381563A3" w:rsidR="00254BA6" w:rsidRPr="005A06AF" w:rsidRDefault="00254BA6" w:rsidP="00254BA6">
            <w:pPr>
              <w:pStyle w:val="Tabletextcentred"/>
            </w:pPr>
            <w:r w:rsidRPr="005A06AF">
              <w:t xml:space="preserve"> 125.83 </w:t>
            </w:r>
          </w:p>
        </w:tc>
        <w:tc>
          <w:tcPr>
            <w:tcW w:w="498" w:type="pct"/>
            <w:tcBorders>
              <w:top w:val="single" w:sz="4" w:space="0" w:color="4BB3B5"/>
              <w:bottom w:val="single" w:sz="4" w:space="0" w:color="4BB3B5"/>
            </w:tcBorders>
          </w:tcPr>
          <w:p w14:paraId="592B5513" w14:textId="279C3D28" w:rsidR="00254BA6" w:rsidRPr="005A06AF" w:rsidRDefault="00254BA6" w:rsidP="00254BA6">
            <w:pPr>
              <w:pStyle w:val="Tabletextcentred"/>
            </w:pPr>
            <w:r w:rsidRPr="005A06AF">
              <w:t xml:space="preserve"> 139.33 </w:t>
            </w:r>
          </w:p>
        </w:tc>
        <w:tc>
          <w:tcPr>
            <w:tcW w:w="487" w:type="pct"/>
            <w:tcBorders>
              <w:top w:val="single" w:sz="4" w:space="0" w:color="4BB3B5"/>
              <w:bottom w:val="single" w:sz="4" w:space="0" w:color="4BB3B5"/>
            </w:tcBorders>
          </w:tcPr>
          <w:p w14:paraId="1FE8A7A6" w14:textId="26042EDA" w:rsidR="00254BA6" w:rsidRPr="00CE599B" w:rsidRDefault="00254BA6" w:rsidP="00254BA6">
            <w:pPr>
              <w:pStyle w:val="Tabletextcentred"/>
            </w:pPr>
            <w:r w:rsidRPr="00CE599B">
              <w:t xml:space="preserve"> 3.21 </w:t>
            </w:r>
          </w:p>
        </w:tc>
        <w:tc>
          <w:tcPr>
            <w:tcW w:w="500" w:type="pct"/>
            <w:tcBorders>
              <w:top w:val="single" w:sz="4" w:space="0" w:color="4BB3B5"/>
              <w:bottom w:val="single" w:sz="4" w:space="0" w:color="4BB3B5"/>
            </w:tcBorders>
          </w:tcPr>
          <w:p w14:paraId="37EC7B6C" w14:textId="09863199" w:rsidR="00254BA6" w:rsidRPr="00CE599B" w:rsidRDefault="00254BA6" w:rsidP="00254BA6">
            <w:pPr>
              <w:pStyle w:val="Tabletextcentred"/>
            </w:pPr>
            <w:r w:rsidRPr="00CE599B">
              <w:t xml:space="preserve"> 127.35 </w:t>
            </w:r>
          </w:p>
        </w:tc>
        <w:tc>
          <w:tcPr>
            <w:tcW w:w="498" w:type="pct"/>
            <w:tcBorders>
              <w:top w:val="single" w:sz="4" w:space="0" w:color="4BB3B5"/>
              <w:bottom w:val="single" w:sz="4" w:space="0" w:color="4BB3B5"/>
            </w:tcBorders>
          </w:tcPr>
          <w:p w14:paraId="102A458C" w14:textId="7C296A3C" w:rsidR="00254BA6" w:rsidRPr="00CE599B" w:rsidRDefault="00254BA6" w:rsidP="00254BA6">
            <w:pPr>
              <w:pStyle w:val="Tabletextcentred"/>
            </w:pPr>
            <w:r w:rsidRPr="00CE599B">
              <w:t xml:space="preserve"> 141.01 </w:t>
            </w:r>
          </w:p>
        </w:tc>
      </w:tr>
      <w:tr w:rsidR="00271A50" w:rsidRPr="00930D6A" w14:paraId="22D029CE" w14:textId="4F972177" w:rsidTr="00254BA6">
        <w:tc>
          <w:tcPr>
            <w:tcW w:w="338" w:type="pct"/>
            <w:tcBorders>
              <w:top w:val="single" w:sz="4" w:space="0" w:color="4BB3B5"/>
              <w:bottom w:val="single" w:sz="4" w:space="0" w:color="4BB3B5"/>
            </w:tcBorders>
          </w:tcPr>
          <w:p w14:paraId="2F5A7E7C" w14:textId="77777777" w:rsidR="00271A50" w:rsidRPr="00310D3F" w:rsidRDefault="00271A50" w:rsidP="00310D3F">
            <w:pPr>
              <w:pStyle w:val="Tabletext"/>
              <w:rPr>
                <w:b/>
              </w:rPr>
            </w:pPr>
            <w:r w:rsidRPr="35E123EC">
              <w:rPr>
                <w:b/>
              </w:rPr>
              <w:t>2059</w:t>
            </w:r>
          </w:p>
        </w:tc>
        <w:tc>
          <w:tcPr>
            <w:tcW w:w="493" w:type="pct"/>
            <w:tcBorders>
              <w:top w:val="single" w:sz="4" w:space="0" w:color="4BB3B5"/>
              <w:bottom w:val="single" w:sz="4" w:space="0" w:color="4BB3B5"/>
            </w:tcBorders>
          </w:tcPr>
          <w:p w14:paraId="3DB33410" w14:textId="33C63B82" w:rsidR="00271A50" w:rsidRPr="00930D6A" w:rsidRDefault="00254BA6" w:rsidP="00310D3F">
            <w:pPr>
              <w:pStyle w:val="Tabletextcentred"/>
            </w:pPr>
            <w:r w:rsidRPr="0049204C">
              <w:t xml:space="preserve"> 2.99 </w:t>
            </w:r>
          </w:p>
        </w:tc>
        <w:tc>
          <w:tcPr>
            <w:tcW w:w="601" w:type="pct"/>
            <w:tcBorders>
              <w:top w:val="single" w:sz="4" w:space="0" w:color="4BB3B5"/>
              <w:bottom w:val="single" w:sz="4" w:space="0" w:color="4BB3B5"/>
            </w:tcBorders>
          </w:tcPr>
          <w:p w14:paraId="1EE11B90" w14:textId="56E5BB13" w:rsidR="00271A50" w:rsidRPr="00930D6A" w:rsidRDefault="00254BA6" w:rsidP="00310D3F">
            <w:pPr>
              <w:pStyle w:val="Tabletextcentred"/>
            </w:pPr>
            <w:r w:rsidRPr="0049204C">
              <w:t xml:space="preserve"> 118.51 </w:t>
            </w:r>
          </w:p>
        </w:tc>
        <w:tc>
          <w:tcPr>
            <w:tcW w:w="598" w:type="pct"/>
            <w:tcBorders>
              <w:top w:val="single" w:sz="4" w:space="0" w:color="4BB3B5"/>
              <w:bottom w:val="single" w:sz="4" w:space="0" w:color="4BB3B5"/>
            </w:tcBorders>
          </w:tcPr>
          <w:p w14:paraId="3CEB1D4F" w14:textId="4646A15E" w:rsidR="00271A50" w:rsidRPr="00930D6A" w:rsidRDefault="00254BA6" w:rsidP="00310D3F">
            <w:pPr>
              <w:pStyle w:val="Tabletextcentred"/>
            </w:pPr>
            <w:r w:rsidRPr="0049204C">
              <w:t xml:space="preserve"> 131.22 </w:t>
            </w:r>
          </w:p>
        </w:tc>
        <w:tc>
          <w:tcPr>
            <w:tcW w:w="487" w:type="pct"/>
            <w:tcBorders>
              <w:top w:val="single" w:sz="4" w:space="0" w:color="4BB3B5"/>
              <w:bottom w:val="single" w:sz="4" w:space="0" w:color="4BB3B5"/>
            </w:tcBorders>
          </w:tcPr>
          <w:p w14:paraId="403409F7" w14:textId="689832A8" w:rsidR="00254BA6" w:rsidRPr="00F523CD" w:rsidRDefault="00254BA6" w:rsidP="00254BA6">
            <w:pPr>
              <w:pStyle w:val="Tabletextcentred"/>
            </w:pPr>
            <w:r w:rsidRPr="00F523CD">
              <w:t xml:space="preserve"> 3.13 </w:t>
            </w:r>
          </w:p>
        </w:tc>
        <w:tc>
          <w:tcPr>
            <w:tcW w:w="500" w:type="pct"/>
            <w:tcBorders>
              <w:top w:val="single" w:sz="4" w:space="0" w:color="4BB3B5"/>
              <w:bottom w:val="single" w:sz="4" w:space="0" w:color="4BB3B5"/>
            </w:tcBorders>
          </w:tcPr>
          <w:p w14:paraId="67DFCB21" w14:textId="31DC45DA" w:rsidR="00254BA6" w:rsidRPr="00F523CD" w:rsidRDefault="00254BA6" w:rsidP="00254BA6">
            <w:pPr>
              <w:pStyle w:val="Tabletextcentred"/>
            </w:pPr>
            <w:r w:rsidRPr="00F523CD">
              <w:t xml:space="preserve"> 123.85 </w:t>
            </w:r>
          </w:p>
        </w:tc>
        <w:tc>
          <w:tcPr>
            <w:tcW w:w="498" w:type="pct"/>
            <w:tcBorders>
              <w:top w:val="single" w:sz="4" w:space="0" w:color="4BB3B5"/>
              <w:bottom w:val="single" w:sz="4" w:space="0" w:color="4BB3B5"/>
            </w:tcBorders>
          </w:tcPr>
          <w:p w14:paraId="7C3C911C" w14:textId="6A708878" w:rsidR="00254BA6" w:rsidRPr="00F523CD" w:rsidRDefault="00254BA6" w:rsidP="00254BA6">
            <w:pPr>
              <w:pStyle w:val="Tabletextcentred"/>
            </w:pPr>
            <w:r w:rsidRPr="00F523CD">
              <w:t xml:space="preserve"> 137.13 </w:t>
            </w:r>
          </w:p>
        </w:tc>
        <w:tc>
          <w:tcPr>
            <w:tcW w:w="487" w:type="pct"/>
            <w:tcBorders>
              <w:top w:val="single" w:sz="4" w:space="0" w:color="4BB3B5"/>
              <w:bottom w:val="single" w:sz="4" w:space="0" w:color="4BB3B5"/>
            </w:tcBorders>
          </w:tcPr>
          <w:p w14:paraId="46574AAB" w14:textId="074CF3BC" w:rsidR="00254BA6" w:rsidRPr="006C1ED3" w:rsidRDefault="00254BA6" w:rsidP="00254BA6">
            <w:pPr>
              <w:pStyle w:val="Tabletextcentred"/>
            </w:pPr>
            <w:r w:rsidRPr="006C1ED3">
              <w:t xml:space="preserve"> 3.17 </w:t>
            </w:r>
          </w:p>
        </w:tc>
        <w:tc>
          <w:tcPr>
            <w:tcW w:w="500" w:type="pct"/>
            <w:tcBorders>
              <w:top w:val="single" w:sz="4" w:space="0" w:color="4BB3B5"/>
              <w:bottom w:val="single" w:sz="4" w:space="0" w:color="4BB3B5"/>
            </w:tcBorders>
          </w:tcPr>
          <w:p w14:paraId="63D1A97B" w14:textId="610955F2" w:rsidR="00254BA6" w:rsidRPr="006C1ED3" w:rsidRDefault="00254BA6" w:rsidP="00254BA6">
            <w:pPr>
              <w:pStyle w:val="Tabletextcentred"/>
            </w:pPr>
            <w:r w:rsidRPr="006C1ED3">
              <w:t xml:space="preserve"> 125.43 </w:t>
            </w:r>
          </w:p>
        </w:tc>
        <w:tc>
          <w:tcPr>
            <w:tcW w:w="498" w:type="pct"/>
            <w:tcBorders>
              <w:top w:val="single" w:sz="4" w:space="0" w:color="4BB3B5"/>
              <w:bottom w:val="single" w:sz="4" w:space="0" w:color="4BB3B5"/>
            </w:tcBorders>
          </w:tcPr>
          <w:p w14:paraId="71AA9A95" w14:textId="48BC9D3F" w:rsidR="00254BA6" w:rsidRPr="006C1ED3" w:rsidRDefault="00254BA6" w:rsidP="00254BA6">
            <w:pPr>
              <w:pStyle w:val="Tabletextcentred"/>
            </w:pPr>
            <w:r w:rsidRPr="006C1ED3">
              <w:t xml:space="preserve"> 138.88 </w:t>
            </w:r>
          </w:p>
        </w:tc>
      </w:tr>
      <w:tr w:rsidR="00271A50" w:rsidRPr="00930D6A" w14:paraId="444BAF69" w14:textId="49EDBAF1" w:rsidTr="00254BA6">
        <w:trPr>
          <w:cnfStyle w:val="010000000000" w:firstRow="0" w:lastRow="1" w:firstColumn="0" w:lastColumn="0" w:oddVBand="0" w:evenVBand="0" w:oddHBand="0" w:evenHBand="0" w:firstRowFirstColumn="0" w:firstRowLastColumn="0" w:lastRowFirstColumn="0" w:lastRowLastColumn="0"/>
        </w:trPr>
        <w:tc>
          <w:tcPr>
            <w:tcW w:w="338" w:type="pct"/>
            <w:tcBorders>
              <w:top w:val="single" w:sz="4" w:space="0" w:color="4BB3B5"/>
              <w:bottom w:val="single" w:sz="4" w:space="0" w:color="4BB3B5"/>
            </w:tcBorders>
          </w:tcPr>
          <w:p w14:paraId="26E08FF7" w14:textId="77777777" w:rsidR="00271A50" w:rsidRPr="00310D3F" w:rsidRDefault="00271A50" w:rsidP="00310D3F">
            <w:pPr>
              <w:pStyle w:val="Tabletext"/>
            </w:pPr>
            <w:r w:rsidRPr="00310D3F">
              <w:lastRenderedPageBreak/>
              <w:t>Total</w:t>
            </w:r>
          </w:p>
        </w:tc>
        <w:tc>
          <w:tcPr>
            <w:tcW w:w="493" w:type="pct"/>
            <w:tcBorders>
              <w:top w:val="single" w:sz="4" w:space="0" w:color="4BB3B5"/>
              <w:bottom w:val="single" w:sz="4" w:space="0" w:color="4BB3B5"/>
            </w:tcBorders>
          </w:tcPr>
          <w:p w14:paraId="0FFFBF30" w14:textId="1EA96858" w:rsidR="00271A50" w:rsidRPr="00930D6A" w:rsidRDefault="00254BA6" w:rsidP="00310D3F">
            <w:pPr>
              <w:pStyle w:val="Tabletextcentred"/>
            </w:pPr>
            <w:r w:rsidRPr="00806218">
              <w:t>65</w:t>
            </w:r>
          </w:p>
        </w:tc>
        <w:tc>
          <w:tcPr>
            <w:tcW w:w="601" w:type="pct"/>
            <w:tcBorders>
              <w:top w:val="single" w:sz="4" w:space="0" w:color="4BB3B5"/>
              <w:bottom w:val="single" w:sz="4" w:space="0" w:color="4BB3B5"/>
            </w:tcBorders>
          </w:tcPr>
          <w:p w14:paraId="615660B6" w14:textId="6414BF99" w:rsidR="00271A50" w:rsidRPr="00930D6A" w:rsidRDefault="00254BA6" w:rsidP="00310D3F">
            <w:pPr>
              <w:pStyle w:val="Tabletextcentred"/>
            </w:pPr>
            <w:r w:rsidRPr="00806218">
              <w:t>2585</w:t>
            </w:r>
          </w:p>
        </w:tc>
        <w:tc>
          <w:tcPr>
            <w:tcW w:w="598" w:type="pct"/>
            <w:tcBorders>
              <w:top w:val="single" w:sz="4" w:space="0" w:color="4BB3B5"/>
              <w:bottom w:val="single" w:sz="4" w:space="0" w:color="4BB3B5"/>
            </w:tcBorders>
          </w:tcPr>
          <w:p w14:paraId="49C922DF" w14:textId="0B07434D" w:rsidR="00271A50" w:rsidRPr="00930D6A" w:rsidRDefault="00254BA6" w:rsidP="00310D3F">
            <w:pPr>
              <w:pStyle w:val="Tabletextcentred"/>
            </w:pPr>
            <w:r w:rsidRPr="00806218">
              <w:t>2863</w:t>
            </w:r>
          </w:p>
        </w:tc>
        <w:tc>
          <w:tcPr>
            <w:tcW w:w="487" w:type="pct"/>
            <w:tcBorders>
              <w:top w:val="single" w:sz="4" w:space="0" w:color="4BB3B5"/>
              <w:bottom w:val="single" w:sz="4" w:space="0" w:color="4BB3B5"/>
            </w:tcBorders>
          </w:tcPr>
          <w:p w14:paraId="366A807D" w14:textId="174ED67A" w:rsidR="00254BA6" w:rsidRPr="00906A3B" w:rsidRDefault="00254BA6" w:rsidP="00254BA6">
            <w:pPr>
              <w:pStyle w:val="Tabletextcentred"/>
            </w:pPr>
            <w:r w:rsidRPr="00906A3B">
              <w:t>68</w:t>
            </w:r>
          </w:p>
        </w:tc>
        <w:tc>
          <w:tcPr>
            <w:tcW w:w="500" w:type="pct"/>
            <w:tcBorders>
              <w:top w:val="single" w:sz="4" w:space="0" w:color="4BB3B5"/>
              <w:bottom w:val="single" w:sz="4" w:space="0" w:color="4BB3B5"/>
            </w:tcBorders>
          </w:tcPr>
          <w:p w14:paraId="5B989028" w14:textId="4686C928" w:rsidR="00254BA6" w:rsidRPr="00906A3B" w:rsidRDefault="00254BA6" w:rsidP="00254BA6">
            <w:pPr>
              <w:pStyle w:val="Tabletextcentred"/>
            </w:pPr>
            <w:r w:rsidRPr="00906A3B">
              <w:t>2701</w:t>
            </w:r>
          </w:p>
        </w:tc>
        <w:tc>
          <w:tcPr>
            <w:tcW w:w="498" w:type="pct"/>
            <w:tcBorders>
              <w:top w:val="single" w:sz="4" w:space="0" w:color="4BB3B5"/>
              <w:bottom w:val="single" w:sz="4" w:space="0" w:color="4BB3B5"/>
            </w:tcBorders>
          </w:tcPr>
          <w:p w14:paraId="1916D420" w14:textId="3BDFDE45" w:rsidR="00254BA6" w:rsidRPr="00906A3B" w:rsidRDefault="00254BA6" w:rsidP="00254BA6">
            <w:pPr>
              <w:pStyle w:val="Tabletextcentred"/>
            </w:pPr>
            <w:r w:rsidRPr="00906A3B">
              <w:t>2991</w:t>
            </w:r>
          </w:p>
        </w:tc>
        <w:tc>
          <w:tcPr>
            <w:tcW w:w="487" w:type="pct"/>
            <w:tcBorders>
              <w:top w:val="single" w:sz="4" w:space="0" w:color="4BB3B5"/>
              <w:bottom w:val="single" w:sz="4" w:space="0" w:color="4BB3B5"/>
            </w:tcBorders>
          </w:tcPr>
          <w:p w14:paraId="0AD82330" w14:textId="2F744499" w:rsidR="00254BA6" w:rsidRPr="00852F52" w:rsidRDefault="00254BA6" w:rsidP="00254BA6">
            <w:pPr>
              <w:pStyle w:val="Tabletextcentred"/>
            </w:pPr>
            <w:r w:rsidRPr="00852F52">
              <w:t>68</w:t>
            </w:r>
          </w:p>
        </w:tc>
        <w:tc>
          <w:tcPr>
            <w:tcW w:w="500" w:type="pct"/>
            <w:tcBorders>
              <w:top w:val="single" w:sz="4" w:space="0" w:color="4BB3B5"/>
              <w:bottom w:val="single" w:sz="4" w:space="0" w:color="4BB3B5"/>
            </w:tcBorders>
          </w:tcPr>
          <w:p w14:paraId="11E3D1FC" w14:textId="1A78805E" w:rsidR="00254BA6" w:rsidRPr="00852F52" w:rsidRDefault="00254BA6" w:rsidP="00254BA6">
            <w:pPr>
              <w:pStyle w:val="Tabletextcentred"/>
            </w:pPr>
            <w:r w:rsidRPr="00852F52">
              <w:t>2675</w:t>
            </w:r>
          </w:p>
        </w:tc>
        <w:tc>
          <w:tcPr>
            <w:tcW w:w="498" w:type="pct"/>
            <w:tcBorders>
              <w:top w:val="single" w:sz="4" w:space="0" w:color="4BB3B5"/>
              <w:bottom w:val="single" w:sz="4" w:space="0" w:color="4BB3B5"/>
            </w:tcBorders>
          </w:tcPr>
          <w:p w14:paraId="78E01F18" w14:textId="1BE16760" w:rsidR="00254BA6" w:rsidRPr="00852F52" w:rsidRDefault="00254BA6" w:rsidP="00254BA6">
            <w:pPr>
              <w:pStyle w:val="Tabletextcentred"/>
            </w:pPr>
            <w:r w:rsidRPr="00852F52">
              <w:t>2962</w:t>
            </w:r>
          </w:p>
        </w:tc>
      </w:tr>
    </w:tbl>
    <w:p w14:paraId="2695264A" w14:textId="0EABEB60" w:rsidR="00271A50" w:rsidRDefault="00271A50" w:rsidP="00266BBD">
      <w:pPr>
        <w:pStyle w:val="ListNumbered1"/>
        <w:tabs>
          <w:tab w:val="left" w:pos="567"/>
        </w:tabs>
        <w:ind w:left="567" w:hanging="567"/>
      </w:pPr>
      <w:r w:rsidRPr="00266BBD">
        <w:rPr>
          <w:lang w:val="en-AU"/>
        </w:rPr>
        <w:t xml:space="preserve">The cost savings due to loss of life avoided were estimated using the statistical value of a life recommended by Office of Impact Analysis </w:t>
      </w:r>
      <w:r w:rsidR="003925A5" w:rsidRPr="00266BBD">
        <w:rPr>
          <w:lang w:val="en-AU"/>
        </w:rPr>
        <w:t>in 202</w:t>
      </w:r>
      <w:r w:rsidR="00254BA6">
        <w:rPr>
          <w:lang w:val="en-AU"/>
        </w:rPr>
        <w:t>3</w:t>
      </w:r>
      <w:r w:rsidR="003925A5" w:rsidRPr="00266BBD">
        <w:rPr>
          <w:lang w:val="en-AU"/>
        </w:rPr>
        <w:t xml:space="preserve"> </w:t>
      </w:r>
      <w:r w:rsidRPr="00266BBD">
        <w:rPr>
          <w:lang w:val="en-AU"/>
        </w:rPr>
        <w:t>($</w:t>
      </w:r>
      <w:r w:rsidR="003925A5" w:rsidRPr="00266BBD">
        <w:rPr>
          <w:lang w:val="en-AU"/>
        </w:rPr>
        <w:t>5</w:t>
      </w:r>
      <w:r w:rsidRPr="00266BBD">
        <w:rPr>
          <w:lang w:val="en-AU"/>
        </w:rPr>
        <w:t>.</w:t>
      </w:r>
      <w:r w:rsidR="00254BA6">
        <w:rPr>
          <w:lang w:val="en-AU"/>
        </w:rPr>
        <w:t>4</w:t>
      </w:r>
      <w:r w:rsidRPr="00266BBD">
        <w:rPr>
          <w:lang w:val="en-AU"/>
        </w:rPr>
        <w:t> million) and the totals established in step 9. The typical cost of a serious and minor injury was established using methods outlined in BITRE Report 102</w:t>
      </w:r>
      <w:r w:rsidR="00DD1647" w:rsidRPr="00266BBD">
        <w:rPr>
          <w:lang w:val="en-AU"/>
        </w:rPr>
        <w:t>, but adjusted to reflect willingness to pay to be consistent with the approach taken for</w:t>
      </w:r>
      <w:r w:rsidR="00597661">
        <w:rPr>
          <w:lang w:val="en-AU"/>
        </w:rPr>
        <w:t xml:space="preserve"> quantifying </w:t>
      </w:r>
      <w:r w:rsidR="00DD1647" w:rsidRPr="00266BBD">
        <w:rPr>
          <w:lang w:val="en-AU"/>
        </w:rPr>
        <w:t>the statistical value of a life</w:t>
      </w:r>
      <w:r w:rsidRPr="00266BBD">
        <w:rPr>
          <w:lang w:val="en-AU"/>
        </w:rPr>
        <w:t xml:space="preserve">. </w:t>
      </w:r>
    </w:p>
    <w:p w14:paraId="42EAA1E0" w14:textId="1D44430D" w:rsidR="00271A50" w:rsidRPr="00930D6A" w:rsidRDefault="00271A50" w:rsidP="00310D3F">
      <w:pPr>
        <w:pStyle w:val="ListNumbered1"/>
        <w:spacing w:before="240"/>
        <w:ind w:left="567" w:hanging="567"/>
        <w:rPr>
          <w:lang w:val="en-AU"/>
        </w:rPr>
      </w:pPr>
      <w:r w:rsidRPr="00930D6A">
        <w:rPr>
          <w:lang w:val="en-AU"/>
        </w:rPr>
        <w:t xml:space="preserve">Finally, </w:t>
      </w:r>
      <w:r w:rsidRPr="008163A2">
        <w:fldChar w:fldCharType="begin"/>
      </w:r>
      <w:r w:rsidRPr="00930D6A">
        <w:rPr>
          <w:lang w:val="en-AU"/>
        </w:rPr>
        <w:instrText xml:space="preserve"> REF _Ref114583532 \h </w:instrText>
      </w:r>
      <w:r w:rsidRPr="008163A2">
        <w:rPr>
          <w:lang w:val="en-AU"/>
        </w:rPr>
        <w:fldChar w:fldCharType="separate"/>
      </w:r>
      <w:r w:rsidR="005E58C6" w:rsidRPr="00930D6A">
        <w:t xml:space="preserve">Table </w:t>
      </w:r>
      <w:r w:rsidR="005E58C6">
        <w:rPr>
          <w:noProof/>
        </w:rPr>
        <w:t>14</w:t>
      </w:r>
      <w:r w:rsidRPr="008163A2">
        <w:fldChar w:fldCharType="end"/>
      </w:r>
      <w:r w:rsidRPr="00930D6A">
        <w:rPr>
          <w:lang w:val="en-AU"/>
        </w:rPr>
        <w:t xml:space="preserve"> below summarises </w:t>
      </w:r>
      <w:r>
        <w:rPr>
          <w:lang w:val="en-AU"/>
        </w:rPr>
        <w:t xml:space="preserve">the figures from the above analysis. </w:t>
      </w:r>
    </w:p>
    <w:p w14:paraId="3E50E2AB" w14:textId="7D735FF1" w:rsidR="00271A50" w:rsidRPr="00930D6A" w:rsidRDefault="00271A50" w:rsidP="00310D3F">
      <w:pPr>
        <w:pStyle w:val="Tablefigureheading"/>
      </w:pPr>
      <w:bookmarkStart w:id="268" w:name="_Ref114583532"/>
      <w:bookmarkStart w:id="269" w:name="_Toc128476441"/>
      <w:bookmarkStart w:id="270" w:name="_Toc153795502"/>
      <w:r w:rsidRPr="00930D6A">
        <w:t xml:space="preserve">Table </w:t>
      </w:r>
      <w:fldSimple w:instr=" SEQ Table \* ARABIC ">
        <w:r w:rsidR="005E58C6">
          <w:rPr>
            <w:noProof/>
          </w:rPr>
          <w:t>14</w:t>
        </w:r>
      </w:fldSimple>
      <w:bookmarkEnd w:id="268"/>
      <w:r w:rsidRPr="00930D6A">
        <w:t>: Summary of benefit-cost analysis for Option 2 relative to Option 1</w:t>
      </w:r>
      <w:bookmarkEnd w:id="269"/>
      <w:bookmarkEnd w:id="270"/>
    </w:p>
    <w:tbl>
      <w:tblPr>
        <w:tblStyle w:val="DefaultTable1"/>
        <w:tblW w:w="5134" w:type="pct"/>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606"/>
        <w:gridCol w:w="945"/>
        <w:gridCol w:w="994"/>
        <w:gridCol w:w="990"/>
        <w:gridCol w:w="1267"/>
        <w:gridCol w:w="880"/>
        <w:gridCol w:w="899"/>
        <w:gridCol w:w="924"/>
        <w:gridCol w:w="1224"/>
      </w:tblGrid>
      <w:tr w:rsidR="00254BA6" w:rsidRPr="00713506" w14:paraId="2281CFF9" w14:textId="77777777" w:rsidTr="005E7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595959" w:themeColor="text1" w:themeTint="A6"/>
            </w:tcBorders>
            <w:shd w:val="clear" w:color="auto" w:fill="081E3E"/>
          </w:tcPr>
          <w:p w14:paraId="5E2D4C84" w14:textId="77777777" w:rsidR="00254BA6" w:rsidRPr="00F44781" w:rsidRDefault="00254BA6" w:rsidP="005E7228">
            <w:pPr>
              <w:pStyle w:val="Tablerowcolumnheading"/>
              <w:keepNext/>
              <w:rPr>
                <w:b/>
              </w:rPr>
            </w:pPr>
            <w:r w:rsidRPr="35E123EC">
              <w:t>Case</w:t>
            </w:r>
          </w:p>
        </w:tc>
        <w:tc>
          <w:tcPr>
            <w:tcW w:w="485" w:type="pct"/>
            <w:tcBorders>
              <w:bottom w:val="single" w:sz="4" w:space="0" w:color="595959" w:themeColor="text1" w:themeTint="A6"/>
            </w:tcBorders>
            <w:shd w:val="clear" w:color="auto" w:fill="081E3E"/>
          </w:tcPr>
          <w:p w14:paraId="0ADD4DD5" w14:textId="77777777" w:rsidR="00254BA6" w:rsidRPr="00F44781" w:rsidRDefault="00254BA6" w:rsidP="005E7228">
            <w:pPr>
              <w:pStyle w:val="Tablerowcolumnheadingcentred"/>
              <w:keepNext/>
              <w:tabs>
                <w:tab w:val="left" w:pos="825"/>
              </w:tab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511" w:type="pct"/>
            <w:tcBorders>
              <w:bottom w:val="single" w:sz="4" w:space="0" w:color="595959" w:themeColor="text1" w:themeTint="A6"/>
            </w:tcBorders>
            <w:shd w:val="clear" w:color="auto" w:fill="081E3E"/>
          </w:tcPr>
          <w:p w14:paraId="66FF989A"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509" w:type="pct"/>
            <w:tcBorders>
              <w:bottom w:val="single" w:sz="4" w:space="0" w:color="595959" w:themeColor="text1" w:themeTint="A6"/>
            </w:tcBorders>
            <w:shd w:val="clear" w:color="auto" w:fill="081E3E"/>
          </w:tcPr>
          <w:p w14:paraId="768E3CEF"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651" w:type="pct"/>
            <w:tcBorders>
              <w:bottom w:val="single" w:sz="4" w:space="0" w:color="595959" w:themeColor="text1" w:themeTint="A6"/>
            </w:tcBorders>
            <w:shd w:val="clear" w:color="auto" w:fill="081E3E"/>
          </w:tcPr>
          <w:p w14:paraId="49C499BB"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452" w:type="pct"/>
            <w:tcBorders>
              <w:bottom w:val="single" w:sz="4" w:space="0" w:color="595959" w:themeColor="text1" w:themeTint="A6"/>
            </w:tcBorders>
            <w:shd w:val="clear" w:color="auto" w:fill="081E3E"/>
          </w:tcPr>
          <w:p w14:paraId="164A6CFC"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462" w:type="pct"/>
            <w:tcBorders>
              <w:bottom w:val="single" w:sz="4" w:space="0" w:color="595959" w:themeColor="text1" w:themeTint="A6"/>
            </w:tcBorders>
            <w:shd w:val="clear" w:color="auto" w:fill="081E3E"/>
          </w:tcPr>
          <w:p w14:paraId="4043AF0D"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475" w:type="pct"/>
            <w:tcBorders>
              <w:bottom w:val="single" w:sz="4" w:space="0" w:color="595959" w:themeColor="text1" w:themeTint="A6"/>
            </w:tcBorders>
            <w:shd w:val="clear" w:color="auto" w:fill="081E3E"/>
          </w:tcPr>
          <w:p w14:paraId="7F9F65B4"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629" w:type="pct"/>
            <w:tcBorders>
              <w:bottom w:val="single" w:sz="4" w:space="0" w:color="595959" w:themeColor="text1" w:themeTint="A6"/>
            </w:tcBorders>
            <w:shd w:val="clear" w:color="auto" w:fill="081E3E"/>
          </w:tcPr>
          <w:p w14:paraId="210D9E62"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254BA6" w:rsidRPr="00713506" w14:paraId="28334823" w14:textId="77777777" w:rsidTr="005E7228">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4BB3B5"/>
            </w:tcBorders>
          </w:tcPr>
          <w:p w14:paraId="69144A0A" w14:textId="77777777" w:rsidR="00254BA6" w:rsidRDefault="00254BA6" w:rsidP="005E7228">
            <w:pPr>
              <w:pStyle w:val="Tabletext"/>
              <w:keepNext/>
              <w:rPr>
                <w:b w:val="0"/>
              </w:rPr>
            </w:pPr>
            <w:r w:rsidRPr="00713506">
              <w:t>Option 1</w:t>
            </w:r>
          </w:p>
          <w:p w14:paraId="4A693F85" w14:textId="77777777" w:rsidR="00254BA6" w:rsidRPr="00713506" w:rsidRDefault="00254BA6" w:rsidP="005E7228">
            <w:pPr>
              <w:pStyle w:val="Tabletext"/>
              <w:keepNext/>
            </w:pPr>
            <w:r>
              <w:t>(Business as usual)</w:t>
            </w:r>
          </w:p>
        </w:tc>
        <w:tc>
          <w:tcPr>
            <w:tcW w:w="485" w:type="pct"/>
            <w:tcBorders>
              <w:bottom w:val="single" w:sz="4" w:space="0" w:color="4BB3B5"/>
            </w:tcBorders>
          </w:tcPr>
          <w:p w14:paraId="42B69BA5"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11" w:type="pct"/>
            <w:tcBorders>
              <w:bottom w:val="single" w:sz="4" w:space="0" w:color="4BB3B5"/>
            </w:tcBorders>
          </w:tcPr>
          <w:p w14:paraId="727DE9F9"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09" w:type="pct"/>
            <w:tcBorders>
              <w:bottom w:val="single" w:sz="4" w:space="0" w:color="4BB3B5"/>
            </w:tcBorders>
          </w:tcPr>
          <w:p w14:paraId="6385D7E9"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51" w:type="pct"/>
            <w:tcBorders>
              <w:bottom w:val="single" w:sz="4" w:space="0" w:color="4BB3B5"/>
            </w:tcBorders>
          </w:tcPr>
          <w:p w14:paraId="20B8F990"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52" w:type="pct"/>
            <w:tcBorders>
              <w:bottom w:val="single" w:sz="4" w:space="0" w:color="4BB3B5"/>
            </w:tcBorders>
          </w:tcPr>
          <w:p w14:paraId="734ABCB6"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62" w:type="pct"/>
            <w:tcBorders>
              <w:bottom w:val="single" w:sz="4" w:space="0" w:color="4BB3B5"/>
            </w:tcBorders>
          </w:tcPr>
          <w:p w14:paraId="15368330"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75" w:type="pct"/>
            <w:tcBorders>
              <w:bottom w:val="single" w:sz="4" w:space="0" w:color="4BB3B5"/>
            </w:tcBorders>
          </w:tcPr>
          <w:p w14:paraId="67537FA8"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29" w:type="pct"/>
            <w:tcBorders>
              <w:bottom w:val="single" w:sz="4" w:space="0" w:color="4BB3B5"/>
            </w:tcBorders>
          </w:tcPr>
          <w:p w14:paraId="09554B38"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w:t>
            </w:r>
          </w:p>
        </w:tc>
      </w:tr>
      <w:tr w:rsidR="00254BA6" w:rsidRPr="00713506" w14:paraId="6A181967" w14:textId="77777777" w:rsidTr="005E7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5263214F" w14:textId="77777777" w:rsidR="00254BA6" w:rsidRDefault="00254BA6" w:rsidP="005E7228">
            <w:pPr>
              <w:pStyle w:val="Tabletext"/>
              <w:keepNext/>
              <w:rPr>
                <w:b w:val="0"/>
              </w:rPr>
            </w:pPr>
            <w:r w:rsidRPr="00713506">
              <w:t>Option 2</w:t>
            </w:r>
          </w:p>
          <w:p w14:paraId="4001AF30" w14:textId="77777777" w:rsidR="00254BA6" w:rsidRPr="00713506" w:rsidRDefault="00254BA6" w:rsidP="005E7228">
            <w:pPr>
              <w:pStyle w:val="Tabletext"/>
              <w:keepNext/>
            </w:pPr>
            <w:r>
              <w:t>(Light vehicles from Jan 2025)</w:t>
            </w:r>
          </w:p>
        </w:tc>
        <w:tc>
          <w:tcPr>
            <w:tcW w:w="485" w:type="pct"/>
            <w:tcBorders>
              <w:top w:val="single" w:sz="4" w:space="0" w:color="4BB3B5"/>
              <w:bottom w:val="single" w:sz="4" w:space="0" w:color="4BB3B5"/>
            </w:tcBorders>
          </w:tcPr>
          <w:p w14:paraId="1BAA95F6"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372.8</w:t>
            </w:r>
          </w:p>
        </w:tc>
        <w:tc>
          <w:tcPr>
            <w:tcW w:w="511" w:type="pct"/>
            <w:tcBorders>
              <w:top w:val="single" w:sz="4" w:space="0" w:color="4BB3B5"/>
              <w:bottom w:val="single" w:sz="4" w:space="0" w:color="4BB3B5"/>
            </w:tcBorders>
          </w:tcPr>
          <w:p w14:paraId="7A47C9D1"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201.2</w:t>
            </w:r>
          </w:p>
        </w:tc>
        <w:tc>
          <w:tcPr>
            <w:tcW w:w="509" w:type="pct"/>
            <w:tcBorders>
              <w:top w:val="single" w:sz="4" w:space="0" w:color="4BB3B5"/>
              <w:bottom w:val="single" w:sz="4" w:space="0" w:color="4BB3B5"/>
            </w:tcBorders>
          </w:tcPr>
          <w:p w14:paraId="2F1653C2"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171.1</w:t>
            </w:r>
          </w:p>
        </w:tc>
        <w:tc>
          <w:tcPr>
            <w:tcW w:w="651" w:type="pct"/>
            <w:tcBorders>
              <w:top w:val="single" w:sz="4" w:space="0" w:color="4BB3B5"/>
              <w:bottom w:val="single" w:sz="4" w:space="0" w:color="4BB3B5"/>
            </w:tcBorders>
          </w:tcPr>
          <w:p w14:paraId="069804A2"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10F67573"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2.17</w:t>
            </w:r>
          </w:p>
        </w:tc>
        <w:tc>
          <w:tcPr>
            <w:tcW w:w="462" w:type="pct"/>
            <w:tcBorders>
              <w:top w:val="single" w:sz="4" w:space="0" w:color="4BB3B5"/>
              <w:bottom w:val="single" w:sz="4" w:space="0" w:color="4BB3B5"/>
            </w:tcBorders>
          </w:tcPr>
          <w:p w14:paraId="5A0471E6"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65</w:t>
            </w:r>
          </w:p>
        </w:tc>
        <w:tc>
          <w:tcPr>
            <w:tcW w:w="475" w:type="pct"/>
            <w:tcBorders>
              <w:top w:val="single" w:sz="4" w:space="0" w:color="4BB3B5"/>
              <w:bottom w:val="single" w:sz="4" w:space="0" w:color="4BB3B5"/>
            </w:tcBorders>
          </w:tcPr>
          <w:p w14:paraId="77927C70"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2,585</w:t>
            </w:r>
          </w:p>
        </w:tc>
        <w:tc>
          <w:tcPr>
            <w:tcW w:w="629" w:type="pct"/>
            <w:tcBorders>
              <w:top w:val="single" w:sz="4" w:space="0" w:color="4BB3B5"/>
              <w:bottom w:val="single" w:sz="4" w:space="0" w:color="4BB3B5"/>
            </w:tcBorders>
          </w:tcPr>
          <w:p w14:paraId="49BCC681"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2,863</w:t>
            </w:r>
          </w:p>
        </w:tc>
      </w:tr>
      <w:tr w:rsidR="00254BA6" w:rsidRPr="00713506" w14:paraId="54601B7B" w14:textId="77777777" w:rsidTr="005E7228">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39937CC1" w14:textId="77777777" w:rsidR="00254BA6" w:rsidRDefault="00254BA6" w:rsidP="005E7228">
            <w:pPr>
              <w:pStyle w:val="Tabletext"/>
              <w:keepNext/>
              <w:rPr>
                <w:b w:val="0"/>
              </w:rPr>
            </w:pPr>
            <w:r>
              <w:t>Option 3a</w:t>
            </w:r>
          </w:p>
          <w:p w14:paraId="6A25C703" w14:textId="77777777" w:rsidR="00254BA6" w:rsidRPr="00713506" w:rsidRDefault="00254BA6" w:rsidP="005E7228">
            <w:pPr>
              <w:pStyle w:val="Tabletext"/>
              <w:keepNext/>
            </w:pPr>
            <w:r>
              <w:t>(Light vehicles from Jan 2025, heavy vehicles from Nov 2025)</w:t>
            </w:r>
          </w:p>
        </w:tc>
        <w:tc>
          <w:tcPr>
            <w:tcW w:w="485" w:type="pct"/>
            <w:tcBorders>
              <w:top w:val="single" w:sz="4" w:space="0" w:color="4BB3B5"/>
              <w:bottom w:val="single" w:sz="4" w:space="0" w:color="4BB3B5"/>
            </w:tcBorders>
          </w:tcPr>
          <w:p w14:paraId="4650A232"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389.3</w:t>
            </w:r>
          </w:p>
        </w:tc>
        <w:tc>
          <w:tcPr>
            <w:tcW w:w="511" w:type="pct"/>
            <w:tcBorders>
              <w:top w:val="single" w:sz="4" w:space="0" w:color="4BB3B5"/>
              <w:bottom w:val="single" w:sz="4" w:space="0" w:color="4BB3B5"/>
            </w:tcBorders>
          </w:tcPr>
          <w:p w14:paraId="1E6B256B"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210.3</w:t>
            </w:r>
          </w:p>
        </w:tc>
        <w:tc>
          <w:tcPr>
            <w:tcW w:w="509" w:type="pct"/>
            <w:tcBorders>
              <w:top w:val="single" w:sz="4" w:space="0" w:color="4BB3B5"/>
              <w:bottom w:val="single" w:sz="4" w:space="0" w:color="4BB3B5"/>
            </w:tcBorders>
          </w:tcPr>
          <w:p w14:paraId="0F8737C4"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178.5</w:t>
            </w:r>
          </w:p>
        </w:tc>
        <w:tc>
          <w:tcPr>
            <w:tcW w:w="651" w:type="pct"/>
            <w:tcBorders>
              <w:top w:val="single" w:sz="4" w:space="0" w:color="4BB3B5"/>
              <w:bottom w:val="single" w:sz="4" w:space="0" w:color="4BB3B5"/>
            </w:tcBorders>
          </w:tcPr>
          <w:p w14:paraId="51730F07"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0.5</w:t>
            </w:r>
          </w:p>
        </w:tc>
        <w:tc>
          <w:tcPr>
            <w:tcW w:w="452" w:type="pct"/>
            <w:tcBorders>
              <w:top w:val="single" w:sz="4" w:space="0" w:color="4BB3B5"/>
              <w:bottom w:val="single" w:sz="4" w:space="0" w:color="4BB3B5"/>
            </w:tcBorders>
          </w:tcPr>
          <w:p w14:paraId="46145B8E"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2.18</w:t>
            </w:r>
          </w:p>
        </w:tc>
        <w:tc>
          <w:tcPr>
            <w:tcW w:w="462" w:type="pct"/>
            <w:tcBorders>
              <w:top w:val="single" w:sz="4" w:space="0" w:color="4BB3B5"/>
              <w:bottom w:val="single" w:sz="4" w:space="0" w:color="4BB3B5"/>
            </w:tcBorders>
          </w:tcPr>
          <w:p w14:paraId="16093287"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68</w:t>
            </w:r>
          </w:p>
        </w:tc>
        <w:tc>
          <w:tcPr>
            <w:tcW w:w="475" w:type="pct"/>
            <w:tcBorders>
              <w:top w:val="single" w:sz="4" w:space="0" w:color="4BB3B5"/>
              <w:bottom w:val="single" w:sz="4" w:space="0" w:color="4BB3B5"/>
            </w:tcBorders>
          </w:tcPr>
          <w:p w14:paraId="79E413A5"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2,701</w:t>
            </w:r>
          </w:p>
        </w:tc>
        <w:tc>
          <w:tcPr>
            <w:tcW w:w="629" w:type="pct"/>
            <w:tcBorders>
              <w:top w:val="single" w:sz="4" w:space="0" w:color="4BB3B5"/>
              <w:bottom w:val="single" w:sz="4" w:space="0" w:color="4BB3B5"/>
            </w:tcBorders>
          </w:tcPr>
          <w:p w14:paraId="3DD2A065"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2,991</w:t>
            </w:r>
          </w:p>
        </w:tc>
      </w:tr>
      <w:tr w:rsidR="00254BA6" w:rsidRPr="00713506" w14:paraId="2D3EB8D8" w14:textId="77777777" w:rsidTr="005E7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060B20E4" w14:textId="77777777" w:rsidR="00254BA6" w:rsidRDefault="00254BA6" w:rsidP="005E7228">
            <w:pPr>
              <w:pStyle w:val="Tabletext"/>
              <w:keepNext/>
            </w:pPr>
            <w:r>
              <w:t>Option 3b</w:t>
            </w:r>
            <w:r>
              <w:br/>
              <w:t>(light and heavy vehicles from Nov 2025)</w:t>
            </w:r>
          </w:p>
        </w:tc>
        <w:tc>
          <w:tcPr>
            <w:tcW w:w="485" w:type="pct"/>
            <w:tcBorders>
              <w:top w:val="single" w:sz="4" w:space="0" w:color="4BB3B5"/>
              <w:bottom w:val="single" w:sz="4" w:space="0" w:color="4BB3B5"/>
            </w:tcBorders>
          </w:tcPr>
          <w:p w14:paraId="73F9912F"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377.3</w:t>
            </w:r>
          </w:p>
        </w:tc>
        <w:tc>
          <w:tcPr>
            <w:tcW w:w="511" w:type="pct"/>
            <w:tcBorders>
              <w:top w:val="single" w:sz="4" w:space="0" w:color="4BB3B5"/>
              <w:bottom w:val="single" w:sz="4" w:space="0" w:color="4BB3B5"/>
            </w:tcBorders>
          </w:tcPr>
          <w:p w14:paraId="4843A76B"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208.4</w:t>
            </w:r>
          </w:p>
        </w:tc>
        <w:tc>
          <w:tcPr>
            <w:tcW w:w="509" w:type="pct"/>
            <w:tcBorders>
              <w:top w:val="single" w:sz="4" w:space="0" w:color="4BB3B5"/>
              <w:bottom w:val="single" w:sz="4" w:space="0" w:color="4BB3B5"/>
            </w:tcBorders>
          </w:tcPr>
          <w:p w14:paraId="667A8AB6"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168.4</w:t>
            </w:r>
          </w:p>
        </w:tc>
        <w:tc>
          <w:tcPr>
            <w:tcW w:w="651" w:type="pct"/>
            <w:tcBorders>
              <w:top w:val="single" w:sz="4" w:space="0" w:color="4BB3B5"/>
              <w:bottom w:val="single" w:sz="4" w:space="0" w:color="4BB3B5"/>
            </w:tcBorders>
          </w:tcPr>
          <w:p w14:paraId="062855F7"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5476A325"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2.23</w:t>
            </w:r>
          </w:p>
        </w:tc>
        <w:tc>
          <w:tcPr>
            <w:tcW w:w="462" w:type="pct"/>
            <w:tcBorders>
              <w:top w:val="single" w:sz="4" w:space="0" w:color="4BB3B5"/>
              <w:bottom w:val="single" w:sz="4" w:space="0" w:color="4BB3B5"/>
            </w:tcBorders>
          </w:tcPr>
          <w:p w14:paraId="665DA80B"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68</w:t>
            </w:r>
          </w:p>
        </w:tc>
        <w:tc>
          <w:tcPr>
            <w:tcW w:w="475" w:type="pct"/>
            <w:tcBorders>
              <w:top w:val="single" w:sz="4" w:space="0" w:color="4BB3B5"/>
              <w:bottom w:val="single" w:sz="4" w:space="0" w:color="4BB3B5"/>
            </w:tcBorders>
          </w:tcPr>
          <w:p w14:paraId="32049386"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2,675</w:t>
            </w:r>
          </w:p>
        </w:tc>
        <w:tc>
          <w:tcPr>
            <w:tcW w:w="629" w:type="pct"/>
            <w:tcBorders>
              <w:top w:val="single" w:sz="4" w:space="0" w:color="4BB3B5"/>
              <w:bottom w:val="single" w:sz="4" w:space="0" w:color="4BB3B5"/>
            </w:tcBorders>
          </w:tcPr>
          <w:p w14:paraId="749C5A3C"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2,962</w:t>
            </w:r>
          </w:p>
        </w:tc>
      </w:tr>
    </w:tbl>
    <w:p w14:paraId="718F5BAF" w14:textId="77777777" w:rsidR="00271A50" w:rsidRPr="00930D6A" w:rsidRDefault="00271A50" w:rsidP="00271A50">
      <w:r w:rsidRPr="00930D6A">
        <w:br w:type="page"/>
      </w:r>
    </w:p>
    <w:p w14:paraId="23BD2A49" w14:textId="77777777" w:rsidR="00271A50" w:rsidRPr="00930D6A" w:rsidRDefault="00BF2A94" w:rsidP="00BF2A94">
      <w:pPr>
        <w:pStyle w:val="Heading2"/>
      </w:pPr>
      <w:bookmarkStart w:id="271" w:name="_Toc128476482"/>
      <w:bookmarkStart w:id="272" w:name="_Toc151556437"/>
      <w:bookmarkStart w:id="273" w:name="_Toc153795445"/>
      <w:r>
        <w:lastRenderedPageBreak/>
        <w:t xml:space="preserve">Appendix </w:t>
      </w:r>
      <w:r w:rsidR="003E1F73">
        <w:t>E</w:t>
      </w:r>
      <w:r>
        <w:t>—</w:t>
      </w:r>
      <w:r w:rsidR="00271A50" w:rsidRPr="00930D6A">
        <w:t>Acronyms and Abbreviations</w:t>
      </w:r>
      <w:bookmarkEnd w:id="271"/>
      <w:bookmarkEnd w:id="272"/>
      <w:bookmarkEnd w:id="273"/>
    </w:p>
    <w:p w14:paraId="2B0BEC24" w14:textId="77777777" w:rsidR="00271A50" w:rsidRPr="00930D6A" w:rsidRDefault="00271A50" w:rsidP="00566551">
      <w:pPr>
        <w:tabs>
          <w:tab w:val="left" w:pos="1134"/>
        </w:tabs>
      </w:pPr>
      <w:r w:rsidRPr="00930D6A">
        <w:t>AEB/AEBS</w:t>
      </w:r>
      <w:r w:rsidRPr="00930D6A">
        <w:tab/>
        <w:t>Autonomous (Advanced) Emergency Braking (System)</w:t>
      </w:r>
    </w:p>
    <w:p w14:paraId="036EEEB5" w14:textId="77777777" w:rsidR="00271A50" w:rsidRPr="00930D6A" w:rsidRDefault="00271A50" w:rsidP="00566551">
      <w:pPr>
        <w:tabs>
          <w:tab w:val="left" w:pos="1134"/>
        </w:tabs>
      </w:pPr>
      <w:r w:rsidRPr="00930D6A">
        <w:t>ADR</w:t>
      </w:r>
      <w:r w:rsidRPr="00930D6A">
        <w:tab/>
      </w:r>
      <w:r w:rsidRPr="00930D6A">
        <w:tab/>
        <w:t>Australian Design Rule</w:t>
      </w:r>
    </w:p>
    <w:p w14:paraId="51C8501F" w14:textId="77777777" w:rsidR="00271A50" w:rsidRPr="00930D6A" w:rsidRDefault="00271A50" w:rsidP="00566551">
      <w:pPr>
        <w:tabs>
          <w:tab w:val="left" w:pos="1134"/>
        </w:tabs>
      </w:pPr>
      <w:r w:rsidRPr="00930D6A">
        <w:t>AVAS</w:t>
      </w:r>
      <w:r w:rsidRPr="00930D6A">
        <w:tab/>
      </w:r>
      <w:r w:rsidRPr="00930D6A">
        <w:tab/>
        <w:t>Acoustic Vehicle Alerting System</w:t>
      </w:r>
    </w:p>
    <w:p w14:paraId="0CB6A236" w14:textId="77777777" w:rsidR="00271A50" w:rsidRPr="00930D6A" w:rsidRDefault="00271A50" w:rsidP="00566551">
      <w:pPr>
        <w:tabs>
          <w:tab w:val="left" w:pos="1134"/>
        </w:tabs>
      </w:pPr>
      <w:r w:rsidRPr="00930D6A">
        <w:t>BITRE</w:t>
      </w:r>
      <w:r w:rsidRPr="00930D6A">
        <w:tab/>
      </w:r>
      <w:r w:rsidRPr="00930D6A">
        <w:tab/>
        <w:t>Bureau of Infrastructure</w:t>
      </w:r>
      <w:r w:rsidR="004B6D2F">
        <w:t xml:space="preserve"> and </w:t>
      </w:r>
      <w:r w:rsidRPr="00930D6A">
        <w:t xml:space="preserve">Transport </w:t>
      </w:r>
      <w:r w:rsidR="00DE2F31">
        <w:t>Research</w:t>
      </w:r>
      <w:r w:rsidRPr="00930D6A">
        <w:t xml:space="preserve"> Economics</w:t>
      </w:r>
    </w:p>
    <w:p w14:paraId="5579A923" w14:textId="77777777" w:rsidR="00271A50" w:rsidRDefault="00271A50" w:rsidP="00566551">
      <w:pPr>
        <w:tabs>
          <w:tab w:val="left" w:pos="1134"/>
        </w:tabs>
      </w:pPr>
      <w:r>
        <w:t>dB(A)</w:t>
      </w:r>
      <w:r>
        <w:tab/>
      </w:r>
      <w:r>
        <w:tab/>
        <w:t>A-weighted sound pressure level</w:t>
      </w:r>
    </w:p>
    <w:p w14:paraId="375A9468" w14:textId="77777777" w:rsidR="00271A50" w:rsidRPr="00930D6A" w:rsidRDefault="00271A50" w:rsidP="00566551">
      <w:pPr>
        <w:tabs>
          <w:tab w:val="left" w:pos="1134"/>
        </w:tabs>
      </w:pPr>
      <w:r w:rsidRPr="00930D6A">
        <w:t>EU</w:t>
      </w:r>
      <w:r w:rsidRPr="00930D6A">
        <w:tab/>
      </w:r>
      <w:r w:rsidRPr="00930D6A">
        <w:tab/>
        <w:t>European Union</w:t>
      </w:r>
    </w:p>
    <w:p w14:paraId="28FC3AD1" w14:textId="77777777" w:rsidR="00271A50" w:rsidRPr="00930D6A" w:rsidRDefault="00271A50" w:rsidP="00566551">
      <w:pPr>
        <w:tabs>
          <w:tab w:val="left" w:pos="1134"/>
        </w:tabs>
      </w:pPr>
      <w:r w:rsidRPr="00930D6A">
        <w:t>FMVSS</w:t>
      </w:r>
      <w:r w:rsidRPr="00930D6A">
        <w:tab/>
      </w:r>
      <w:r w:rsidRPr="00930D6A">
        <w:tab/>
        <w:t>Federal Motor Vehicle Safety Standard</w:t>
      </w:r>
    </w:p>
    <w:p w14:paraId="6F692004" w14:textId="77777777" w:rsidR="00271A50" w:rsidRPr="00930D6A" w:rsidRDefault="00271A50" w:rsidP="00566551">
      <w:pPr>
        <w:tabs>
          <w:tab w:val="left" w:pos="1134"/>
        </w:tabs>
      </w:pPr>
      <w:r w:rsidRPr="00930D6A">
        <w:t>FCV</w:t>
      </w:r>
      <w:r w:rsidRPr="00930D6A">
        <w:tab/>
      </w:r>
      <w:r w:rsidRPr="00930D6A">
        <w:tab/>
        <w:t>Fuel Cell Vehicle</w:t>
      </w:r>
    </w:p>
    <w:p w14:paraId="2EFE2D38" w14:textId="77777777" w:rsidR="00271A50" w:rsidRPr="00930D6A" w:rsidRDefault="00271A50" w:rsidP="00566551">
      <w:pPr>
        <w:tabs>
          <w:tab w:val="left" w:pos="1134"/>
        </w:tabs>
      </w:pPr>
      <w:r w:rsidRPr="00930D6A">
        <w:t>GVM</w:t>
      </w:r>
      <w:r w:rsidRPr="00930D6A">
        <w:tab/>
      </w:r>
      <w:r w:rsidRPr="00930D6A">
        <w:tab/>
        <w:t>Gross Vehicle Mass</w:t>
      </w:r>
    </w:p>
    <w:p w14:paraId="6819893E" w14:textId="77777777" w:rsidR="00271A50" w:rsidRPr="00930D6A" w:rsidRDefault="00271A50" w:rsidP="00566551">
      <w:pPr>
        <w:tabs>
          <w:tab w:val="left" w:pos="1134"/>
        </w:tabs>
      </w:pPr>
      <w:r w:rsidRPr="00930D6A">
        <w:t>HEV</w:t>
      </w:r>
      <w:r w:rsidRPr="00930D6A">
        <w:tab/>
      </w:r>
      <w:r w:rsidRPr="00930D6A">
        <w:tab/>
        <w:t>Hybrid Electric Vehicle</w:t>
      </w:r>
    </w:p>
    <w:p w14:paraId="36B30FCD" w14:textId="77777777" w:rsidR="00271A50" w:rsidRPr="00930D6A" w:rsidRDefault="00271A50" w:rsidP="00566551">
      <w:pPr>
        <w:tabs>
          <w:tab w:val="left" w:pos="1134"/>
        </w:tabs>
      </w:pPr>
      <w:r w:rsidRPr="00930D6A">
        <w:t>ICEV</w:t>
      </w:r>
      <w:r w:rsidRPr="00930D6A">
        <w:tab/>
      </w:r>
      <w:r w:rsidRPr="00930D6A">
        <w:tab/>
        <w:t>Internal Combustion Engine Vehicle</w:t>
      </w:r>
    </w:p>
    <w:p w14:paraId="0E72041E" w14:textId="3768E754" w:rsidR="00271A50" w:rsidRDefault="00271A50" w:rsidP="00566551">
      <w:pPr>
        <w:tabs>
          <w:tab w:val="left" w:pos="1134"/>
        </w:tabs>
      </w:pPr>
      <w:r w:rsidRPr="00930D6A">
        <w:t>ITSOC</w:t>
      </w:r>
      <w:r w:rsidRPr="00930D6A">
        <w:tab/>
      </w:r>
      <w:r w:rsidRPr="00930D6A">
        <w:tab/>
        <w:t>Infrastructure and Transport Senior Officials’ Committee</w:t>
      </w:r>
    </w:p>
    <w:p w14:paraId="4714A1CE" w14:textId="77777777" w:rsidR="00271A50" w:rsidRPr="00930D6A" w:rsidRDefault="00271A50" w:rsidP="00566551">
      <w:pPr>
        <w:tabs>
          <w:tab w:val="left" w:pos="1134"/>
        </w:tabs>
      </w:pPr>
      <w:r w:rsidRPr="00930D6A">
        <w:t>MUARC</w:t>
      </w:r>
      <w:r w:rsidRPr="00930D6A">
        <w:tab/>
      </w:r>
      <w:r w:rsidRPr="00930D6A">
        <w:tab/>
        <w:t>Monash University Accident Research Centre</w:t>
      </w:r>
    </w:p>
    <w:p w14:paraId="7D902A6F" w14:textId="77777777" w:rsidR="00271A50" w:rsidRPr="00930D6A" w:rsidRDefault="00271A50" w:rsidP="00566551">
      <w:pPr>
        <w:tabs>
          <w:tab w:val="left" w:pos="1134"/>
        </w:tabs>
      </w:pPr>
      <w:r w:rsidRPr="00930D6A">
        <w:t>NHTSA</w:t>
      </w:r>
      <w:r w:rsidRPr="00930D6A">
        <w:tab/>
      </w:r>
      <w:r w:rsidRPr="00930D6A">
        <w:tab/>
        <w:t>National Highway Traffic Safety Administration</w:t>
      </w:r>
    </w:p>
    <w:p w14:paraId="1EB8D2EC" w14:textId="31C58F09" w:rsidR="00271A50" w:rsidRPr="00930D6A" w:rsidRDefault="00271A50" w:rsidP="00566551">
      <w:pPr>
        <w:tabs>
          <w:tab w:val="left" w:pos="1134"/>
        </w:tabs>
      </w:pPr>
      <w:r w:rsidRPr="00930D6A">
        <w:t>NRSS</w:t>
      </w:r>
      <w:r w:rsidRPr="00930D6A">
        <w:tab/>
      </w:r>
      <w:r w:rsidRPr="00930D6A">
        <w:tab/>
        <w:t xml:space="preserve">National Road Safety Strategy </w:t>
      </w:r>
    </w:p>
    <w:p w14:paraId="33805F1C" w14:textId="010452D6" w:rsidR="00271A50" w:rsidRDefault="00271A50" w:rsidP="00566551">
      <w:pPr>
        <w:tabs>
          <w:tab w:val="left" w:pos="1134"/>
        </w:tabs>
      </w:pPr>
      <w:r w:rsidRPr="00930D6A">
        <w:t>PEV</w:t>
      </w:r>
      <w:r w:rsidRPr="00930D6A">
        <w:tab/>
      </w:r>
      <w:r w:rsidRPr="00930D6A">
        <w:tab/>
        <w:t>Pure Electric Vehicle</w:t>
      </w:r>
    </w:p>
    <w:p w14:paraId="1DEA846E" w14:textId="2F2B3F34" w:rsidR="00763F63" w:rsidRPr="00930D6A" w:rsidRDefault="00763F63" w:rsidP="00566551">
      <w:pPr>
        <w:tabs>
          <w:tab w:val="left" w:pos="1134"/>
        </w:tabs>
      </w:pPr>
      <w:r>
        <w:t>QRTV</w:t>
      </w:r>
      <w:r>
        <w:tab/>
        <w:t>Quiet Road Transport Vehicle</w:t>
      </w:r>
    </w:p>
    <w:p w14:paraId="5ECD7190" w14:textId="77777777" w:rsidR="00271A50" w:rsidRPr="00930D6A" w:rsidRDefault="00271A50" w:rsidP="00566551">
      <w:pPr>
        <w:tabs>
          <w:tab w:val="left" w:pos="1134"/>
        </w:tabs>
      </w:pPr>
      <w:r w:rsidRPr="00930D6A">
        <w:t>RBM</w:t>
      </w:r>
      <w:r w:rsidRPr="00930D6A">
        <w:tab/>
      </w:r>
      <w:r w:rsidRPr="00930D6A">
        <w:tab/>
        <w:t>Regulatory Burden Measurement</w:t>
      </w:r>
    </w:p>
    <w:p w14:paraId="0A8A8A97" w14:textId="77777777" w:rsidR="00271A50" w:rsidRPr="00930D6A" w:rsidRDefault="00271A50" w:rsidP="00566551">
      <w:pPr>
        <w:tabs>
          <w:tab w:val="left" w:pos="1134"/>
        </w:tabs>
      </w:pPr>
      <w:r w:rsidRPr="00930D6A">
        <w:t>RVSA</w:t>
      </w:r>
      <w:r w:rsidRPr="00930D6A">
        <w:tab/>
      </w:r>
      <w:r w:rsidRPr="00930D6A">
        <w:tab/>
        <w:t>Road Vehicle Standards Act 2018</w:t>
      </w:r>
    </w:p>
    <w:p w14:paraId="3B3D3EF9" w14:textId="77777777" w:rsidR="00271A50" w:rsidRDefault="00271A50" w:rsidP="00566551">
      <w:pPr>
        <w:tabs>
          <w:tab w:val="left" w:pos="1134"/>
        </w:tabs>
      </w:pPr>
      <w:r w:rsidRPr="00930D6A">
        <w:t>UN</w:t>
      </w:r>
      <w:r w:rsidRPr="00930D6A">
        <w:tab/>
      </w:r>
      <w:r w:rsidRPr="00930D6A">
        <w:tab/>
        <w:t>United Nations</w:t>
      </w:r>
    </w:p>
    <w:p w14:paraId="37A5A535" w14:textId="77777777" w:rsidR="00271A50" w:rsidRPr="00930D6A" w:rsidRDefault="00271A50" w:rsidP="00566551">
      <w:pPr>
        <w:tabs>
          <w:tab w:val="left" w:pos="1134"/>
        </w:tabs>
      </w:pPr>
      <w:r w:rsidRPr="00023556">
        <w:t>UN CRPD</w:t>
      </w:r>
      <w:r w:rsidRPr="00023556">
        <w:tab/>
        <w:t xml:space="preserve">United Nations Convention on the Rights of Persons with Disabilities </w:t>
      </w:r>
    </w:p>
    <w:p w14:paraId="68BFB86B" w14:textId="7FB1B8BB" w:rsidR="00271A50" w:rsidRPr="00930D6A" w:rsidRDefault="00271A50" w:rsidP="00566551">
      <w:pPr>
        <w:tabs>
          <w:tab w:val="left" w:pos="1134"/>
        </w:tabs>
      </w:pPr>
      <w:r w:rsidRPr="00930D6A">
        <w:t>US</w:t>
      </w:r>
      <w:r w:rsidRPr="00930D6A">
        <w:tab/>
      </w:r>
      <w:r w:rsidRPr="00930D6A">
        <w:tab/>
        <w:t>United States</w:t>
      </w:r>
    </w:p>
    <w:p w14:paraId="6008DD76" w14:textId="2A637704" w:rsidR="00E716BD" w:rsidRPr="00930D6A" w:rsidRDefault="00E716BD" w:rsidP="00566551">
      <w:pPr>
        <w:tabs>
          <w:tab w:val="left" w:pos="1134"/>
        </w:tabs>
      </w:pPr>
      <w:r>
        <w:t xml:space="preserve">VRU </w:t>
      </w:r>
      <w:r>
        <w:tab/>
        <w:t>Vulnerable Road Users</w:t>
      </w:r>
    </w:p>
    <w:p w14:paraId="1A1D2469" w14:textId="7B911CEC" w:rsidR="00763F63" w:rsidRPr="00930D6A" w:rsidRDefault="00763F63" w:rsidP="00BF6EF4">
      <w:pPr>
        <w:tabs>
          <w:tab w:val="left" w:pos="1134"/>
        </w:tabs>
        <w:ind w:left="1134" w:hanging="1134"/>
      </w:pPr>
      <w:r>
        <w:t>VSCF</w:t>
      </w:r>
      <w:r w:rsidRPr="00930D6A">
        <w:tab/>
      </w:r>
      <w:r w:rsidRPr="00930D6A">
        <w:tab/>
      </w:r>
      <w:r>
        <w:t xml:space="preserve">Vehicle Standards Consultative Forum (formerly </w:t>
      </w:r>
      <w:r w:rsidRPr="00930D6A">
        <w:t>Strategic Vehicle Safety and Environment Group</w:t>
      </w:r>
      <w:r>
        <w:t xml:space="preserve"> (SVSEG))</w:t>
      </w:r>
    </w:p>
    <w:p w14:paraId="1E12DCBB" w14:textId="77777777" w:rsidR="00271A50" w:rsidRPr="00930D6A" w:rsidRDefault="00271A50" w:rsidP="00566551">
      <w:pPr>
        <w:tabs>
          <w:tab w:val="left" w:pos="1134"/>
        </w:tabs>
      </w:pPr>
      <w:r w:rsidRPr="00930D6A">
        <w:t>WP.29</w:t>
      </w:r>
      <w:r w:rsidRPr="00930D6A">
        <w:tab/>
      </w:r>
      <w:r w:rsidRPr="00930D6A">
        <w:tab/>
        <w:t>U</w:t>
      </w:r>
      <w:r>
        <w:t>nited Nations</w:t>
      </w:r>
      <w:r w:rsidRPr="00930D6A">
        <w:t xml:space="preserve"> World Forum for the Harmonization of Vehicle Regulations</w:t>
      </w:r>
    </w:p>
    <w:p w14:paraId="54AAAF13" w14:textId="77777777" w:rsidR="00271A50" w:rsidRPr="00930D6A" w:rsidRDefault="00271A50" w:rsidP="00271A50">
      <w:r w:rsidRPr="00930D6A">
        <w:br w:type="page"/>
      </w:r>
    </w:p>
    <w:p w14:paraId="330B4E22" w14:textId="1A5440A6" w:rsidR="00271A50" w:rsidRPr="00930D6A" w:rsidRDefault="00566551" w:rsidP="00566551">
      <w:pPr>
        <w:pStyle w:val="Heading2"/>
      </w:pPr>
      <w:bookmarkStart w:id="274" w:name="_Toc128476483"/>
      <w:bookmarkStart w:id="275" w:name="_Toc151556438"/>
      <w:bookmarkStart w:id="276" w:name="_Toc153795446"/>
      <w:r>
        <w:lastRenderedPageBreak/>
        <w:t xml:space="preserve">Appendix </w:t>
      </w:r>
      <w:r w:rsidR="00BF6EF4">
        <w:t>F</w:t>
      </w:r>
      <w:r>
        <w:t>—</w:t>
      </w:r>
      <w:r w:rsidR="00271A50" w:rsidRPr="00930D6A">
        <w:t>Glossary of Terms</w:t>
      </w:r>
      <w:bookmarkEnd w:id="274"/>
      <w:bookmarkEnd w:id="275"/>
      <w:bookmarkEnd w:id="276"/>
    </w:p>
    <w:p w14:paraId="53C14D36" w14:textId="77777777" w:rsidR="00271A50" w:rsidRPr="00930D6A" w:rsidRDefault="00271A50" w:rsidP="00271A50">
      <w:r w:rsidRPr="00930D6A">
        <w:t>Benefit-Cost Ratio: The ratio of expected total (gross) benefits to expected total costs (in terms of their present monetary value) for a change of policy relative to business as usual</w:t>
      </w:r>
    </w:p>
    <w:p w14:paraId="39BBE8CF" w14:textId="77777777" w:rsidR="00271A50" w:rsidRPr="00930D6A" w:rsidRDefault="00271A50" w:rsidP="00271A50">
      <w:r w:rsidRPr="00930D6A">
        <w:t>Bus (or Omnibus): A passenger vehicle having more than nine seating positions, including that of the driver</w:t>
      </w:r>
    </w:p>
    <w:p w14:paraId="78DF1F05" w14:textId="77777777" w:rsidR="00271A50" w:rsidRPr="00930D6A" w:rsidRDefault="00271A50" w:rsidP="00271A50">
      <w:r w:rsidRPr="00930D6A">
        <w:t>Certification: Assessment of compliance to the requirements of a regulation/standard. Can relate to parts, sub-assemblies, or a whole vehicle</w:t>
      </w:r>
    </w:p>
    <w:p w14:paraId="22B5EA25" w14:textId="77777777" w:rsidR="00271A50" w:rsidRPr="00930D6A" w:rsidRDefault="00271A50" w:rsidP="00271A50">
      <w:r w:rsidRPr="00930D6A">
        <w:t>Crash: Any apparently unpremeditated event reported to police, or other relevant authority, and resulting in death, injury or property damage attributable to the movement of a road vehicle on a public road</w:t>
      </w:r>
    </w:p>
    <w:p w14:paraId="37E45380" w14:textId="77777777" w:rsidR="00271A50" w:rsidRPr="00930D6A" w:rsidRDefault="00271A50" w:rsidP="00271A50">
      <w:r w:rsidRPr="00930D6A">
        <w:t>Discount Rate: A rate of interest used to translate costs which will be incurred and benefits which will be received across future years into present day values</w:t>
      </w:r>
    </w:p>
    <w:p w14:paraId="4D6428F8" w14:textId="77777777" w:rsidR="00271A50" w:rsidRPr="00930D6A" w:rsidRDefault="00271A50" w:rsidP="00271A50">
      <w:r w:rsidRPr="00930D6A">
        <w:t>Fatal Crash: A crash for which there is at least one death</w:t>
      </w:r>
    </w:p>
    <w:p w14:paraId="16849946" w14:textId="77777777" w:rsidR="00271A50" w:rsidRPr="00930D6A" w:rsidRDefault="00271A50" w:rsidP="00271A50">
      <w:r w:rsidRPr="00930D6A">
        <w:t>Gross Vehicle Mass: The maximum laden mass of a motor vehicle as specified by the manufacturer.</w:t>
      </w:r>
    </w:p>
    <w:p w14:paraId="77F8CA79" w14:textId="77777777" w:rsidR="00271A50" w:rsidRPr="00930D6A" w:rsidRDefault="00271A50" w:rsidP="00271A50">
      <w:r w:rsidRPr="00930D6A">
        <w:t>Hospitalised Injury: A person admitted to hospital from a crash occurring in traffic. Traffic excludes off-road and unknown location</w:t>
      </w:r>
    </w:p>
    <w:p w14:paraId="1E7C7F11" w14:textId="760F33F3" w:rsidR="00271A50" w:rsidRDefault="00271A50" w:rsidP="00271A50">
      <w:r w:rsidRPr="00930D6A">
        <w:t xml:space="preserve">Light Vehicle: For the purposes of this </w:t>
      </w:r>
      <w:r>
        <w:t>Impact Analysis</w:t>
      </w:r>
      <w:r w:rsidRPr="00930D6A">
        <w:t>, a passenger vehicle with nine seats or less or goods carrying vehicle with a gross vehicle mass up to 3.5 tonnes</w:t>
      </w:r>
      <w:r w:rsidR="00BF6EF4">
        <w:t>. These include:</w:t>
      </w:r>
    </w:p>
    <w:p w14:paraId="3D0E9FFC" w14:textId="77777777" w:rsidR="00BF6EF4" w:rsidRDefault="00BF6EF4" w:rsidP="00BF6EF4">
      <w:pPr>
        <w:tabs>
          <w:tab w:val="left" w:pos="1134"/>
        </w:tabs>
        <w:ind w:left="2265" w:hanging="2265"/>
      </w:pPr>
      <w:r>
        <w:t>MA Category Vehicle</w:t>
      </w:r>
      <w:r>
        <w:tab/>
      </w:r>
      <w:r w:rsidRPr="00763F63">
        <w:t>A passenger vehicle, not being an off-road passenger vehicle or a forward-control passenger vehicle, having up to 9 seating positions, including that of the driver.</w:t>
      </w:r>
    </w:p>
    <w:p w14:paraId="751C6374" w14:textId="77777777" w:rsidR="00BF6EF4" w:rsidRDefault="00BF6EF4" w:rsidP="00BF6EF4">
      <w:pPr>
        <w:tabs>
          <w:tab w:val="left" w:pos="1134"/>
        </w:tabs>
        <w:ind w:left="2265" w:hanging="2265"/>
      </w:pPr>
      <w:r>
        <w:t>MB Category Vehicle</w:t>
      </w:r>
      <w:r>
        <w:tab/>
      </w:r>
      <w:r w:rsidRPr="00763F63">
        <w:t>A passenger vehicle, not being an off-road passenger vehicle, having up to 9 seating positions, including that of the driver, and in which the centre of the steering wheel is in the forward quarter of the vehicle’s ‘Total Length</w:t>
      </w:r>
    </w:p>
    <w:p w14:paraId="5D206255" w14:textId="77777777" w:rsidR="00BF6EF4" w:rsidRDefault="00BF6EF4" w:rsidP="00BF6EF4">
      <w:pPr>
        <w:tabs>
          <w:tab w:val="left" w:pos="1134"/>
        </w:tabs>
        <w:ind w:left="2265" w:hanging="2265"/>
      </w:pPr>
      <w:r>
        <w:t>MC Category Vehicle</w:t>
      </w:r>
      <w:r>
        <w:tab/>
        <w:t xml:space="preserve">A passenger vehicle having up to 9 seating positions, including that of the driver and being designed with special features for off-road operation. </w:t>
      </w:r>
    </w:p>
    <w:p w14:paraId="0C227306" w14:textId="3B3FF46B" w:rsidR="00BF6EF4" w:rsidRPr="00930D6A" w:rsidRDefault="00BF6EF4" w:rsidP="00BF6EF4">
      <w:pPr>
        <w:tabs>
          <w:tab w:val="left" w:pos="1134"/>
        </w:tabs>
      </w:pPr>
      <w:r>
        <w:t>NA Category Vehicle</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not exceeding 3.5 tonnes.</w:t>
      </w:r>
    </w:p>
    <w:p w14:paraId="18F6433D" w14:textId="3E6EDD48" w:rsidR="00BF6EF4" w:rsidRDefault="00271A50" w:rsidP="00BF6EF4">
      <w:pPr>
        <w:tabs>
          <w:tab w:val="left" w:pos="1134"/>
        </w:tabs>
      </w:pPr>
      <w:r w:rsidRPr="00930D6A">
        <w:t xml:space="preserve">Heavy Vehicle: For the purposes of this </w:t>
      </w:r>
      <w:r>
        <w:t>Impact Analysis</w:t>
      </w:r>
      <w:r w:rsidRPr="00930D6A">
        <w:t>, a passenger vehicle with more than nine seats or goods carrying vehicle with a gross vehicle mass over 3.5 tonnes</w:t>
      </w:r>
      <w:r w:rsidR="00BF6EF4">
        <w:t>. These include:</w:t>
      </w:r>
    </w:p>
    <w:p w14:paraId="546ED840" w14:textId="7D289558" w:rsidR="00BF6EF4" w:rsidRDefault="00BF6EF4" w:rsidP="00BF6EF4">
      <w:pPr>
        <w:tabs>
          <w:tab w:val="left" w:pos="1134"/>
        </w:tabs>
      </w:pPr>
      <w:r>
        <w:t>MD Category Vehicle</w:t>
      </w:r>
      <w:r>
        <w:tab/>
      </w:r>
      <w:r>
        <w:rPr>
          <w:color w:val="000000"/>
          <w:shd w:val="clear" w:color="auto" w:fill="FFFFFF"/>
        </w:rPr>
        <w:t xml:space="preserve">An omnibus with a </w:t>
      </w:r>
      <w:r>
        <w:rPr>
          <w:i/>
          <w:iCs/>
          <w:color w:val="000000"/>
          <w:shd w:val="clear" w:color="auto" w:fill="FFFFFF"/>
        </w:rPr>
        <w:t>Gross Vehicle Mass</w:t>
      </w:r>
      <w:r>
        <w:rPr>
          <w:color w:val="000000"/>
          <w:shd w:val="clear" w:color="auto" w:fill="FFFFFF"/>
        </w:rPr>
        <w:t xml:space="preserve"> not exceeding 5.0 tonnes.</w:t>
      </w:r>
    </w:p>
    <w:p w14:paraId="3B6AEE56" w14:textId="77777777" w:rsidR="00BF6EF4" w:rsidRPr="00930D6A" w:rsidRDefault="00BF6EF4" w:rsidP="00BF6EF4">
      <w:pPr>
        <w:tabs>
          <w:tab w:val="left" w:pos="1134"/>
        </w:tabs>
      </w:pPr>
      <w:r>
        <w:t>ME Category Vehicle</w:t>
      </w:r>
      <w:r>
        <w:tab/>
      </w:r>
      <w:r>
        <w:rPr>
          <w:color w:val="000000"/>
          <w:shd w:val="clear" w:color="auto" w:fill="FFFFFF"/>
        </w:rPr>
        <w:t xml:space="preserve">An omnibus with a </w:t>
      </w:r>
      <w:r>
        <w:rPr>
          <w:i/>
          <w:iCs/>
          <w:color w:val="000000"/>
          <w:shd w:val="clear" w:color="auto" w:fill="FFFFFF"/>
        </w:rPr>
        <w:t>Gross Vehicle Mass</w:t>
      </w:r>
      <w:r>
        <w:rPr>
          <w:color w:val="000000"/>
          <w:shd w:val="clear" w:color="auto" w:fill="FFFFFF"/>
        </w:rPr>
        <w:t xml:space="preserve"> exceeding 5.0 tonnes.</w:t>
      </w:r>
    </w:p>
    <w:p w14:paraId="62162100" w14:textId="77777777" w:rsidR="00BF6EF4" w:rsidRDefault="00BF6EF4" w:rsidP="00BF6EF4">
      <w:pPr>
        <w:tabs>
          <w:tab w:val="left" w:pos="1134"/>
        </w:tabs>
        <w:ind w:left="2265" w:hanging="2265"/>
      </w:pPr>
      <w:r>
        <w:t>NB Category Vehicle</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exceeding 3.5 tonnes but not exceeding 12.0 tonnes.</w:t>
      </w:r>
    </w:p>
    <w:p w14:paraId="29237370" w14:textId="4BE29D12" w:rsidR="00271A50" w:rsidRPr="00930D6A" w:rsidRDefault="00BF6EF4" w:rsidP="00BF6EF4">
      <w:pPr>
        <w:tabs>
          <w:tab w:val="left" w:pos="1134"/>
        </w:tabs>
      </w:pPr>
      <w:r>
        <w:t xml:space="preserve">NC Category Vehicle </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exceeding 12.0 tonne</w:t>
      </w:r>
    </w:p>
    <w:p w14:paraId="5010555F" w14:textId="77777777" w:rsidR="00271A50" w:rsidRPr="00930D6A" w:rsidRDefault="00271A50" w:rsidP="00271A50">
      <w:r w:rsidRPr="00930D6A">
        <w:t>Net Benefit: The sum of expected benefits (in monetary terms), less expected costs associated with a change of policy relative to business as usual</w:t>
      </w:r>
    </w:p>
    <w:p w14:paraId="1DA7F482" w14:textId="77777777" w:rsidR="00271A50" w:rsidRPr="00930D6A" w:rsidRDefault="00271A50" w:rsidP="00271A50">
      <w:r w:rsidRPr="00930D6A">
        <w:t>Net Present Value (NPV): The difference between the present economic value (determined using an appropriate discount rate) of all expected benefits and costs over time due to a change of policy relative to business as usual.</w:t>
      </w:r>
    </w:p>
    <w:p w14:paraId="4F5BCE48" w14:textId="77777777" w:rsidR="00271A50" w:rsidRPr="00930D6A" w:rsidRDefault="00271A50" w:rsidP="00271A50">
      <w:r w:rsidRPr="00930D6A">
        <w:lastRenderedPageBreak/>
        <w:t>Road Crash Fatality: A person who dies within 30 days of a crash as a result of injuries received in that crash</w:t>
      </w:r>
    </w:p>
    <w:p w14:paraId="10057CB2" w14:textId="77777777" w:rsidR="00271A50" w:rsidRPr="00930D6A" w:rsidRDefault="00271A50" w:rsidP="00271A50">
      <w:r w:rsidRPr="00930D6A">
        <w:t>Type Approval: Written approval of an authority/body that a vehicle type (i.e., model design) satisfies a specific technical requirement</w:t>
      </w:r>
    </w:p>
    <w:sectPr w:rsidR="00271A50" w:rsidRPr="00930D6A" w:rsidSect="0047406A">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EDDC" w14:textId="77777777" w:rsidR="00263819" w:rsidRDefault="00263819" w:rsidP="00FC413F">
      <w:pPr>
        <w:spacing w:after="0"/>
      </w:pPr>
      <w:r>
        <w:separator/>
      </w:r>
    </w:p>
  </w:endnote>
  <w:endnote w:type="continuationSeparator" w:id="0">
    <w:p w14:paraId="331CE727" w14:textId="77777777" w:rsidR="00263819" w:rsidRDefault="00263819" w:rsidP="00FC413F">
      <w:pPr>
        <w:spacing w:after="0"/>
      </w:pPr>
      <w:r>
        <w:continuationSeparator/>
      </w:r>
    </w:p>
  </w:endnote>
  <w:endnote w:type="continuationNotice" w:id="1">
    <w:p w14:paraId="092C9FA4" w14:textId="77777777" w:rsidR="00263819" w:rsidRDefault="002638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0684" w14:textId="77777777" w:rsidR="0095794E" w:rsidRDefault="0095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0FE5" w14:textId="4A53678E" w:rsidR="00CB5CB6" w:rsidRDefault="00CB5CB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Final Impact Analysis for Improving Pedestrian Safety—Acoustic Vehicle Alerting Systems for Quiet Road Transport Vehicles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2E0CAA8B" w14:textId="77777777" w:rsidR="00CB5CB6" w:rsidRPr="00FC413F" w:rsidRDefault="00CB5CB6" w:rsidP="00953CCD">
    <w:pPr>
      <w:pStyle w:val="Footer"/>
      <w:tabs>
        <w:tab w:val="clear" w:pos="4513"/>
        <w:tab w:val="clear" w:pos="9026"/>
      </w:tabs>
      <w:ind w:left="-1418"/>
      <w:rPr>
        <w:rFonts w:cs="Segoe UI"/>
        <w:szCs w:val="18"/>
      </w:rPr>
    </w:pPr>
    <w:r>
      <w:rPr>
        <w:noProof/>
        <w:lang w:eastAsia="en-AU"/>
      </w:rPr>
      <w:drawing>
        <wp:inline distT="0" distB="0" distL="0" distR="0" wp14:anchorId="6A4FEC8D" wp14:editId="1732D99C">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09DA" w14:textId="08AD04D1" w:rsidR="00CB5CB6" w:rsidRPr="00FC413F" w:rsidRDefault="00CB5CB6" w:rsidP="00113A03">
    <w:pPr>
      <w:pStyle w:val="Footer"/>
      <w:tabs>
        <w:tab w:val="clear" w:pos="4513"/>
        <w:tab w:val="clear" w:pos="9026"/>
      </w:tabs>
      <w:ind w:left="-1418"/>
      <w:rPr>
        <w:rFonts w:cs="Segoe UI"/>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50D3" w14:textId="1FA5760D" w:rsidR="00CB5CB6" w:rsidRDefault="00CB5CB6" w:rsidP="00CC14A8">
    <w:pPr>
      <w:pStyle w:val="Footer"/>
      <w:tabs>
        <w:tab w:val="clear" w:pos="4513"/>
        <w:tab w:val="clear" w:pos="9026"/>
        <w:tab w:val="right" w:pos="9475"/>
      </w:tabs>
      <w:spacing w:after="120"/>
      <w:jc w:val="right"/>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4565A">
      <w:rPr>
        <w:rFonts w:cs="Segoe UI"/>
        <w:noProof/>
        <w:szCs w:val="18"/>
      </w:rPr>
      <w:t>21</w:t>
    </w:r>
    <w:r>
      <w:rPr>
        <w:rFonts w:cs="Segoe UI"/>
        <w:szCs w:val="18"/>
      </w:rPr>
      <w:fldChar w:fldCharType="end"/>
    </w:r>
  </w:p>
  <w:p w14:paraId="48F76A38" w14:textId="77777777" w:rsidR="00CB5CB6" w:rsidRPr="00FC413F" w:rsidRDefault="00CB5CB6" w:rsidP="00953CCD">
    <w:pPr>
      <w:pStyle w:val="Footer"/>
      <w:tabs>
        <w:tab w:val="clear" w:pos="4513"/>
        <w:tab w:val="clear" w:pos="9026"/>
      </w:tabs>
      <w:ind w:left="-1418"/>
      <w:rPr>
        <w:rFonts w:cs="Segoe UI"/>
        <w:szCs w:val="18"/>
      </w:rPr>
    </w:pPr>
    <w:r>
      <w:rPr>
        <w:noProof/>
        <w:lang w:eastAsia="en-AU"/>
      </w:rPr>
      <w:drawing>
        <wp:inline distT="0" distB="0" distL="0" distR="0" wp14:anchorId="468B361E" wp14:editId="65A7F0F7">
          <wp:extent cx="7559650" cy="150641"/>
          <wp:effectExtent l="0" t="0" r="0" b="1905"/>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7E4C" w14:textId="3576D6AB" w:rsidR="00CB5CB6" w:rsidRDefault="00CB5CB6" w:rsidP="00CC14A8">
    <w:pPr>
      <w:pStyle w:val="Footer"/>
      <w:tabs>
        <w:tab w:val="clear" w:pos="4513"/>
        <w:tab w:val="clear" w:pos="9026"/>
        <w:tab w:val="right" w:pos="9475"/>
      </w:tabs>
      <w:spacing w:after="120"/>
      <w:jc w:val="right"/>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4565A">
      <w:rPr>
        <w:rFonts w:cs="Segoe UI"/>
        <w:noProof/>
        <w:szCs w:val="18"/>
      </w:rPr>
      <w:t>6</w:t>
    </w:r>
    <w:r>
      <w:rPr>
        <w:rFonts w:cs="Segoe UI"/>
        <w:szCs w:val="18"/>
      </w:rPr>
      <w:fldChar w:fldCharType="end"/>
    </w:r>
  </w:p>
  <w:p w14:paraId="31A61C8D" w14:textId="77777777" w:rsidR="00CB5CB6" w:rsidRPr="00FC413F" w:rsidRDefault="00CB5CB6" w:rsidP="00796AB4">
    <w:pPr>
      <w:pStyle w:val="Footer"/>
      <w:tabs>
        <w:tab w:val="clear" w:pos="4513"/>
        <w:tab w:val="clear" w:pos="9026"/>
      </w:tabs>
      <w:ind w:left="-1418"/>
      <w:rPr>
        <w:rFonts w:cs="Segoe UI"/>
        <w:szCs w:val="18"/>
      </w:rPr>
    </w:pPr>
    <w:r>
      <w:rPr>
        <w:noProof/>
        <w:lang w:eastAsia="en-AU"/>
      </w:rPr>
      <w:drawing>
        <wp:inline distT="0" distB="0" distL="0" distR="0" wp14:anchorId="76D42C49" wp14:editId="44B3F6B0">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11BA" w14:textId="77777777" w:rsidR="00263819" w:rsidRDefault="00263819" w:rsidP="00FC413F">
      <w:pPr>
        <w:spacing w:after="0"/>
      </w:pPr>
      <w:r>
        <w:separator/>
      </w:r>
    </w:p>
  </w:footnote>
  <w:footnote w:type="continuationSeparator" w:id="0">
    <w:p w14:paraId="6903CD04" w14:textId="77777777" w:rsidR="00263819" w:rsidRDefault="00263819" w:rsidP="00FC413F">
      <w:pPr>
        <w:spacing w:after="0"/>
      </w:pPr>
      <w:r>
        <w:continuationSeparator/>
      </w:r>
    </w:p>
  </w:footnote>
  <w:footnote w:type="continuationNotice" w:id="1">
    <w:p w14:paraId="24F9F88E" w14:textId="77777777" w:rsidR="00263819" w:rsidRDefault="00263819">
      <w:pPr>
        <w:spacing w:after="0"/>
      </w:pPr>
    </w:p>
  </w:footnote>
  <w:footnote w:id="2">
    <w:p w14:paraId="2BBA0FB9" w14:textId="0CC515B8" w:rsidR="00CB5CB6" w:rsidRDefault="00CB5CB6">
      <w:pPr>
        <w:pStyle w:val="FootnoteText"/>
      </w:pPr>
      <w:r>
        <w:rPr>
          <w:rStyle w:val="FootnoteReference"/>
        </w:rPr>
        <w:footnoteRef/>
      </w:r>
      <w:r>
        <w:t xml:space="preserve"> BITRE, </w:t>
      </w:r>
      <w:r w:rsidRPr="00653988">
        <w:t>Road Trauma Australia—Annual Summaries</w:t>
      </w:r>
      <w:r>
        <w:t xml:space="preserve">, </w:t>
      </w:r>
      <w:r w:rsidRPr="00CF7979">
        <w:t xml:space="preserve">Australia, </w:t>
      </w:r>
      <w:r>
        <w:t>May</w:t>
      </w:r>
      <w:r w:rsidRPr="00CF7979">
        <w:t xml:space="preserve"> 2023</w:t>
      </w:r>
    </w:p>
  </w:footnote>
  <w:footnote w:id="3">
    <w:p w14:paraId="470B95AE" w14:textId="7FDEFB8C" w:rsidR="00CB5CB6" w:rsidRDefault="00CB5CB6" w:rsidP="00271A50">
      <w:pPr>
        <w:pStyle w:val="FootnoteText"/>
      </w:pPr>
      <w:r>
        <w:rPr>
          <w:rStyle w:val="FootnoteReference"/>
        </w:rPr>
        <w:footnoteRef/>
      </w:r>
      <w:r>
        <w:t xml:space="preserve"> In this Impact Analysis, the term ‘Quiet road transport vehicles’ (QRTVs) means vehicles that can be propelled for any period time without an internal combustion engine. These include battery electric vehicles (</w:t>
      </w:r>
      <w:r w:rsidRPr="00374847">
        <w:t>powered by an electric motor only</w:t>
      </w:r>
      <w:r>
        <w:t>)</w:t>
      </w:r>
      <w:r w:rsidRPr="00374847">
        <w:t>, hybrid electric vehicles</w:t>
      </w:r>
      <w:r>
        <w:t xml:space="preserve"> (</w:t>
      </w:r>
      <w:r w:rsidRPr="00374847">
        <w:t>powered by both an electric motor and an internal combustion engine</w:t>
      </w:r>
      <w:r>
        <w:t xml:space="preserve">) and </w:t>
      </w:r>
      <w:r w:rsidRPr="00374847">
        <w:t xml:space="preserve">hydrogen fuel cell vehicles </w:t>
      </w:r>
      <w:r>
        <w:t>(</w:t>
      </w:r>
      <w:r w:rsidRPr="00374847">
        <w:t xml:space="preserve">which generate electricity to power the vehicle through a chemical </w:t>
      </w:r>
      <w:r>
        <w:t>reaction of hydrogen and oxygen).</w:t>
      </w:r>
    </w:p>
    <w:p w14:paraId="227A0297" w14:textId="77777777" w:rsidR="00CB5CB6" w:rsidRDefault="00CB5CB6" w:rsidP="00271A50">
      <w:pPr>
        <w:pStyle w:val="FootnoteText"/>
      </w:pPr>
    </w:p>
  </w:footnote>
  <w:footnote w:id="4">
    <w:p w14:paraId="3DC20E2F" w14:textId="77777777" w:rsidR="00CB5CB6" w:rsidRDefault="00CB5CB6" w:rsidP="00063947">
      <w:pPr>
        <w:pStyle w:val="FootnoteText"/>
      </w:pPr>
      <w:r>
        <w:rPr>
          <w:rStyle w:val="FootnoteReference"/>
        </w:rPr>
        <w:footnoteRef/>
      </w:r>
      <w:r>
        <w:t xml:space="preserve"> Monash University Accident Research Centre, Pedestrian Distraction from Smartphones (July 2022) Report No.349</w:t>
      </w:r>
    </w:p>
  </w:footnote>
  <w:footnote w:id="5">
    <w:p w14:paraId="58A6E4CF" w14:textId="77777777" w:rsidR="00CB5CB6" w:rsidRDefault="00CB5CB6">
      <w:pPr>
        <w:pStyle w:val="FootnoteText"/>
      </w:pPr>
      <w:r>
        <w:rPr>
          <w:rStyle w:val="FootnoteReference"/>
        </w:rPr>
        <w:footnoteRef/>
      </w:r>
      <w:r>
        <w:t xml:space="preserve"> BITRE, National Crash Database; Road Vehicles, Australia, January 2023</w:t>
      </w:r>
    </w:p>
  </w:footnote>
  <w:footnote w:id="6">
    <w:p w14:paraId="654257ED" w14:textId="2865238B" w:rsidR="00CB5CB6" w:rsidRPr="00BC60B2" w:rsidRDefault="00CB5CB6">
      <w:pPr>
        <w:pStyle w:val="FootnoteText"/>
        <w:rPr>
          <w:lang w:val="en-US"/>
        </w:rPr>
      </w:pPr>
      <w:r>
        <w:rPr>
          <w:rStyle w:val="FootnoteReference"/>
        </w:rPr>
        <w:footnoteRef/>
      </w:r>
      <w:r>
        <w:t xml:space="preserve"> BITRE, </w:t>
      </w:r>
      <w:r w:rsidRPr="009A768F">
        <w:t>Road Deaths Australia—Monthly Bulletins</w:t>
      </w:r>
      <w:r>
        <w:t>, Australia, November 2023</w:t>
      </w:r>
    </w:p>
  </w:footnote>
  <w:footnote w:id="7">
    <w:p w14:paraId="4CD1F9D0" w14:textId="3F0F45ED" w:rsidR="00CB5CB6" w:rsidRDefault="00CB5CB6" w:rsidP="00321477">
      <w:pPr>
        <w:pStyle w:val="FootnoteText"/>
      </w:pPr>
      <w:r>
        <w:rPr>
          <w:rStyle w:val="FootnoteReference"/>
        </w:rPr>
        <w:footnoteRef/>
      </w:r>
      <w:r>
        <w:t xml:space="preserve"> BITRE, Road Vehicles, Australia, January 2023</w:t>
      </w:r>
    </w:p>
  </w:footnote>
  <w:footnote w:id="8">
    <w:p w14:paraId="2E698006" w14:textId="47FA5EFA" w:rsidR="00CB5CB6" w:rsidRDefault="00CB5CB6" w:rsidP="00321477">
      <w:pPr>
        <w:pStyle w:val="FootnoteText"/>
      </w:pPr>
      <w:r>
        <w:rPr>
          <w:rStyle w:val="FootnoteReference"/>
        </w:rPr>
        <w:footnoteRef/>
      </w:r>
      <w:r>
        <w:t xml:space="preserve"> VFACTS, National Report, July 2023</w:t>
      </w:r>
    </w:p>
  </w:footnote>
  <w:footnote w:id="9">
    <w:p w14:paraId="54D5CA94" w14:textId="401825A1" w:rsidR="00CB5CB6" w:rsidRPr="00C40A30" w:rsidRDefault="00CB5CB6" w:rsidP="00665959">
      <w:pPr>
        <w:pStyle w:val="FootnoteText"/>
        <w:ind w:left="142" w:hanging="142"/>
        <w:rPr>
          <w:rFonts w:asciiTheme="majorHAnsi" w:hAnsiTheme="majorHAnsi" w:cstheme="majorHAnsi"/>
          <w:sz w:val="18"/>
          <w:szCs w:val="18"/>
        </w:rPr>
      </w:pPr>
      <w:r w:rsidRPr="00C40A30">
        <w:rPr>
          <w:rStyle w:val="FootnoteReference"/>
          <w:rFonts w:cstheme="majorHAnsi"/>
          <w:sz w:val="18"/>
          <w:szCs w:val="18"/>
        </w:rPr>
        <w:footnoteRef/>
      </w:r>
      <w:r w:rsidRPr="00C40A30">
        <w:rPr>
          <w:rFonts w:asciiTheme="majorHAnsi" w:hAnsiTheme="majorHAnsi" w:cstheme="majorHAnsi"/>
          <w:sz w:val="18"/>
          <w:szCs w:val="18"/>
        </w:rPr>
        <w:t xml:space="preserve"> </w:t>
      </w:r>
      <w:r w:rsidRPr="009729B4">
        <w:rPr>
          <w:lang w:val="en-US"/>
        </w:rPr>
        <w:t xml:space="preserve">OIA, </w:t>
      </w:r>
      <w:hyperlink r:id="rId1" w:history="1">
        <w:r w:rsidRPr="009729B4">
          <w:rPr>
            <w:lang w:val="en-US"/>
          </w:rPr>
          <w:t>Australian Government Guide to Policy Impact Analysis</w:t>
        </w:r>
      </w:hyperlink>
      <w:r w:rsidRPr="009729B4">
        <w:rPr>
          <w:lang w:val="en-US"/>
        </w:rPr>
        <w:t>, Department of the Prime Minister and Cabinet, Australian Government, 17 February 2023, accessed 16 May 2023.</w:t>
      </w:r>
    </w:p>
  </w:footnote>
  <w:footnote w:id="10">
    <w:p w14:paraId="7EB7A771" w14:textId="6F8B36E3" w:rsidR="00CB5CB6" w:rsidRPr="00BF6EF4" w:rsidRDefault="00CB5CB6">
      <w:pPr>
        <w:pStyle w:val="FootnoteText"/>
        <w:rPr>
          <w:lang w:val="en-US"/>
        </w:rPr>
      </w:pPr>
      <w:r>
        <w:rPr>
          <w:rStyle w:val="FootnoteReference"/>
        </w:rPr>
        <w:footnoteRef/>
      </w:r>
      <w:r>
        <w:t xml:space="preserve"> </w:t>
      </w:r>
      <w:r>
        <w:rPr>
          <w:lang w:val="en-US"/>
        </w:rPr>
        <w:t>ADR categories MA, MB, MC and NA.</w:t>
      </w:r>
    </w:p>
  </w:footnote>
  <w:footnote w:id="11">
    <w:p w14:paraId="5F95F0B2" w14:textId="028232EC" w:rsidR="00CB5CB6" w:rsidRPr="00BF6EF4" w:rsidRDefault="00CB5CB6">
      <w:pPr>
        <w:pStyle w:val="FootnoteText"/>
        <w:rPr>
          <w:lang w:val="en-US"/>
        </w:rPr>
      </w:pPr>
      <w:r>
        <w:rPr>
          <w:rStyle w:val="FootnoteReference"/>
        </w:rPr>
        <w:footnoteRef/>
      </w:r>
      <w:r>
        <w:t xml:space="preserve"> </w:t>
      </w:r>
      <w:r>
        <w:rPr>
          <w:lang w:val="en-US"/>
        </w:rPr>
        <w:t>ADR categories MD, ME, NB and NC</w:t>
      </w:r>
    </w:p>
  </w:footnote>
  <w:footnote w:id="12">
    <w:p w14:paraId="15A4BAD5" w14:textId="4B1164BC" w:rsidR="00CB5CB6" w:rsidRDefault="00CB5CB6" w:rsidP="00271A50">
      <w:pPr>
        <w:pStyle w:val="FootnoteText"/>
      </w:pPr>
      <w:r>
        <w:rPr>
          <w:rStyle w:val="FootnoteReference"/>
        </w:rPr>
        <w:footnoteRef/>
      </w:r>
      <w:r>
        <w:t xml:space="preserve"> AEBS are designed to reduce the likelihood of a crash by warning the driver and then automatically braking to reduce impact speed when a collision is imminent.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DF6C" w14:textId="77777777" w:rsidR="0095794E" w:rsidRDefault="0095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1464" w14:textId="5797B7CD" w:rsidR="00CB5CB6" w:rsidRPr="00D56936" w:rsidRDefault="00CB5CB6" w:rsidP="00D56936">
    <w:pPr>
      <w:pStyle w:val="Header"/>
      <w:tabs>
        <w:tab w:val="clear" w:pos="4678"/>
      </w:tabs>
      <w:jc w:val="right"/>
      <w:rPr>
        <w:rFonts w:cs="Segoe UI Light"/>
        <w:color w:val="001C4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CE5" w14:textId="40778B4D" w:rsidR="00CB5CB6" w:rsidRDefault="00CB5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A1FA" w14:textId="68C6E2FC" w:rsidR="00CB5CB6" w:rsidRPr="00D56936" w:rsidRDefault="00CB5CB6" w:rsidP="00D56936">
    <w:pPr>
      <w:pStyle w:val="Header"/>
      <w:tabs>
        <w:tab w:val="clear" w:pos="4678"/>
      </w:tabs>
      <w:jc w:val="right"/>
      <w:rPr>
        <w:rFonts w:cs="Segoe UI Light"/>
        <w:color w:val="001C4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8E7D" w14:textId="7273255C" w:rsidR="00CB5CB6" w:rsidRPr="00D56936" w:rsidRDefault="00CB5CB6" w:rsidP="00796AB4">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074"/>
    <w:multiLevelType w:val="hybridMultilevel"/>
    <w:tmpl w:val="99DC3C1E"/>
    <w:lvl w:ilvl="0" w:tplc="075CD81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138A0"/>
    <w:multiLevelType w:val="hybridMultilevel"/>
    <w:tmpl w:val="04D0EEEC"/>
    <w:lvl w:ilvl="0" w:tplc="91665CF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621AED"/>
    <w:multiLevelType w:val="multilevel"/>
    <w:tmpl w:val="C2EED61A"/>
    <w:numStyleLink w:val="NumberedHeadings"/>
  </w:abstractNum>
  <w:abstractNum w:abstractNumId="5" w15:restartNumberingAfterBreak="0">
    <w:nsid w:val="125755F7"/>
    <w:multiLevelType w:val="multilevel"/>
    <w:tmpl w:val="695EC0A0"/>
    <w:styleLink w:val="DepartmentChapterHeadersNumbered"/>
    <w:lvl w:ilvl="0">
      <w:start w:val="1"/>
      <w:numFmt w:val="decimal"/>
      <w:lvlText w:val="Chapter %1:"/>
      <w:lvlJc w:val="left"/>
      <w:pPr>
        <w:ind w:left="1134" w:hanging="1134"/>
      </w:pPr>
    </w:lvl>
    <w:lvl w:ilvl="1">
      <w:start w:val="1"/>
      <w:numFmt w:val="decimal"/>
      <w:lvlText w:val="%1.%2"/>
      <w:lvlJc w:val="left"/>
      <w:pPr>
        <w:ind w:left="1134" w:hanging="1134"/>
      </w:pPr>
    </w:lvl>
    <w:lvl w:ilvl="2">
      <w:start w:val="1"/>
      <w:numFmt w:val="decimal"/>
      <w:lvlText w:val="%1.%2.%3"/>
      <w:lvlJc w:val="left"/>
      <w:pPr>
        <w:ind w:left="1418" w:hanging="1418"/>
      </w:p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1418"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8C776C"/>
    <w:multiLevelType w:val="hybridMultilevel"/>
    <w:tmpl w:val="6A6AE8C6"/>
    <w:lvl w:ilvl="0" w:tplc="21DEA78E">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0140F"/>
    <w:multiLevelType w:val="hybridMultilevel"/>
    <w:tmpl w:val="51220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061AFC"/>
    <w:multiLevelType w:val="hybridMultilevel"/>
    <w:tmpl w:val="E2FEE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DB78EE"/>
    <w:multiLevelType w:val="hybridMultilevel"/>
    <w:tmpl w:val="0CA6C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A3380A"/>
    <w:multiLevelType w:val="hybridMultilevel"/>
    <w:tmpl w:val="382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E6BCD"/>
    <w:multiLevelType w:val="multilevel"/>
    <w:tmpl w:val="5B2C35CE"/>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D0B3619"/>
    <w:multiLevelType w:val="hybridMultilevel"/>
    <w:tmpl w:val="52CA9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92779F"/>
    <w:multiLevelType w:val="hybridMultilevel"/>
    <w:tmpl w:val="A158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C287EE0"/>
    <w:multiLevelType w:val="hybridMultilevel"/>
    <w:tmpl w:val="4A5C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722256"/>
    <w:multiLevelType w:val="hybridMultilevel"/>
    <w:tmpl w:val="CC740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555B61"/>
    <w:multiLevelType w:val="hybridMultilevel"/>
    <w:tmpl w:val="C46E3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5D84588"/>
    <w:multiLevelType w:val="hybridMultilevel"/>
    <w:tmpl w:val="47B2C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B51B0E"/>
    <w:multiLevelType w:val="hybridMultilevel"/>
    <w:tmpl w:val="BEB4969C"/>
    <w:lvl w:ilvl="0" w:tplc="414C5748">
      <w:start w:val="1"/>
      <w:numFmt w:val="decimal"/>
      <w:pStyle w:val="Heading71"/>
      <w:suff w:val="nothing"/>
      <w:lvlText w:val="Appendix %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2539FE"/>
    <w:multiLevelType w:val="hybridMultilevel"/>
    <w:tmpl w:val="17DCD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727D0"/>
    <w:multiLevelType w:val="hybridMultilevel"/>
    <w:tmpl w:val="F9085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0170B3"/>
    <w:multiLevelType w:val="multilevel"/>
    <w:tmpl w:val="97B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9628D"/>
    <w:multiLevelType w:val="hybridMultilevel"/>
    <w:tmpl w:val="92EC1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D60CFF"/>
    <w:multiLevelType w:val="hybridMultilevel"/>
    <w:tmpl w:val="7744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557278"/>
    <w:multiLevelType w:val="hybridMultilevel"/>
    <w:tmpl w:val="1AC2F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DD367E"/>
    <w:multiLevelType w:val="hybridMultilevel"/>
    <w:tmpl w:val="29C4B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96DEF"/>
    <w:multiLevelType w:val="hybridMultilevel"/>
    <w:tmpl w:val="A64072A0"/>
    <w:lvl w:ilvl="0" w:tplc="5F1AD29E">
      <w:start w:val="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AF7695"/>
    <w:multiLevelType w:val="multilevel"/>
    <w:tmpl w:val="09E4DD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632BD7"/>
    <w:multiLevelType w:val="hybridMultilevel"/>
    <w:tmpl w:val="160891E6"/>
    <w:lvl w:ilvl="0" w:tplc="BF8E4F8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B141F7"/>
    <w:multiLevelType w:val="hybridMultilevel"/>
    <w:tmpl w:val="CC3CC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0B7D09"/>
    <w:multiLevelType w:val="hybridMultilevel"/>
    <w:tmpl w:val="3BE4F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9821EB"/>
    <w:multiLevelType w:val="hybridMultilevel"/>
    <w:tmpl w:val="D7125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3"/>
  </w:num>
  <w:num w:numId="2">
    <w:abstractNumId w:val="11"/>
  </w:num>
  <w:num w:numId="3">
    <w:abstractNumId w:val="24"/>
  </w:num>
  <w:num w:numId="4">
    <w:abstractNumId w:val="40"/>
  </w:num>
  <w:num w:numId="5">
    <w:abstractNumId w:val="21"/>
  </w:num>
  <w:num w:numId="6">
    <w:abstractNumId w:val="1"/>
  </w:num>
  <w:num w:numId="7">
    <w:abstractNumId w:val="19"/>
  </w:num>
  <w:num w:numId="8">
    <w:abstractNumId w:val="4"/>
    <w:lvlOverride w:ilvl="1">
      <w:lvl w:ilvl="1">
        <w:start w:val="1"/>
        <w:numFmt w:val="decimal"/>
        <w:pStyle w:val="Heading2Numbered"/>
        <w:lvlText w:val="%1.%2"/>
        <w:lvlJc w:val="left"/>
        <w:pPr>
          <w:ind w:left="851" w:hanging="851"/>
        </w:pPr>
        <w:rPr>
          <w:rFonts w:hint="default"/>
        </w:rPr>
      </w:lvl>
    </w:lvlOverride>
    <w:lvlOverride w:ilvl="2">
      <w:lvl w:ilvl="2">
        <w:start w:val="1"/>
        <w:numFmt w:val="decimal"/>
        <w:pStyle w:val="Heading3Numbered"/>
        <w:lvlText w:val="%1.%2.%3"/>
        <w:lvlJc w:val="left"/>
        <w:pPr>
          <w:ind w:left="1134" w:hanging="1134"/>
        </w:pPr>
        <w:rPr>
          <w:rFonts w:hint="default"/>
        </w:rPr>
      </w:lvl>
    </w:lvlOverride>
  </w:num>
  <w:num w:numId="9">
    <w:abstractNumId w:val="14"/>
  </w:num>
  <w:num w:numId="10">
    <w:abstractNumId w:val="16"/>
    <w:lvlOverride w:ilvl="0">
      <w:lvl w:ilvl="0">
        <w:start w:val="1"/>
        <w:numFmt w:val="upperLetter"/>
        <w:pStyle w:val="AppendixHeading1"/>
        <w:suff w:val="space"/>
        <w:lvlText w:val="Appendix %1 –"/>
        <w:lvlJc w:val="left"/>
        <w:pPr>
          <w:ind w:left="0" w:firstLine="0"/>
        </w:pPr>
        <w:rPr>
          <w:rFonts w:hint="default"/>
        </w:rPr>
      </w:lvl>
    </w:lvlOverride>
    <w:lvlOverride w:ilvl="1">
      <w:lvl w:ilvl="1">
        <w:start w:val="1"/>
        <w:numFmt w:val="decimal"/>
        <w:pStyle w:val="AppendixHeading2"/>
        <w:lvlText w:val="%1.%2"/>
        <w:lvlJc w:val="left"/>
        <w:pPr>
          <w:ind w:left="851" w:hanging="851"/>
        </w:pPr>
        <w:rPr>
          <w:rFonts w:hint="default"/>
        </w:rPr>
      </w:lvl>
    </w:lvlOverride>
  </w:num>
  <w:num w:numId="11">
    <w:abstractNumId w:val="27"/>
  </w:num>
  <w:num w:numId="12">
    <w:abstractNumId w:val="23"/>
  </w:num>
  <w:num w:numId="13">
    <w:abstractNumId w:val="5"/>
  </w:num>
  <w:num w:numId="14">
    <w:abstractNumId w:val="3"/>
  </w:num>
  <w:num w:numId="15">
    <w:abstractNumId w:val="12"/>
  </w:num>
  <w:num w:numId="16">
    <w:abstractNumId w:val="34"/>
  </w:num>
  <w:num w:numId="17">
    <w:abstractNumId w:val="10"/>
  </w:num>
  <w:num w:numId="18">
    <w:abstractNumId w:val="1"/>
  </w:num>
  <w:num w:numId="19">
    <w:abstractNumId w:val="9"/>
  </w:num>
  <w:num w:numId="20">
    <w:abstractNumId w:val="8"/>
  </w:num>
  <w:num w:numId="21">
    <w:abstractNumId w:val="7"/>
  </w:num>
  <w:num w:numId="22">
    <w:abstractNumId w:val="20"/>
  </w:num>
  <w:num w:numId="23">
    <w:abstractNumId w:val="38"/>
  </w:num>
  <w:num w:numId="24">
    <w:abstractNumId w:val="26"/>
  </w:num>
  <w:num w:numId="25">
    <w:abstractNumId w:val="13"/>
  </w:num>
  <w:num w:numId="26">
    <w:abstractNumId w:val="39"/>
  </w:num>
  <w:num w:numId="27">
    <w:abstractNumId w:val="15"/>
  </w:num>
  <w:num w:numId="28">
    <w:abstractNumId w:val="22"/>
  </w:num>
  <w:num w:numId="29">
    <w:abstractNumId w:val="31"/>
  </w:num>
  <w:num w:numId="30">
    <w:abstractNumId w:val="18"/>
  </w:num>
  <w:num w:numId="31">
    <w:abstractNumId w:val="29"/>
  </w:num>
  <w:num w:numId="32">
    <w:abstractNumId w:val="37"/>
  </w:num>
  <w:num w:numId="33">
    <w:abstractNumId w:val="30"/>
  </w:num>
  <w:num w:numId="34">
    <w:abstractNumId w:val="17"/>
  </w:num>
  <w:num w:numId="35">
    <w:abstractNumId w:val="32"/>
  </w:num>
  <w:num w:numId="36">
    <w:abstractNumId w:val="25"/>
  </w:num>
  <w:num w:numId="37">
    <w:abstractNumId w:val="6"/>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0"/>
  </w:num>
  <w:num w:numId="42">
    <w:abstractNumId w:val="36"/>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56"/>
    <w:rsid w:val="00001E76"/>
    <w:rsid w:val="0000270B"/>
    <w:rsid w:val="0001047C"/>
    <w:rsid w:val="00012D3A"/>
    <w:rsid w:val="00014676"/>
    <w:rsid w:val="0001745F"/>
    <w:rsid w:val="0002021C"/>
    <w:rsid w:val="00022239"/>
    <w:rsid w:val="00022539"/>
    <w:rsid w:val="0002330D"/>
    <w:rsid w:val="00030BE5"/>
    <w:rsid w:val="0003383D"/>
    <w:rsid w:val="00034A11"/>
    <w:rsid w:val="0003502E"/>
    <w:rsid w:val="0003567F"/>
    <w:rsid w:val="00035928"/>
    <w:rsid w:val="00036B50"/>
    <w:rsid w:val="00045767"/>
    <w:rsid w:val="000522EB"/>
    <w:rsid w:val="00055DCF"/>
    <w:rsid w:val="000624FB"/>
    <w:rsid w:val="0006289F"/>
    <w:rsid w:val="00063947"/>
    <w:rsid w:val="00063D48"/>
    <w:rsid w:val="00065614"/>
    <w:rsid w:val="00065CC5"/>
    <w:rsid w:val="000666C0"/>
    <w:rsid w:val="00071087"/>
    <w:rsid w:val="00072195"/>
    <w:rsid w:val="00073D28"/>
    <w:rsid w:val="000740FB"/>
    <w:rsid w:val="00077E38"/>
    <w:rsid w:val="000818C1"/>
    <w:rsid w:val="0008349E"/>
    <w:rsid w:val="00083FCD"/>
    <w:rsid w:val="0008524F"/>
    <w:rsid w:val="00085E9F"/>
    <w:rsid w:val="00087906"/>
    <w:rsid w:val="00090E62"/>
    <w:rsid w:val="00091EDC"/>
    <w:rsid w:val="000922A4"/>
    <w:rsid w:val="00093E55"/>
    <w:rsid w:val="00095363"/>
    <w:rsid w:val="000A2E83"/>
    <w:rsid w:val="000A3E10"/>
    <w:rsid w:val="000A7B6F"/>
    <w:rsid w:val="000B1E86"/>
    <w:rsid w:val="000C0244"/>
    <w:rsid w:val="000C52A5"/>
    <w:rsid w:val="000C5353"/>
    <w:rsid w:val="000D0111"/>
    <w:rsid w:val="000D0ED4"/>
    <w:rsid w:val="000D1B4F"/>
    <w:rsid w:val="000D4B3B"/>
    <w:rsid w:val="000D6E45"/>
    <w:rsid w:val="000D7083"/>
    <w:rsid w:val="000D7407"/>
    <w:rsid w:val="000E0650"/>
    <w:rsid w:val="000E0AEF"/>
    <w:rsid w:val="000E0C48"/>
    <w:rsid w:val="000E29BE"/>
    <w:rsid w:val="000E2D0E"/>
    <w:rsid w:val="000E36F8"/>
    <w:rsid w:val="000E42BF"/>
    <w:rsid w:val="000F0641"/>
    <w:rsid w:val="000F066E"/>
    <w:rsid w:val="000F1381"/>
    <w:rsid w:val="000F4F36"/>
    <w:rsid w:val="000F5489"/>
    <w:rsid w:val="000F6494"/>
    <w:rsid w:val="000F661C"/>
    <w:rsid w:val="00100657"/>
    <w:rsid w:val="001008EF"/>
    <w:rsid w:val="0010287D"/>
    <w:rsid w:val="00102D53"/>
    <w:rsid w:val="00105519"/>
    <w:rsid w:val="00105DA4"/>
    <w:rsid w:val="00113A03"/>
    <w:rsid w:val="00114031"/>
    <w:rsid w:val="0011438F"/>
    <w:rsid w:val="001204B9"/>
    <w:rsid w:val="0012076E"/>
    <w:rsid w:val="00120C22"/>
    <w:rsid w:val="001253C6"/>
    <w:rsid w:val="001253D2"/>
    <w:rsid w:val="00125FBC"/>
    <w:rsid w:val="0012674F"/>
    <w:rsid w:val="001314B1"/>
    <w:rsid w:val="00132674"/>
    <w:rsid w:val="00133A45"/>
    <w:rsid w:val="0013452E"/>
    <w:rsid w:val="00135C8C"/>
    <w:rsid w:val="00140238"/>
    <w:rsid w:val="00140B14"/>
    <w:rsid w:val="001413AB"/>
    <w:rsid w:val="00141533"/>
    <w:rsid w:val="0014181D"/>
    <w:rsid w:val="00143894"/>
    <w:rsid w:val="001449AC"/>
    <w:rsid w:val="0014722D"/>
    <w:rsid w:val="00154B5D"/>
    <w:rsid w:val="0015562E"/>
    <w:rsid w:val="00155FA9"/>
    <w:rsid w:val="0015719C"/>
    <w:rsid w:val="00163C34"/>
    <w:rsid w:val="00165856"/>
    <w:rsid w:val="00171321"/>
    <w:rsid w:val="001723D4"/>
    <w:rsid w:val="00172562"/>
    <w:rsid w:val="00173E4F"/>
    <w:rsid w:val="001758C5"/>
    <w:rsid w:val="001822CF"/>
    <w:rsid w:val="00182892"/>
    <w:rsid w:val="0018304D"/>
    <w:rsid w:val="00183CD8"/>
    <w:rsid w:val="001846B5"/>
    <w:rsid w:val="0018507A"/>
    <w:rsid w:val="00187270"/>
    <w:rsid w:val="00187712"/>
    <w:rsid w:val="001901CD"/>
    <w:rsid w:val="00190A0C"/>
    <w:rsid w:val="00191CEE"/>
    <w:rsid w:val="00191E53"/>
    <w:rsid w:val="0019320D"/>
    <w:rsid w:val="001932C5"/>
    <w:rsid w:val="0019397A"/>
    <w:rsid w:val="00197389"/>
    <w:rsid w:val="001974BD"/>
    <w:rsid w:val="001A0656"/>
    <w:rsid w:val="001A4E4E"/>
    <w:rsid w:val="001A63A9"/>
    <w:rsid w:val="001B36C7"/>
    <w:rsid w:val="001B374C"/>
    <w:rsid w:val="001B3B6F"/>
    <w:rsid w:val="001B78F5"/>
    <w:rsid w:val="001C1647"/>
    <w:rsid w:val="001C3281"/>
    <w:rsid w:val="001D0B4D"/>
    <w:rsid w:val="001D11FB"/>
    <w:rsid w:val="001D199D"/>
    <w:rsid w:val="001D2FBF"/>
    <w:rsid w:val="001D583B"/>
    <w:rsid w:val="001D601A"/>
    <w:rsid w:val="001D77E0"/>
    <w:rsid w:val="001E1F15"/>
    <w:rsid w:val="001E4471"/>
    <w:rsid w:val="001E7AC4"/>
    <w:rsid w:val="001E7B89"/>
    <w:rsid w:val="001F0001"/>
    <w:rsid w:val="001F0BAD"/>
    <w:rsid w:val="001F0D4B"/>
    <w:rsid w:val="001F1F76"/>
    <w:rsid w:val="001F30DE"/>
    <w:rsid w:val="001F3D02"/>
    <w:rsid w:val="001F43DB"/>
    <w:rsid w:val="0020016F"/>
    <w:rsid w:val="002025DC"/>
    <w:rsid w:val="002029A3"/>
    <w:rsid w:val="00204A64"/>
    <w:rsid w:val="0020684D"/>
    <w:rsid w:val="002069DC"/>
    <w:rsid w:val="00207596"/>
    <w:rsid w:val="002078CD"/>
    <w:rsid w:val="002113CA"/>
    <w:rsid w:val="002120FA"/>
    <w:rsid w:val="00216C5C"/>
    <w:rsid w:val="00217C11"/>
    <w:rsid w:val="00221002"/>
    <w:rsid w:val="00221F9E"/>
    <w:rsid w:val="00223086"/>
    <w:rsid w:val="002238AB"/>
    <w:rsid w:val="002239AC"/>
    <w:rsid w:val="00226651"/>
    <w:rsid w:val="00230D05"/>
    <w:rsid w:val="0023168A"/>
    <w:rsid w:val="00235021"/>
    <w:rsid w:val="00235B9B"/>
    <w:rsid w:val="00235EB8"/>
    <w:rsid w:val="00236F1B"/>
    <w:rsid w:val="00241D99"/>
    <w:rsid w:val="002422F6"/>
    <w:rsid w:val="00243D4A"/>
    <w:rsid w:val="0024447F"/>
    <w:rsid w:val="00244508"/>
    <w:rsid w:val="00244877"/>
    <w:rsid w:val="00245E30"/>
    <w:rsid w:val="00250B14"/>
    <w:rsid w:val="00254BA6"/>
    <w:rsid w:val="00260605"/>
    <w:rsid w:val="00260D52"/>
    <w:rsid w:val="00261FFA"/>
    <w:rsid w:val="00262914"/>
    <w:rsid w:val="002636B1"/>
    <w:rsid w:val="00263819"/>
    <w:rsid w:val="00263F18"/>
    <w:rsid w:val="00266BBD"/>
    <w:rsid w:val="00270289"/>
    <w:rsid w:val="00271A50"/>
    <w:rsid w:val="00271C40"/>
    <w:rsid w:val="00271E37"/>
    <w:rsid w:val="00272982"/>
    <w:rsid w:val="0027339F"/>
    <w:rsid w:val="002755B8"/>
    <w:rsid w:val="00281D6F"/>
    <w:rsid w:val="002849F3"/>
    <w:rsid w:val="00284C8A"/>
    <w:rsid w:val="002875E4"/>
    <w:rsid w:val="00287C7E"/>
    <w:rsid w:val="00292280"/>
    <w:rsid w:val="0029734A"/>
    <w:rsid w:val="00297A5A"/>
    <w:rsid w:val="002A1D85"/>
    <w:rsid w:val="002A3949"/>
    <w:rsid w:val="002A587D"/>
    <w:rsid w:val="002A5AB5"/>
    <w:rsid w:val="002A5F2A"/>
    <w:rsid w:val="002A63AD"/>
    <w:rsid w:val="002A6C25"/>
    <w:rsid w:val="002A6FAA"/>
    <w:rsid w:val="002B0C2A"/>
    <w:rsid w:val="002B172E"/>
    <w:rsid w:val="002B275E"/>
    <w:rsid w:val="002B2A9A"/>
    <w:rsid w:val="002B2F73"/>
    <w:rsid w:val="002B370F"/>
    <w:rsid w:val="002B5EFE"/>
    <w:rsid w:val="002D05D4"/>
    <w:rsid w:val="002D0D35"/>
    <w:rsid w:val="002D0D89"/>
    <w:rsid w:val="002D4657"/>
    <w:rsid w:val="002D6A2B"/>
    <w:rsid w:val="002D6C01"/>
    <w:rsid w:val="002D7CF3"/>
    <w:rsid w:val="002E0CBD"/>
    <w:rsid w:val="002E447C"/>
    <w:rsid w:val="002E46E1"/>
    <w:rsid w:val="002E5CFC"/>
    <w:rsid w:val="002E707F"/>
    <w:rsid w:val="002E7E36"/>
    <w:rsid w:val="002F1A23"/>
    <w:rsid w:val="002F1E12"/>
    <w:rsid w:val="002F2604"/>
    <w:rsid w:val="002F5043"/>
    <w:rsid w:val="002F76EA"/>
    <w:rsid w:val="00300077"/>
    <w:rsid w:val="003030A4"/>
    <w:rsid w:val="003031A8"/>
    <w:rsid w:val="00303BD2"/>
    <w:rsid w:val="0030656D"/>
    <w:rsid w:val="00307AD7"/>
    <w:rsid w:val="00307DEF"/>
    <w:rsid w:val="00310148"/>
    <w:rsid w:val="00310D3F"/>
    <w:rsid w:val="00320975"/>
    <w:rsid w:val="00321477"/>
    <w:rsid w:val="00322071"/>
    <w:rsid w:val="00322BB7"/>
    <w:rsid w:val="00323710"/>
    <w:rsid w:val="0032398E"/>
    <w:rsid w:val="00323A33"/>
    <w:rsid w:val="0032418F"/>
    <w:rsid w:val="00324D08"/>
    <w:rsid w:val="0032730C"/>
    <w:rsid w:val="00331107"/>
    <w:rsid w:val="003325AA"/>
    <w:rsid w:val="00341B92"/>
    <w:rsid w:val="00342348"/>
    <w:rsid w:val="003508A8"/>
    <w:rsid w:val="00351816"/>
    <w:rsid w:val="00355074"/>
    <w:rsid w:val="003566BA"/>
    <w:rsid w:val="00356FAF"/>
    <w:rsid w:val="00363B65"/>
    <w:rsid w:val="003671FD"/>
    <w:rsid w:val="003746E0"/>
    <w:rsid w:val="00381539"/>
    <w:rsid w:val="00381BDA"/>
    <w:rsid w:val="00384487"/>
    <w:rsid w:val="00385CFE"/>
    <w:rsid w:val="00386A0B"/>
    <w:rsid w:val="0039136F"/>
    <w:rsid w:val="003925A5"/>
    <w:rsid w:val="00396EA7"/>
    <w:rsid w:val="00397192"/>
    <w:rsid w:val="003A46A3"/>
    <w:rsid w:val="003A6EBD"/>
    <w:rsid w:val="003B23C3"/>
    <w:rsid w:val="003B6623"/>
    <w:rsid w:val="003B6943"/>
    <w:rsid w:val="003B6D01"/>
    <w:rsid w:val="003C3DB5"/>
    <w:rsid w:val="003C45B0"/>
    <w:rsid w:val="003C575A"/>
    <w:rsid w:val="003D19FC"/>
    <w:rsid w:val="003D27FC"/>
    <w:rsid w:val="003D309D"/>
    <w:rsid w:val="003D5318"/>
    <w:rsid w:val="003D6A86"/>
    <w:rsid w:val="003D71C5"/>
    <w:rsid w:val="003E04EF"/>
    <w:rsid w:val="003E05A1"/>
    <w:rsid w:val="003E0813"/>
    <w:rsid w:val="003E1F73"/>
    <w:rsid w:val="003E1F80"/>
    <w:rsid w:val="003E55DE"/>
    <w:rsid w:val="003F0F4E"/>
    <w:rsid w:val="003F3CB7"/>
    <w:rsid w:val="003F5D62"/>
    <w:rsid w:val="003F66EE"/>
    <w:rsid w:val="004014E5"/>
    <w:rsid w:val="00404762"/>
    <w:rsid w:val="004055E5"/>
    <w:rsid w:val="004100CC"/>
    <w:rsid w:val="00410ADB"/>
    <w:rsid w:val="004121FE"/>
    <w:rsid w:val="0041357C"/>
    <w:rsid w:val="004147AB"/>
    <w:rsid w:val="00416734"/>
    <w:rsid w:val="00420C31"/>
    <w:rsid w:val="00421527"/>
    <w:rsid w:val="00421588"/>
    <w:rsid w:val="004258D1"/>
    <w:rsid w:val="00425906"/>
    <w:rsid w:val="0042673E"/>
    <w:rsid w:val="0043158E"/>
    <w:rsid w:val="004320F5"/>
    <w:rsid w:val="004322C0"/>
    <w:rsid w:val="004349D9"/>
    <w:rsid w:val="004410C7"/>
    <w:rsid w:val="004419C4"/>
    <w:rsid w:val="00441D18"/>
    <w:rsid w:val="0044355C"/>
    <w:rsid w:val="00444CC4"/>
    <w:rsid w:val="00445017"/>
    <w:rsid w:val="00453161"/>
    <w:rsid w:val="004531CB"/>
    <w:rsid w:val="00453742"/>
    <w:rsid w:val="00454A73"/>
    <w:rsid w:val="00460C97"/>
    <w:rsid w:val="00466832"/>
    <w:rsid w:val="00471CA4"/>
    <w:rsid w:val="004729CA"/>
    <w:rsid w:val="00472C2B"/>
    <w:rsid w:val="00472CA5"/>
    <w:rsid w:val="0047406A"/>
    <w:rsid w:val="00476E60"/>
    <w:rsid w:val="00477874"/>
    <w:rsid w:val="00481B52"/>
    <w:rsid w:val="0048728C"/>
    <w:rsid w:val="00492811"/>
    <w:rsid w:val="004936BB"/>
    <w:rsid w:val="0049468E"/>
    <w:rsid w:val="00494909"/>
    <w:rsid w:val="00495354"/>
    <w:rsid w:val="00497670"/>
    <w:rsid w:val="00497925"/>
    <w:rsid w:val="004A1037"/>
    <w:rsid w:val="004A3207"/>
    <w:rsid w:val="004A3914"/>
    <w:rsid w:val="004A4E7A"/>
    <w:rsid w:val="004A52D3"/>
    <w:rsid w:val="004A5C30"/>
    <w:rsid w:val="004B6D2F"/>
    <w:rsid w:val="004C11B1"/>
    <w:rsid w:val="004C26E8"/>
    <w:rsid w:val="004C3BDB"/>
    <w:rsid w:val="004C6464"/>
    <w:rsid w:val="004C7424"/>
    <w:rsid w:val="004D01AA"/>
    <w:rsid w:val="004D01DE"/>
    <w:rsid w:val="004D1061"/>
    <w:rsid w:val="004D40F8"/>
    <w:rsid w:val="004D4146"/>
    <w:rsid w:val="004D4A98"/>
    <w:rsid w:val="004D7A26"/>
    <w:rsid w:val="004E0111"/>
    <w:rsid w:val="004E1F55"/>
    <w:rsid w:val="004E6206"/>
    <w:rsid w:val="004E67BF"/>
    <w:rsid w:val="005002C5"/>
    <w:rsid w:val="00501247"/>
    <w:rsid w:val="0050346F"/>
    <w:rsid w:val="00504112"/>
    <w:rsid w:val="00513E90"/>
    <w:rsid w:val="005207EA"/>
    <w:rsid w:val="00520F40"/>
    <w:rsid w:val="00521544"/>
    <w:rsid w:val="005237B3"/>
    <w:rsid w:val="00523FDD"/>
    <w:rsid w:val="0052440F"/>
    <w:rsid w:val="0052533D"/>
    <w:rsid w:val="0052540C"/>
    <w:rsid w:val="00527BA9"/>
    <w:rsid w:val="00531963"/>
    <w:rsid w:val="00533E1B"/>
    <w:rsid w:val="00533E42"/>
    <w:rsid w:val="005413E7"/>
    <w:rsid w:val="005424F2"/>
    <w:rsid w:val="005443FD"/>
    <w:rsid w:val="00544CCD"/>
    <w:rsid w:val="00545734"/>
    <w:rsid w:val="00550553"/>
    <w:rsid w:val="005508CF"/>
    <w:rsid w:val="00550FA4"/>
    <w:rsid w:val="0055386B"/>
    <w:rsid w:val="0056397F"/>
    <w:rsid w:val="00566551"/>
    <w:rsid w:val="00570041"/>
    <w:rsid w:val="0057230B"/>
    <w:rsid w:val="00573CDF"/>
    <w:rsid w:val="00574E09"/>
    <w:rsid w:val="005764FC"/>
    <w:rsid w:val="00581F4C"/>
    <w:rsid w:val="00581FD1"/>
    <w:rsid w:val="005825DC"/>
    <w:rsid w:val="005838C5"/>
    <w:rsid w:val="00584764"/>
    <w:rsid w:val="005869CC"/>
    <w:rsid w:val="0059050A"/>
    <w:rsid w:val="00591C04"/>
    <w:rsid w:val="00592447"/>
    <w:rsid w:val="0059250F"/>
    <w:rsid w:val="005941FC"/>
    <w:rsid w:val="005968C8"/>
    <w:rsid w:val="00597661"/>
    <w:rsid w:val="005978B5"/>
    <w:rsid w:val="005A3B0A"/>
    <w:rsid w:val="005A4E5F"/>
    <w:rsid w:val="005B1762"/>
    <w:rsid w:val="005B3D11"/>
    <w:rsid w:val="005B425E"/>
    <w:rsid w:val="005B5BC2"/>
    <w:rsid w:val="005B6BD7"/>
    <w:rsid w:val="005C0459"/>
    <w:rsid w:val="005C09FD"/>
    <w:rsid w:val="005C2EF1"/>
    <w:rsid w:val="005C37D2"/>
    <w:rsid w:val="005C7A3C"/>
    <w:rsid w:val="005D015D"/>
    <w:rsid w:val="005D038B"/>
    <w:rsid w:val="005D05C5"/>
    <w:rsid w:val="005D23BE"/>
    <w:rsid w:val="005D29B1"/>
    <w:rsid w:val="005D2DB3"/>
    <w:rsid w:val="005D456F"/>
    <w:rsid w:val="005E300F"/>
    <w:rsid w:val="005E3044"/>
    <w:rsid w:val="005E31AD"/>
    <w:rsid w:val="005E4BF6"/>
    <w:rsid w:val="005E5294"/>
    <w:rsid w:val="005E55BD"/>
    <w:rsid w:val="005E58C6"/>
    <w:rsid w:val="005E5EE4"/>
    <w:rsid w:val="005E7228"/>
    <w:rsid w:val="005F2C0B"/>
    <w:rsid w:val="005F52F7"/>
    <w:rsid w:val="006055A5"/>
    <w:rsid w:val="0060567C"/>
    <w:rsid w:val="00605694"/>
    <w:rsid w:val="0061003E"/>
    <w:rsid w:val="00610225"/>
    <w:rsid w:val="006104BC"/>
    <w:rsid w:val="00614211"/>
    <w:rsid w:val="00615DE4"/>
    <w:rsid w:val="00620AD9"/>
    <w:rsid w:val="00621A1F"/>
    <w:rsid w:val="00625F15"/>
    <w:rsid w:val="00630C44"/>
    <w:rsid w:val="00630D43"/>
    <w:rsid w:val="00630DAF"/>
    <w:rsid w:val="00631FAE"/>
    <w:rsid w:val="00635004"/>
    <w:rsid w:val="006357B6"/>
    <w:rsid w:val="00637339"/>
    <w:rsid w:val="00640344"/>
    <w:rsid w:val="006406C3"/>
    <w:rsid w:val="006413EB"/>
    <w:rsid w:val="006452B1"/>
    <w:rsid w:val="0064565A"/>
    <w:rsid w:val="006459E0"/>
    <w:rsid w:val="0065123B"/>
    <w:rsid w:val="00651DB3"/>
    <w:rsid w:val="006534C0"/>
    <w:rsid w:val="00653988"/>
    <w:rsid w:val="006542FA"/>
    <w:rsid w:val="00654F9E"/>
    <w:rsid w:val="00655686"/>
    <w:rsid w:val="0066025C"/>
    <w:rsid w:val="006633E7"/>
    <w:rsid w:val="006633EC"/>
    <w:rsid w:val="00664BF8"/>
    <w:rsid w:val="006651A3"/>
    <w:rsid w:val="00665959"/>
    <w:rsid w:val="00670726"/>
    <w:rsid w:val="006708E2"/>
    <w:rsid w:val="006719D5"/>
    <w:rsid w:val="00676F5A"/>
    <w:rsid w:val="00683765"/>
    <w:rsid w:val="006853E2"/>
    <w:rsid w:val="00686B91"/>
    <w:rsid w:val="00691792"/>
    <w:rsid w:val="00691E28"/>
    <w:rsid w:val="00691FA2"/>
    <w:rsid w:val="00694779"/>
    <w:rsid w:val="006952E5"/>
    <w:rsid w:val="006A4C6C"/>
    <w:rsid w:val="006A666A"/>
    <w:rsid w:val="006A7C83"/>
    <w:rsid w:val="006B6E73"/>
    <w:rsid w:val="006B6F3B"/>
    <w:rsid w:val="006C133D"/>
    <w:rsid w:val="006C258D"/>
    <w:rsid w:val="006C373E"/>
    <w:rsid w:val="006C5341"/>
    <w:rsid w:val="006C5B24"/>
    <w:rsid w:val="006C6C88"/>
    <w:rsid w:val="006C723E"/>
    <w:rsid w:val="006D43C7"/>
    <w:rsid w:val="006D5B10"/>
    <w:rsid w:val="006D6B9E"/>
    <w:rsid w:val="006E139E"/>
    <w:rsid w:val="006E5952"/>
    <w:rsid w:val="006F2602"/>
    <w:rsid w:val="006F7DFD"/>
    <w:rsid w:val="00705463"/>
    <w:rsid w:val="00705BA9"/>
    <w:rsid w:val="007116A4"/>
    <w:rsid w:val="0071358B"/>
    <w:rsid w:val="007160ED"/>
    <w:rsid w:val="007204A4"/>
    <w:rsid w:val="00720C0A"/>
    <w:rsid w:val="00725F80"/>
    <w:rsid w:val="00726C79"/>
    <w:rsid w:val="00731351"/>
    <w:rsid w:val="0073350B"/>
    <w:rsid w:val="0074157E"/>
    <w:rsid w:val="00742482"/>
    <w:rsid w:val="007427F5"/>
    <w:rsid w:val="00744CD2"/>
    <w:rsid w:val="0074585B"/>
    <w:rsid w:val="0074624A"/>
    <w:rsid w:val="00746AAE"/>
    <w:rsid w:val="00751FCA"/>
    <w:rsid w:val="0075685D"/>
    <w:rsid w:val="00763F63"/>
    <w:rsid w:val="00764B23"/>
    <w:rsid w:val="007674C6"/>
    <w:rsid w:val="00767B19"/>
    <w:rsid w:val="00772C27"/>
    <w:rsid w:val="00772CA9"/>
    <w:rsid w:val="00773127"/>
    <w:rsid w:val="00773CB1"/>
    <w:rsid w:val="00775DAA"/>
    <w:rsid w:val="007770C4"/>
    <w:rsid w:val="007839EE"/>
    <w:rsid w:val="00783B9A"/>
    <w:rsid w:val="00783DD0"/>
    <w:rsid w:val="007843CE"/>
    <w:rsid w:val="00785819"/>
    <w:rsid w:val="00786DBC"/>
    <w:rsid w:val="00790F25"/>
    <w:rsid w:val="00791C69"/>
    <w:rsid w:val="00793843"/>
    <w:rsid w:val="00796AB4"/>
    <w:rsid w:val="007971EC"/>
    <w:rsid w:val="0079788A"/>
    <w:rsid w:val="007A09B7"/>
    <w:rsid w:val="007A35DB"/>
    <w:rsid w:val="007A365D"/>
    <w:rsid w:val="007A4057"/>
    <w:rsid w:val="007B09D9"/>
    <w:rsid w:val="007B2846"/>
    <w:rsid w:val="007B401F"/>
    <w:rsid w:val="007B49E8"/>
    <w:rsid w:val="007B4B31"/>
    <w:rsid w:val="007B68AB"/>
    <w:rsid w:val="007B6DD9"/>
    <w:rsid w:val="007C3521"/>
    <w:rsid w:val="007C5D38"/>
    <w:rsid w:val="007C7E74"/>
    <w:rsid w:val="007D1D26"/>
    <w:rsid w:val="007D1ED2"/>
    <w:rsid w:val="007D2ABB"/>
    <w:rsid w:val="007D7D5F"/>
    <w:rsid w:val="007D7FE5"/>
    <w:rsid w:val="007E0C03"/>
    <w:rsid w:val="007E1919"/>
    <w:rsid w:val="007E243D"/>
    <w:rsid w:val="007E2FCD"/>
    <w:rsid w:val="007E6F8E"/>
    <w:rsid w:val="007E7058"/>
    <w:rsid w:val="007F0CE3"/>
    <w:rsid w:val="007F3455"/>
    <w:rsid w:val="007F3BEA"/>
    <w:rsid w:val="007F52DF"/>
    <w:rsid w:val="007F712C"/>
    <w:rsid w:val="008019B4"/>
    <w:rsid w:val="00803B80"/>
    <w:rsid w:val="00805514"/>
    <w:rsid w:val="00805A82"/>
    <w:rsid w:val="00806F29"/>
    <w:rsid w:val="00807FD2"/>
    <w:rsid w:val="008149CF"/>
    <w:rsid w:val="008163A2"/>
    <w:rsid w:val="00820DC3"/>
    <w:rsid w:val="00822047"/>
    <w:rsid w:val="00822DBF"/>
    <w:rsid w:val="0082335D"/>
    <w:rsid w:val="00823AD4"/>
    <w:rsid w:val="00823E7B"/>
    <w:rsid w:val="00824A55"/>
    <w:rsid w:val="008303CA"/>
    <w:rsid w:val="0083531C"/>
    <w:rsid w:val="00835AAB"/>
    <w:rsid w:val="00842B19"/>
    <w:rsid w:val="008449F7"/>
    <w:rsid w:val="008460A8"/>
    <w:rsid w:val="00863770"/>
    <w:rsid w:val="008655FA"/>
    <w:rsid w:val="0086717B"/>
    <w:rsid w:val="008671B8"/>
    <w:rsid w:val="008713AD"/>
    <w:rsid w:val="00873E8B"/>
    <w:rsid w:val="00875DA6"/>
    <w:rsid w:val="00877A56"/>
    <w:rsid w:val="00880CF8"/>
    <w:rsid w:val="00881883"/>
    <w:rsid w:val="008855B4"/>
    <w:rsid w:val="00886118"/>
    <w:rsid w:val="00887E5F"/>
    <w:rsid w:val="00894D2B"/>
    <w:rsid w:val="008A0D89"/>
    <w:rsid w:val="008A1DF8"/>
    <w:rsid w:val="008A2746"/>
    <w:rsid w:val="008A5F48"/>
    <w:rsid w:val="008A75B4"/>
    <w:rsid w:val="008A7B93"/>
    <w:rsid w:val="008B27F5"/>
    <w:rsid w:val="008B5058"/>
    <w:rsid w:val="008B7158"/>
    <w:rsid w:val="008B7C12"/>
    <w:rsid w:val="008C20C3"/>
    <w:rsid w:val="008C3D7E"/>
    <w:rsid w:val="008C4A9D"/>
    <w:rsid w:val="008C6381"/>
    <w:rsid w:val="008C6CE9"/>
    <w:rsid w:val="008C6EFB"/>
    <w:rsid w:val="008C7E37"/>
    <w:rsid w:val="008D349D"/>
    <w:rsid w:val="008D3976"/>
    <w:rsid w:val="008D4156"/>
    <w:rsid w:val="008E3349"/>
    <w:rsid w:val="008E3F0D"/>
    <w:rsid w:val="008E41EE"/>
    <w:rsid w:val="008E534F"/>
    <w:rsid w:val="008F0628"/>
    <w:rsid w:val="008F11F1"/>
    <w:rsid w:val="008F24DE"/>
    <w:rsid w:val="008F4CB4"/>
    <w:rsid w:val="008F6E0C"/>
    <w:rsid w:val="008F729F"/>
    <w:rsid w:val="00900832"/>
    <w:rsid w:val="00901AD7"/>
    <w:rsid w:val="00901BD0"/>
    <w:rsid w:val="009046A6"/>
    <w:rsid w:val="00907836"/>
    <w:rsid w:val="00912A69"/>
    <w:rsid w:val="00912D17"/>
    <w:rsid w:val="0091591C"/>
    <w:rsid w:val="009220BA"/>
    <w:rsid w:val="009276A3"/>
    <w:rsid w:val="009279AE"/>
    <w:rsid w:val="0093019E"/>
    <w:rsid w:val="00930939"/>
    <w:rsid w:val="00935861"/>
    <w:rsid w:val="00935A30"/>
    <w:rsid w:val="0093600D"/>
    <w:rsid w:val="0093678B"/>
    <w:rsid w:val="009378AE"/>
    <w:rsid w:val="00940232"/>
    <w:rsid w:val="00944067"/>
    <w:rsid w:val="009473E7"/>
    <w:rsid w:val="0095025B"/>
    <w:rsid w:val="00950F13"/>
    <w:rsid w:val="00951CFB"/>
    <w:rsid w:val="00953CCD"/>
    <w:rsid w:val="00955B8F"/>
    <w:rsid w:val="00956558"/>
    <w:rsid w:val="0095794E"/>
    <w:rsid w:val="009614E6"/>
    <w:rsid w:val="00961EF6"/>
    <w:rsid w:val="00966828"/>
    <w:rsid w:val="00970522"/>
    <w:rsid w:val="0097128D"/>
    <w:rsid w:val="009712B7"/>
    <w:rsid w:val="009729B4"/>
    <w:rsid w:val="00972BBE"/>
    <w:rsid w:val="00983C89"/>
    <w:rsid w:val="00985DD5"/>
    <w:rsid w:val="009863F6"/>
    <w:rsid w:val="0099076C"/>
    <w:rsid w:val="00991AC8"/>
    <w:rsid w:val="0099394A"/>
    <w:rsid w:val="00994D11"/>
    <w:rsid w:val="009A22D3"/>
    <w:rsid w:val="009A4D95"/>
    <w:rsid w:val="009A6878"/>
    <w:rsid w:val="009A6ACE"/>
    <w:rsid w:val="009A768F"/>
    <w:rsid w:val="009B50F1"/>
    <w:rsid w:val="009B59C2"/>
    <w:rsid w:val="009B66B7"/>
    <w:rsid w:val="009B78CF"/>
    <w:rsid w:val="009C1ECD"/>
    <w:rsid w:val="009C395C"/>
    <w:rsid w:val="009C3E99"/>
    <w:rsid w:val="009C4578"/>
    <w:rsid w:val="009C58F2"/>
    <w:rsid w:val="009C5E51"/>
    <w:rsid w:val="009C744E"/>
    <w:rsid w:val="009D1705"/>
    <w:rsid w:val="009D2C45"/>
    <w:rsid w:val="009D33F9"/>
    <w:rsid w:val="009D3FCE"/>
    <w:rsid w:val="009D40CE"/>
    <w:rsid w:val="009D4BD8"/>
    <w:rsid w:val="009D63A8"/>
    <w:rsid w:val="009E0E59"/>
    <w:rsid w:val="009E0FE8"/>
    <w:rsid w:val="009E1F94"/>
    <w:rsid w:val="009E36FC"/>
    <w:rsid w:val="009E574E"/>
    <w:rsid w:val="009E5B72"/>
    <w:rsid w:val="009E5F00"/>
    <w:rsid w:val="009E6A55"/>
    <w:rsid w:val="009E7752"/>
    <w:rsid w:val="009E7891"/>
    <w:rsid w:val="009E7E1B"/>
    <w:rsid w:val="009F6852"/>
    <w:rsid w:val="009F752F"/>
    <w:rsid w:val="00A00087"/>
    <w:rsid w:val="00A03BA9"/>
    <w:rsid w:val="00A056E3"/>
    <w:rsid w:val="00A10796"/>
    <w:rsid w:val="00A120D3"/>
    <w:rsid w:val="00A12393"/>
    <w:rsid w:val="00A124EF"/>
    <w:rsid w:val="00A14999"/>
    <w:rsid w:val="00A15306"/>
    <w:rsid w:val="00A15AF8"/>
    <w:rsid w:val="00A21EA5"/>
    <w:rsid w:val="00A228C2"/>
    <w:rsid w:val="00A24200"/>
    <w:rsid w:val="00A2569D"/>
    <w:rsid w:val="00A258E7"/>
    <w:rsid w:val="00A278CC"/>
    <w:rsid w:val="00A32D82"/>
    <w:rsid w:val="00A33A34"/>
    <w:rsid w:val="00A33ABC"/>
    <w:rsid w:val="00A34FA2"/>
    <w:rsid w:val="00A3666A"/>
    <w:rsid w:val="00A44A5B"/>
    <w:rsid w:val="00A44B28"/>
    <w:rsid w:val="00A44E4B"/>
    <w:rsid w:val="00A44EE0"/>
    <w:rsid w:val="00A4759C"/>
    <w:rsid w:val="00A5141E"/>
    <w:rsid w:val="00A519A1"/>
    <w:rsid w:val="00A5600C"/>
    <w:rsid w:val="00A60202"/>
    <w:rsid w:val="00A63390"/>
    <w:rsid w:val="00A66EAC"/>
    <w:rsid w:val="00A728D5"/>
    <w:rsid w:val="00A808A3"/>
    <w:rsid w:val="00A82245"/>
    <w:rsid w:val="00A827B8"/>
    <w:rsid w:val="00A8297C"/>
    <w:rsid w:val="00A82DAF"/>
    <w:rsid w:val="00A86AF3"/>
    <w:rsid w:val="00A91557"/>
    <w:rsid w:val="00A93D29"/>
    <w:rsid w:val="00A93DD6"/>
    <w:rsid w:val="00A95304"/>
    <w:rsid w:val="00AA166E"/>
    <w:rsid w:val="00AA2B7A"/>
    <w:rsid w:val="00AA682E"/>
    <w:rsid w:val="00AA6ACB"/>
    <w:rsid w:val="00AA7A6E"/>
    <w:rsid w:val="00AB0379"/>
    <w:rsid w:val="00AB0A12"/>
    <w:rsid w:val="00AB147B"/>
    <w:rsid w:val="00AB413B"/>
    <w:rsid w:val="00AB538E"/>
    <w:rsid w:val="00AB798E"/>
    <w:rsid w:val="00AB7B59"/>
    <w:rsid w:val="00AC10F4"/>
    <w:rsid w:val="00AC20FD"/>
    <w:rsid w:val="00AC465A"/>
    <w:rsid w:val="00AC537A"/>
    <w:rsid w:val="00AC6195"/>
    <w:rsid w:val="00AD1C29"/>
    <w:rsid w:val="00AD394E"/>
    <w:rsid w:val="00AD5B98"/>
    <w:rsid w:val="00AE1E59"/>
    <w:rsid w:val="00AE1F00"/>
    <w:rsid w:val="00AE2A22"/>
    <w:rsid w:val="00AE5A04"/>
    <w:rsid w:val="00AE61A6"/>
    <w:rsid w:val="00AE7E8C"/>
    <w:rsid w:val="00AF4B60"/>
    <w:rsid w:val="00B02455"/>
    <w:rsid w:val="00B032F6"/>
    <w:rsid w:val="00B041CB"/>
    <w:rsid w:val="00B04E3C"/>
    <w:rsid w:val="00B068DE"/>
    <w:rsid w:val="00B06FD8"/>
    <w:rsid w:val="00B074F9"/>
    <w:rsid w:val="00B07E05"/>
    <w:rsid w:val="00B10E2C"/>
    <w:rsid w:val="00B11EC3"/>
    <w:rsid w:val="00B12FC1"/>
    <w:rsid w:val="00B137BA"/>
    <w:rsid w:val="00B14B0F"/>
    <w:rsid w:val="00B22639"/>
    <w:rsid w:val="00B22913"/>
    <w:rsid w:val="00B25B51"/>
    <w:rsid w:val="00B26BBD"/>
    <w:rsid w:val="00B27D41"/>
    <w:rsid w:val="00B310A4"/>
    <w:rsid w:val="00B31A80"/>
    <w:rsid w:val="00B3418F"/>
    <w:rsid w:val="00B36D45"/>
    <w:rsid w:val="00B371EC"/>
    <w:rsid w:val="00B3785F"/>
    <w:rsid w:val="00B403CC"/>
    <w:rsid w:val="00B40F49"/>
    <w:rsid w:val="00B417A5"/>
    <w:rsid w:val="00B43F55"/>
    <w:rsid w:val="00B5033C"/>
    <w:rsid w:val="00B50AFD"/>
    <w:rsid w:val="00B5393D"/>
    <w:rsid w:val="00B56769"/>
    <w:rsid w:val="00B60848"/>
    <w:rsid w:val="00B62A3E"/>
    <w:rsid w:val="00B648F4"/>
    <w:rsid w:val="00B64C2E"/>
    <w:rsid w:val="00B66E38"/>
    <w:rsid w:val="00B71FE0"/>
    <w:rsid w:val="00B72196"/>
    <w:rsid w:val="00B73D06"/>
    <w:rsid w:val="00B74715"/>
    <w:rsid w:val="00B75157"/>
    <w:rsid w:val="00B760BA"/>
    <w:rsid w:val="00B765DC"/>
    <w:rsid w:val="00B76D03"/>
    <w:rsid w:val="00B8186F"/>
    <w:rsid w:val="00B85F6F"/>
    <w:rsid w:val="00B87926"/>
    <w:rsid w:val="00B90967"/>
    <w:rsid w:val="00B915D5"/>
    <w:rsid w:val="00B97D22"/>
    <w:rsid w:val="00BA0604"/>
    <w:rsid w:val="00BA0DE9"/>
    <w:rsid w:val="00BA726E"/>
    <w:rsid w:val="00BA777A"/>
    <w:rsid w:val="00BB0B07"/>
    <w:rsid w:val="00BB0FC6"/>
    <w:rsid w:val="00BB3D46"/>
    <w:rsid w:val="00BB4A07"/>
    <w:rsid w:val="00BB7B92"/>
    <w:rsid w:val="00BC03CA"/>
    <w:rsid w:val="00BC0598"/>
    <w:rsid w:val="00BC0FB4"/>
    <w:rsid w:val="00BC3432"/>
    <w:rsid w:val="00BC3463"/>
    <w:rsid w:val="00BC430E"/>
    <w:rsid w:val="00BC60B2"/>
    <w:rsid w:val="00BE0D62"/>
    <w:rsid w:val="00BE291A"/>
    <w:rsid w:val="00BE6394"/>
    <w:rsid w:val="00BE7715"/>
    <w:rsid w:val="00BF1190"/>
    <w:rsid w:val="00BF2A94"/>
    <w:rsid w:val="00BF5FA4"/>
    <w:rsid w:val="00BF6AC5"/>
    <w:rsid w:val="00BF6EF4"/>
    <w:rsid w:val="00C00D5F"/>
    <w:rsid w:val="00C02452"/>
    <w:rsid w:val="00C03CED"/>
    <w:rsid w:val="00C07677"/>
    <w:rsid w:val="00C119D5"/>
    <w:rsid w:val="00C145B8"/>
    <w:rsid w:val="00C14EF8"/>
    <w:rsid w:val="00C17E13"/>
    <w:rsid w:val="00C20920"/>
    <w:rsid w:val="00C20F4A"/>
    <w:rsid w:val="00C2710A"/>
    <w:rsid w:val="00C2792B"/>
    <w:rsid w:val="00C30EE6"/>
    <w:rsid w:val="00C32353"/>
    <w:rsid w:val="00C34F25"/>
    <w:rsid w:val="00C361FE"/>
    <w:rsid w:val="00C36E40"/>
    <w:rsid w:val="00C415C2"/>
    <w:rsid w:val="00C45B57"/>
    <w:rsid w:val="00C5114B"/>
    <w:rsid w:val="00C52252"/>
    <w:rsid w:val="00C56BDA"/>
    <w:rsid w:val="00C56EF7"/>
    <w:rsid w:val="00C6095C"/>
    <w:rsid w:val="00C62177"/>
    <w:rsid w:val="00C62973"/>
    <w:rsid w:val="00C636C0"/>
    <w:rsid w:val="00C64ABD"/>
    <w:rsid w:val="00C66464"/>
    <w:rsid w:val="00C7028A"/>
    <w:rsid w:val="00C711A4"/>
    <w:rsid w:val="00C71D0B"/>
    <w:rsid w:val="00C73476"/>
    <w:rsid w:val="00C75B23"/>
    <w:rsid w:val="00C818C3"/>
    <w:rsid w:val="00C82370"/>
    <w:rsid w:val="00C833B6"/>
    <w:rsid w:val="00C8368C"/>
    <w:rsid w:val="00C85191"/>
    <w:rsid w:val="00C86064"/>
    <w:rsid w:val="00C91CC2"/>
    <w:rsid w:val="00C928F6"/>
    <w:rsid w:val="00C93F86"/>
    <w:rsid w:val="00C93FE4"/>
    <w:rsid w:val="00C94051"/>
    <w:rsid w:val="00C967BC"/>
    <w:rsid w:val="00C9726D"/>
    <w:rsid w:val="00CA2867"/>
    <w:rsid w:val="00CA5147"/>
    <w:rsid w:val="00CA6CEC"/>
    <w:rsid w:val="00CA7867"/>
    <w:rsid w:val="00CA7AF8"/>
    <w:rsid w:val="00CB2383"/>
    <w:rsid w:val="00CB28D2"/>
    <w:rsid w:val="00CB3916"/>
    <w:rsid w:val="00CB5CB6"/>
    <w:rsid w:val="00CC01FF"/>
    <w:rsid w:val="00CC023B"/>
    <w:rsid w:val="00CC07A5"/>
    <w:rsid w:val="00CC14A8"/>
    <w:rsid w:val="00CC2354"/>
    <w:rsid w:val="00CC26F1"/>
    <w:rsid w:val="00CC356F"/>
    <w:rsid w:val="00CC5CFF"/>
    <w:rsid w:val="00CD0046"/>
    <w:rsid w:val="00CD28FE"/>
    <w:rsid w:val="00CD2DE5"/>
    <w:rsid w:val="00CD3979"/>
    <w:rsid w:val="00CD6CB0"/>
    <w:rsid w:val="00CE1DFF"/>
    <w:rsid w:val="00CE2FDE"/>
    <w:rsid w:val="00CE6AAB"/>
    <w:rsid w:val="00CE6F01"/>
    <w:rsid w:val="00CE75A2"/>
    <w:rsid w:val="00CF1EE4"/>
    <w:rsid w:val="00CF57CB"/>
    <w:rsid w:val="00CF7979"/>
    <w:rsid w:val="00D011B0"/>
    <w:rsid w:val="00D11FE7"/>
    <w:rsid w:val="00D12763"/>
    <w:rsid w:val="00D12795"/>
    <w:rsid w:val="00D131AE"/>
    <w:rsid w:val="00D16548"/>
    <w:rsid w:val="00D16BEC"/>
    <w:rsid w:val="00D17684"/>
    <w:rsid w:val="00D302CB"/>
    <w:rsid w:val="00D31499"/>
    <w:rsid w:val="00D337B4"/>
    <w:rsid w:val="00D34F67"/>
    <w:rsid w:val="00D36B96"/>
    <w:rsid w:val="00D36CBE"/>
    <w:rsid w:val="00D373D3"/>
    <w:rsid w:val="00D41B83"/>
    <w:rsid w:val="00D4447F"/>
    <w:rsid w:val="00D45DEF"/>
    <w:rsid w:val="00D47714"/>
    <w:rsid w:val="00D47BFD"/>
    <w:rsid w:val="00D54948"/>
    <w:rsid w:val="00D56936"/>
    <w:rsid w:val="00D576D6"/>
    <w:rsid w:val="00D60001"/>
    <w:rsid w:val="00D64922"/>
    <w:rsid w:val="00D73185"/>
    <w:rsid w:val="00D81400"/>
    <w:rsid w:val="00D84628"/>
    <w:rsid w:val="00D84C0A"/>
    <w:rsid w:val="00D85199"/>
    <w:rsid w:val="00D85DEB"/>
    <w:rsid w:val="00D9385C"/>
    <w:rsid w:val="00D93CDB"/>
    <w:rsid w:val="00D963F2"/>
    <w:rsid w:val="00D9690C"/>
    <w:rsid w:val="00D978C4"/>
    <w:rsid w:val="00D978E4"/>
    <w:rsid w:val="00DA1562"/>
    <w:rsid w:val="00DA3E35"/>
    <w:rsid w:val="00DA7BC7"/>
    <w:rsid w:val="00DB0744"/>
    <w:rsid w:val="00DB0E0A"/>
    <w:rsid w:val="00DB708C"/>
    <w:rsid w:val="00DC0449"/>
    <w:rsid w:val="00DC1C50"/>
    <w:rsid w:val="00DC5DC8"/>
    <w:rsid w:val="00DD1647"/>
    <w:rsid w:val="00DD24CD"/>
    <w:rsid w:val="00DD370C"/>
    <w:rsid w:val="00DD69BC"/>
    <w:rsid w:val="00DE044A"/>
    <w:rsid w:val="00DE24EE"/>
    <w:rsid w:val="00DE2CCE"/>
    <w:rsid w:val="00DE2F31"/>
    <w:rsid w:val="00DE4C07"/>
    <w:rsid w:val="00DE72C8"/>
    <w:rsid w:val="00DF08A5"/>
    <w:rsid w:val="00DF0E18"/>
    <w:rsid w:val="00DF1CB3"/>
    <w:rsid w:val="00DF2DA2"/>
    <w:rsid w:val="00DF2ECD"/>
    <w:rsid w:val="00DF4A78"/>
    <w:rsid w:val="00DF731D"/>
    <w:rsid w:val="00E048D7"/>
    <w:rsid w:val="00E10462"/>
    <w:rsid w:val="00E133C0"/>
    <w:rsid w:val="00E13C1A"/>
    <w:rsid w:val="00E178A6"/>
    <w:rsid w:val="00E217A0"/>
    <w:rsid w:val="00E21F38"/>
    <w:rsid w:val="00E22D33"/>
    <w:rsid w:val="00E23B8C"/>
    <w:rsid w:val="00E23C0E"/>
    <w:rsid w:val="00E26F7C"/>
    <w:rsid w:val="00E273F7"/>
    <w:rsid w:val="00E3028C"/>
    <w:rsid w:val="00E30DD9"/>
    <w:rsid w:val="00E32F52"/>
    <w:rsid w:val="00E333BB"/>
    <w:rsid w:val="00E34EE8"/>
    <w:rsid w:val="00E4050A"/>
    <w:rsid w:val="00E472C7"/>
    <w:rsid w:val="00E52101"/>
    <w:rsid w:val="00E52734"/>
    <w:rsid w:val="00E52E5B"/>
    <w:rsid w:val="00E54B9C"/>
    <w:rsid w:val="00E5578D"/>
    <w:rsid w:val="00E608B7"/>
    <w:rsid w:val="00E61337"/>
    <w:rsid w:val="00E62BD3"/>
    <w:rsid w:val="00E62E00"/>
    <w:rsid w:val="00E66EB1"/>
    <w:rsid w:val="00E7012C"/>
    <w:rsid w:val="00E71347"/>
    <w:rsid w:val="00E716BD"/>
    <w:rsid w:val="00E7227D"/>
    <w:rsid w:val="00E76BC6"/>
    <w:rsid w:val="00E80E04"/>
    <w:rsid w:val="00E81E6C"/>
    <w:rsid w:val="00E848C3"/>
    <w:rsid w:val="00E8778B"/>
    <w:rsid w:val="00E9158C"/>
    <w:rsid w:val="00E91B82"/>
    <w:rsid w:val="00E956C9"/>
    <w:rsid w:val="00E95977"/>
    <w:rsid w:val="00E96661"/>
    <w:rsid w:val="00EA3F94"/>
    <w:rsid w:val="00EA415A"/>
    <w:rsid w:val="00EA4B6A"/>
    <w:rsid w:val="00EA4C67"/>
    <w:rsid w:val="00EA6610"/>
    <w:rsid w:val="00EB28F0"/>
    <w:rsid w:val="00EB64BA"/>
    <w:rsid w:val="00EB71AA"/>
    <w:rsid w:val="00EC1995"/>
    <w:rsid w:val="00EC2D1D"/>
    <w:rsid w:val="00EC2EFD"/>
    <w:rsid w:val="00EC4B3F"/>
    <w:rsid w:val="00EC51A6"/>
    <w:rsid w:val="00ED2DE3"/>
    <w:rsid w:val="00ED3A67"/>
    <w:rsid w:val="00ED5DF0"/>
    <w:rsid w:val="00ED761D"/>
    <w:rsid w:val="00EE3D53"/>
    <w:rsid w:val="00EE6EE8"/>
    <w:rsid w:val="00EE7CAD"/>
    <w:rsid w:val="00EF1E74"/>
    <w:rsid w:val="00EF4537"/>
    <w:rsid w:val="00EF4758"/>
    <w:rsid w:val="00EF5B98"/>
    <w:rsid w:val="00F00155"/>
    <w:rsid w:val="00F05A9E"/>
    <w:rsid w:val="00F1043A"/>
    <w:rsid w:val="00F12D69"/>
    <w:rsid w:val="00F144D7"/>
    <w:rsid w:val="00F14B47"/>
    <w:rsid w:val="00F215F2"/>
    <w:rsid w:val="00F219EE"/>
    <w:rsid w:val="00F22419"/>
    <w:rsid w:val="00F27BA6"/>
    <w:rsid w:val="00F34FA4"/>
    <w:rsid w:val="00F400CF"/>
    <w:rsid w:val="00F407F3"/>
    <w:rsid w:val="00F41576"/>
    <w:rsid w:val="00F43644"/>
    <w:rsid w:val="00F44781"/>
    <w:rsid w:val="00F4497C"/>
    <w:rsid w:val="00F60041"/>
    <w:rsid w:val="00F61FA1"/>
    <w:rsid w:val="00F63E82"/>
    <w:rsid w:val="00F641BA"/>
    <w:rsid w:val="00F64A81"/>
    <w:rsid w:val="00F66EE5"/>
    <w:rsid w:val="00F670CA"/>
    <w:rsid w:val="00F7181B"/>
    <w:rsid w:val="00F73137"/>
    <w:rsid w:val="00F73EE3"/>
    <w:rsid w:val="00F74C67"/>
    <w:rsid w:val="00F74CA1"/>
    <w:rsid w:val="00F75F6A"/>
    <w:rsid w:val="00F80A35"/>
    <w:rsid w:val="00F814AD"/>
    <w:rsid w:val="00F81CC3"/>
    <w:rsid w:val="00F81FC2"/>
    <w:rsid w:val="00F82CD9"/>
    <w:rsid w:val="00F83ED8"/>
    <w:rsid w:val="00F84CDA"/>
    <w:rsid w:val="00F85F6C"/>
    <w:rsid w:val="00F868D6"/>
    <w:rsid w:val="00F86B23"/>
    <w:rsid w:val="00F87FAE"/>
    <w:rsid w:val="00F918F6"/>
    <w:rsid w:val="00F97EAF"/>
    <w:rsid w:val="00FA0277"/>
    <w:rsid w:val="00FA1CE1"/>
    <w:rsid w:val="00FA27D4"/>
    <w:rsid w:val="00FA2952"/>
    <w:rsid w:val="00FA50C7"/>
    <w:rsid w:val="00FA5A48"/>
    <w:rsid w:val="00FA64C7"/>
    <w:rsid w:val="00FB4CC7"/>
    <w:rsid w:val="00FB7FD1"/>
    <w:rsid w:val="00FC0C6C"/>
    <w:rsid w:val="00FC413F"/>
    <w:rsid w:val="00FC558A"/>
    <w:rsid w:val="00FC6316"/>
    <w:rsid w:val="00FC7A76"/>
    <w:rsid w:val="00FD0ACB"/>
    <w:rsid w:val="00FD3D85"/>
    <w:rsid w:val="00FD3DAB"/>
    <w:rsid w:val="00FD510F"/>
    <w:rsid w:val="00FD5BDE"/>
    <w:rsid w:val="00FE2B2E"/>
    <w:rsid w:val="00FE4DDA"/>
    <w:rsid w:val="00FE572D"/>
    <w:rsid w:val="00FF0A7A"/>
    <w:rsid w:val="00FF2236"/>
    <w:rsid w:val="00FF40F4"/>
    <w:rsid w:val="01A0A1E3"/>
    <w:rsid w:val="35E123EC"/>
    <w:rsid w:val="64CE21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DD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5B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aliases w:val="Hyperlink Cab"/>
    <w:basedOn w:val="DefaultParagraphFont"/>
    <w:uiPriority w:val="99"/>
    <w:unhideWhenUsed/>
    <w:qFormat/>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D12763"/>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1C3281"/>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5D29B1"/>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customStyle="1" w:styleId="UnresolvedMention1">
    <w:name w:val="Unresolved Mention1"/>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uiPriority w:val="99"/>
    <w:unhideWhenUsed/>
    <w:qFormat/>
    <w:rsid w:val="00A32D82"/>
    <w:pPr>
      <w:spacing w:after="200"/>
    </w:pPr>
    <w:rPr>
      <w:i/>
      <w:iCs/>
      <w:color w:val="44546A" w:themeColor="text2"/>
      <w:sz w:val="18"/>
      <w:szCs w:val="18"/>
    </w:rPr>
  </w:style>
  <w:style w:type="character" w:styleId="PlaceholderText">
    <w:name w:val="Placeholder Text"/>
    <w:basedOn w:val="DefaultParagraphFont"/>
    <w:uiPriority w:val="99"/>
    <w:semiHidden/>
    <w:rsid w:val="00271A50"/>
    <w:rPr>
      <w:color w:val="808080"/>
    </w:rPr>
  </w:style>
  <w:style w:type="paragraph" w:styleId="Title">
    <w:name w:val="Title"/>
    <w:basedOn w:val="Normal"/>
    <w:next w:val="Normal"/>
    <w:link w:val="TitleChar"/>
    <w:uiPriority w:val="17"/>
    <w:qFormat/>
    <w:rsid w:val="00271A50"/>
    <w:pPr>
      <w:suppressAutoHyphens/>
      <w:spacing w:before="1680" w:after="480"/>
    </w:pPr>
    <w:rPr>
      <w:rFonts w:asciiTheme="majorHAnsi" w:eastAsiaTheme="majorEastAsia" w:hAnsiTheme="majorHAnsi" w:cstheme="majorBidi"/>
      <w:b/>
      <w:color w:val="000000" w:themeColor="text1"/>
      <w:kern w:val="12"/>
      <w:sz w:val="60"/>
      <w:szCs w:val="56"/>
    </w:rPr>
  </w:style>
  <w:style w:type="character" w:customStyle="1" w:styleId="TitleChar">
    <w:name w:val="Title Char"/>
    <w:basedOn w:val="DefaultParagraphFont"/>
    <w:link w:val="Title"/>
    <w:uiPriority w:val="17"/>
    <w:rsid w:val="00271A50"/>
    <w:rPr>
      <w:rFonts w:asciiTheme="majorHAnsi" w:eastAsiaTheme="majorEastAsia" w:hAnsiTheme="majorHAnsi" w:cstheme="majorBidi"/>
      <w:b/>
      <w:color w:val="000000" w:themeColor="text1"/>
      <w:kern w:val="12"/>
      <w:sz w:val="60"/>
      <w:szCs w:val="56"/>
    </w:rPr>
  </w:style>
  <w:style w:type="paragraph" w:customStyle="1" w:styleId="CoverDate">
    <w:name w:val="Cover Date"/>
    <w:basedOn w:val="Normal"/>
    <w:uiPriority w:val="19"/>
    <w:qFormat/>
    <w:rsid w:val="00271A50"/>
    <w:pPr>
      <w:suppressAutoHyphens/>
      <w:spacing w:before="160" w:after="80"/>
    </w:pPr>
    <w:rPr>
      <w:rFonts w:asciiTheme="minorHAnsi" w:hAnsiTheme="minorHAnsi"/>
      <w:b/>
      <w:color w:val="000000" w:themeColor="text1"/>
      <w:kern w:val="12"/>
      <w:szCs w:val="20"/>
    </w:rPr>
  </w:style>
  <w:style w:type="character" w:styleId="PageNumber">
    <w:name w:val="page number"/>
    <w:basedOn w:val="DefaultParagraphFont"/>
    <w:uiPriority w:val="99"/>
    <w:semiHidden/>
    <w:rsid w:val="00271A50"/>
    <w:rPr>
      <w:b/>
      <w:sz w:val="20"/>
    </w:rPr>
  </w:style>
  <w:style w:type="paragraph" w:customStyle="1" w:styleId="CoverPhoto">
    <w:name w:val="Cover Photo"/>
    <w:basedOn w:val="Normal"/>
    <w:uiPriority w:val="19"/>
    <w:qFormat/>
    <w:rsid w:val="00271A50"/>
    <w:pPr>
      <w:suppressAutoHyphens/>
      <w:spacing w:before="1240"/>
    </w:pPr>
    <w:rPr>
      <w:rFonts w:asciiTheme="minorHAnsi" w:hAnsiTheme="minorHAnsi"/>
      <w:color w:val="000000" w:themeColor="text1"/>
      <w:kern w:val="12"/>
      <w:szCs w:val="20"/>
    </w:rPr>
  </w:style>
  <w:style w:type="paragraph" w:customStyle="1" w:styleId="Introduction">
    <w:name w:val="Introduction"/>
    <w:basedOn w:val="Normal"/>
    <w:uiPriority w:val="2"/>
    <w:qFormat/>
    <w:rsid w:val="00271A50"/>
    <w:pPr>
      <w:suppressAutoHyphens/>
      <w:spacing w:before="240" w:after="240"/>
    </w:pPr>
    <w:rPr>
      <w:rFonts w:asciiTheme="minorHAnsi" w:hAnsiTheme="minorHAnsi"/>
      <w:color w:val="377B88"/>
      <w:kern w:val="12"/>
      <w:sz w:val="25"/>
      <w:szCs w:val="20"/>
      <w:lang w:val="x-none"/>
    </w:rPr>
  </w:style>
  <w:style w:type="paragraph" w:customStyle="1" w:styleId="Sourcenotes">
    <w:name w:val="Source notes"/>
    <w:basedOn w:val="Normal"/>
    <w:uiPriority w:val="15"/>
    <w:qFormat/>
    <w:rsid w:val="00271A50"/>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271A50"/>
    <w:pPr>
      <w:spacing w:before="80"/>
    </w:pPr>
  </w:style>
  <w:style w:type="paragraph" w:customStyle="1" w:styleId="ListNumbered1">
    <w:name w:val="List Numbered 1"/>
    <w:basedOn w:val="Normal"/>
    <w:uiPriority w:val="3"/>
    <w:qFormat/>
    <w:rsid w:val="00271A50"/>
    <w:pPr>
      <w:numPr>
        <w:numId w:val="18"/>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271A50"/>
    <w:pPr>
      <w:numPr>
        <w:ilvl w:val="1"/>
      </w:numPr>
    </w:pPr>
  </w:style>
  <w:style w:type="paragraph" w:customStyle="1" w:styleId="ListNumbered311">
    <w:name w:val="List Numbered 3.1.1"/>
    <w:basedOn w:val="ListNumbered21"/>
    <w:uiPriority w:val="3"/>
    <w:rsid w:val="00271A50"/>
    <w:pPr>
      <w:numPr>
        <w:ilvl w:val="2"/>
      </w:numPr>
    </w:pPr>
  </w:style>
  <w:style w:type="paragraph" w:customStyle="1" w:styleId="Bullet1">
    <w:name w:val="Bullet 1"/>
    <w:basedOn w:val="Normal"/>
    <w:uiPriority w:val="3"/>
    <w:qFormat/>
    <w:rsid w:val="00271A50"/>
    <w:pPr>
      <w:numPr>
        <w:numId w:val="5"/>
      </w:numPr>
      <w:suppressAutoHyphens/>
      <w:spacing w:before="80" w:after="80"/>
    </w:pPr>
    <w:rPr>
      <w:rFonts w:asciiTheme="minorHAnsi" w:hAnsiTheme="minorHAnsi"/>
      <w:color w:val="000000" w:themeColor="text1"/>
      <w:kern w:val="12"/>
      <w:szCs w:val="20"/>
      <w:lang w:val="x-none"/>
    </w:rPr>
  </w:style>
  <w:style w:type="paragraph" w:customStyle="1" w:styleId="Bullet2">
    <w:name w:val="Bullet 2"/>
    <w:basedOn w:val="Bullet1"/>
    <w:uiPriority w:val="3"/>
    <w:rsid w:val="00271A50"/>
    <w:pPr>
      <w:numPr>
        <w:ilvl w:val="1"/>
      </w:numPr>
    </w:pPr>
  </w:style>
  <w:style w:type="paragraph" w:customStyle="1" w:styleId="Bullet3">
    <w:name w:val="Bullet 3"/>
    <w:basedOn w:val="Bullet2"/>
    <w:uiPriority w:val="3"/>
    <w:rsid w:val="00271A50"/>
    <w:pPr>
      <w:numPr>
        <w:ilvl w:val="2"/>
      </w:numPr>
    </w:pPr>
  </w:style>
  <w:style w:type="paragraph" w:customStyle="1" w:styleId="Box1Text">
    <w:name w:val="Box 1 Text"/>
    <w:basedOn w:val="Normal"/>
    <w:uiPriority w:val="23"/>
    <w:qFormat/>
    <w:rsid w:val="00271A50"/>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271A50"/>
    <w:rPr>
      <w:b/>
      <w:szCs w:val="22"/>
    </w:rPr>
  </w:style>
  <w:style w:type="paragraph" w:customStyle="1" w:styleId="Box1Bullet1">
    <w:name w:val="Box 1 Bullet 1"/>
    <w:basedOn w:val="Box1Text"/>
    <w:uiPriority w:val="24"/>
    <w:qFormat/>
    <w:rsid w:val="00271A50"/>
    <w:pPr>
      <w:spacing w:before="80"/>
    </w:pPr>
  </w:style>
  <w:style w:type="paragraph" w:customStyle="1" w:styleId="Box2Text">
    <w:name w:val="Box 2 Text"/>
    <w:basedOn w:val="Normal"/>
    <w:uiPriority w:val="24"/>
    <w:qFormat/>
    <w:rsid w:val="00271A50"/>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271A50"/>
    <w:rPr>
      <w:b/>
    </w:rPr>
  </w:style>
  <w:style w:type="paragraph" w:customStyle="1" w:styleId="Box2Bullet1">
    <w:name w:val="Box 2 Bullet 1"/>
    <w:basedOn w:val="Box2Text"/>
    <w:uiPriority w:val="25"/>
    <w:qFormat/>
    <w:rsid w:val="00271A50"/>
    <w:pPr>
      <w:spacing w:before="80"/>
    </w:pPr>
  </w:style>
  <w:style w:type="table" w:customStyle="1" w:styleId="IconBoxTable">
    <w:name w:val="Icon Box Table"/>
    <w:basedOn w:val="TableNormal"/>
    <w:uiPriority w:val="99"/>
    <w:rsid w:val="00271A50"/>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271A50"/>
    <w:pPr>
      <w:numPr>
        <w:numId w:val="5"/>
      </w:numPr>
    </w:pPr>
  </w:style>
  <w:style w:type="numbering" w:customStyle="1" w:styleId="ListNumbered">
    <w:name w:val="List Numbered"/>
    <w:uiPriority w:val="99"/>
    <w:rsid w:val="00271A50"/>
    <w:pPr>
      <w:numPr>
        <w:numId w:val="6"/>
      </w:numPr>
    </w:pPr>
  </w:style>
  <w:style w:type="paragraph" w:customStyle="1" w:styleId="Heading1Numbered">
    <w:name w:val="Heading 1 Numbered"/>
    <w:basedOn w:val="Heading1"/>
    <w:uiPriority w:val="10"/>
    <w:rsid w:val="00271A50"/>
    <w:pPr>
      <w:keepNext/>
      <w:keepLines/>
      <w:numPr>
        <w:ilvl w:val="0"/>
        <w:numId w:val="8"/>
      </w:numPr>
      <w:spacing w:before="480"/>
      <w:contextualSpacing/>
    </w:pPr>
    <w:rPr>
      <w:rFonts w:asciiTheme="majorHAnsi" w:eastAsiaTheme="majorEastAsia" w:hAnsiTheme="majorHAnsi" w:cstheme="majorBidi"/>
      <w:b w:val="0"/>
      <w:color w:val="44546A" w:themeColor="text2"/>
      <w:sz w:val="44"/>
      <w:szCs w:val="32"/>
    </w:rPr>
  </w:style>
  <w:style w:type="paragraph" w:customStyle="1" w:styleId="Heading2Numbered">
    <w:name w:val="Heading 2 Numbered"/>
    <w:basedOn w:val="Heading2"/>
    <w:uiPriority w:val="10"/>
    <w:rsid w:val="00271A50"/>
    <w:pPr>
      <w:numPr>
        <w:ilvl w:val="1"/>
        <w:numId w:val="8"/>
      </w:numPr>
    </w:pPr>
    <w:rPr>
      <w:rFonts w:asciiTheme="majorHAnsi" w:eastAsiaTheme="majorEastAsia" w:hAnsiTheme="majorHAnsi" w:cstheme="majorBidi"/>
      <w:color w:val="44546A" w:themeColor="text2"/>
    </w:rPr>
  </w:style>
  <w:style w:type="paragraph" w:customStyle="1" w:styleId="Heading3Numbered">
    <w:name w:val="Heading 3 Numbered"/>
    <w:basedOn w:val="Heading3"/>
    <w:uiPriority w:val="10"/>
    <w:rsid w:val="00271A50"/>
    <w:pPr>
      <w:numPr>
        <w:ilvl w:val="2"/>
        <w:numId w:val="8"/>
      </w:numPr>
    </w:pPr>
    <w:rPr>
      <w:rFonts w:asciiTheme="majorHAnsi" w:eastAsiaTheme="majorEastAsia" w:hAnsiTheme="majorHAnsi" w:cstheme="majorBidi"/>
      <w:color w:val="BF8F00" w:themeColor="accent4" w:themeShade="BF"/>
    </w:rPr>
  </w:style>
  <w:style w:type="paragraph" w:customStyle="1" w:styleId="Heading4Numbered">
    <w:name w:val="Heading 4 Numbered"/>
    <w:basedOn w:val="Heading4"/>
    <w:uiPriority w:val="10"/>
    <w:rsid w:val="00271A50"/>
    <w:pPr>
      <w:numPr>
        <w:ilvl w:val="3"/>
        <w:numId w:val="8"/>
      </w:numPr>
    </w:pPr>
    <w:rPr>
      <w:rFonts w:asciiTheme="majorHAnsi" w:eastAsiaTheme="majorEastAsia" w:hAnsiTheme="majorHAnsi" w:cstheme="majorBidi"/>
      <w:b w:val="0"/>
      <w:color w:val="BF8F00" w:themeColor="accent4" w:themeShade="BF"/>
    </w:rPr>
  </w:style>
  <w:style w:type="paragraph" w:customStyle="1" w:styleId="Heading5Numbered">
    <w:name w:val="Heading 5 Numbered"/>
    <w:basedOn w:val="Heading5"/>
    <w:uiPriority w:val="10"/>
    <w:rsid w:val="00271A50"/>
    <w:pPr>
      <w:keepLines/>
      <w:numPr>
        <w:ilvl w:val="4"/>
        <w:numId w:val="8"/>
      </w:numPr>
      <w:suppressAutoHyphens/>
      <w:spacing w:before="240" w:after="16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271A50"/>
    <w:pPr>
      <w:numPr>
        <w:numId w:val="7"/>
      </w:numPr>
    </w:pPr>
  </w:style>
  <w:style w:type="paragraph" w:customStyle="1" w:styleId="AppendixHeading1">
    <w:name w:val="Appendix Heading 1"/>
    <w:basedOn w:val="Heading1"/>
    <w:uiPriority w:val="11"/>
    <w:qFormat/>
    <w:rsid w:val="00271A50"/>
    <w:pPr>
      <w:keepNext/>
      <w:keepLines/>
      <w:numPr>
        <w:ilvl w:val="0"/>
        <w:numId w:val="10"/>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ppendixHeading2">
    <w:name w:val="Appendix Heading 2"/>
    <w:basedOn w:val="Heading2"/>
    <w:uiPriority w:val="11"/>
    <w:rsid w:val="00271A50"/>
    <w:pPr>
      <w:numPr>
        <w:ilvl w:val="1"/>
        <w:numId w:val="10"/>
      </w:numPr>
    </w:pPr>
    <w:rPr>
      <w:rFonts w:asciiTheme="majorHAnsi" w:eastAsiaTheme="majorEastAsia" w:hAnsiTheme="majorHAnsi" w:cstheme="majorBidi"/>
      <w:color w:val="44546A" w:themeColor="text2"/>
    </w:rPr>
  </w:style>
  <w:style w:type="paragraph" w:customStyle="1" w:styleId="AttachmentHeading1">
    <w:name w:val="Attachment Heading 1"/>
    <w:basedOn w:val="Heading1"/>
    <w:uiPriority w:val="11"/>
    <w:qFormat/>
    <w:rsid w:val="00271A50"/>
    <w:pPr>
      <w:keepNext/>
      <w:keepLines/>
      <w:numPr>
        <w:ilvl w:val="0"/>
        <w:numId w:val="11"/>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ttachmentHeading2">
    <w:name w:val="Attachment Heading 2"/>
    <w:basedOn w:val="Heading2"/>
    <w:uiPriority w:val="11"/>
    <w:rsid w:val="00271A50"/>
    <w:pPr>
      <w:numPr>
        <w:ilvl w:val="1"/>
        <w:numId w:val="11"/>
      </w:numPr>
    </w:pPr>
    <w:rPr>
      <w:rFonts w:asciiTheme="majorHAnsi" w:eastAsiaTheme="majorEastAsia" w:hAnsiTheme="majorHAnsi" w:cstheme="majorBidi"/>
      <w:color w:val="44546A" w:themeColor="text2"/>
    </w:rPr>
  </w:style>
  <w:style w:type="numbering" w:customStyle="1" w:styleId="AppendixNumbers">
    <w:name w:val="Appendix Numbers"/>
    <w:uiPriority w:val="99"/>
    <w:rsid w:val="00271A50"/>
    <w:pPr>
      <w:numPr>
        <w:numId w:val="9"/>
      </w:numPr>
    </w:pPr>
  </w:style>
  <w:style w:type="numbering" w:customStyle="1" w:styleId="AttachmentNumbers">
    <w:name w:val="Attachment Numbers"/>
    <w:uiPriority w:val="99"/>
    <w:rsid w:val="00271A50"/>
    <w:pPr>
      <w:numPr>
        <w:numId w:val="11"/>
      </w:numPr>
    </w:pPr>
  </w:style>
  <w:style w:type="character" w:styleId="CommentReference">
    <w:name w:val="annotation reference"/>
    <w:basedOn w:val="DefaultParagraphFont"/>
    <w:uiPriority w:val="99"/>
    <w:semiHidden/>
    <w:unhideWhenUsed/>
    <w:rsid w:val="00271A50"/>
    <w:rPr>
      <w:sz w:val="16"/>
      <w:szCs w:val="16"/>
    </w:rPr>
  </w:style>
  <w:style w:type="paragraph" w:styleId="CommentText">
    <w:name w:val="annotation text"/>
    <w:basedOn w:val="Normal"/>
    <w:link w:val="CommentTextChar"/>
    <w:uiPriority w:val="99"/>
    <w:unhideWhenUsed/>
    <w:rsid w:val="00271A50"/>
    <w:pPr>
      <w:suppressAutoHyphens/>
      <w:spacing w:before="160" w:after="80"/>
    </w:pPr>
    <w:rPr>
      <w:rFonts w:asciiTheme="minorHAnsi" w:hAnsiTheme="minorHAnsi"/>
      <w:color w:val="000000" w:themeColor="text1"/>
      <w:kern w:val="12"/>
      <w:sz w:val="20"/>
      <w:szCs w:val="20"/>
    </w:rPr>
  </w:style>
  <w:style w:type="character" w:customStyle="1" w:styleId="CommentTextChar">
    <w:name w:val="Comment Text Char"/>
    <w:basedOn w:val="DefaultParagraphFont"/>
    <w:link w:val="CommentText"/>
    <w:uiPriority w:val="99"/>
    <w:rsid w:val="00271A50"/>
    <w:rPr>
      <w:color w:val="000000" w:themeColor="text1"/>
      <w:kern w:val="12"/>
      <w:sz w:val="20"/>
      <w:szCs w:val="20"/>
    </w:rPr>
  </w:style>
  <w:style w:type="paragraph" w:styleId="CommentSubject">
    <w:name w:val="annotation subject"/>
    <w:basedOn w:val="CommentText"/>
    <w:next w:val="CommentText"/>
    <w:link w:val="CommentSubjectChar"/>
    <w:uiPriority w:val="99"/>
    <w:semiHidden/>
    <w:unhideWhenUsed/>
    <w:rsid w:val="00271A50"/>
    <w:rPr>
      <w:b/>
      <w:bCs/>
    </w:rPr>
  </w:style>
  <w:style w:type="character" w:customStyle="1" w:styleId="CommentSubjectChar">
    <w:name w:val="Comment Subject Char"/>
    <w:basedOn w:val="CommentTextChar"/>
    <w:link w:val="CommentSubject"/>
    <w:uiPriority w:val="99"/>
    <w:semiHidden/>
    <w:rsid w:val="00271A50"/>
    <w:rPr>
      <w:b/>
      <w:bCs/>
      <w:color w:val="000000" w:themeColor="text1"/>
      <w:kern w:val="12"/>
      <w:sz w:val="20"/>
      <w:szCs w:val="20"/>
    </w:rPr>
  </w:style>
  <w:style w:type="paragraph" w:styleId="BalloonText">
    <w:name w:val="Balloon Text"/>
    <w:basedOn w:val="Normal"/>
    <w:link w:val="BalloonTextChar"/>
    <w:uiPriority w:val="99"/>
    <w:semiHidden/>
    <w:unhideWhenUsed/>
    <w:rsid w:val="00271A50"/>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271A50"/>
    <w:rPr>
      <w:rFonts w:ascii="Segoe UI" w:hAnsi="Segoe UI" w:cs="Segoe UI"/>
      <w:color w:val="000000" w:themeColor="text1"/>
      <w:kern w:val="12"/>
      <w:sz w:val="18"/>
      <w:szCs w:val="18"/>
    </w:rPr>
  </w:style>
  <w:style w:type="character" w:customStyle="1" w:styleId="CommentTextChar1">
    <w:name w:val="Comment Text Char1"/>
    <w:basedOn w:val="DefaultParagraphFont"/>
    <w:uiPriority w:val="99"/>
    <w:semiHidden/>
    <w:rsid w:val="00271A50"/>
    <w:rPr>
      <w:kern w:val="12"/>
    </w:rPr>
  </w:style>
  <w:style w:type="paragraph" w:customStyle="1" w:styleId="Heading71">
    <w:name w:val="Heading 71"/>
    <w:basedOn w:val="Heading1"/>
    <w:next w:val="Normal"/>
    <w:uiPriority w:val="9"/>
    <w:unhideWhenUsed/>
    <w:rsid w:val="00271A50"/>
    <w:pPr>
      <w:keepNext/>
      <w:keepLines/>
      <w:numPr>
        <w:ilvl w:val="0"/>
        <w:numId w:val="12"/>
      </w:numPr>
      <w:tabs>
        <w:tab w:val="num" w:pos="643"/>
        <w:tab w:val="left" w:pos="720"/>
        <w:tab w:val="left" w:pos="851"/>
      </w:tabs>
      <w:suppressAutoHyphens w:val="0"/>
      <w:spacing w:after="240"/>
      <w:ind w:left="643" w:hanging="360"/>
      <w:outlineLvl w:val="6"/>
    </w:pPr>
    <w:rPr>
      <w:rFonts w:asciiTheme="majorHAnsi" w:eastAsia="Times New Roman" w:hAnsiTheme="majorHAnsi"/>
      <w:bCs/>
      <w:caps/>
      <w:color w:val="auto"/>
      <w:kern w:val="0"/>
      <w:sz w:val="24"/>
      <w:szCs w:val="28"/>
    </w:rPr>
  </w:style>
  <w:style w:type="numbering" w:customStyle="1" w:styleId="NoList1">
    <w:name w:val="No List1"/>
    <w:next w:val="NoList"/>
    <w:uiPriority w:val="99"/>
    <w:semiHidden/>
    <w:unhideWhenUsed/>
    <w:rsid w:val="00271A50"/>
  </w:style>
  <w:style w:type="paragraph" w:customStyle="1" w:styleId="MUBODYCOPY">
    <w:name w:val="MU: BODY COPY"/>
    <w:basedOn w:val="Normal"/>
    <w:link w:val="MUBODYCOPYChar"/>
    <w:qFormat/>
    <w:rsid w:val="00271A50"/>
    <w:pPr>
      <w:spacing w:before="120" w:after="120"/>
      <w:jc w:val="both"/>
    </w:pPr>
    <w:rPr>
      <w:rFonts w:ascii="Georgia" w:eastAsia="Calibri" w:hAnsi="Georgia" w:cs="Calibri"/>
      <w:bCs/>
      <w:szCs w:val="21"/>
      <w:lang w:val="en-GB"/>
    </w:rPr>
  </w:style>
  <w:style w:type="character" w:customStyle="1" w:styleId="MUBODYCOPYChar">
    <w:name w:val="MU: BODY COPY Char"/>
    <w:basedOn w:val="DefaultParagraphFont"/>
    <w:link w:val="MUBODYCOPY"/>
    <w:rsid w:val="00271A50"/>
    <w:rPr>
      <w:rFonts w:ascii="Georgia" w:eastAsia="Calibri" w:hAnsi="Georgia" w:cs="Calibri"/>
      <w:bCs/>
      <w:szCs w:val="21"/>
      <w:lang w:val="en-GB"/>
    </w:rPr>
  </w:style>
  <w:style w:type="paragraph" w:customStyle="1" w:styleId="MUL5">
    <w:name w:val="MU: L5"/>
    <w:basedOn w:val="Normal"/>
    <w:link w:val="MUL5Char"/>
    <w:qFormat/>
    <w:rsid w:val="00271A50"/>
    <w:pPr>
      <w:spacing w:before="120" w:after="120"/>
    </w:pPr>
    <w:rPr>
      <w:rFonts w:ascii="Georgia" w:eastAsia="Calibri" w:hAnsi="Georgia" w:cs="Open Sans Semibold"/>
      <w:szCs w:val="16"/>
      <w:u w:val="single"/>
      <w:lang w:val="en-GB"/>
    </w:rPr>
  </w:style>
  <w:style w:type="character" w:customStyle="1" w:styleId="MUL5Char">
    <w:name w:val="MU: L5 Char"/>
    <w:basedOn w:val="DefaultParagraphFont"/>
    <w:link w:val="MUL5"/>
    <w:rsid w:val="00271A50"/>
    <w:rPr>
      <w:rFonts w:ascii="Georgia" w:eastAsia="Calibri" w:hAnsi="Georgia" w:cs="Open Sans Semibold"/>
      <w:szCs w:val="16"/>
      <w:u w:val="single"/>
      <w:lang w:val="en-GB"/>
    </w:rPr>
  </w:style>
  <w:style w:type="paragraph" w:customStyle="1" w:styleId="Bodycopy">
    <w:name w:val="Body copy"/>
    <w:basedOn w:val="Normal"/>
    <w:link w:val="BodycopyChar"/>
    <w:qFormat/>
    <w:rsid w:val="00271A50"/>
    <w:pPr>
      <w:spacing w:before="120" w:after="120"/>
    </w:pPr>
    <w:rPr>
      <w:rFonts w:ascii="Georgia" w:eastAsia="Calibri" w:hAnsi="Georgia" w:cs="Arial"/>
      <w:bCs/>
      <w:szCs w:val="20"/>
      <w:lang w:val="en-GB"/>
    </w:rPr>
  </w:style>
  <w:style w:type="character" w:customStyle="1" w:styleId="BodycopyChar">
    <w:name w:val="Body copy Char"/>
    <w:basedOn w:val="DefaultParagraphFont"/>
    <w:link w:val="Bodycopy"/>
    <w:rsid w:val="00271A50"/>
    <w:rPr>
      <w:rFonts w:ascii="Georgia" w:eastAsia="Calibri" w:hAnsi="Georgia" w:cs="Arial"/>
      <w:bCs/>
      <w:szCs w:val="20"/>
      <w:lang w:val="en-GB"/>
    </w:rPr>
  </w:style>
  <w:style w:type="paragraph" w:customStyle="1" w:styleId="MUFIGTITLE">
    <w:name w:val="MU: FIG TITLE"/>
    <w:basedOn w:val="Normal"/>
    <w:link w:val="MUFIGTITLEChar"/>
    <w:qFormat/>
    <w:rsid w:val="00271A50"/>
    <w:pPr>
      <w:spacing w:before="240" w:after="120"/>
    </w:pPr>
    <w:rPr>
      <w:rFonts w:ascii="Arial Narrow" w:eastAsia="Calibri" w:hAnsi="Arial Narrow"/>
      <w:bCs/>
      <w:caps/>
      <w:color w:val="006CAB"/>
      <w:sz w:val="24"/>
      <w:szCs w:val="24"/>
      <w:lang w:val="en-GB"/>
    </w:rPr>
  </w:style>
  <w:style w:type="character" w:customStyle="1" w:styleId="MUFIGTITLEChar">
    <w:name w:val="MU: FIG TITLE Char"/>
    <w:basedOn w:val="DefaultParagraphFont"/>
    <w:link w:val="MUFIGTITLE"/>
    <w:rsid w:val="00271A50"/>
    <w:rPr>
      <w:rFonts w:ascii="Arial Narrow" w:eastAsia="Calibri" w:hAnsi="Arial Narrow"/>
      <w:bCs/>
      <w:caps/>
      <w:color w:val="006CAB"/>
      <w:sz w:val="24"/>
      <w:szCs w:val="24"/>
      <w:lang w:val="en-GB"/>
    </w:rPr>
  </w:style>
  <w:style w:type="paragraph" w:customStyle="1" w:styleId="ListParagraph1">
    <w:name w:val="List Paragraph1"/>
    <w:basedOn w:val="Normal"/>
    <w:next w:val="ListParagraph"/>
    <w:link w:val="ListParagraphChar"/>
    <w:uiPriority w:val="34"/>
    <w:qFormat/>
    <w:rsid w:val="00271A50"/>
    <w:pPr>
      <w:spacing w:line="259" w:lineRule="auto"/>
      <w:ind w:left="720"/>
      <w:contextualSpacing/>
    </w:pPr>
    <w:rPr>
      <w:rFonts w:asciiTheme="minorHAnsi" w:hAnsiTheme="minorHAnsi"/>
    </w:rPr>
  </w:style>
  <w:style w:type="paragraph" w:customStyle="1" w:styleId="underlinedleft">
    <w:name w:val="underlined&amp;left"/>
    <w:basedOn w:val="Normal"/>
    <w:next w:val="Normal"/>
    <w:link w:val="underlinedleftChar"/>
    <w:qFormat/>
    <w:rsid w:val="00271A50"/>
    <w:pPr>
      <w:tabs>
        <w:tab w:val="left" w:pos="720"/>
        <w:tab w:val="left" w:pos="851"/>
      </w:tabs>
      <w:spacing w:before="240" w:after="240" w:line="264" w:lineRule="auto"/>
    </w:pPr>
    <w:rPr>
      <w:rFonts w:ascii="Times New Roman" w:eastAsia="Calibri" w:hAnsi="Times New Roman" w:cs="Times New Roman"/>
      <w:sz w:val="24"/>
      <w:u w:val="single"/>
    </w:rPr>
  </w:style>
  <w:style w:type="character" w:customStyle="1" w:styleId="underlinedleftChar">
    <w:name w:val="underlined&amp;left Char"/>
    <w:link w:val="underlinedleft"/>
    <w:rsid w:val="00271A50"/>
    <w:rPr>
      <w:rFonts w:ascii="Times New Roman" w:eastAsia="Calibri" w:hAnsi="Times New Roman" w:cs="Times New Roman"/>
      <w:sz w:val="24"/>
      <w:u w:val="single"/>
    </w:rPr>
  </w:style>
  <w:style w:type="paragraph" w:customStyle="1" w:styleId="MUEndnotes">
    <w:name w:val="MU: Endnotes"/>
    <w:basedOn w:val="FootnoteText"/>
    <w:link w:val="MUEndnotesChar"/>
    <w:qFormat/>
    <w:rsid w:val="00271A50"/>
    <w:rPr>
      <w:rFonts w:ascii="Arial Narrow" w:eastAsia="Calibri" w:hAnsi="Arial Narrow"/>
      <w:bCs/>
      <w:kern w:val="12"/>
      <w:sz w:val="16"/>
      <w:szCs w:val="16"/>
      <w:lang w:val="en-GB"/>
    </w:rPr>
  </w:style>
  <w:style w:type="character" w:customStyle="1" w:styleId="MUEndnotesChar">
    <w:name w:val="MU: Endnotes Char"/>
    <w:basedOn w:val="FootnoteTextChar"/>
    <w:link w:val="MUEndnotes"/>
    <w:rsid w:val="00271A50"/>
    <w:rPr>
      <w:rFonts w:ascii="Arial Narrow" w:eastAsia="Calibri" w:hAnsi="Arial Narrow"/>
      <w:bCs/>
      <w:kern w:val="12"/>
      <w:sz w:val="16"/>
      <w:szCs w:val="16"/>
      <w:lang w:val="en-GB"/>
    </w:rPr>
  </w:style>
  <w:style w:type="paragraph" w:customStyle="1" w:styleId="MUTabHead">
    <w:name w:val="MU: TabHead"/>
    <w:basedOn w:val="Normal"/>
    <w:link w:val="MUTabHeadChar"/>
    <w:autoRedefine/>
    <w:qFormat/>
    <w:rsid w:val="00271A50"/>
    <w:pPr>
      <w:spacing w:before="240" w:after="120"/>
    </w:pPr>
    <w:rPr>
      <w:rFonts w:ascii="Arial Narrow" w:eastAsia="Calibri" w:hAnsi="Arial Narrow"/>
      <w:bCs/>
      <w:caps/>
      <w:color w:val="006CAB"/>
      <w:sz w:val="24"/>
      <w:szCs w:val="24"/>
      <w:lang w:val="en-GB"/>
    </w:rPr>
  </w:style>
  <w:style w:type="character" w:customStyle="1" w:styleId="MUTabHeadChar">
    <w:name w:val="MU: TabHead Char"/>
    <w:basedOn w:val="DefaultParagraphFont"/>
    <w:link w:val="MUTabHead"/>
    <w:rsid w:val="00271A50"/>
    <w:rPr>
      <w:rFonts w:ascii="Arial Narrow" w:eastAsia="Calibri" w:hAnsi="Arial Narrow"/>
      <w:bCs/>
      <w:caps/>
      <w:color w:val="006CAB"/>
      <w:sz w:val="24"/>
      <w:szCs w:val="24"/>
      <w:lang w:val="en-GB"/>
    </w:rPr>
  </w:style>
  <w:style w:type="paragraph" w:customStyle="1" w:styleId="MUTab-Topline">
    <w:name w:val="MU: Tab-Topline"/>
    <w:basedOn w:val="Normal"/>
    <w:link w:val="MUTab-ToplineChar"/>
    <w:qFormat/>
    <w:rsid w:val="00271A50"/>
    <w:pPr>
      <w:suppressAutoHyphens/>
      <w:autoSpaceDE w:val="0"/>
      <w:autoSpaceDN w:val="0"/>
      <w:adjustRightInd w:val="0"/>
      <w:spacing w:before="60" w:after="60"/>
      <w:textAlignment w:val="center"/>
    </w:pPr>
    <w:rPr>
      <w:rFonts w:ascii="Arial Narrow" w:hAnsi="Arial Narrow"/>
      <w:color w:val="006CAB"/>
      <w:szCs w:val="20"/>
      <w:lang w:val="en-GB"/>
    </w:rPr>
  </w:style>
  <w:style w:type="character" w:customStyle="1" w:styleId="MUTab-ToplineChar">
    <w:name w:val="MU: Tab-Topline Char"/>
    <w:basedOn w:val="DefaultParagraphFont"/>
    <w:link w:val="MUTab-Topline"/>
    <w:rsid w:val="00271A50"/>
    <w:rPr>
      <w:rFonts w:ascii="Arial Narrow" w:hAnsi="Arial Narrow"/>
      <w:color w:val="006CAB"/>
      <w:szCs w:val="20"/>
      <w:lang w:val="en-GB"/>
    </w:rPr>
  </w:style>
  <w:style w:type="paragraph" w:customStyle="1" w:styleId="FootnoteMain">
    <w:name w:val="Footnote (Main)"/>
    <w:qFormat/>
    <w:rsid w:val="00271A50"/>
    <w:pPr>
      <w:suppressAutoHyphens/>
      <w:autoSpaceDE w:val="0"/>
      <w:autoSpaceDN w:val="0"/>
      <w:adjustRightInd w:val="0"/>
      <w:spacing w:after="60" w:line="276" w:lineRule="auto"/>
      <w:textAlignment w:val="center"/>
    </w:pPr>
    <w:rPr>
      <w:rFonts w:eastAsia="Times New Roman" w:cs="FranklinGothic-Book"/>
      <w:color w:val="000000"/>
      <w:sz w:val="16"/>
    </w:rPr>
  </w:style>
  <w:style w:type="character" w:customStyle="1" w:styleId="ListParagraphChar">
    <w:name w:val="List Paragraph Char"/>
    <w:link w:val="ListParagraph1"/>
    <w:uiPriority w:val="34"/>
    <w:rsid w:val="00271A50"/>
  </w:style>
  <w:style w:type="character" w:styleId="Emphasis">
    <w:name w:val="Emphasis"/>
    <w:uiPriority w:val="20"/>
    <w:qFormat/>
    <w:rsid w:val="00271A50"/>
    <w:rPr>
      <w:rFonts w:ascii="Times New Roman" w:hAnsi="Times New Roman"/>
      <w:i/>
      <w:iCs/>
      <w:sz w:val="24"/>
    </w:rPr>
  </w:style>
  <w:style w:type="table" w:customStyle="1" w:styleId="TableGrid23">
    <w:name w:val="Table Grid23"/>
    <w:basedOn w:val="TableNormal"/>
    <w:next w:val="TableGrid"/>
    <w:uiPriority w:val="59"/>
    <w:rsid w:val="00271A50"/>
    <w:pPr>
      <w:spacing w:after="0" w:line="240" w:lineRule="auto"/>
    </w:pPr>
    <w:rPr>
      <w:rFonts w:ascii="Times New Roman" w:eastAsia="Calibri"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TA1">
    <w:name w:val="GTA1"/>
    <w:basedOn w:val="TableNormal"/>
    <w:next w:val="TableGrid"/>
    <w:uiPriority w:val="59"/>
    <w:rsid w:val="002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2">
    <w:name w:val="Numbered heading 2"/>
    <w:basedOn w:val="Normal"/>
    <w:next w:val="Normal"/>
    <w:link w:val="Numberedheading2Char"/>
    <w:qFormat/>
    <w:rsid w:val="00271A50"/>
    <w:pPr>
      <w:spacing w:before="240" w:after="120"/>
    </w:pPr>
    <w:rPr>
      <w:rFonts w:ascii="Arial" w:eastAsia="Times New Roman" w:hAnsi="Arial" w:cs="FranklinGothic-BookCnd"/>
      <w:color w:val="5B9BD5"/>
      <w:spacing w:val="-2"/>
      <w:kern w:val="12"/>
      <w:sz w:val="32"/>
      <w:szCs w:val="32"/>
    </w:rPr>
  </w:style>
  <w:style w:type="paragraph" w:customStyle="1" w:styleId="NumberedHeading1">
    <w:name w:val="Numbered Heading 1"/>
    <w:basedOn w:val="Heading1"/>
    <w:next w:val="Normal"/>
    <w:link w:val="NumberedHeading1Char"/>
    <w:qFormat/>
    <w:rsid w:val="00271A50"/>
    <w:pPr>
      <w:keepNext/>
      <w:keepLines/>
      <w:pageBreakBefore/>
      <w:numPr>
        <w:ilvl w:val="0"/>
      </w:numPr>
      <w:suppressAutoHyphens w:val="0"/>
      <w:spacing w:after="120"/>
      <w:ind w:left="360" w:hanging="360"/>
    </w:pPr>
    <w:rPr>
      <w:rFonts w:ascii="Arial" w:eastAsia="Times New Roman" w:hAnsi="Arial" w:cs="FranklinGothic-BookCnd"/>
      <w:b w:val="0"/>
      <w:color w:val="002A5B"/>
      <w:spacing w:val="-2"/>
      <w:sz w:val="40"/>
      <w:szCs w:val="40"/>
    </w:rPr>
  </w:style>
  <w:style w:type="character" w:customStyle="1" w:styleId="Numberedheading2Char">
    <w:name w:val="Numbered heading 2 Char"/>
    <w:basedOn w:val="Heading2Char"/>
    <w:link w:val="Numberedheading2"/>
    <w:rsid w:val="00271A50"/>
    <w:rPr>
      <w:rFonts w:ascii="Arial" w:eastAsia="Times New Roman" w:hAnsi="Arial" w:cs="FranklinGothic-BookCnd"/>
      <w:color w:val="5B9BD5"/>
      <w:spacing w:val="-2"/>
      <w:kern w:val="12"/>
      <w:sz w:val="32"/>
      <w:szCs w:val="32"/>
    </w:rPr>
  </w:style>
  <w:style w:type="paragraph" w:customStyle="1" w:styleId="NumberedHeading3">
    <w:name w:val="Numbered Heading 3"/>
    <w:next w:val="Normal"/>
    <w:link w:val="NumberedHeading3Char"/>
    <w:qFormat/>
    <w:rsid w:val="00271A50"/>
    <w:pPr>
      <w:keepNext/>
      <w:keepLines/>
      <w:tabs>
        <w:tab w:val="left" w:pos="1134"/>
        <w:tab w:val="left" w:pos="1701"/>
      </w:tabs>
      <w:spacing w:after="200" w:line="276" w:lineRule="auto"/>
      <w:outlineLvl w:val="0"/>
    </w:pPr>
    <w:rPr>
      <w:rFonts w:ascii="Arial" w:eastAsia="Times New Roman" w:hAnsi="Arial" w:cs="FranklinGothic-BookCnd"/>
      <w:color w:val="5B9BD5"/>
      <w:spacing w:val="1"/>
      <w:kern w:val="12"/>
      <w:sz w:val="28"/>
      <w:szCs w:val="28"/>
    </w:rPr>
  </w:style>
  <w:style w:type="paragraph" w:customStyle="1" w:styleId="Numberedheading4">
    <w:name w:val="Numbered heading 4"/>
    <w:basedOn w:val="NumberedHeading3"/>
    <w:qFormat/>
    <w:rsid w:val="00271A50"/>
    <w:pPr>
      <w:numPr>
        <w:ilvl w:val="3"/>
      </w:numPr>
      <w:spacing w:before="240" w:after="120" w:line="240" w:lineRule="auto"/>
    </w:pPr>
    <w:rPr>
      <w:sz w:val="24"/>
      <w:szCs w:val="24"/>
    </w:rPr>
  </w:style>
  <w:style w:type="paragraph" w:customStyle="1" w:styleId="Numberedheading5">
    <w:name w:val="Numbered heading 5"/>
    <w:basedOn w:val="NumberedHeading3"/>
    <w:qFormat/>
    <w:rsid w:val="00271A50"/>
    <w:pPr>
      <w:numPr>
        <w:ilvl w:val="4"/>
      </w:numPr>
      <w:tabs>
        <w:tab w:val="clear" w:pos="1134"/>
        <w:tab w:val="clear" w:pos="1701"/>
        <w:tab w:val="left" w:pos="1418"/>
        <w:tab w:val="left" w:pos="1985"/>
      </w:tabs>
      <w:spacing w:before="240" w:after="120" w:line="240" w:lineRule="auto"/>
    </w:pPr>
    <w:rPr>
      <w:sz w:val="22"/>
      <w:szCs w:val="22"/>
    </w:rPr>
  </w:style>
  <w:style w:type="paragraph" w:customStyle="1" w:styleId="Figure1">
    <w:name w:val="Figure 1"/>
    <w:basedOn w:val="Normal"/>
    <w:autoRedefine/>
    <w:rsid w:val="00271A50"/>
    <w:pPr>
      <w:spacing w:after="120" w:line="276" w:lineRule="auto"/>
    </w:pPr>
    <w:rPr>
      <w:rFonts w:ascii="Arial" w:hAnsi="Arial" w:cs="Arial"/>
      <w:color w:val="5B9BD5"/>
      <w:szCs w:val="20"/>
      <w:u w:color="8496B0"/>
    </w:rPr>
  </w:style>
  <w:style w:type="paragraph" w:customStyle="1" w:styleId="Tableheader">
    <w:name w:val="Table header"/>
    <w:next w:val="Normal"/>
    <w:qFormat/>
    <w:rsid w:val="00271A50"/>
    <w:pPr>
      <w:tabs>
        <w:tab w:val="left" w:pos="1418"/>
      </w:tabs>
      <w:spacing w:before="240" w:after="0" w:line="276" w:lineRule="auto"/>
    </w:pPr>
    <w:rPr>
      <w:rFonts w:ascii="Arial" w:hAnsi="Arial" w:cs="Arial"/>
      <w:color w:val="5B9BD5"/>
      <w:sz w:val="20"/>
      <w:szCs w:val="20"/>
      <w:u w:color="8496B0"/>
    </w:rPr>
  </w:style>
  <w:style w:type="paragraph" w:customStyle="1" w:styleId="MapHeading">
    <w:name w:val="Map Heading"/>
    <w:next w:val="Normal"/>
    <w:qFormat/>
    <w:rsid w:val="00271A50"/>
    <w:pPr>
      <w:tabs>
        <w:tab w:val="left" w:pos="1418"/>
      </w:tabs>
      <w:spacing w:after="200" w:line="276" w:lineRule="auto"/>
    </w:pPr>
    <w:rPr>
      <w:rFonts w:ascii="Arial" w:hAnsi="Arial" w:cs="Arial"/>
      <w:color w:val="5B9BD5"/>
      <w:sz w:val="20"/>
      <w:szCs w:val="20"/>
      <w:u w:color="8496B0"/>
    </w:rPr>
  </w:style>
  <w:style w:type="numbering" w:customStyle="1" w:styleId="DepartmentChapterHeadersNumbered">
    <w:name w:val="Department Chapter Headers Numbered"/>
    <w:uiPriority w:val="99"/>
    <w:rsid w:val="00271A50"/>
    <w:pPr>
      <w:numPr>
        <w:numId w:val="13"/>
      </w:numPr>
    </w:p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uiPriority w:val="99"/>
    <w:locked/>
    <w:rsid w:val="00271A50"/>
    <w:rPr>
      <w:rFonts w:ascii="Calibri" w:hAnsi="Calibri"/>
      <w:i/>
      <w:iCs/>
      <w:color w:val="44546A" w:themeColor="text2"/>
      <w:sz w:val="18"/>
      <w:szCs w:val="18"/>
    </w:rPr>
  </w:style>
  <w:style w:type="character" w:customStyle="1" w:styleId="NumberedHeading3Char">
    <w:name w:val="Numbered Heading 3 Char"/>
    <w:basedOn w:val="Numberedheading2Char"/>
    <w:link w:val="NumberedHeading3"/>
    <w:locked/>
    <w:rsid w:val="00271A50"/>
    <w:rPr>
      <w:rFonts w:ascii="Arial" w:eastAsia="Times New Roman" w:hAnsi="Arial" w:cs="FranklinGothic-BookCnd"/>
      <w:color w:val="5B9BD5"/>
      <w:spacing w:val="1"/>
      <w:kern w:val="12"/>
      <w:sz w:val="28"/>
      <w:szCs w:val="28"/>
    </w:rPr>
  </w:style>
  <w:style w:type="numbering" w:customStyle="1" w:styleId="Listoftables">
    <w:name w:val="List of tables"/>
    <w:uiPriority w:val="99"/>
    <w:rsid w:val="00271A50"/>
    <w:pPr>
      <w:numPr>
        <w:numId w:val="14"/>
      </w:numPr>
    </w:pPr>
  </w:style>
  <w:style w:type="paragraph" w:customStyle="1" w:styleId="CommentText1">
    <w:name w:val="Comment Text1"/>
    <w:basedOn w:val="Normal"/>
    <w:next w:val="CommentText"/>
    <w:uiPriority w:val="99"/>
    <w:unhideWhenUsed/>
    <w:rsid w:val="00271A50"/>
    <w:pPr>
      <w:suppressAutoHyphens/>
      <w:autoSpaceDE w:val="0"/>
      <w:autoSpaceDN w:val="0"/>
      <w:adjustRightInd w:val="0"/>
      <w:spacing w:after="113"/>
      <w:textAlignment w:val="center"/>
    </w:pPr>
    <w:rPr>
      <w:rFonts w:ascii="Arial" w:hAnsi="Arial" w:cs="FranklinGothic-Book"/>
      <w:color w:val="000000"/>
      <w:szCs w:val="20"/>
    </w:rPr>
  </w:style>
  <w:style w:type="paragraph" w:customStyle="1" w:styleId="BalloonText1">
    <w:name w:val="Balloon Text1"/>
    <w:basedOn w:val="Normal"/>
    <w:next w:val="BalloonText"/>
    <w:uiPriority w:val="99"/>
    <w:semiHidden/>
    <w:unhideWhenUsed/>
    <w:rsid w:val="00271A50"/>
    <w:pPr>
      <w:spacing w:after="0"/>
    </w:pPr>
    <w:rPr>
      <w:rFonts w:ascii="Segoe UI" w:hAnsi="Segoe UI" w:cs="Segoe UI"/>
      <w:color w:val="000000" w:themeColor="text1"/>
      <w:sz w:val="18"/>
      <w:szCs w:val="18"/>
    </w:rPr>
  </w:style>
  <w:style w:type="character" w:customStyle="1" w:styleId="NumberedHeading1Char">
    <w:name w:val="Numbered Heading 1 Char"/>
    <w:basedOn w:val="Heading1Char"/>
    <w:link w:val="NumberedHeading1"/>
    <w:rsid w:val="00271A50"/>
    <w:rPr>
      <w:rFonts w:ascii="Arial" w:eastAsia="Times New Roman" w:hAnsi="Arial" w:cs="FranklinGothic-BookCnd"/>
      <w:b w:val="0"/>
      <w:color w:val="002A5B"/>
      <w:spacing w:val="-2"/>
      <w:kern w:val="12"/>
      <w:sz w:val="40"/>
      <w:szCs w:val="40"/>
    </w:rPr>
  </w:style>
  <w:style w:type="table" w:customStyle="1" w:styleId="Table-Style33">
    <w:name w:val="Table-Style33"/>
    <w:basedOn w:val="TableNormal"/>
    <w:rsid w:val="00271A50"/>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TableHeading">
    <w:name w:val="Table Heading"/>
    <w:basedOn w:val="Normal"/>
    <w:qFormat/>
    <w:rsid w:val="00271A50"/>
    <w:pPr>
      <w:spacing w:before="80" w:after="40"/>
    </w:pPr>
    <w:rPr>
      <w:rFonts w:ascii="Segoe UI Semibold" w:hAnsi="Segoe UI Semibold"/>
      <w:b/>
      <w:color w:val="002D72"/>
      <w:sz w:val="18"/>
    </w:rPr>
  </w:style>
  <w:style w:type="paragraph" w:customStyle="1" w:styleId="Tableheadersleft">
    <w:name w:val="Table headers left"/>
    <w:basedOn w:val="Normal"/>
    <w:autoRedefine/>
    <w:uiPriority w:val="99"/>
    <w:qFormat/>
    <w:rsid w:val="00271A50"/>
    <w:pPr>
      <w:widowControl w:val="0"/>
      <w:suppressAutoHyphens/>
      <w:autoSpaceDE w:val="0"/>
      <w:autoSpaceDN w:val="0"/>
      <w:adjustRightInd w:val="0"/>
      <w:spacing w:before="120" w:after="120" w:line="200" w:lineRule="atLeast"/>
      <w:jc w:val="center"/>
      <w:textAlignment w:val="center"/>
    </w:pPr>
    <w:rPr>
      <w:rFonts w:ascii="Segoe UI" w:eastAsia="Times New Roman" w:hAnsi="Segoe UI" w:cs="Segoe UI"/>
      <w:b/>
      <w:bCs/>
      <w:color w:val="000000" w:themeColor="text1"/>
      <w:szCs w:val="18"/>
    </w:rPr>
  </w:style>
  <w:style w:type="character" w:customStyle="1" w:styleId="FollowedHyperlink1">
    <w:name w:val="FollowedHyperlink1"/>
    <w:basedOn w:val="DefaultParagraphFont"/>
    <w:uiPriority w:val="99"/>
    <w:semiHidden/>
    <w:unhideWhenUsed/>
    <w:rsid w:val="00271A50"/>
    <w:rPr>
      <w:color w:val="954F72"/>
      <w:u w:val="single"/>
    </w:rPr>
  </w:style>
  <w:style w:type="paragraph" w:customStyle="1" w:styleId="CommentSubject1">
    <w:name w:val="Comment Subject1"/>
    <w:basedOn w:val="CommentText"/>
    <w:next w:val="CommentText"/>
    <w:uiPriority w:val="99"/>
    <w:semiHidden/>
    <w:unhideWhenUsed/>
    <w:rsid w:val="00271A50"/>
    <w:pPr>
      <w:suppressAutoHyphens w:val="0"/>
      <w:spacing w:before="0" w:after="160"/>
    </w:pPr>
    <w:rPr>
      <w:b/>
      <w:bCs/>
      <w:color w:val="auto"/>
      <w:kern w:val="0"/>
      <w:sz w:val="22"/>
    </w:rPr>
  </w:style>
  <w:style w:type="paragraph" w:customStyle="1" w:styleId="references">
    <w:name w:val="references"/>
    <w:basedOn w:val="Normal"/>
    <w:link w:val="referencesChar"/>
    <w:qFormat/>
    <w:rsid w:val="00271A50"/>
    <w:pPr>
      <w:tabs>
        <w:tab w:val="left" w:pos="720"/>
        <w:tab w:val="left" w:pos="851"/>
      </w:tabs>
      <w:spacing w:before="240" w:after="240" w:line="264" w:lineRule="auto"/>
      <w:ind w:left="720" w:hanging="720"/>
    </w:pPr>
    <w:rPr>
      <w:rFonts w:ascii="Times New Roman" w:eastAsia="Calibri" w:hAnsi="Times New Roman" w:cs="Times New Roman"/>
      <w:sz w:val="24"/>
    </w:rPr>
  </w:style>
  <w:style w:type="character" w:customStyle="1" w:styleId="referencesChar">
    <w:name w:val="references Char"/>
    <w:basedOn w:val="DefaultParagraphFont"/>
    <w:link w:val="references"/>
    <w:rsid w:val="00271A50"/>
    <w:rPr>
      <w:rFonts w:ascii="Times New Roman" w:eastAsia="Calibri" w:hAnsi="Times New Roman" w:cs="Times New Roman"/>
      <w:sz w:val="24"/>
    </w:rPr>
  </w:style>
  <w:style w:type="paragraph" w:customStyle="1" w:styleId="boldcentred">
    <w:name w:val="bold&amp;centred"/>
    <w:basedOn w:val="Normal"/>
    <w:next w:val="Normal"/>
    <w:link w:val="boldcentredChar"/>
    <w:qFormat/>
    <w:rsid w:val="00271A50"/>
    <w:pPr>
      <w:tabs>
        <w:tab w:val="left" w:pos="720"/>
        <w:tab w:val="left" w:pos="851"/>
      </w:tabs>
      <w:spacing w:before="240" w:after="240" w:line="264" w:lineRule="auto"/>
      <w:jc w:val="center"/>
    </w:pPr>
    <w:rPr>
      <w:rFonts w:ascii="Times New Roman" w:eastAsia="Calibri" w:hAnsi="Times New Roman" w:cs="Times New Roman"/>
      <w:b/>
      <w:sz w:val="24"/>
    </w:rPr>
  </w:style>
  <w:style w:type="character" w:customStyle="1" w:styleId="boldcentredChar">
    <w:name w:val="bold&amp;centred Char"/>
    <w:link w:val="boldcentred"/>
    <w:rsid w:val="00271A50"/>
    <w:rPr>
      <w:rFonts w:ascii="Times New Roman" w:eastAsia="Calibri" w:hAnsi="Times New Roman" w:cs="Times New Roman"/>
      <w:b/>
      <w:sz w:val="24"/>
    </w:rPr>
  </w:style>
  <w:style w:type="paragraph" w:customStyle="1" w:styleId="Subheading1">
    <w:name w:val="Subheading1"/>
    <w:basedOn w:val="Normal"/>
    <w:next w:val="Normal"/>
    <w:link w:val="Subheading1Char"/>
    <w:qFormat/>
    <w:rsid w:val="00271A50"/>
    <w:pPr>
      <w:tabs>
        <w:tab w:val="left" w:pos="720"/>
        <w:tab w:val="left" w:pos="851"/>
      </w:tabs>
      <w:spacing w:before="240" w:after="240" w:line="264" w:lineRule="auto"/>
    </w:pPr>
    <w:rPr>
      <w:rFonts w:ascii="Times New Roman" w:eastAsia="Calibri" w:hAnsi="Times New Roman" w:cs="Times New Roman"/>
      <w:caps/>
      <w:sz w:val="24"/>
    </w:rPr>
  </w:style>
  <w:style w:type="character" w:customStyle="1" w:styleId="Subheading1Char">
    <w:name w:val="Subheading1 Char"/>
    <w:link w:val="Subheading1"/>
    <w:rsid w:val="00271A50"/>
    <w:rPr>
      <w:rFonts w:ascii="Times New Roman" w:eastAsia="Calibri" w:hAnsi="Times New Roman" w:cs="Times New Roman"/>
      <w:caps/>
      <w:sz w:val="24"/>
    </w:rPr>
  </w:style>
  <w:style w:type="paragraph" w:customStyle="1" w:styleId="boldleftaligned">
    <w:name w:val="bold&amp;leftaligned"/>
    <w:basedOn w:val="boldcentred"/>
    <w:next w:val="Normal"/>
    <w:link w:val="boldleftalignedChar"/>
    <w:qFormat/>
    <w:rsid w:val="00271A50"/>
    <w:pPr>
      <w:jc w:val="left"/>
    </w:pPr>
  </w:style>
  <w:style w:type="character" w:customStyle="1" w:styleId="boldleftalignedChar">
    <w:name w:val="bold&amp;leftaligned Char"/>
    <w:link w:val="boldleftaligned"/>
    <w:rsid w:val="00271A50"/>
    <w:rPr>
      <w:rFonts w:ascii="Times New Roman" w:eastAsia="Calibri" w:hAnsi="Times New Roman" w:cs="Times New Roman"/>
      <w:b/>
      <w:sz w:val="24"/>
    </w:rPr>
  </w:style>
  <w:style w:type="paragraph" w:customStyle="1" w:styleId="msonormal0">
    <w:name w:val="msonormal"/>
    <w:basedOn w:val="Normal"/>
    <w:rsid w:val="00271A5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271A50"/>
    <w:pPr>
      <w:spacing w:before="100" w:beforeAutospacing="1" w:after="100" w:afterAutospacing="1"/>
    </w:pPr>
    <w:rPr>
      <w:rFonts w:ascii="Tahoma" w:eastAsia="Times New Roman" w:hAnsi="Tahoma" w:cs="Tahoma"/>
      <w:color w:val="000000"/>
      <w:sz w:val="18"/>
      <w:szCs w:val="18"/>
      <w:lang w:eastAsia="en-AU"/>
    </w:rPr>
  </w:style>
  <w:style w:type="paragraph" w:customStyle="1" w:styleId="font6">
    <w:name w:val="font6"/>
    <w:basedOn w:val="Normal"/>
    <w:rsid w:val="00271A50"/>
    <w:pPr>
      <w:spacing w:before="100" w:beforeAutospacing="1" w:after="100" w:afterAutospacing="1"/>
    </w:pPr>
    <w:rPr>
      <w:rFonts w:ascii="Tahoma" w:eastAsia="Times New Roman" w:hAnsi="Tahoma" w:cs="Tahoma"/>
      <w:b/>
      <w:bCs/>
      <w:color w:val="000000"/>
      <w:sz w:val="18"/>
      <w:szCs w:val="18"/>
      <w:lang w:eastAsia="en-AU"/>
    </w:rPr>
  </w:style>
  <w:style w:type="numbering" w:customStyle="1" w:styleId="NoList11">
    <w:name w:val="No List11"/>
    <w:next w:val="NoList"/>
    <w:uiPriority w:val="99"/>
    <w:semiHidden/>
    <w:unhideWhenUsed/>
    <w:rsid w:val="00271A50"/>
  </w:style>
  <w:style w:type="paragraph" w:customStyle="1" w:styleId="Default">
    <w:name w:val="Default"/>
    <w:rsid w:val="00271A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link w:val="SingleTxtGChar"/>
    <w:qFormat/>
    <w:rsid w:val="00271A50"/>
    <w:pPr>
      <w:suppressAutoHyphens/>
      <w:spacing w:after="120"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rsid w:val="00271A50"/>
    <w:rPr>
      <w:rFonts w:ascii="Times New Roman" w:eastAsia="Times New Roman" w:hAnsi="Times New Roman" w:cs="Times New Roman"/>
      <w:szCs w:val="20"/>
      <w:lang w:val="en-GB"/>
    </w:rPr>
  </w:style>
  <w:style w:type="table" w:customStyle="1" w:styleId="TableGrid2">
    <w:name w:val="Table Grid2"/>
    <w:basedOn w:val="TableNormal"/>
    <w:next w:val="TableGrid"/>
    <w:uiPriority w:val="59"/>
    <w:rsid w:val="002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271A50"/>
    <w:rPr>
      <w:rFonts w:asciiTheme="majorHAnsi" w:eastAsiaTheme="majorEastAsia" w:hAnsiTheme="majorHAnsi" w:cstheme="majorBidi"/>
      <w:i/>
      <w:iCs/>
      <w:color w:val="1F4D78" w:themeColor="accent1" w:themeShade="7F"/>
      <w:kern w:val="12"/>
    </w:rPr>
  </w:style>
  <w:style w:type="character" w:customStyle="1" w:styleId="BalloonTextChar1">
    <w:name w:val="Balloon Text Char1"/>
    <w:basedOn w:val="DefaultParagraphFont"/>
    <w:uiPriority w:val="99"/>
    <w:semiHidden/>
    <w:rsid w:val="00271A50"/>
    <w:rPr>
      <w:rFonts w:ascii="Segoe UI" w:hAnsi="Segoe UI" w:cs="Segoe UI"/>
      <w:kern w:val="12"/>
      <w:sz w:val="18"/>
      <w:szCs w:val="18"/>
    </w:rPr>
  </w:style>
  <w:style w:type="character" w:styleId="FollowedHyperlink">
    <w:name w:val="FollowedHyperlink"/>
    <w:basedOn w:val="DefaultParagraphFont"/>
    <w:uiPriority w:val="99"/>
    <w:semiHidden/>
    <w:unhideWhenUsed/>
    <w:rsid w:val="00271A50"/>
    <w:rPr>
      <w:color w:val="954F72" w:themeColor="followedHyperlink"/>
      <w:u w:val="single"/>
    </w:rPr>
  </w:style>
  <w:style w:type="character" w:customStyle="1" w:styleId="CommentSubjectChar1">
    <w:name w:val="Comment Subject Char1"/>
    <w:basedOn w:val="CommentTextChar1"/>
    <w:uiPriority w:val="99"/>
    <w:semiHidden/>
    <w:rsid w:val="00271A50"/>
    <w:rPr>
      <w:b/>
      <w:bCs/>
      <w:kern w:val="12"/>
    </w:rPr>
  </w:style>
  <w:style w:type="paragraph" w:styleId="Revision">
    <w:name w:val="Revision"/>
    <w:hidden/>
    <w:uiPriority w:val="99"/>
    <w:semiHidden/>
    <w:rsid w:val="00271A50"/>
    <w:pPr>
      <w:spacing w:after="0" w:line="240" w:lineRule="auto"/>
    </w:pPr>
    <w:rPr>
      <w:color w:val="000000" w:themeColor="text1"/>
      <w:kern w:val="12"/>
      <w:sz w:val="20"/>
      <w:szCs w:val="20"/>
    </w:rPr>
  </w:style>
  <w:style w:type="paragraph" w:customStyle="1" w:styleId="Narrativeheading">
    <w:name w:val="Narrative heading"/>
    <w:basedOn w:val="Normal"/>
    <w:link w:val="NarrativeheadingChar"/>
    <w:qFormat/>
    <w:rsid w:val="00271A50"/>
    <w:pPr>
      <w:spacing w:line="259" w:lineRule="auto"/>
    </w:pPr>
    <w:rPr>
      <w:rFonts w:eastAsia="Arial" w:cs="Arial"/>
      <w:i/>
      <w:color w:val="000000"/>
      <w:sz w:val="24"/>
      <w:szCs w:val="25"/>
    </w:rPr>
  </w:style>
  <w:style w:type="character" w:customStyle="1" w:styleId="NarrativeheadingChar">
    <w:name w:val="Narrative heading Char"/>
    <w:basedOn w:val="DefaultParagraphFont"/>
    <w:link w:val="Narrativeheading"/>
    <w:rsid w:val="00271A50"/>
    <w:rPr>
      <w:rFonts w:ascii="Calibri" w:eastAsia="Arial" w:hAnsi="Calibri" w:cs="Arial"/>
      <w:i/>
      <w:color w:val="000000"/>
      <w:sz w:val="24"/>
      <w:szCs w:val="25"/>
    </w:rPr>
  </w:style>
  <w:style w:type="character" w:customStyle="1" w:styleId="UnresolvedMention11">
    <w:name w:val="Unresolved Mention11"/>
    <w:basedOn w:val="DefaultParagraphFont"/>
    <w:uiPriority w:val="99"/>
    <w:semiHidden/>
    <w:unhideWhenUsed/>
    <w:rsid w:val="00271A50"/>
    <w:rPr>
      <w:color w:val="605E5C"/>
      <w:shd w:val="clear" w:color="auto" w:fill="E1DFDD"/>
    </w:rPr>
  </w:style>
  <w:style w:type="paragraph" w:styleId="NormalWeb">
    <w:name w:val="Normal (Web)"/>
    <w:basedOn w:val="Normal"/>
    <w:uiPriority w:val="99"/>
    <w:semiHidden/>
    <w:unhideWhenUsed/>
    <w:rsid w:val="00271A50"/>
    <w:pPr>
      <w:spacing w:before="100" w:beforeAutospacing="1" w:after="100" w:afterAutospacing="1"/>
    </w:pPr>
    <w:rPr>
      <w:rFonts w:ascii="Times New Roman" w:eastAsia="Times New Roman" w:hAnsi="Times New Roman" w:cs="Times New Roman"/>
      <w:sz w:val="24"/>
      <w:szCs w:val="24"/>
      <w:lang w:eastAsia="en-AU"/>
    </w:rPr>
  </w:style>
  <w:style w:type="paragraph" w:styleId="BodyText">
    <w:name w:val="Body Text"/>
    <w:basedOn w:val="Normal"/>
    <w:link w:val="BodyTextChar"/>
    <w:qFormat/>
    <w:rsid w:val="00FD3D85"/>
    <w:pPr>
      <w:spacing w:before="120" w:after="120" w:line="264" w:lineRule="auto"/>
    </w:pPr>
    <w:rPr>
      <w:rFonts w:asciiTheme="minorHAnsi" w:eastAsia="Times New Roman" w:hAnsiTheme="minorHAnsi" w:cs="Times New Roman"/>
      <w:szCs w:val="24"/>
      <w:lang w:eastAsia="en-AU"/>
    </w:rPr>
  </w:style>
  <w:style w:type="character" w:customStyle="1" w:styleId="BodyTextChar">
    <w:name w:val="Body Text Char"/>
    <w:basedOn w:val="DefaultParagraphFont"/>
    <w:link w:val="BodyText"/>
    <w:rsid w:val="00FD3D85"/>
    <w:rPr>
      <w:rFonts w:eastAsia="Times New Roman" w:cs="Times New Roman"/>
      <w:szCs w:val="24"/>
      <w:lang w:eastAsia="en-AU"/>
    </w:rPr>
  </w:style>
  <w:style w:type="character" w:customStyle="1" w:styleId="UnresolvedMention2">
    <w:name w:val="Unresolved Mention2"/>
    <w:basedOn w:val="DefaultParagraphFont"/>
    <w:uiPriority w:val="99"/>
    <w:semiHidden/>
    <w:unhideWhenUsed/>
    <w:rsid w:val="00961EF6"/>
    <w:rPr>
      <w:color w:val="605E5C"/>
      <w:shd w:val="clear" w:color="auto" w:fill="E1DFDD"/>
    </w:rPr>
  </w:style>
  <w:style w:type="table" w:customStyle="1" w:styleId="TableGrid1">
    <w:name w:val="Table Grid1"/>
    <w:basedOn w:val="TableNormal"/>
    <w:next w:val="TableGrid"/>
    <w:uiPriority w:val="39"/>
    <w:rsid w:val="003E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322071"/>
    <w:rPr>
      <w:color w:val="605E5C"/>
      <w:shd w:val="clear" w:color="auto" w:fill="E1DFDD"/>
    </w:rPr>
  </w:style>
  <w:style w:type="table" w:customStyle="1" w:styleId="GHDFinancialTable">
    <w:name w:val="GHD Financial Table"/>
    <w:basedOn w:val="TableNormal"/>
    <w:uiPriority w:val="99"/>
    <w:rsid w:val="00806F29"/>
    <w:pPr>
      <w:spacing w:after="0" w:line="240" w:lineRule="auto"/>
    </w:pPr>
    <w:rPr>
      <w:rFonts w:eastAsiaTheme="minorEastAsia"/>
      <w:sz w:val="20"/>
      <w:szCs w:val="20"/>
    </w:rPr>
    <w:tblPr>
      <w:tblStyleRowBandSize w:val="1"/>
      <w:tblStyleColBandSize w:val="1"/>
      <w:tblInd w:w="0" w:type="nil"/>
      <w:tblBorders>
        <w:top w:val="single" w:sz="12" w:space="0" w:color="5B9BD5" w:themeColor="accent1"/>
        <w:bottom w:val="single" w:sz="12" w:space="0" w:color="5B9BD5" w:themeColor="accent1"/>
        <w:insideH w:val="single" w:sz="4" w:space="0" w:color="E7E6E6" w:themeColor="background2"/>
      </w:tblBorders>
      <w:tblCellMar>
        <w:left w:w="0" w:type="dxa"/>
        <w:right w:w="0" w:type="dxa"/>
      </w:tblCellMar>
    </w:tblPr>
    <w:tblStylePr w:type="firstRow">
      <w:rPr>
        <w:color w:val="5B9BD5" w:themeColor="accent1"/>
      </w:rPr>
      <w:tblPr/>
      <w:tcPr>
        <w:tcBorders>
          <w:top w:val="single" w:sz="12" w:space="0" w:color="5B9BD5" w:themeColor="accent1"/>
          <w:left w:val="nil"/>
          <w:bottom w:val="single" w:sz="12" w:space="0" w:color="5B9BD5" w:themeColor="accent1"/>
          <w:right w:val="nil"/>
          <w:insideH w:val="nil"/>
          <w:insideV w:val="nil"/>
          <w:tl2br w:val="nil"/>
          <w:tr2bl w:val="nil"/>
        </w:tcBorders>
        <w:shd w:val="clear" w:color="auto" w:fill="FFFFFF" w:themeFill="background1"/>
      </w:tcPr>
    </w:tblStylePr>
    <w:tblStylePr w:type="lastRow">
      <w:rPr>
        <w:b/>
        <w:caps/>
        <w:smallCaps w:val="0"/>
        <w:strike w:val="0"/>
        <w:dstrike w:val="0"/>
        <w:vanish w:val="0"/>
        <w:webHidden w:val="0"/>
        <w:color w:val="FFFFFF" w:themeColor="background1"/>
        <w:u w:val="none"/>
        <w:effect w:val="none"/>
        <w:specVanish w:val="0"/>
      </w:rPr>
      <w:tblPr/>
      <w:tcPr>
        <w:shd w:val="clear" w:color="auto" w:fill="999999"/>
        <w:vAlign w:val="bottom"/>
      </w:tcPr>
    </w:tblStylePr>
    <w:tblStylePr w:type="firstCol">
      <w:rPr>
        <w:color w:val="5B9BD5" w:themeColor="accent1"/>
      </w:r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xl428">
    <w:name w:val="xl428"/>
    <w:basedOn w:val="Normal"/>
    <w:rsid w:val="00014676"/>
    <w:pPr>
      <w:spacing w:before="100" w:beforeAutospacing="1" w:after="100" w:afterAutospacing="1"/>
    </w:pPr>
    <w:rPr>
      <w:rFonts w:ascii="Arial" w:eastAsia="Times New Roman" w:hAnsi="Arial" w:cs="Arial"/>
      <w:sz w:val="16"/>
      <w:szCs w:val="16"/>
      <w:lang w:eastAsia="en-AU"/>
    </w:rPr>
  </w:style>
  <w:style w:type="paragraph" w:customStyle="1" w:styleId="xl429">
    <w:name w:val="xl429"/>
    <w:basedOn w:val="Normal"/>
    <w:rsid w:val="00014676"/>
    <w:pPr>
      <w:pBdr>
        <w:top w:val="single" w:sz="8" w:space="0" w:color="auto"/>
      </w:pBdr>
      <w:spacing w:before="100" w:beforeAutospacing="1" w:after="100" w:afterAutospacing="1"/>
    </w:pPr>
    <w:rPr>
      <w:rFonts w:ascii="Arial" w:eastAsia="Times New Roman" w:hAnsi="Arial" w:cs="Arial"/>
      <w:sz w:val="16"/>
      <w:szCs w:val="16"/>
      <w:lang w:eastAsia="en-AU"/>
    </w:rPr>
  </w:style>
  <w:style w:type="paragraph" w:customStyle="1" w:styleId="xl431">
    <w:name w:val="xl431"/>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2">
    <w:name w:val="xl432"/>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3">
    <w:name w:val="xl433"/>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4">
    <w:name w:val="xl434"/>
    <w:basedOn w:val="Normal"/>
    <w:rsid w:val="00014676"/>
    <w:pPr>
      <w:pBdr>
        <w:top w:val="single" w:sz="8" w:space="0" w:color="auto"/>
        <w:left w:val="single" w:sz="8" w:space="0" w:color="auto"/>
        <w:right w:val="single" w:sz="8" w:space="0" w:color="auto"/>
      </w:pBd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5">
    <w:name w:val="xl435"/>
    <w:basedOn w:val="Normal"/>
    <w:rsid w:val="00014676"/>
    <w:pPr>
      <w:pBdr>
        <w:left w:val="single" w:sz="8" w:space="0" w:color="auto"/>
        <w:right w:val="single" w:sz="8" w:space="0" w:color="auto"/>
      </w:pBd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6">
    <w:name w:val="xl436"/>
    <w:basedOn w:val="Normal"/>
    <w:rsid w:val="00014676"/>
    <w:pP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7">
    <w:name w:val="xl437"/>
    <w:basedOn w:val="Normal"/>
    <w:rsid w:val="0001467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9Char">
    <w:name w:val="Heading 9 Char"/>
    <w:basedOn w:val="DefaultParagraphFont"/>
    <w:link w:val="Heading9"/>
    <w:uiPriority w:val="9"/>
    <w:rsid w:val="006D5B10"/>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9E36FC"/>
    <w:rPr>
      <w:color w:val="605E5C"/>
      <w:shd w:val="clear" w:color="auto" w:fill="E1DFDD"/>
    </w:rPr>
  </w:style>
  <w:style w:type="paragraph" w:styleId="EndnoteText">
    <w:name w:val="endnote text"/>
    <w:basedOn w:val="Normal"/>
    <w:link w:val="EndnoteTextChar"/>
    <w:uiPriority w:val="99"/>
    <w:unhideWhenUsed/>
    <w:rsid w:val="0032398E"/>
    <w:pPr>
      <w:widowControl w:val="0"/>
      <w:spacing w:after="120"/>
      <w:ind w:left="720" w:hanging="720"/>
    </w:pPr>
    <w:rPr>
      <w:rFonts w:eastAsia="Courier New" w:cs="Courier New"/>
      <w:sz w:val="20"/>
      <w:szCs w:val="20"/>
      <w:lang w:val="en-US" w:eastAsia="en-IN"/>
    </w:rPr>
  </w:style>
  <w:style w:type="character" w:customStyle="1" w:styleId="EndnoteTextChar">
    <w:name w:val="Endnote Text Char"/>
    <w:basedOn w:val="DefaultParagraphFont"/>
    <w:link w:val="EndnoteText"/>
    <w:uiPriority w:val="99"/>
    <w:rsid w:val="0032398E"/>
    <w:rPr>
      <w:rFonts w:ascii="Calibri" w:eastAsia="Courier New" w:hAnsi="Calibri" w:cs="Courier New"/>
      <w:sz w:val="20"/>
      <w:szCs w:val="20"/>
      <w:lang w:val="en-US" w:eastAsia="en-IN"/>
    </w:rPr>
  </w:style>
  <w:style w:type="character" w:styleId="EndnoteReference">
    <w:name w:val="endnote reference"/>
    <w:basedOn w:val="DefaultParagraphFont"/>
    <w:uiPriority w:val="99"/>
    <w:unhideWhenUsed/>
    <w:rsid w:val="00323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26786">
      <w:bodyDiv w:val="1"/>
      <w:marLeft w:val="0"/>
      <w:marRight w:val="0"/>
      <w:marTop w:val="0"/>
      <w:marBottom w:val="0"/>
      <w:divBdr>
        <w:top w:val="none" w:sz="0" w:space="0" w:color="auto"/>
        <w:left w:val="none" w:sz="0" w:space="0" w:color="auto"/>
        <w:bottom w:val="none" w:sz="0" w:space="0" w:color="auto"/>
        <w:right w:val="none" w:sz="0" w:space="0" w:color="auto"/>
      </w:divBdr>
    </w:div>
    <w:div w:id="689337211">
      <w:bodyDiv w:val="1"/>
      <w:marLeft w:val="0"/>
      <w:marRight w:val="0"/>
      <w:marTop w:val="0"/>
      <w:marBottom w:val="0"/>
      <w:divBdr>
        <w:top w:val="none" w:sz="0" w:space="0" w:color="auto"/>
        <w:left w:val="none" w:sz="0" w:space="0" w:color="auto"/>
        <w:bottom w:val="none" w:sz="0" w:space="0" w:color="auto"/>
        <w:right w:val="none" w:sz="0" w:space="0" w:color="auto"/>
      </w:divBdr>
    </w:div>
    <w:div w:id="722750795">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339040838">
      <w:bodyDiv w:val="1"/>
      <w:marLeft w:val="0"/>
      <w:marRight w:val="0"/>
      <w:marTop w:val="0"/>
      <w:marBottom w:val="0"/>
      <w:divBdr>
        <w:top w:val="none" w:sz="0" w:space="0" w:color="auto"/>
        <w:left w:val="none" w:sz="0" w:space="0" w:color="auto"/>
        <w:bottom w:val="none" w:sz="0" w:space="0" w:color="auto"/>
        <w:right w:val="none" w:sz="0" w:space="0" w:color="auto"/>
      </w:divBdr>
    </w:div>
    <w:div w:id="1583221217">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959946369">
      <w:bodyDiv w:val="1"/>
      <w:marLeft w:val="0"/>
      <w:marRight w:val="0"/>
      <w:marTop w:val="0"/>
      <w:marBottom w:val="0"/>
      <w:divBdr>
        <w:top w:val="none" w:sz="0" w:space="0" w:color="auto"/>
        <w:left w:val="none" w:sz="0" w:space="0" w:color="auto"/>
        <w:bottom w:val="none" w:sz="0" w:space="0" w:color="auto"/>
        <w:right w:val="none" w:sz="0" w:space="0" w:color="auto"/>
      </w:divBdr>
    </w:div>
    <w:div w:id="198596417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frastructure.gov.a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ublishing@infrastructure.gov.au" TargetMode="External"/><Relationship Id="rId25" Type="http://schemas.openxmlformats.org/officeDocument/2006/relationships/image" Target="media/image8.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image" Target="media/image3.jpeg"/><Relationship Id="rId29" Type="http://schemas.openxmlformats.org/officeDocument/2006/relationships/hyperlink" Target="https://www.roymorgan.com/findings/9258-electric-vehicle-intention-soars-jun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mc.gov.au/" TargetMode="External"/><Relationship Id="rId23" Type="http://schemas.openxmlformats.org/officeDocument/2006/relationships/image" Target="media/image6.png"/><Relationship Id="rId28" Type="http://schemas.openxmlformats.org/officeDocument/2006/relationships/footer" Target="footer5.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image" Target="media/image9.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australian-government-guide-policy-impact-analys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57E7A51CB481E8C07D3423DEA1AC6"/>
        <w:category>
          <w:name w:val="General"/>
          <w:gallery w:val="placeholder"/>
        </w:category>
        <w:types>
          <w:type w:val="bbPlcHdr"/>
        </w:types>
        <w:behaviors>
          <w:behavior w:val="content"/>
        </w:behaviors>
        <w:guid w:val="{ED48B389-D398-4160-B613-8826C54BD8D7}"/>
      </w:docPartPr>
      <w:docPartBody>
        <w:p w:rsidR="00C3124D" w:rsidRDefault="00C3124D" w:rsidP="00C3124D">
          <w:pPr>
            <w:pStyle w:val="43957E7A51CB481E8C07D3423DEA1AC6"/>
          </w:pPr>
          <w:r>
            <w:rPr>
              <w:rStyle w:val="PlaceholderText"/>
            </w:rPr>
            <w:t>Choose an item.</w:t>
          </w:r>
        </w:p>
      </w:docPartBody>
    </w:docPart>
    <w:docPart>
      <w:docPartPr>
        <w:name w:val="A361EC911C824CE59354DD4EBA68A004"/>
        <w:category>
          <w:name w:val="General"/>
          <w:gallery w:val="placeholder"/>
        </w:category>
        <w:types>
          <w:type w:val="bbPlcHdr"/>
        </w:types>
        <w:behaviors>
          <w:behavior w:val="content"/>
        </w:behaviors>
        <w:guid w:val="{14B0E101-6EC2-4471-A2EA-BD3493398EB6}"/>
      </w:docPartPr>
      <w:docPartBody>
        <w:p w:rsidR="00C3124D" w:rsidRDefault="00C3124D" w:rsidP="00C3124D">
          <w:pPr>
            <w:pStyle w:val="A361EC911C824CE59354DD4EBA68A004"/>
          </w:pPr>
          <w:r>
            <w:rPr>
              <w:rStyle w:val="PlaceholderText"/>
            </w:rPr>
            <w:t>Choose an item.</w:t>
          </w:r>
        </w:p>
      </w:docPartBody>
    </w:docPart>
    <w:docPart>
      <w:docPartPr>
        <w:name w:val="CD92E9A394184B50BF2DF3E3D83BCEC3"/>
        <w:category>
          <w:name w:val="General"/>
          <w:gallery w:val="placeholder"/>
        </w:category>
        <w:types>
          <w:type w:val="bbPlcHdr"/>
        </w:types>
        <w:behaviors>
          <w:behavior w:val="content"/>
        </w:behaviors>
        <w:guid w:val="{1E50424F-D374-4AE0-9CA2-150C9B395343}"/>
      </w:docPartPr>
      <w:docPartBody>
        <w:p w:rsidR="00C3124D" w:rsidRDefault="00C3124D" w:rsidP="00C3124D">
          <w:pPr>
            <w:pStyle w:val="CD92E9A394184B50BF2DF3E3D83BCEC3"/>
          </w:pPr>
          <w:r>
            <w:rPr>
              <w:rStyle w:val="PlaceholderText"/>
            </w:rPr>
            <w:t>Choose an item.</w:t>
          </w:r>
        </w:p>
      </w:docPartBody>
    </w:docPart>
    <w:docPart>
      <w:docPartPr>
        <w:name w:val="A33D2E3E4C5C4204828D77E8BFB0ABF3"/>
        <w:category>
          <w:name w:val="General"/>
          <w:gallery w:val="placeholder"/>
        </w:category>
        <w:types>
          <w:type w:val="bbPlcHdr"/>
        </w:types>
        <w:behaviors>
          <w:behavior w:val="content"/>
        </w:behaviors>
        <w:guid w:val="{61BC4C00-851B-4DE2-840A-8CB27F0CAC23}"/>
      </w:docPartPr>
      <w:docPartBody>
        <w:p w:rsidR="00C3124D" w:rsidRDefault="00C3124D" w:rsidP="00C3124D">
          <w:pPr>
            <w:pStyle w:val="A33D2E3E4C5C4204828D77E8BFB0ABF3"/>
          </w:pPr>
          <w:r>
            <w:rPr>
              <w:rStyle w:val="PlaceholderText"/>
            </w:rPr>
            <w:t>Choose an item.</w:t>
          </w:r>
        </w:p>
      </w:docPartBody>
    </w:docPart>
    <w:docPart>
      <w:docPartPr>
        <w:name w:val="F01D5D6A54D0407FB262DF4E48A64DE8"/>
        <w:category>
          <w:name w:val="General"/>
          <w:gallery w:val="placeholder"/>
        </w:category>
        <w:types>
          <w:type w:val="bbPlcHdr"/>
        </w:types>
        <w:behaviors>
          <w:behavior w:val="content"/>
        </w:behaviors>
        <w:guid w:val="{652C3819-7825-40FB-9EC5-65F12B77622A}"/>
      </w:docPartPr>
      <w:docPartBody>
        <w:p w:rsidR="00C3124D" w:rsidRDefault="00C3124D" w:rsidP="00C3124D">
          <w:pPr>
            <w:pStyle w:val="F01D5D6A54D0407FB262DF4E48A64DE8"/>
          </w:pPr>
          <w:r>
            <w:rPr>
              <w:rStyle w:val="PlaceholderText"/>
            </w:rPr>
            <w:t>Choose an item.</w:t>
          </w:r>
        </w:p>
      </w:docPartBody>
    </w:docPart>
    <w:docPart>
      <w:docPartPr>
        <w:name w:val="0A018DEA34F440E794B069B52A73D482"/>
        <w:category>
          <w:name w:val="General"/>
          <w:gallery w:val="placeholder"/>
        </w:category>
        <w:types>
          <w:type w:val="bbPlcHdr"/>
        </w:types>
        <w:behaviors>
          <w:behavior w:val="content"/>
        </w:behaviors>
        <w:guid w:val="{EEA87616-ECAA-4491-870C-0406250F2183}"/>
      </w:docPartPr>
      <w:docPartBody>
        <w:p w:rsidR="00C3124D" w:rsidRDefault="00C3124D" w:rsidP="00C3124D">
          <w:pPr>
            <w:pStyle w:val="0A018DEA34F440E794B069B52A73D482"/>
          </w:pPr>
          <w:r>
            <w:rPr>
              <w:rStyle w:val="PlaceholderText"/>
            </w:rPr>
            <w:t>Choose an item.</w:t>
          </w:r>
        </w:p>
      </w:docPartBody>
    </w:docPart>
    <w:docPart>
      <w:docPartPr>
        <w:name w:val="EC4A5305D3A344E39F8D19C57A7DD4A3"/>
        <w:category>
          <w:name w:val="General"/>
          <w:gallery w:val="placeholder"/>
        </w:category>
        <w:types>
          <w:type w:val="bbPlcHdr"/>
        </w:types>
        <w:behaviors>
          <w:behavior w:val="content"/>
        </w:behaviors>
        <w:guid w:val="{2ABF2AA0-6485-4BE8-9620-D9CD39FD5128}"/>
      </w:docPartPr>
      <w:docPartBody>
        <w:p w:rsidR="00C3124D" w:rsidRDefault="00C3124D" w:rsidP="00C3124D">
          <w:pPr>
            <w:pStyle w:val="EC4A5305D3A344E39F8D19C57A7DD4A3"/>
          </w:pPr>
          <w:r>
            <w:rPr>
              <w:rStyle w:val="PlaceholderText"/>
            </w:rPr>
            <w:t>Choose an item.</w:t>
          </w:r>
        </w:p>
      </w:docPartBody>
    </w:docPart>
    <w:docPart>
      <w:docPartPr>
        <w:name w:val="E4EBBE8684034D6386A276E6C970C275"/>
        <w:category>
          <w:name w:val="General"/>
          <w:gallery w:val="placeholder"/>
        </w:category>
        <w:types>
          <w:type w:val="bbPlcHdr"/>
        </w:types>
        <w:behaviors>
          <w:behavior w:val="content"/>
        </w:behaviors>
        <w:guid w:val="{75773702-9ADA-4A3F-B70E-33E51AA0E76B}"/>
      </w:docPartPr>
      <w:docPartBody>
        <w:p w:rsidR="00C3124D" w:rsidRDefault="00C3124D" w:rsidP="00C3124D">
          <w:pPr>
            <w:pStyle w:val="E4EBBE8684034D6386A276E6C970C275"/>
          </w:pPr>
          <w:r>
            <w:rPr>
              <w:rStyle w:val="PlaceholderText"/>
            </w:rPr>
            <w:t>Choose an item.</w:t>
          </w:r>
        </w:p>
      </w:docPartBody>
    </w:docPart>
    <w:docPart>
      <w:docPartPr>
        <w:name w:val="CE39C6C3CECA4B5FBB6F9A6C27643685"/>
        <w:category>
          <w:name w:val="General"/>
          <w:gallery w:val="placeholder"/>
        </w:category>
        <w:types>
          <w:type w:val="bbPlcHdr"/>
        </w:types>
        <w:behaviors>
          <w:behavior w:val="content"/>
        </w:behaviors>
        <w:guid w:val="{FE920B6D-EA28-45E5-A0DF-CEBDECDF085E}"/>
      </w:docPartPr>
      <w:docPartBody>
        <w:p w:rsidR="00C3124D" w:rsidRDefault="00C3124D" w:rsidP="00C3124D">
          <w:pPr>
            <w:pStyle w:val="CE39C6C3CECA4B5FBB6F9A6C27643685"/>
          </w:pPr>
          <w:r>
            <w:rPr>
              <w:rStyle w:val="PlaceholderText"/>
            </w:rPr>
            <w:t>Choose an item.</w:t>
          </w:r>
        </w:p>
      </w:docPartBody>
    </w:docPart>
    <w:docPart>
      <w:docPartPr>
        <w:name w:val="9ADFD25D5951422E9003D293572EB062"/>
        <w:category>
          <w:name w:val="General"/>
          <w:gallery w:val="placeholder"/>
        </w:category>
        <w:types>
          <w:type w:val="bbPlcHdr"/>
        </w:types>
        <w:behaviors>
          <w:behavior w:val="content"/>
        </w:behaviors>
        <w:guid w:val="{E12EB845-F683-4327-A0B3-E5F77A42F07C}"/>
      </w:docPartPr>
      <w:docPartBody>
        <w:p w:rsidR="00C3124D" w:rsidRDefault="00C3124D" w:rsidP="00C3124D">
          <w:pPr>
            <w:pStyle w:val="9ADFD25D5951422E9003D293572EB062"/>
          </w:pPr>
          <w:r>
            <w:rPr>
              <w:rStyle w:val="PlaceholderText"/>
            </w:rPr>
            <w:t>Choose an item.</w:t>
          </w:r>
        </w:p>
      </w:docPartBody>
    </w:docPart>
    <w:docPart>
      <w:docPartPr>
        <w:name w:val="8BA6C72E098E40808B514A080EBB7B01"/>
        <w:category>
          <w:name w:val="General"/>
          <w:gallery w:val="placeholder"/>
        </w:category>
        <w:types>
          <w:type w:val="bbPlcHdr"/>
        </w:types>
        <w:behaviors>
          <w:behavior w:val="content"/>
        </w:behaviors>
        <w:guid w:val="{4D84A4B9-183E-4B35-92A6-26432BA9AE39}"/>
      </w:docPartPr>
      <w:docPartBody>
        <w:p w:rsidR="00C3124D" w:rsidRDefault="00C3124D" w:rsidP="00C3124D">
          <w:pPr>
            <w:pStyle w:val="8BA6C72E098E40808B514A080EBB7B01"/>
          </w:pPr>
          <w:r>
            <w:rPr>
              <w:rStyle w:val="PlaceholderText"/>
            </w:rPr>
            <w:t>Choose an item.</w:t>
          </w:r>
        </w:p>
      </w:docPartBody>
    </w:docPart>
    <w:docPart>
      <w:docPartPr>
        <w:name w:val="801D0E907A96442EA1B77DA071C0B6D6"/>
        <w:category>
          <w:name w:val="General"/>
          <w:gallery w:val="placeholder"/>
        </w:category>
        <w:types>
          <w:type w:val="bbPlcHdr"/>
        </w:types>
        <w:behaviors>
          <w:behavior w:val="content"/>
        </w:behaviors>
        <w:guid w:val="{E4E39C4A-F32C-42F7-BD33-788A3E4BDEBE}"/>
      </w:docPartPr>
      <w:docPartBody>
        <w:p w:rsidR="00C3124D" w:rsidRDefault="00C3124D" w:rsidP="00C3124D">
          <w:pPr>
            <w:pStyle w:val="801D0E907A96442EA1B77DA071C0B6D6"/>
          </w:pPr>
          <w:r>
            <w:rPr>
              <w:rStyle w:val="PlaceholderText"/>
            </w:rPr>
            <w:t>Choose an item.</w:t>
          </w:r>
        </w:p>
      </w:docPartBody>
    </w:docPart>
    <w:docPart>
      <w:docPartPr>
        <w:name w:val="DA5C58CDB5AB44A18FBFEE645AD08AA2"/>
        <w:category>
          <w:name w:val="General"/>
          <w:gallery w:val="placeholder"/>
        </w:category>
        <w:types>
          <w:type w:val="bbPlcHdr"/>
        </w:types>
        <w:behaviors>
          <w:behavior w:val="content"/>
        </w:behaviors>
        <w:guid w:val="{73F729FD-23E2-4DD9-BB22-B0C9D6FD4BE0}"/>
      </w:docPartPr>
      <w:docPartBody>
        <w:p w:rsidR="00C3124D" w:rsidRDefault="00C3124D" w:rsidP="00C3124D">
          <w:pPr>
            <w:pStyle w:val="DA5C58CDB5AB44A18FBFEE645AD08AA2"/>
          </w:pPr>
          <w:r>
            <w:rPr>
              <w:rStyle w:val="PlaceholderText"/>
            </w:rPr>
            <w:t>Choose an item.</w:t>
          </w:r>
        </w:p>
      </w:docPartBody>
    </w:docPart>
    <w:docPart>
      <w:docPartPr>
        <w:name w:val="20DD687EBD654785BEBAA729E4D28A13"/>
        <w:category>
          <w:name w:val="General"/>
          <w:gallery w:val="placeholder"/>
        </w:category>
        <w:types>
          <w:type w:val="bbPlcHdr"/>
        </w:types>
        <w:behaviors>
          <w:behavior w:val="content"/>
        </w:behaviors>
        <w:guid w:val="{445BFB4F-90E5-448F-B253-DEA5EFDE83E5}"/>
      </w:docPartPr>
      <w:docPartBody>
        <w:p w:rsidR="00C3124D" w:rsidRDefault="00C3124D" w:rsidP="00C3124D">
          <w:pPr>
            <w:pStyle w:val="20DD687EBD654785BEBAA729E4D28A13"/>
          </w:pPr>
          <w:r>
            <w:rPr>
              <w:rStyle w:val="PlaceholderText"/>
            </w:rPr>
            <w:t>Choose an item.</w:t>
          </w:r>
        </w:p>
      </w:docPartBody>
    </w:docPart>
    <w:docPart>
      <w:docPartPr>
        <w:name w:val="95F98F0DCB844AF8B6C9AC844C4C3AF4"/>
        <w:category>
          <w:name w:val="General"/>
          <w:gallery w:val="placeholder"/>
        </w:category>
        <w:types>
          <w:type w:val="bbPlcHdr"/>
        </w:types>
        <w:behaviors>
          <w:behavior w:val="content"/>
        </w:behaviors>
        <w:guid w:val="{0E2394F7-1D78-4BCE-B4C6-5206EC65263D}"/>
      </w:docPartPr>
      <w:docPartBody>
        <w:p w:rsidR="00C3124D" w:rsidRDefault="00C3124D" w:rsidP="00C3124D">
          <w:pPr>
            <w:pStyle w:val="95F98F0DCB844AF8B6C9AC844C4C3AF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DB"/>
    <w:rsid w:val="000962B2"/>
    <w:rsid w:val="00184E20"/>
    <w:rsid w:val="002C315C"/>
    <w:rsid w:val="002F553D"/>
    <w:rsid w:val="00404FD3"/>
    <w:rsid w:val="00524CC2"/>
    <w:rsid w:val="006A211F"/>
    <w:rsid w:val="006F0B0A"/>
    <w:rsid w:val="00707906"/>
    <w:rsid w:val="007E15A2"/>
    <w:rsid w:val="008A60D4"/>
    <w:rsid w:val="008B0BDB"/>
    <w:rsid w:val="00A75130"/>
    <w:rsid w:val="00B3291B"/>
    <w:rsid w:val="00C3124D"/>
    <w:rsid w:val="00ED74DE"/>
    <w:rsid w:val="00F02A1D"/>
    <w:rsid w:val="00F14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24D"/>
  </w:style>
  <w:style w:type="paragraph" w:customStyle="1" w:styleId="2F2CD3370A8C4F34A76EEDC2FB4EA133">
    <w:name w:val="2F2CD3370A8C4F34A76EEDC2FB4EA133"/>
    <w:rsid w:val="008B0BDB"/>
  </w:style>
  <w:style w:type="paragraph" w:customStyle="1" w:styleId="A9784C8EF7E74DFA9468F87A1FA3A1F2">
    <w:name w:val="A9784C8EF7E74DFA9468F87A1FA3A1F2"/>
    <w:rsid w:val="008B0BDB"/>
  </w:style>
  <w:style w:type="paragraph" w:customStyle="1" w:styleId="0BB6929B4D9A4904A200B67A5217469D">
    <w:name w:val="0BB6929B4D9A4904A200B67A5217469D"/>
    <w:rsid w:val="008B0BDB"/>
  </w:style>
  <w:style w:type="paragraph" w:customStyle="1" w:styleId="7EEBCE81594146D1A4AE55C3AE903385">
    <w:name w:val="7EEBCE81594146D1A4AE55C3AE903385"/>
    <w:rsid w:val="008B0BDB"/>
  </w:style>
  <w:style w:type="paragraph" w:customStyle="1" w:styleId="8E456B27AA144FE382FB04E71E29B825">
    <w:name w:val="8E456B27AA144FE382FB04E71E29B825"/>
    <w:rsid w:val="008B0BDB"/>
  </w:style>
  <w:style w:type="paragraph" w:customStyle="1" w:styleId="84A1A38A686D4EDEB7D25CA9E3B82A09">
    <w:name w:val="84A1A38A686D4EDEB7D25CA9E3B82A09"/>
    <w:rsid w:val="008B0BDB"/>
  </w:style>
  <w:style w:type="paragraph" w:customStyle="1" w:styleId="08A650A54B3C409FBDD229A1AEBAB68A">
    <w:name w:val="08A650A54B3C409FBDD229A1AEBAB68A"/>
    <w:rsid w:val="008B0BDB"/>
  </w:style>
  <w:style w:type="paragraph" w:customStyle="1" w:styleId="65864556E6384F1BB21F1E9C06D5A0B6">
    <w:name w:val="65864556E6384F1BB21F1E9C06D5A0B6"/>
    <w:rsid w:val="008B0BDB"/>
  </w:style>
  <w:style w:type="paragraph" w:customStyle="1" w:styleId="F87BA3B422A145948DF0BE7FF9F88FD5">
    <w:name w:val="F87BA3B422A145948DF0BE7FF9F88FD5"/>
    <w:rsid w:val="008B0BDB"/>
  </w:style>
  <w:style w:type="paragraph" w:customStyle="1" w:styleId="F07368286032495ABA28098BD9C23102">
    <w:name w:val="F07368286032495ABA28098BD9C23102"/>
    <w:rsid w:val="008B0BDB"/>
  </w:style>
  <w:style w:type="paragraph" w:customStyle="1" w:styleId="96B39CB6725D4DBF8AEAACB88788E735">
    <w:name w:val="96B39CB6725D4DBF8AEAACB88788E735"/>
    <w:rsid w:val="008B0BDB"/>
  </w:style>
  <w:style w:type="paragraph" w:customStyle="1" w:styleId="CBF8147C47E04930BBD5B982301A79D5">
    <w:name w:val="CBF8147C47E04930BBD5B982301A79D5"/>
    <w:rsid w:val="008B0BDB"/>
  </w:style>
  <w:style w:type="paragraph" w:customStyle="1" w:styleId="6CC4637E85A444508C62CE78FBB2520D">
    <w:name w:val="6CC4637E85A444508C62CE78FBB2520D"/>
    <w:rsid w:val="008B0BDB"/>
  </w:style>
  <w:style w:type="paragraph" w:customStyle="1" w:styleId="A00D079D355843AA9B798DC6201D46FE">
    <w:name w:val="A00D079D355843AA9B798DC6201D46FE"/>
    <w:rsid w:val="008B0BDB"/>
  </w:style>
  <w:style w:type="paragraph" w:customStyle="1" w:styleId="3761BF17FB9A451CB2B3FCF2114E703B">
    <w:name w:val="3761BF17FB9A451CB2B3FCF2114E703B"/>
    <w:rsid w:val="008B0BDB"/>
  </w:style>
  <w:style w:type="paragraph" w:customStyle="1" w:styleId="F0546BF99ECB46C4AD4E8D657D82F887">
    <w:name w:val="F0546BF99ECB46C4AD4E8D657D82F887"/>
    <w:rsid w:val="00404FD3"/>
  </w:style>
  <w:style w:type="paragraph" w:customStyle="1" w:styleId="226A553857034CCB91EF58D78BBDBC68">
    <w:name w:val="226A553857034CCB91EF58D78BBDBC68"/>
    <w:rsid w:val="00404FD3"/>
  </w:style>
  <w:style w:type="paragraph" w:customStyle="1" w:styleId="2B7E1FF8C10F40CCB8D9EC2CA0A7C9D3">
    <w:name w:val="2B7E1FF8C10F40CCB8D9EC2CA0A7C9D3"/>
    <w:rsid w:val="00404FD3"/>
  </w:style>
  <w:style w:type="paragraph" w:customStyle="1" w:styleId="D0A5B4853A6B4F9FA7F3D3AF416905CE">
    <w:name w:val="D0A5B4853A6B4F9FA7F3D3AF416905CE"/>
    <w:rsid w:val="00404FD3"/>
  </w:style>
  <w:style w:type="paragraph" w:customStyle="1" w:styleId="638F54EE8DC347809EA9848F1E7BAF38">
    <w:name w:val="638F54EE8DC347809EA9848F1E7BAF38"/>
    <w:rsid w:val="00404FD3"/>
  </w:style>
  <w:style w:type="paragraph" w:customStyle="1" w:styleId="F67208214FD043149783EAE1EBD9D82B">
    <w:name w:val="F67208214FD043149783EAE1EBD9D82B"/>
    <w:rsid w:val="00404FD3"/>
  </w:style>
  <w:style w:type="paragraph" w:customStyle="1" w:styleId="2F3AAA511A1A4E7DBAD75F69E5F4EBAB">
    <w:name w:val="2F3AAA511A1A4E7DBAD75F69E5F4EBAB"/>
    <w:rsid w:val="00404FD3"/>
  </w:style>
  <w:style w:type="paragraph" w:customStyle="1" w:styleId="D546FCC05334488D9ABC143CC2A51284">
    <w:name w:val="D546FCC05334488D9ABC143CC2A51284"/>
    <w:rsid w:val="00404FD3"/>
  </w:style>
  <w:style w:type="paragraph" w:customStyle="1" w:styleId="32D08D9C2C6B44DDB7B2B3C463212840">
    <w:name w:val="32D08D9C2C6B44DDB7B2B3C463212840"/>
    <w:rsid w:val="00404FD3"/>
  </w:style>
  <w:style w:type="paragraph" w:customStyle="1" w:styleId="02C0A1C6DDAD4C2EA2E3553C871B486C">
    <w:name w:val="02C0A1C6DDAD4C2EA2E3553C871B486C"/>
    <w:rsid w:val="00404FD3"/>
  </w:style>
  <w:style w:type="paragraph" w:customStyle="1" w:styleId="271344CF8C7B440B987890CB8BA594E7">
    <w:name w:val="271344CF8C7B440B987890CB8BA594E7"/>
    <w:rsid w:val="00404FD3"/>
  </w:style>
  <w:style w:type="paragraph" w:customStyle="1" w:styleId="FA1E762CA29740F6B615B3938B128672">
    <w:name w:val="FA1E762CA29740F6B615B3938B128672"/>
    <w:rsid w:val="00404FD3"/>
  </w:style>
  <w:style w:type="paragraph" w:customStyle="1" w:styleId="422096094FAB4FAA8AD7A0A5619ADF8E">
    <w:name w:val="422096094FAB4FAA8AD7A0A5619ADF8E"/>
    <w:rsid w:val="00404FD3"/>
  </w:style>
  <w:style w:type="paragraph" w:customStyle="1" w:styleId="9D6D177C6BC540939764C0B01BDE92AA">
    <w:name w:val="9D6D177C6BC540939764C0B01BDE92AA"/>
    <w:rsid w:val="00404FD3"/>
  </w:style>
  <w:style w:type="paragraph" w:customStyle="1" w:styleId="5733743BB2364725ABB6D36FCFB77288">
    <w:name w:val="5733743BB2364725ABB6D36FCFB77288"/>
    <w:rsid w:val="00404FD3"/>
  </w:style>
  <w:style w:type="paragraph" w:customStyle="1" w:styleId="B029DDB758F34BCDBC7FC8EFB6E0627F">
    <w:name w:val="B029DDB758F34BCDBC7FC8EFB6E0627F"/>
    <w:rsid w:val="00404FD3"/>
  </w:style>
  <w:style w:type="paragraph" w:customStyle="1" w:styleId="B0046B4675AC4F6A9F628B3FB50318DD">
    <w:name w:val="B0046B4675AC4F6A9F628B3FB50318DD"/>
    <w:rsid w:val="00404FD3"/>
  </w:style>
  <w:style w:type="paragraph" w:customStyle="1" w:styleId="CB720EAA05824A78985B14BFF659BE0C">
    <w:name w:val="CB720EAA05824A78985B14BFF659BE0C"/>
    <w:rsid w:val="00404FD3"/>
  </w:style>
  <w:style w:type="paragraph" w:customStyle="1" w:styleId="C554F01F5BDF49F09D89E53EEFCF87D3">
    <w:name w:val="C554F01F5BDF49F09D89E53EEFCF87D3"/>
    <w:rsid w:val="00404FD3"/>
  </w:style>
  <w:style w:type="paragraph" w:customStyle="1" w:styleId="E46E8CF29B75470F87024362BD3E9E3E">
    <w:name w:val="E46E8CF29B75470F87024362BD3E9E3E"/>
    <w:rsid w:val="00404FD3"/>
  </w:style>
  <w:style w:type="paragraph" w:customStyle="1" w:styleId="F03BBB59B8AF4F168939FCB6E5462539">
    <w:name w:val="F03BBB59B8AF4F168939FCB6E5462539"/>
    <w:rsid w:val="00404FD3"/>
  </w:style>
  <w:style w:type="paragraph" w:customStyle="1" w:styleId="FE956A45CA8E42A0A6FCBC3414043B28">
    <w:name w:val="FE956A45CA8E42A0A6FCBC3414043B28"/>
    <w:rsid w:val="00404FD3"/>
  </w:style>
  <w:style w:type="paragraph" w:customStyle="1" w:styleId="F96D6722CEBF4026884A0D1C27E0FDC7">
    <w:name w:val="F96D6722CEBF4026884A0D1C27E0FDC7"/>
    <w:rsid w:val="00404FD3"/>
  </w:style>
  <w:style w:type="paragraph" w:customStyle="1" w:styleId="ED1BCF27A81447A38F4C8D045721AAA5">
    <w:name w:val="ED1BCF27A81447A38F4C8D045721AAA5"/>
    <w:rsid w:val="00404FD3"/>
  </w:style>
  <w:style w:type="paragraph" w:customStyle="1" w:styleId="7E49456493EC441E95AEB90B615D9E31">
    <w:name w:val="7E49456493EC441E95AEB90B615D9E31"/>
    <w:rsid w:val="00404FD3"/>
  </w:style>
  <w:style w:type="paragraph" w:customStyle="1" w:styleId="A0E24A16DF32402797C58B3DCD23DA6B">
    <w:name w:val="A0E24A16DF32402797C58B3DCD23DA6B"/>
    <w:rsid w:val="00404FD3"/>
  </w:style>
  <w:style w:type="paragraph" w:customStyle="1" w:styleId="A1AF4572CDD447899F46259A3EF65F57">
    <w:name w:val="A1AF4572CDD447899F46259A3EF65F57"/>
    <w:rsid w:val="00404FD3"/>
  </w:style>
  <w:style w:type="paragraph" w:customStyle="1" w:styleId="90F335780B6947A1BB63089912889532">
    <w:name w:val="90F335780B6947A1BB63089912889532"/>
    <w:rsid w:val="00404FD3"/>
  </w:style>
  <w:style w:type="paragraph" w:customStyle="1" w:styleId="2AEC52950DA94421904FE0CCABBED385">
    <w:name w:val="2AEC52950DA94421904FE0CCABBED385"/>
    <w:rsid w:val="00404FD3"/>
  </w:style>
  <w:style w:type="paragraph" w:customStyle="1" w:styleId="452925BC09804873B24A7D5588AC1E59">
    <w:name w:val="452925BC09804873B24A7D5588AC1E59"/>
    <w:rsid w:val="00404FD3"/>
  </w:style>
  <w:style w:type="paragraph" w:customStyle="1" w:styleId="50EB83F2B25E47D88AB52BC4FF25B878">
    <w:name w:val="50EB83F2B25E47D88AB52BC4FF25B878"/>
    <w:rsid w:val="00404FD3"/>
  </w:style>
  <w:style w:type="paragraph" w:customStyle="1" w:styleId="F5A7A6EF30F7427C9A306E3087526DAF">
    <w:name w:val="F5A7A6EF30F7427C9A306E3087526DAF"/>
    <w:rsid w:val="00404FD3"/>
  </w:style>
  <w:style w:type="paragraph" w:customStyle="1" w:styleId="82394408596E41729ADAF9D422C5DDD7">
    <w:name w:val="82394408596E41729ADAF9D422C5DDD7"/>
    <w:rsid w:val="00404FD3"/>
  </w:style>
  <w:style w:type="paragraph" w:customStyle="1" w:styleId="0A90151569BB4DBE83F393FBE5D5E4E6">
    <w:name w:val="0A90151569BB4DBE83F393FBE5D5E4E6"/>
    <w:rsid w:val="00404FD3"/>
  </w:style>
  <w:style w:type="paragraph" w:customStyle="1" w:styleId="47F0A259A52E4F38BEE625E359B843BC">
    <w:name w:val="47F0A259A52E4F38BEE625E359B843BC"/>
    <w:rsid w:val="00404FD3"/>
  </w:style>
  <w:style w:type="paragraph" w:customStyle="1" w:styleId="0EA53E3F94D14682993EEE96C4B9B6E3">
    <w:name w:val="0EA53E3F94D14682993EEE96C4B9B6E3"/>
    <w:rsid w:val="00404FD3"/>
  </w:style>
  <w:style w:type="paragraph" w:customStyle="1" w:styleId="608CC7EE088A4565A39500D0C1A88C13">
    <w:name w:val="608CC7EE088A4565A39500D0C1A88C13"/>
    <w:rsid w:val="00404FD3"/>
  </w:style>
  <w:style w:type="paragraph" w:customStyle="1" w:styleId="D0260AB37DFF440DBD8B247EC327BEB2">
    <w:name w:val="D0260AB37DFF440DBD8B247EC327BEB2"/>
    <w:rsid w:val="00404FD3"/>
  </w:style>
  <w:style w:type="paragraph" w:customStyle="1" w:styleId="778F989A93D94D1CBABDADD8354C4B42">
    <w:name w:val="778F989A93D94D1CBABDADD8354C4B42"/>
    <w:rsid w:val="00404FD3"/>
  </w:style>
  <w:style w:type="paragraph" w:customStyle="1" w:styleId="C90F0903A60546A2AAC5273199A6C956">
    <w:name w:val="C90F0903A60546A2AAC5273199A6C956"/>
    <w:rsid w:val="00404FD3"/>
  </w:style>
  <w:style w:type="paragraph" w:customStyle="1" w:styleId="ECB1C0C67E61458D890BE084FDD73753">
    <w:name w:val="ECB1C0C67E61458D890BE084FDD73753"/>
    <w:rsid w:val="00404FD3"/>
  </w:style>
  <w:style w:type="paragraph" w:customStyle="1" w:styleId="2406F3ED4C174E65AC93B0A42489C403">
    <w:name w:val="2406F3ED4C174E65AC93B0A42489C403"/>
    <w:rsid w:val="00404FD3"/>
  </w:style>
  <w:style w:type="paragraph" w:customStyle="1" w:styleId="C08AA9EE7E7D44D9B10F96D19BF827C6">
    <w:name w:val="C08AA9EE7E7D44D9B10F96D19BF827C6"/>
    <w:rsid w:val="00404FD3"/>
  </w:style>
  <w:style w:type="paragraph" w:customStyle="1" w:styleId="6488C99B4C2D48E4838AE441A5C8DD3A">
    <w:name w:val="6488C99B4C2D48E4838AE441A5C8DD3A"/>
    <w:rsid w:val="00404FD3"/>
  </w:style>
  <w:style w:type="paragraph" w:customStyle="1" w:styleId="FA71EF8254FE40278C340223D3AB5905">
    <w:name w:val="FA71EF8254FE40278C340223D3AB5905"/>
    <w:rsid w:val="00404FD3"/>
  </w:style>
  <w:style w:type="paragraph" w:customStyle="1" w:styleId="871D59A1F2CE4907A8DEB56F0234D70E">
    <w:name w:val="871D59A1F2CE4907A8DEB56F0234D70E"/>
    <w:rsid w:val="00404FD3"/>
  </w:style>
  <w:style w:type="paragraph" w:customStyle="1" w:styleId="5BA1772B58A048528053D776F0589B24">
    <w:name w:val="5BA1772B58A048528053D776F0589B24"/>
    <w:rsid w:val="00404FD3"/>
  </w:style>
  <w:style w:type="paragraph" w:customStyle="1" w:styleId="F3B27A9DF30944A6BC09A5C67FD77E49">
    <w:name w:val="F3B27A9DF30944A6BC09A5C67FD77E49"/>
    <w:rsid w:val="00404FD3"/>
  </w:style>
  <w:style w:type="paragraph" w:customStyle="1" w:styleId="D7CFAF79C6C641C6849EA88E9302B58E">
    <w:name w:val="D7CFAF79C6C641C6849EA88E9302B58E"/>
    <w:rsid w:val="00404FD3"/>
  </w:style>
  <w:style w:type="paragraph" w:customStyle="1" w:styleId="1090F97CB8B948DA8C8743BD118BCFE2">
    <w:name w:val="1090F97CB8B948DA8C8743BD118BCFE2"/>
    <w:rsid w:val="00404FD3"/>
  </w:style>
  <w:style w:type="paragraph" w:customStyle="1" w:styleId="60843FDDFB8E4A46AEE3E3ED8A94AF6C">
    <w:name w:val="60843FDDFB8E4A46AEE3E3ED8A94AF6C"/>
    <w:rsid w:val="00404FD3"/>
  </w:style>
  <w:style w:type="paragraph" w:customStyle="1" w:styleId="0063C26E0BA8479A933882F79D5ADAE5">
    <w:name w:val="0063C26E0BA8479A933882F79D5ADAE5"/>
    <w:rsid w:val="00404FD3"/>
  </w:style>
  <w:style w:type="paragraph" w:customStyle="1" w:styleId="3FB663B9A688469C9514077E03711088">
    <w:name w:val="3FB663B9A688469C9514077E03711088"/>
    <w:rsid w:val="00404FD3"/>
  </w:style>
  <w:style w:type="paragraph" w:customStyle="1" w:styleId="E73F6A98717B4B0EA3FCA42055641BCF">
    <w:name w:val="E73F6A98717B4B0EA3FCA42055641BCF"/>
    <w:rsid w:val="00404FD3"/>
  </w:style>
  <w:style w:type="paragraph" w:customStyle="1" w:styleId="C53DDB899C8F4C80B06BA6839EB4C050">
    <w:name w:val="C53DDB899C8F4C80B06BA6839EB4C050"/>
    <w:rsid w:val="00404FD3"/>
  </w:style>
  <w:style w:type="paragraph" w:customStyle="1" w:styleId="81DB9EA6E82B469499470A5146F78057">
    <w:name w:val="81DB9EA6E82B469499470A5146F78057"/>
    <w:rsid w:val="00404FD3"/>
  </w:style>
  <w:style w:type="paragraph" w:customStyle="1" w:styleId="476FDC6DBF1042C0AEEE162B58F15314">
    <w:name w:val="476FDC6DBF1042C0AEEE162B58F15314"/>
    <w:rsid w:val="00404FD3"/>
  </w:style>
  <w:style w:type="paragraph" w:customStyle="1" w:styleId="0F28DBDD2FD74B578AECF0FB30F20671">
    <w:name w:val="0F28DBDD2FD74B578AECF0FB30F20671"/>
    <w:rsid w:val="00404FD3"/>
  </w:style>
  <w:style w:type="paragraph" w:customStyle="1" w:styleId="DF7ABC27307E417893A81B3C200AFB48">
    <w:name w:val="DF7ABC27307E417893A81B3C200AFB48"/>
    <w:rsid w:val="00404FD3"/>
  </w:style>
  <w:style w:type="paragraph" w:customStyle="1" w:styleId="E44DDD550CA84D288E4061865C9452A7">
    <w:name w:val="E44DDD550CA84D288E4061865C9452A7"/>
    <w:rsid w:val="00404FD3"/>
  </w:style>
  <w:style w:type="paragraph" w:customStyle="1" w:styleId="31FF4414325945B0A77283AA4C311B04">
    <w:name w:val="31FF4414325945B0A77283AA4C311B04"/>
    <w:rsid w:val="00404FD3"/>
  </w:style>
  <w:style w:type="paragraph" w:customStyle="1" w:styleId="C885183B2BEF42A19CC6E26CA2C03FB1">
    <w:name w:val="C885183B2BEF42A19CC6E26CA2C03FB1"/>
    <w:rsid w:val="00404FD3"/>
  </w:style>
  <w:style w:type="paragraph" w:customStyle="1" w:styleId="CAA453999DEA4BB8823D6100C22499EC">
    <w:name w:val="CAA453999DEA4BB8823D6100C22499EC"/>
    <w:rsid w:val="00404FD3"/>
  </w:style>
  <w:style w:type="paragraph" w:customStyle="1" w:styleId="B45DE968BF7F488EA657ED8FFCEA8343">
    <w:name w:val="B45DE968BF7F488EA657ED8FFCEA8343"/>
    <w:rsid w:val="00404FD3"/>
  </w:style>
  <w:style w:type="paragraph" w:customStyle="1" w:styleId="7609DD5ECC48418CBE5D25AF4B9E7992">
    <w:name w:val="7609DD5ECC48418CBE5D25AF4B9E7992"/>
    <w:rsid w:val="00404FD3"/>
  </w:style>
  <w:style w:type="paragraph" w:customStyle="1" w:styleId="42A3D5097A7B4AF2B438C62AE88FF87D">
    <w:name w:val="42A3D5097A7B4AF2B438C62AE88FF87D"/>
    <w:rsid w:val="00404FD3"/>
  </w:style>
  <w:style w:type="paragraph" w:customStyle="1" w:styleId="F03B905ED2B04881908778D3D088292A">
    <w:name w:val="F03B905ED2B04881908778D3D088292A"/>
    <w:rsid w:val="00404FD3"/>
  </w:style>
  <w:style w:type="paragraph" w:customStyle="1" w:styleId="07441AE43E1C40B89B466246544D6943">
    <w:name w:val="07441AE43E1C40B89B466246544D6943"/>
    <w:rsid w:val="00404FD3"/>
  </w:style>
  <w:style w:type="paragraph" w:customStyle="1" w:styleId="29E32FA464EF4AA1B6547A2A2A1D9E40">
    <w:name w:val="29E32FA464EF4AA1B6547A2A2A1D9E40"/>
    <w:rsid w:val="00404FD3"/>
  </w:style>
  <w:style w:type="paragraph" w:customStyle="1" w:styleId="7B8D6C7A3C7E46EE941DEF5AFE7A4048">
    <w:name w:val="7B8D6C7A3C7E46EE941DEF5AFE7A4048"/>
    <w:rsid w:val="00404FD3"/>
  </w:style>
  <w:style w:type="paragraph" w:customStyle="1" w:styleId="64087CD2961442E08AAE8D821F8966AF">
    <w:name w:val="64087CD2961442E08AAE8D821F8966AF"/>
    <w:rsid w:val="00404FD3"/>
  </w:style>
  <w:style w:type="paragraph" w:customStyle="1" w:styleId="4F14216BA4E144D8A17ACDD0F421048E">
    <w:name w:val="4F14216BA4E144D8A17ACDD0F421048E"/>
    <w:rsid w:val="00404FD3"/>
  </w:style>
  <w:style w:type="paragraph" w:customStyle="1" w:styleId="5798D48DC8BE4CDF9BD0DE86EF2B6506">
    <w:name w:val="5798D48DC8BE4CDF9BD0DE86EF2B6506"/>
    <w:rsid w:val="00404FD3"/>
  </w:style>
  <w:style w:type="paragraph" w:customStyle="1" w:styleId="B2C55C7A70E2451B9CB864E0F5902951">
    <w:name w:val="B2C55C7A70E2451B9CB864E0F5902951"/>
    <w:rsid w:val="00404FD3"/>
  </w:style>
  <w:style w:type="paragraph" w:customStyle="1" w:styleId="3766DE1435E04289812E2CA2AF0ECC70">
    <w:name w:val="3766DE1435E04289812E2CA2AF0ECC70"/>
    <w:rsid w:val="00404FD3"/>
  </w:style>
  <w:style w:type="paragraph" w:customStyle="1" w:styleId="F199C21C3BB84CE5A3507D577516981E">
    <w:name w:val="F199C21C3BB84CE5A3507D577516981E"/>
    <w:rsid w:val="00404FD3"/>
  </w:style>
  <w:style w:type="paragraph" w:customStyle="1" w:styleId="BF4735CFBBC14EC89EF037710E3F0EE0">
    <w:name w:val="BF4735CFBBC14EC89EF037710E3F0EE0"/>
    <w:rsid w:val="00404FD3"/>
  </w:style>
  <w:style w:type="paragraph" w:customStyle="1" w:styleId="76805837FEAC4F1BA9720ECBDD68C68A">
    <w:name w:val="76805837FEAC4F1BA9720ECBDD68C68A"/>
    <w:rsid w:val="00404FD3"/>
  </w:style>
  <w:style w:type="paragraph" w:customStyle="1" w:styleId="411117AA10284B84ADFF3F37FBE7D779">
    <w:name w:val="411117AA10284B84ADFF3F37FBE7D779"/>
    <w:rsid w:val="00404FD3"/>
  </w:style>
  <w:style w:type="paragraph" w:customStyle="1" w:styleId="9ED5D3D099C74C56A6ADBAEE811734E2">
    <w:name w:val="9ED5D3D099C74C56A6ADBAEE811734E2"/>
    <w:rsid w:val="00404FD3"/>
  </w:style>
  <w:style w:type="paragraph" w:customStyle="1" w:styleId="E6F810C1893348A9AFBCF32CC91660BA">
    <w:name w:val="E6F810C1893348A9AFBCF32CC91660BA"/>
    <w:rsid w:val="00404FD3"/>
  </w:style>
  <w:style w:type="paragraph" w:customStyle="1" w:styleId="F7E40D8B0DC5402CB85212FA8B696F66">
    <w:name w:val="F7E40D8B0DC5402CB85212FA8B696F66"/>
    <w:rsid w:val="00404FD3"/>
  </w:style>
  <w:style w:type="paragraph" w:customStyle="1" w:styleId="6C6EFE427CDA4B77AD3E687EAF73C504">
    <w:name w:val="6C6EFE427CDA4B77AD3E687EAF73C504"/>
    <w:rsid w:val="00404FD3"/>
  </w:style>
  <w:style w:type="paragraph" w:customStyle="1" w:styleId="8CB7A0B67D7C453EB7260A14660DCBE7">
    <w:name w:val="8CB7A0B67D7C453EB7260A14660DCBE7"/>
    <w:rsid w:val="00404FD3"/>
  </w:style>
  <w:style w:type="paragraph" w:customStyle="1" w:styleId="D6451DDF71BA4009853F2D96B2AA0C88">
    <w:name w:val="D6451DDF71BA4009853F2D96B2AA0C88"/>
    <w:rsid w:val="00404FD3"/>
  </w:style>
  <w:style w:type="paragraph" w:customStyle="1" w:styleId="15C4FA5176F64937851F88C9AB0657EF">
    <w:name w:val="15C4FA5176F64937851F88C9AB0657EF"/>
    <w:rsid w:val="00404FD3"/>
  </w:style>
  <w:style w:type="paragraph" w:customStyle="1" w:styleId="475467224A18449783BF29CF31C0CCAD">
    <w:name w:val="475467224A18449783BF29CF31C0CCAD"/>
    <w:rsid w:val="00404FD3"/>
  </w:style>
  <w:style w:type="paragraph" w:customStyle="1" w:styleId="91A4F1BA2227435B8F735C53828E6669">
    <w:name w:val="91A4F1BA2227435B8F735C53828E6669"/>
    <w:rsid w:val="00404FD3"/>
  </w:style>
  <w:style w:type="paragraph" w:customStyle="1" w:styleId="41A543362A994389A655D5B790E7A625">
    <w:name w:val="41A543362A994389A655D5B790E7A625"/>
    <w:rsid w:val="00404FD3"/>
  </w:style>
  <w:style w:type="paragraph" w:customStyle="1" w:styleId="768E9A6123E343BF8F6C3148C616EE48">
    <w:name w:val="768E9A6123E343BF8F6C3148C616EE48"/>
    <w:rsid w:val="00404FD3"/>
  </w:style>
  <w:style w:type="paragraph" w:customStyle="1" w:styleId="7B06EC90F4774958B040E61AF83825DD">
    <w:name w:val="7B06EC90F4774958B040E61AF83825DD"/>
    <w:rsid w:val="00404FD3"/>
  </w:style>
  <w:style w:type="paragraph" w:customStyle="1" w:styleId="47AFCC270A0D42C2B388C511421806E7">
    <w:name w:val="47AFCC270A0D42C2B388C511421806E7"/>
    <w:rsid w:val="00404FD3"/>
  </w:style>
  <w:style w:type="paragraph" w:customStyle="1" w:styleId="3108E5C5197444A880DA3EC0B6C75C09">
    <w:name w:val="3108E5C5197444A880DA3EC0B6C75C09"/>
    <w:rsid w:val="00404FD3"/>
  </w:style>
  <w:style w:type="paragraph" w:customStyle="1" w:styleId="6A153FF94881410FBA752EC6C56114E0">
    <w:name w:val="6A153FF94881410FBA752EC6C56114E0"/>
    <w:rsid w:val="00404FD3"/>
  </w:style>
  <w:style w:type="paragraph" w:customStyle="1" w:styleId="7C0180D4C8A74191B569B12C4FC5CD3A">
    <w:name w:val="7C0180D4C8A74191B569B12C4FC5CD3A"/>
    <w:rsid w:val="00404FD3"/>
  </w:style>
  <w:style w:type="paragraph" w:customStyle="1" w:styleId="121DF6CE011B46EDB73663F845FC989D">
    <w:name w:val="121DF6CE011B46EDB73663F845FC989D"/>
    <w:rsid w:val="00404FD3"/>
  </w:style>
  <w:style w:type="paragraph" w:customStyle="1" w:styleId="BDC8057468534A17BA06F4E6D67CA67F">
    <w:name w:val="BDC8057468534A17BA06F4E6D67CA67F"/>
    <w:rsid w:val="00404FD3"/>
  </w:style>
  <w:style w:type="paragraph" w:customStyle="1" w:styleId="9A7392FC334E421BBF0679EE2BD30E4E">
    <w:name w:val="9A7392FC334E421BBF0679EE2BD30E4E"/>
    <w:rsid w:val="00404FD3"/>
  </w:style>
  <w:style w:type="paragraph" w:customStyle="1" w:styleId="B3138C86BC5C49F3916B46235B4D7323">
    <w:name w:val="B3138C86BC5C49F3916B46235B4D7323"/>
    <w:rsid w:val="00404FD3"/>
  </w:style>
  <w:style w:type="paragraph" w:customStyle="1" w:styleId="01802A3B71734982AFFF66E5B9141EC3">
    <w:name w:val="01802A3B71734982AFFF66E5B9141EC3"/>
    <w:rsid w:val="00404FD3"/>
  </w:style>
  <w:style w:type="paragraph" w:customStyle="1" w:styleId="E5C5A98DBAD84D9E81904A8EC487C9FE">
    <w:name w:val="E5C5A98DBAD84D9E81904A8EC487C9FE"/>
    <w:rsid w:val="00404FD3"/>
  </w:style>
  <w:style w:type="paragraph" w:customStyle="1" w:styleId="C724F10B6C46465C85D873424EC80BA8">
    <w:name w:val="C724F10B6C46465C85D873424EC80BA8"/>
    <w:rsid w:val="00404FD3"/>
  </w:style>
  <w:style w:type="paragraph" w:customStyle="1" w:styleId="0B1EBF5D77424B6AB172CCD5A68C73CC">
    <w:name w:val="0B1EBF5D77424B6AB172CCD5A68C73CC"/>
    <w:rsid w:val="00404FD3"/>
  </w:style>
  <w:style w:type="paragraph" w:customStyle="1" w:styleId="83649366A68C4158B99472EF6AD35FE8">
    <w:name w:val="83649366A68C4158B99472EF6AD35FE8"/>
    <w:rsid w:val="00404FD3"/>
  </w:style>
  <w:style w:type="paragraph" w:customStyle="1" w:styleId="F32B018779EC4A2D95129D47749E38AB">
    <w:name w:val="F32B018779EC4A2D95129D47749E38AB"/>
    <w:rsid w:val="00404FD3"/>
  </w:style>
  <w:style w:type="paragraph" w:customStyle="1" w:styleId="5840E07B520041EBB068BB70490F61BA">
    <w:name w:val="5840E07B520041EBB068BB70490F61BA"/>
    <w:rsid w:val="00404FD3"/>
  </w:style>
  <w:style w:type="paragraph" w:customStyle="1" w:styleId="0083A10020974658A97BF905497EDEC1">
    <w:name w:val="0083A10020974658A97BF905497EDEC1"/>
    <w:rsid w:val="00404FD3"/>
  </w:style>
  <w:style w:type="paragraph" w:customStyle="1" w:styleId="DABA8D8E4E114CB3B26EDC771C6D355A">
    <w:name w:val="DABA8D8E4E114CB3B26EDC771C6D355A"/>
    <w:rsid w:val="00404FD3"/>
  </w:style>
  <w:style w:type="paragraph" w:customStyle="1" w:styleId="F85EA2157D1F4B52A942BB0C6546F1B9">
    <w:name w:val="F85EA2157D1F4B52A942BB0C6546F1B9"/>
    <w:rsid w:val="00404FD3"/>
  </w:style>
  <w:style w:type="paragraph" w:customStyle="1" w:styleId="A8D600B11190408088B76E411C3FE6C6">
    <w:name w:val="A8D600B11190408088B76E411C3FE6C6"/>
    <w:rsid w:val="00404FD3"/>
  </w:style>
  <w:style w:type="paragraph" w:customStyle="1" w:styleId="F0294A00DB3F4DF8A82BA0C302F2A548">
    <w:name w:val="F0294A00DB3F4DF8A82BA0C302F2A548"/>
    <w:rsid w:val="00404FD3"/>
  </w:style>
  <w:style w:type="paragraph" w:customStyle="1" w:styleId="8F22BB2FA3EF4E1598ABC9644F9A3340">
    <w:name w:val="8F22BB2FA3EF4E1598ABC9644F9A3340"/>
    <w:rsid w:val="00404FD3"/>
  </w:style>
  <w:style w:type="paragraph" w:customStyle="1" w:styleId="C5A3A98C165643CE8EC725BE6DC436F4">
    <w:name w:val="C5A3A98C165643CE8EC725BE6DC436F4"/>
    <w:rsid w:val="00404FD3"/>
  </w:style>
  <w:style w:type="paragraph" w:customStyle="1" w:styleId="78087DBBAE09488D971D20094C08D354">
    <w:name w:val="78087DBBAE09488D971D20094C08D354"/>
    <w:rsid w:val="00404FD3"/>
  </w:style>
  <w:style w:type="paragraph" w:customStyle="1" w:styleId="A3AA92BC559E411E93C148F202CFB110">
    <w:name w:val="A3AA92BC559E411E93C148F202CFB110"/>
    <w:rsid w:val="00404FD3"/>
  </w:style>
  <w:style w:type="paragraph" w:customStyle="1" w:styleId="AB99238457574C6B8E2351612CFF92C6">
    <w:name w:val="AB99238457574C6B8E2351612CFF92C6"/>
    <w:rsid w:val="00404FD3"/>
  </w:style>
  <w:style w:type="paragraph" w:customStyle="1" w:styleId="CE0A20F6D2D74DBE890C101353545E74">
    <w:name w:val="CE0A20F6D2D74DBE890C101353545E74"/>
    <w:rsid w:val="00404FD3"/>
  </w:style>
  <w:style w:type="paragraph" w:customStyle="1" w:styleId="CA9C09570EE24D5EB13195432570E204">
    <w:name w:val="CA9C09570EE24D5EB13195432570E204"/>
    <w:rsid w:val="00404FD3"/>
  </w:style>
  <w:style w:type="paragraph" w:customStyle="1" w:styleId="3937D7C31EE94518A7A915343A1BE9D3">
    <w:name w:val="3937D7C31EE94518A7A915343A1BE9D3"/>
    <w:rsid w:val="00404FD3"/>
  </w:style>
  <w:style w:type="paragraph" w:customStyle="1" w:styleId="3A781B0CF29542748A1DDD15A50D794C">
    <w:name w:val="3A781B0CF29542748A1DDD15A50D794C"/>
    <w:rsid w:val="00404FD3"/>
  </w:style>
  <w:style w:type="paragraph" w:customStyle="1" w:styleId="1444BCBFAFBC4602810995B0300D869B">
    <w:name w:val="1444BCBFAFBC4602810995B0300D869B"/>
    <w:rsid w:val="00404FD3"/>
  </w:style>
  <w:style w:type="paragraph" w:customStyle="1" w:styleId="1E10746FD3434BEFB0B72414BD25ED02">
    <w:name w:val="1E10746FD3434BEFB0B72414BD25ED02"/>
    <w:rsid w:val="00404FD3"/>
  </w:style>
  <w:style w:type="paragraph" w:customStyle="1" w:styleId="BE5D8CE3E43E4D80AEA4707BAA8E528C">
    <w:name w:val="BE5D8CE3E43E4D80AEA4707BAA8E528C"/>
    <w:rsid w:val="00404FD3"/>
  </w:style>
  <w:style w:type="paragraph" w:customStyle="1" w:styleId="BDB385E4121F407F827FE40B3DA620C3">
    <w:name w:val="BDB385E4121F407F827FE40B3DA620C3"/>
    <w:rsid w:val="00404FD3"/>
  </w:style>
  <w:style w:type="paragraph" w:customStyle="1" w:styleId="401DC32317DB4E12994C1807902AD92B">
    <w:name w:val="401DC32317DB4E12994C1807902AD92B"/>
    <w:rsid w:val="00404FD3"/>
  </w:style>
  <w:style w:type="paragraph" w:customStyle="1" w:styleId="D9A3C34AE66B4DBD96711B47C5463306">
    <w:name w:val="D9A3C34AE66B4DBD96711B47C5463306"/>
    <w:rsid w:val="00404FD3"/>
  </w:style>
  <w:style w:type="paragraph" w:customStyle="1" w:styleId="536AB3E4AD334F0E99218FC00F30565E">
    <w:name w:val="536AB3E4AD334F0E99218FC00F30565E"/>
    <w:rsid w:val="00404FD3"/>
  </w:style>
  <w:style w:type="paragraph" w:customStyle="1" w:styleId="D3011BEEAAA54A51BDB05815717BDA21">
    <w:name w:val="D3011BEEAAA54A51BDB05815717BDA21"/>
    <w:rsid w:val="00404FD3"/>
  </w:style>
  <w:style w:type="paragraph" w:customStyle="1" w:styleId="E9865A3413AC4745997904AE17748681">
    <w:name w:val="E9865A3413AC4745997904AE17748681"/>
    <w:rsid w:val="00404FD3"/>
  </w:style>
  <w:style w:type="paragraph" w:customStyle="1" w:styleId="C12DD622154B4571A9E51DE4E3C3B20E">
    <w:name w:val="C12DD622154B4571A9E51DE4E3C3B20E"/>
    <w:rsid w:val="00404FD3"/>
  </w:style>
  <w:style w:type="paragraph" w:customStyle="1" w:styleId="F3C63B38D21D431EA8768A3767B0EFFA">
    <w:name w:val="F3C63B38D21D431EA8768A3767B0EFFA"/>
    <w:rsid w:val="00404FD3"/>
  </w:style>
  <w:style w:type="paragraph" w:customStyle="1" w:styleId="C10683A446FD467F9228E3B6F1B652DF">
    <w:name w:val="C10683A446FD467F9228E3B6F1B652DF"/>
    <w:rsid w:val="00404FD3"/>
  </w:style>
  <w:style w:type="paragraph" w:customStyle="1" w:styleId="462BD2EDDD1643189BDDEDC9AA6E4402">
    <w:name w:val="462BD2EDDD1643189BDDEDC9AA6E4402"/>
    <w:rsid w:val="00404FD3"/>
  </w:style>
  <w:style w:type="paragraph" w:customStyle="1" w:styleId="547C73D242BC474C99D86BCEB54B0CC0">
    <w:name w:val="547C73D242BC474C99D86BCEB54B0CC0"/>
    <w:rsid w:val="00404FD3"/>
  </w:style>
  <w:style w:type="paragraph" w:customStyle="1" w:styleId="095C81502358455F8D6252E594C54C1C">
    <w:name w:val="095C81502358455F8D6252E594C54C1C"/>
    <w:rsid w:val="00404FD3"/>
  </w:style>
  <w:style w:type="paragraph" w:customStyle="1" w:styleId="88DC43DDD3634F8FBA0CFDA9F8C2F40E">
    <w:name w:val="88DC43DDD3634F8FBA0CFDA9F8C2F40E"/>
    <w:rsid w:val="00404FD3"/>
  </w:style>
  <w:style w:type="paragraph" w:customStyle="1" w:styleId="8978009CF33A496D901D2775A2FFC682">
    <w:name w:val="8978009CF33A496D901D2775A2FFC682"/>
    <w:rsid w:val="00404FD3"/>
  </w:style>
  <w:style w:type="paragraph" w:customStyle="1" w:styleId="D2EB7CE339CE4006B68F8A0AD4D573AE">
    <w:name w:val="D2EB7CE339CE4006B68F8A0AD4D573AE"/>
    <w:rsid w:val="00404FD3"/>
  </w:style>
  <w:style w:type="paragraph" w:customStyle="1" w:styleId="F25331DF43E24E8C87A5219609A12354">
    <w:name w:val="F25331DF43E24E8C87A5219609A12354"/>
    <w:rsid w:val="00404FD3"/>
  </w:style>
  <w:style w:type="paragraph" w:customStyle="1" w:styleId="954CAAB71D434E1B825FDC0C26917B34">
    <w:name w:val="954CAAB71D434E1B825FDC0C26917B34"/>
    <w:rsid w:val="00404FD3"/>
  </w:style>
  <w:style w:type="paragraph" w:customStyle="1" w:styleId="ABCE0CA5DB5A4213A580814D8383AD2D">
    <w:name w:val="ABCE0CA5DB5A4213A580814D8383AD2D"/>
    <w:rsid w:val="00404FD3"/>
  </w:style>
  <w:style w:type="paragraph" w:customStyle="1" w:styleId="63DC9BD9A48945AA8A9CDCEF6259822E">
    <w:name w:val="63DC9BD9A48945AA8A9CDCEF6259822E"/>
    <w:rsid w:val="00404FD3"/>
  </w:style>
  <w:style w:type="paragraph" w:customStyle="1" w:styleId="40CC613EE7674EF1B2BBED411A4E75EE">
    <w:name w:val="40CC613EE7674EF1B2BBED411A4E75EE"/>
    <w:rsid w:val="00404FD3"/>
  </w:style>
  <w:style w:type="paragraph" w:customStyle="1" w:styleId="8244AC2A80374A39B0717E2D321EDE78">
    <w:name w:val="8244AC2A80374A39B0717E2D321EDE78"/>
    <w:rsid w:val="00404FD3"/>
  </w:style>
  <w:style w:type="paragraph" w:customStyle="1" w:styleId="1A00A0056BE34072BD64843B96DA0C51">
    <w:name w:val="1A00A0056BE34072BD64843B96DA0C51"/>
    <w:rsid w:val="00404FD3"/>
  </w:style>
  <w:style w:type="paragraph" w:customStyle="1" w:styleId="A9C31F100FB847419240C75FCEF14C43">
    <w:name w:val="A9C31F100FB847419240C75FCEF14C43"/>
    <w:rsid w:val="00404FD3"/>
  </w:style>
  <w:style w:type="paragraph" w:customStyle="1" w:styleId="CD499C4F95684C37A8DA80B05E888513">
    <w:name w:val="CD499C4F95684C37A8DA80B05E888513"/>
    <w:rsid w:val="00404FD3"/>
  </w:style>
  <w:style w:type="paragraph" w:customStyle="1" w:styleId="E14204C302AA44D983AB2005C0489D56">
    <w:name w:val="E14204C302AA44D983AB2005C0489D56"/>
    <w:rsid w:val="00404FD3"/>
  </w:style>
  <w:style w:type="paragraph" w:customStyle="1" w:styleId="55C42FE8970C4D7199A49557BA4A8B00">
    <w:name w:val="55C42FE8970C4D7199A49557BA4A8B00"/>
    <w:rsid w:val="00404FD3"/>
  </w:style>
  <w:style w:type="paragraph" w:customStyle="1" w:styleId="59B00CB1DBCE4449A0E6F733BEA5FB4C">
    <w:name w:val="59B00CB1DBCE4449A0E6F733BEA5FB4C"/>
    <w:rsid w:val="00404FD3"/>
  </w:style>
  <w:style w:type="paragraph" w:customStyle="1" w:styleId="CD21F6A3E0AD4885B87E1A04E6E80921">
    <w:name w:val="CD21F6A3E0AD4885B87E1A04E6E80921"/>
    <w:rsid w:val="00404FD3"/>
  </w:style>
  <w:style w:type="paragraph" w:customStyle="1" w:styleId="1E8BB967FF8A4EBB8E80259DC612D8CE">
    <w:name w:val="1E8BB967FF8A4EBB8E80259DC612D8CE"/>
    <w:rsid w:val="00404FD3"/>
  </w:style>
  <w:style w:type="paragraph" w:customStyle="1" w:styleId="620BCFD549BE406E88EB2E63A5D8CB6A">
    <w:name w:val="620BCFD549BE406E88EB2E63A5D8CB6A"/>
    <w:rsid w:val="00404FD3"/>
  </w:style>
  <w:style w:type="paragraph" w:customStyle="1" w:styleId="EDA2594A92D8499187798E1BDCFE7F42">
    <w:name w:val="EDA2594A92D8499187798E1BDCFE7F42"/>
    <w:rsid w:val="00404FD3"/>
  </w:style>
  <w:style w:type="paragraph" w:customStyle="1" w:styleId="68471A7870834F689A204A878D780BC8">
    <w:name w:val="68471A7870834F689A204A878D780BC8"/>
    <w:rsid w:val="00404FD3"/>
  </w:style>
  <w:style w:type="paragraph" w:customStyle="1" w:styleId="2FDEF5F634C74DC3A3C5501E1FB39D68">
    <w:name w:val="2FDEF5F634C74DC3A3C5501E1FB39D68"/>
    <w:rsid w:val="00404FD3"/>
  </w:style>
  <w:style w:type="paragraph" w:customStyle="1" w:styleId="08C1089837204E6FA5177C6E858A1459">
    <w:name w:val="08C1089837204E6FA5177C6E858A1459"/>
    <w:rsid w:val="00404FD3"/>
  </w:style>
  <w:style w:type="paragraph" w:customStyle="1" w:styleId="0DCC6B1E5FA445AF96397129146BCC9F">
    <w:name w:val="0DCC6B1E5FA445AF96397129146BCC9F"/>
    <w:rsid w:val="00404FD3"/>
  </w:style>
  <w:style w:type="paragraph" w:customStyle="1" w:styleId="21CD9FBF902F4F6C9C222705DDA59768">
    <w:name w:val="21CD9FBF902F4F6C9C222705DDA59768"/>
    <w:rsid w:val="00404FD3"/>
  </w:style>
  <w:style w:type="paragraph" w:customStyle="1" w:styleId="1DEDA0213E5F4E98B551861692D87731">
    <w:name w:val="1DEDA0213E5F4E98B551861692D87731"/>
    <w:rsid w:val="00404FD3"/>
  </w:style>
  <w:style w:type="paragraph" w:customStyle="1" w:styleId="0CF3E44BBB564BEDAB84DD2ED5F62921">
    <w:name w:val="0CF3E44BBB564BEDAB84DD2ED5F62921"/>
    <w:rsid w:val="00404FD3"/>
  </w:style>
  <w:style w:type="paragraph" w:customStyle="1" w:styleId="B9514BC3865D40659AAA6585E8EE3281">
    <w:name w:val="B9514BC3865D40659AAA6585E8EE3281"/>
    <w:rsid w:val="00404FD3"/>
  </w:style>
  <w:style w:type="paragraph" w:customStyle="1" w:styleId="17AFFCCDBB4043AAA6176AAA176AED8A">
    <w:name w:val="17AFFCCDBB4043AAA6176AAA176AED8A"/>
    <w:rsid w:val="00404FD3"/>
  </w:style>
  <w:style w:type="paragraph" w:customStyle="1" w:styleId="B31997937EFF471F80CD322D241342C5">
    <w:name w:val="B31997937EFF471F80CD322D241342C5"/>
    <w:rsid w:val="00404FD3"/>
  </w:style>
  <w:style w:type="paragraph" w:customStyle="1" w:styleId="14CB96C6557D4691A9F2DD90C69CF572">
    <w:name w:val="14CB96C6557D4691A9F2DD90C69CF572"/>
    <w:rsid w:val="00404FD3"/>
  </w:style>
  <w:style w:type="paragraph" w:customStyle="1" w:styleId="638F6BE0450640B8ABAE4355478C06B5">
    <w:name w:val="638F6BE0450640B8ABAE4355478C06B5"/>
    <w:rsid w:val="00404FD3"/>
  </w:style>
  <w:style w:type="paragraph" w:customStyle="1" w:styleId="FA6181E59546481288CB08DE69376ED2">
    <w:name w:val="FA6181E59546481288CB08DE69376ED2"/>
    <w:rsid w:val="00404FD3"/>
  </w:style>
  <w:style w:type="paragraph" w:customStyle="1" w:styleId="D592BF25E55D44A98D10CB637F35A567">
    <w:name w:val="D592BF25E55D44A98D10CB637F35A567"/>
    <w:rsid w:val="00404FD3"/>
  </w:style>
  <w:style w:type="paragraph" w:customStyle="1" w:styleId="4B47583A81E94D2F9CD6B10D8431101E">
    <w:name w:val="4B47583A81E94D2F9CD6B10D8431101E"/>
    <w:rsid w:val="00404FD3"/>
  </w:style>
  <w:style w:type="paragraph" w:customStyle="1" w:styleId="1C78993DA1644C10B2D3981476E804C0">
    <w:name w:val="1C78993DA1644C10B2D3981476E804C0"/>
    <w:rsid w:val="00404FD3"/>
  </w:style>
  <w:style w:type="paragraph" w:customStyle="1" w:styleId="B06F57B61A694FB48317CE9D9683B4DF">
    <w:name w:val="B06F57B61A694FB48317CE9D9683B4DF"/>
    <w:rsid w:val="00404FD3"/>
  </w:style>
  <w:style w:type="paragraph" w:customStyle="1" w:styleId="03ADCA815D854B15A21BA38ADB879CF5">
    <w:name w:val="03ADCA815D854B15A21BA38ADB879CF5"/>
    <w:rsid w:val="00404FD3"/>
  </w:style>
  <w:style w:type="paragraph" w:customStyle="1" w:styleId="06859C0BCF914EFE9E8CA76ECD2B6D15">
    <w:name w:val="06859C0BCF914EFE9E8CA76ECD2B6D15"/>
    <w:rsid w:val="00404FD3"/>
  </w:style>
  <w:style w:type="paragraph" w:customStyle="1" w:styleId="BEF2417A49524D78BF0B2B8CCA354D0A">
    <w:name w:val="BEF2417A49524D78BF0B2B8CCA354D0A"/>
    <w:rsid w:val="00404FD3"/>
  </w:style>
  <w:style w:type="paragraph" w:customStyle="1" w:styleId="026C7388506E4D8D9DE4CDC2F8533565">
    <w:name w:val="026C7388506E4D8D9DE4CDC2F8533565"/>
    <w:rsid w:val="00404FD3"/>
  </w:style>
  <w:style w:type="paragraph" w:customStyle="1" w:styleId="17F7D9A1CCB4428B93F904F80D4E5C2D">
    <w:name w:val="17F7D9A1CCB4428B93F904F80D4E5C2D"/>
    <w:rsid w:val="00404FD3"/>
  </w:style>
  <w:style w:type="paragraph" w:customStyle="1" w:styleId="3E70CEAB1413434184784084E5F28B1C">
    <w:name w:val="3E70CEAB1413434184784084E5F28B1C"/>
    <w:rsid w:val="00404FD3"/>
  </w:style>
  <w:style w:type="paragraph" w:customStyle="1" w:styleId="4D45176206DA4857BD03BB5FEAF3F0DA">
    <w:name w:val="4D45176206DA4857BD03BB5FEAF3F0DA"/>
    <w:rsid w:val="00404FD3"/>
  </w:style>
  <w:style w:type="paragraph" w:customStyle="1" w:styleId="CE9909E4CE52406D866A250E77D3FC78">
    <w:name w:val="CE9909E4CE52406D866A250E77D3FC78"/>
    <w:rsid w:val="00404FD3"/>
  </w:style>
  <w:style w:type="paragraph" w:customStyle="1" w:styleId="B8915AA92A3546C68694BD9BE1967F2B">
    <w:name w:val="B8915AA92A3546C68694BD9BE1967F2B"/>
    <w:rsid w:val="00404FD3"/>
  </w:style>
  <w:style w:type="paragraph" w:customStyle="1" w:styleId="16CECACA2F584C7AA8254FD3FCDCCFA0">
    <w:name w:val="16CECACA2F584C7AA8254FD3FCDCCFA0"/>
    <w:rsid w:val="00404FD3"/>
  </w:style>
  <w:style w:type="paragraph" w:customStyle="1" w:styleId="32E5CC95C7AC47D48FB9356FA55FA519">
    <w:name w:val="32E5CC95C7AC47D48FB9356FA55FA519"/>
    <w:rsid w:val="00404FD3"/>
  </w:style>
  <w:style w:type="paragraph" w:customStyle="1" w:styleId="F906D943967B4B3781D7D3204172706A">
    <w:name w:val="F906D943967B4B3781D7D3204172706A"/>
    <w:rsid w:val="00404FD3"/>
  </w:style>
  <w:style w:type="paragraph" w:customStyle="1" w:styleId="2C1D98426C8441A5980E1B7939DDB0AD">
    <w:name w:val="2C1D98426C8441A5980E1B7939DDB0AD"/>
    <w:rsid w:val="00404FD3"/>
  </w:style>
  <w:style w:type="paragraph" w:customStyle="1" w:styleId="905472A48E2848649D66BC86E9F1AFD9">
    <w:name w:val="905472A48E2848649D66BC86E9F1AFD9"/>
    <w:rsid w:val="00404FD3"/>
  </w:style>
  <w:style w:type="paragraph" w:customStyle="1" w:styleId="C503EA18B4F94909A36B1313E39FEA2C">
    <w:name w:val="C503EA18B4F94909A36B1313E39FEA2C"/>
    <w:rsid w:val="00404FD3"/>
  </w:style>
  <w:style w:type="paragraph" w:customStyle="1" w:styleId="1E821A44AE8F4B81AA3602C940CFBD62">
    <w:name w:val="1E821A44AE8F4B81AA3602C940CFBD62"/>
    <w:rsid w:val="00404FD3"/>
  </w:style>
  <w:style w:type="paragraph" w:customStyle="1" w:styleId="D4153C22E12E48C6B622E7E1FF747BD5">
    <w:name w:val="D4153C22E12E48C6B622E7E1FF747BD5"/>
    <w:rsid w:val="00404FD3"/>
  </w:style>
  <w:style w:type="paragraph" w:customStyle="1" w:styleId="B20FF24BA394423BA15CF0A30AE342C0">
    <w:name w:val="B20FF24BA394423BA15CF0A30AE342C0"/>
    <w:rsid w:val="00404FD3"/>
  </w:style>
  <w:style w:type="paragraph" w:customStyle="1" w:styleId="483163C6C2CD4845A50711888D0BF0B3">
    <w:name w:val="483163C6C2CD4845A50711888D0BF0B3"/>
    <w:rsid w:val="00404FD3"/>
  </w:style>
  <w:style w:type="paragraph" w:customStyle="1" w:styleId="B92E8E8C290C4097855C91A4EDBBB2A4">
    <w:name w:val="B92E8E8C290C4097855C91A4EDBBB2A4"/>
    <w:rsid w:val="00404FD3"/>
  </w:style>
  <w:style w:type="paragraph" w:customStyle="1" w:styleId="473193C2958147AF81E71791901A34D8">
    <w:name w:val="473193C2958147AF81E71791901A34D8"/>
    <w:rsid w:val="00404FD3"/>
  </w:style>
  <w:style w:type="paragraph" w:customStyle="1" w:styleId="84A107EBA5714386B3B266A6ADC93196">
    <w:name w:val="84A107EBA5714386B3B266A6ADC93196"/>
    <w:rsid w:val="00404FD3"/>
  </w:style>
  <w:style w:type="paragraph" w:customStyle="1" w:styleId="490FA87B5EFC41EB83025E185A6935F9">
    <w:name w:val="490FA87B5EFC41EB83025E185A6935F9"/>
    <w:rsid w:val="00404FD3"/>
  </w:style>
  <w:style w:type="paragraph" w:customStyle="1" w:styleId="44BB33632449479A8D24764DCEF547AE">
    <w:name w:val="44BB33632449479A8D24764DCEF547AE"/>
    <w:rsid w:val="00404FD3"/>
  </w:style>
  <w:style w:type="paragraph" w:customStyle="1" w:styleId="6F6F99BB108B4F648C52CFD1740681B3">
    <w:name w:val="6F6F99BB108B4F648C52CFD1740681B3"/>
    <w:rsid w:val="00404FD3"/>
  </w:style>
  <w:style w:type="paragraph" w:customStyle="1" w:styleId="4199063589604B2EA77F5952081B697B">
    <w:name w:val="4199063589604B2EA77F5952081B697B"/>
    <w:rsid w:val="00404FD3"/>
  </w:style>
  <w:style w:type="paragraph" w:customStyle="1" w:styleId="BF912184E89E41CABA2286AD94913E5E">
    <w:name w:val="BF912184E89E41CABA2286AD94913E5E"/>
    <w:rsid w:val="00404FD3"/>
  </w:style>
  <w:style w:type="paragraph" w:customStyle="1" w:styleId="AA59E77376564AB39AE443A71575B816">
    <w:name w:val="AA59E77376564AB39AE443A71575B816"/>
    <w:rsid w:val="00404FD3"/>
  </w:style>
  <w:style w:type="paragraph" w:customStyle="1" w:styleId="78E38BEA526A4116B521808CE3C74E26">
    <w:name w:val="78E38BEA526A4116B521808CE3C74E26"/>
    <w:rsid w:val="00404FD3"/>
  </w:style>
  <w:style w:type="paragraph" w:customStyle="1" w:styleId="FA0A20F3995945B3B02623EF974BE1F7">
    <w:name w:val="FA0A20F3995945B3B02623EF974BE1F7"/>
    <w:rsid w:val="00404FD3"/>
  </w:style>
  <w:style w:type="paragraph" w:customStyle="1" w:styleId="802E5E69D60647DD91CA9D7F173D8B42">
    <w:name w:val="802E5E69D60647DD91CA9D7F173D8B42"/>
    <w:rsid w:val="00404FD3"/>
  </w:style>
  <w:style w:type="paragraph" w:customStyle="1" w:styleId="0E73A57261DC441E8ED1F4EAEEEB3784">
    <w:name w:val="0E73A57261DC441E8ED1F4EAEEEB3784"/>
    <w:rsid w:val="00404FD3"/>
  </w:style>
  <w:style w:type="paragraph" w:customStyle="1" w:styleId="8629CB2A213B48F9B52AA921B18BC9F4">
    <w:name w:val="8629CB2A213B48F9B52AA921B18BC9F4"/>
    <w:rsid w:val="00404FD3"/>
  </w:style>
  <w:style w:type="paragraph" w:customStyle="1" w:styleId="C5D2B3BB857E42EF84DF98245BBB56AD">
    <w:name w:val="C5D2B3BB857E42EF84DF98245BBB56AD"/>
    <w:rsid w:val="00404FD3"/>
  </w:style>
  <w:style w:type="paragraph" w:customStyle="1" w:styleId="C11B84519A2C43789D5007713226764B">
    <w:name w:val="C11B84519A2C43789D5007713226764B"/>
    <w:rsid w:val="00404FD3"/>
  </w:style>
  <w:style w:type="paragraph" w:customStyle="1" w:styleId="BC1D36C08B4643C4AF1499089F1FA60B">
    <w:name w:val="BC1D36C08B4643C4AF1499089F1FA60B"/>
    <w:rsid w:val="00404FD3"/>
  </w:style>
  <w:style w:type="paragraph" w:customStyle="1" w:styleId="4B91976C92C34E8B963515D73C708DE0">
    <w:name w:val="4B91976C92C34E8B963515D73C708DE0"/>
    <w:rsid w:val="00404FD3"/>
  </w:style>
  <w:style w:type="paragraph" w:customStyle="1" w:styleId="5E629E61E82640ACB3B5BDFEA8BFAE87">
    <w:name w:val="5E629E61E82640ACB3B5BDFEA8BFAE87"/>
    <w:rsid w:val="00404FD3"/>
  </w:style>
  <w:style w:type="paragraph" w:customStyle="1" w:styleId="B00CA3117D9A426DA44C77003AA11538">
    <w:name w:val="B00CA3117D9A426DA44C77003AA11538"/>
    <w:rsid w:val="00404FD3"/>
  </w:style>
  <w:style w:type="paragraph" w:customStyle="1" w:styleId="AC205716402E4111B255716FE7D2EB35">
    <w:name w:val="AC205716402E4111B255716FE7D2EB35"/>
    <w:rsid w:val="00404FD3"/>
  </w:style>
  <w:style w:type="paragraph" w:customStyle="1" w:styleId="13F958315C9D447682533E60AB5C2942">
    <w:name w:val="13F958315C9D447682533E60AB5C2942"/>
    <w:rsid w:val="00404FD3"/>
  </w:style>
  <w:style w:type="paragraph" w:customStyle="1" w:styleId="7A9941E6F4B14950A3CD4C090C852DDB">
    <w:name w:val="7A9941E6F4B14950A3CD4C090C852DDB"/>
    <w:rsid w:val="00404FD3"/>
  </w:style>
  <w:style w:type="paragraph" w:customStyle="1" w:styleId="3BF800028DE8487FBC4C8EAF679D1DB1">
    <w:name w:val="3BF800028DE8487FBC4C8EAF679D1DB1"/>
    <w:rsid w:val="00404FD3"/>
  </w:style>
  <w:style w:type="paragraph" w:customStyle="1" w:styleId="EE09F23A11CE4EAD98ACA0BA471FFB1E">
    <w:name w:val="EE09F23A11CE4EAD98ACA0BA471FFB1E"/>
    <w:rsid w:val="00404FD3"/>
  </w:style>
  <w:style w:type="paragraph" w:customStyle="1" w:styleId="927B7111B4CF4F1493DCB26258A40F2E">
    <w:name w:val="927B7111B4CF4F1493DCB26258A40F2E"/>
    <w:rsid w:val="00404FD3"/>
  </w:style>
  <w:style w:type="paragraph" w:customStyle="1" w:styleId="69D353A7ABEA4DB58A5FBCEE3F716590">
    <w:name w:val="69D353A7ABEA4DB58A5FBCEE3F716590"/>
    <w:rsid w:val="00404FD3"/>
  </w:style>
  <w:style w:type="paragraph" w:customStyle="1" w:styleId="C507963045B74AADB26DEB1AACD42AD7">
    <w:name w:val="C507963045B74AADB26DEB1AACD42AD7"/>
    <w:rsid w:val="00404FD3"/>
  </w:style>
  <w:style w:type="paragraph" w:customStyle="1" w:styleId="A557B7DEA473431AA8C3408BB5A3A1B0">
    <w:name w:val="A557B7DEA473431AA8C3408BB5A3A1B0"/>
    <w:rsid w:val="00404FD3"/>
  </w:style>
  <w:style w:type="paragraph" w:customStyle="1" w:styleId="8728E7EA97C1424E84FAACB092631E2A">
    <w:name w:val="8728E7EA97C1424E84FAACB092631E2A"/>
    <w:rsid w:val="00404FD3"/>
  </w:style>
  <w:style w:type="paragraph" w:customStyle="1" w:styleId="987164CC4532444993E460494E9D0BB5">
    <w:name w:val="987164CC4532444993E460494E9D0BB5"/>
    <w:rsid w:val="00404FD3"/>
  </w:style>
  <w:style w:type="paragraph" w:customStyle="1" w:styleId="8E195D13F2844C04910C1D1920BB31E3">
    <w:name w:val="8E195D13F2844C04910C1D1920BB31E3"/>
    <w:rsid w:val="00404FD3"/>
  </w:style>
  <w:style w:type="paragraph" w:customStyle="1" w:styleId="49D28519DB984310BA803A36EC11A767">
    <w:name w:val="49D28519DB984310BA803A36EC11A767"/>
    <w:rsid w:val="00404FD3"/>
  </w:style>
  <w:style w:type="paragraph" w:customStyle="1" w:styleId="EC6F490814254983B62FCB894DF86797">
    <w:name w:val="EC6F490814254983B62FCB894DF86797"/>
    <w:rsid w:val="00404FD3"/>
  </w:style>
  <w:style w:type="paragraph" w:customStyle="1" w:styleId="6CA67A948256436C8B4184817ACB0CB3">
    <w:name w:val="6CA67A948256436C8B4184817ACB0CB3"/>
    <w:rsid w:val="00404FD3"/>
  </w:style>
  <w:style w:type="paragraph" w:customStyle="1" w:styleId="7997C6297E29481ABC678ECD37DF98D1">
    <w:name w:val="7997C6297E29481ABC678ECD37DF98D1"/>
    <w:rsid w:val="00404FD3"/>
  </w:style>
  <w:style w:type="paragraph" w:customStyle="1" w:styleId="2D7D5FB257684770B6F7A9FA569E1B74">
    <w:name w:val="2D7D5FB257684770B6F7A9FA569E1B74"/>
    <w:rsid w:val="00404FD3"/>
  </w:style>
  <w:style w:type="paragraph" w:customStyle="1" w:styleId="79BB0ED40F7B4A9FA05C650B021918CF">
    <w:name w:val="79BB0ED40F7B4A9FA05C650B021918CF"/>
    <w:rsid w:val="00404FD3"/>
  </w:style>
  <w:style w:type="paragraph" w:customStyle="1" w:styleId="EB7C6A7E39304144B0CB54F44AFC646F">
    <w:name w:val="EB7C6A7E39304144B0CB54F44AFC646F"/>
    <w:rsid w:val="00404FD3"/>
  </w:style>
  <w:style w:type="paragraph" w:customStyle="1" w:styleId="0076CBF8C7E24F96970D553793831822">
    <w:name w:val="0076CBF8C7E24F96970D553793831822"/>
    <w:rsid w:val="00404FD3"/>
  </w:style>
  <w:style w:type="paragraph" w:customStyle="1" w:styleId="72A8917564DD42CBAC55B415E486917B">
    <w:name w:val="72A8917564DD42CBAC55B415E486917B"/>
    <w:rsid w:val="00404FD3"/>
  </w:style>
  <w:style w:type="paragraph" w:customStyle="1" w:styleId="D9AABF51515B43CC923F09821F194843">
    <w:name w:val="D9AABF51515B43CC923F09821F194843"/>
    <w:rsid w:val="00404FD3"/>
  </w:style>
  <w:style w:type="paragraph" w:customStyle="1" w:styleId="410FF0D9BBA34E889DFB5FEC839B5C23">
    <w:name w:val="410FF0D9BBA34E889DFB5FEC839B5C23"/>
    <w:rsid w:val="00404FD3"/>
  </w:style>
  <w:style w:type="paragraph" w:customStyle="1" w:styleId="B105427B7918454690473C1F2A8888BD">
    <w:name w:val="B105427B7918454690473C1F2A8888BD"/>
    <w:rsid w:val="00404FD3"/>
  </w:style>
  <w:style w:type="paragraph" w:customStyle="1" w:styleId="6B6965DAFB864134B4CB2699512733F8">
    <w:name w:val="6B6965DAFB864134B4CB2699512733F8"/>
    <w:rsid w:val="00404FD3"/>
  </w:style>
  <w:style w:type="paragraph" w:customStyle="1" w:styleId="47B2E74FFD0D41849978DC8FC559C51D">
    <w:name w:val="47B2E74FFD0D41849978DC8FC559C51D"/>
    <w:rsid w:val="00404FD3"/>
  </w:style>
  <w:style w:type="paragraph" w:customStyle="1" w:styleId="870084C5DE7A43E09A0289DC3CEC623A">
    <w:name w:val="870084C5DE7A43E09A0289DC3CEC623A"/>
    <w:rsid w:val="00404FD3"/>
  </w:style>
  <w:style w:type="paragraph" w:customStyle="1" w:styleId="23C4CDB53D0547CFAC13A35583005A4D">
    <w:name w:val="23C4CDB53D0547CFAC13A35583005A4D"/>
    <w:rsid w:val="00404FD3"/>
  </w:style>
  <w:style w:type="paragraph" w:customStyle="1" w:styleId="6193BB8C4B194C0BAF527DA786FF6357">
    <w:name w:val="6193BB8C4B194C0BAF527DA786FF6357"/>
    <w:rsid w:val="00404FD3"/>
  </w:style>
  <w:style w:type="paragraph" w:customStyle="1" w:styleId="817558CB7D114E89A3FAD5E2E09DEF90">
    <w:name w:val="817558CB7D114E89A3FAD5E2E09DEF90"/>
    <w:rsid w:val="00404FD3"/>
  </w:style>
  <w:style w:type="paragraph" w:customStyle="1" w:styleId="840BE7876DE14999A7BE07B9B1CCF20D">
    <w:name w:val="840BE7876DE14999A7BE07B9B1CCF20D"/>
    <w:rsid w:val="00404FD3"/>
  </w:style>
  <w:style w:type="paragraph" w:customStyle="1" w:styleId="E3E8EA38577E4F0BAC8833EA3E6F629E">
    <w:name w:val="E3E8EA38577E4F0BAC8833EA3E6F629E"/>
    <w:rsid w:val="00404FD3"/>
  </w:style>
  <w:style w:type="paragraph" w:customStyle="1" w:styleId="B929885715274745964E4BD7801DF1D9">
    <w:name w:val="B929885715274745964E4BD7801DF1D9"/>
    <w:rsid w:val="00404FD3"/>
  </w:style>
  <w:style w:type="paragraph" w:customStyle="1" w:styleId="EA4AB95C19BF43839BD76B33466D9FD7">
    <w:name w:val="EA4AB95C19BF43839BD76B33466D9FD7"/>
    <w:rsid w:val="00404FD3"/>
  </w:style>
  <w:style w:type="paragraph" w:customStyle="1" w:styleId="80BFB832DE7B4259AECD522208F7F8C2">
    <w:name w:val="80BFB832DE7B4259AECD522208F7F8C2"/>
    <w:rsid w:val="00404FD3"/>
  </w:style>
  <w:style w:type="paragraph" w:customStyle="1" w:styleId="F22DF34E40624356A3EACBBA39C3901D">
    <w:name w:val="F22DF34E40624356A3EACBBA39C3901D"/>
    <w:rsid w:val="00404FD3"/>
  </w:style>
  <w:style w:type="paragraph" w:customStyle="1" w:styleId="BAC3D4D3461947F1BDF370A437CDFAC6">
    <w:name w:val="BAC3D4D3461947F1BDF370A437CDFAC6"/>
    <w:rsid w:val="00404FD3"/>
  </w:style>
  <w:style w:type="paragraph" w:customStyle="1" w:styleId="F51F57D687294F3BB41A26790EB4CB57">
    <w:name w:val="F51F57D687294F3BB41A26790EB4CB57"/>
    <w:rsid w:val="00404FD3"/>
  </w:style>
  <w:style w:type="paragraph" w:customStyle="1" w:styleId="9E5BD93F355C4E4CB094E1417E8B0C69">
    <w:name w:val="9E5BD93F355C4E4CB094E1417E8B0C69"/>
    <w:rsid w:val="00404FD3"/>
  </w:style>
  <w:style w:type="paragraph" w:customStyle="1" w:styleId="B48775D98F2942798B43CFC3BEB31FFF">
    <w:name w:val="B48775D98F2942798B43CFC3BEB31FFF"/>
    <w:rsid w:val="00404FD3"/>
  </w:style>
  <w:style w:type="paragraph" w:customStyle="1" w:styleId="CC9531DD474E4406A47C267680F9E3F8">
    <w:name w:val="CC9531DD474E4406A47C267680F9E3F8"/>
    <w:rsid w:val="00404FD3"/>
  </w:style>
  <w:style w:type="paragraph" w:customStyle="1" w:styleId="6887EF780A944CC097F0140BAB59B8F1">
    <w:name w:val="6887EF780A944CC097F0140BAB59B8F1"/>
    <w:rsid w:val="00404FD3"/>
  </w:style>
  <w:style w:type="paragraph" w:customStyle="1" w:styleId="EC34BBE520944FDE88750F546E47A151">
    <w:name w:val="EC34BBE520944FDE88750F546E47A151"/>
    <w:rsid w:val="00404FD3"/>
  </w:style>
  <w:style w:type="paragraph" w:customStyle="1" w:styleId="AC9EFA22008A44B985C6627CB7B880BB">
    <w:name w:val="AC9EFA22008A44B985C6627CB7B880BB"/>
    <w:rsid w:val="00404FD3"/>
  </w:style>
  <w:style w:type="paragraph" w:customStyle="1" w:styleId="0EDC3735EFDE4C9C9ED8D22DB4A4C76E">
    <w:name w:val="0EDC3735EFDE4C9C9ED8D22DB4A4C76E"/>
    <w:rsid w:val="00404FD3"/>
  </w:style>
  <w:style w:type="paragraph" w:customStyle="1" w:styleId="27B37FC3E3824AA48E019397F5F3E3C6">
    <w:name w:val="27B37FC3E3824AA48E019397F5F3E3C6"/>
    <w:rsid w:val="00404FD3"/>
  </w:style>
  <w:style w:type="paragraph" w:customStyle="1" w:styleId="12275AB9B07B4A839162F47A849B4A05">
    <w:name w:val="12275AB9B07B4A839162F47A849B4A05"/>
    <w:rsid w:val="00404FD3"/>
  </w:style>
  <w:style w:type="paragraph" w:customStyle="1" w:styleId="629D2BD7A8A14B0F80DD34B20736A6FE">
    <w:name w:val="629D2BD7A8A14B0F80DD34B20736A6FE"/>
    <w:rsid w:val="00404FD3"/>
  </w:style>
  <w:style w:type="paragraph" w:customStyle="1" w:styleId="478D554C890946D29863F12EF94773F8">
    <w:name w:val="478D554C890946D29863F12EF94773F8"/>
    <w:rsid w:val="00404FD3"/>
  </w:style>
  <w:style w:type="paragraph" w:customStyle="1" w:styleId="2458A015B1F142B7B8B7B9320637F32D">
    <w:name w:val="2458A015B1F142B7B8B7B9320637F32D"/>
    <w:rsid w:val="00404FD3"/>
  </w:style>
  <w:style w:type="paragraph" w:customStyle="1" w:styleId="5CD3483758774826B6B2129C748C4C61">
    <w:name w:val="5CD3483758774826B6B2129C748C4C61"/>
    <w:rsid w:val="00404FD3"/>
  </w:style>
  <w:style w:type="paragraph" w:customStyle="1" w:styleId="9246896138FA4F58A6457E441A59E4E4">
    <w:name w:val="9246896138FA4F58A6457E441A59E4E4"/>
    <w:rsid w:val="00404FD3"/>
  </w:style>
  <w:style w:type="paragraph" w:customStyle="1" w:styleId="AA7EDBCED74542039DE4701201BC909E">
    <w:name w:val="AA7EDBCED74542039DE4701201BC909E"/>
    <w:rsid w:val="00404FD3"/>
  </w:style>
  <w:style w:type="paragraph" w:customStyle="1" w:styleId="43A4F09E0C4D45129D3724469241B401">
    <w:name w:val="43A4F09E0C4D45129D3724469241B401"/>
    <w:rsid w:val="00404FD3"/>
  </w:style>
  <w:style w:type="paragraph" w:customStyle="1" w:styleId="F823536DE2AF46C6A1519A92B3FD3695">
    <w:name w:val="F823536DE2AF46C6A1519A92B3FD3695"/>
    <w:rsid w:val="00404FD3"/>
  </w:style>
  <w:style w:type="paragraph" w:customStyle="1" w:styleId="8FE08389423D4733B1BB3A76AFDF0E75">
    <w:name w:val="8FE08389423D4733B1BB3A76AFDF0E75"/>
    <w:rsid w:val="00404FD3"/>
  </w:style>
  <w:style w:type="paragraph" w:customStyle="1" w:styleId="234AC326F383417495F85F54714B4862">
    <w:name w:val="234AC326F383417495F85F54714B4862"/>
    <w:rsid w:val="00404FD3"/>
  </w:style>
  <w:style w:type="paragraph" w:customStyle="1" w:styleId="4444E6ADA8D742E28874087A870659AE">
    <w:name w:val="4444E6ADA8D742E28874087A870659AE"/>
    <w:rsid w:val="00404FD3"/>
  </w:style>
  <w:style w:type="paragraph" w:customStyle="1" w:styleId="75007960D08643278625B42B4DB50E85">
    <w:name w:val="75007960D08643278625B42B4DB50E85"/>
    <w:rsid w:val="00404FD3"/>
  </w:style>
  <w:style w:type="paragraph" w:customStyle="1" w:styleId="E55573D951494B6B84D7EC3BCA354A08">
    <w:name w:val="E55573D951494B6B84D7EC3BCA354A08"/>
    <w:rsid w:val="00404FD3"/>
  </w:style>
  <w:style w:type="paragraph" w:customStyle="1" w:styleId="EB1D4592AF8F435BB6E35A41108A2FBC">
    <w:name w:val="EB1D4592AF8F435BB6E35A41108A2FBC"/>
    <w:rsid w:val="00404FD3"/>
  </w:style>
  <w:style w:type="paragraph" w:customStyle="1" w:styleId="DE8147B532D340F2995151A7E938BFEC">
    <w:name w:val="DE8147B532D340F2995151A7E938BFEC"/>
    <w:rsid w:val="00404FD3"/>
  </w:style>
  <w:style w:type="paragraph" w:customStyle="1" w:styleId="F31ED87FBB6F447BAAD8E52FCAF0787C">
    <w:name w:val="F31ED87FBB6F447BAAD8E52FCAF0787C"/>
    <w:rsid w:val="00404FD3"/>
  </w:style>
  <w:style w:type="paragraph" w:customStyle="1" w:styleId="47201922B33D4B1A86C48A6220B10DC7">
    <w:name w:val="47201922B33D4B1A86C48A6220B10DC7"/>
    <w:rsid w:val="00404FD3"/>
  </w:style>
  <w:style w:type="paragraph" w:customStyle="1" w:styleId="DF7C4F1EFF3F4E1287EF0DB7966142C4">
    <w:name w:val="DF7C4F1EFF3F4E1287EF0DB7966142C4"/>
    <w:rsid w:val="00404FD3"/>
  </w:style>
  <w:style w:type="paragraph" w:customStyle="1" w:styleId="848A2E817CF74C76843CBBA19E0E3459">
    <w:name w:val="848A2E817CF74C76843CBBA19E0E3459"/>
    <w:rsid w:val="00404FD3"/>
  </w:style>
  <w:style w:type="paragraph" w:customStyle="1" w:styleId="3223BEE55952466A937517895C4D68FD">
    <w:name w:val="3223BEE55952466A937517895C4D68FD"/>
    <w:rsid w:val="00404FD3"/>
  </w:style>
  <w:style w:type="paragraph" w:customStyle="1" w:styleId="307D3803333C4330859CB5B72710F0F0">
    <w:name w:val="307D3803333C4330859CB5B72710F0F0"/>
    <w:rsid w:val="00404FD3"/>
  </w:style>
  <w:style w:type="paragraph" w:customStyle="1" w:styleId="D1FEBBC8D0A74E048E984C393E56332C">
    <w:name w:val="D1FEBBC8D0A74E048E984C393E56332C"/>
    <w:rsid w:val="00404FD3"/>
  </w:style>
  <w:style w:type="paragraph" w:customStyle="1" w:styleId="E55DFDFB03444CFAA277C7946BC7E810">
    <w:name w:val="E55DFDFB03444CFAA277C7946BC7E810"/>
    <w:rsid w:val="00404FD3"/>
  </w:style>
  <w:style w:type="paragraph" w:customStyle="1" w:styleId="4963920E85314C19A8B04F9104FBCBDB">
    <w:name w:val="4963920E85314C19A8B04F9104FBCBDB"/>
    <w:rsid w:val="00404FD3"/>
  </w:style>
  <w:style w:type="paragraph" w:customStyle="1" w:styleId="3160654B703249B69EB015D0F2A995F9">
    <w:name w:val="3160654B703249B69EB015D0F2A995F9"/>
    <w:rsid w:val="00404FD3"/>
  </w:style>
  <w:style w:type="paragraph" w:customStyle="1" w:styleId="725DB408A9A547E89ED6EAC9F635621A">
    <w:name w:val="725DB408A9A547E89ED6EAC9F635621A"/>
    <w:rsid w:val="00404FD3"/>
  </w:style>
  <w:style w:type="paragraph" w:customStyle="1" w:styleId="D6D16590DD144E578F69F50ECE12D9EE">
    <w:name w:val="D6D16590DD144E578F69F50ECE12D9EE"/>
    <w:rsid w:val="00404FD3"/>
  </w:style>
  <w:style w:type="paragraph" w:customStyle="1" w:styleId="ACCB0BE829EB4251B0E4148BC4592263">
    <w:name w:val="ACCB0BE829EB4251B0E4148BC4592263"/>
    <w:rsid w:val="00404FD3"/>
  </w:style>
  <w:style w:type="paragraph" w:customStyle="1" w:styleId="6AD2594DA548474592FF58517775B652">
    <w:name w:val="6AD2594DA548474592FF58517775B652"/>
    <w:rsid w:val="00404FD3"/>
  </w:style>
  <w:style w:type="paragraph" w:customStyle="1" w:styleId="1CD2378C9E1B4572A5D0FA31F8B043E3">
    <w:name w:val="1CD2378C9E1B4572A5D0FA31F8B043E3"/>
    <w:rsid w:val="00404FD3"/>
  </w:style>
  <w:style w:type="paragraph" w:customStyle="1" w:styleId="D956E5415BB347B799F59DD8E3D341BA">
    <w:name w:val="D956E5415BB347B799F59DD8E3D341BA"/>
    <w:rsid w:val="00404FD3"/>
  </w:style>
  <w:style w:type="paragraph" w:customStyle="1" w:styleId="F91A79F4A8794C018B964CB67B5EB632">
    <w:name w:val="F91A79F4A8794C018B964CB67B5EB632"/>
    <w:rsid w:val="00404FD3"/>
  </w:style>
  <w:style w:type="paragraph" w:customStyle="1" w:styleId="39A9670E543E420FA253B6EF12B8516C">
    <w:name w:val="39A9670E543E420FA253B6EF12B8516C"/>
    <w:rsid w:val="00404FD3"/>
  </w:style>
  <w:style w:type="paragraph" w:customStyle="1" w:styleId="A5ECE73E91984680A89F13089846EF9B">
    <w:name w:val="A5ECE73E91984680A89F13089846EF9B"/>
    <w:rsid w:val="00404FD3"/>
  </w:style>
  <w:style w:type="paragraph" w:customStyle="1" w:styleId="33D8D986690B4993937EBC6722C34F58">
    <w:name w:val="33D8D986690B4993937EBC6722C34F58"/>
    <w:rsid w:val="00404FD3"/>
  </w:style>
  <w:style w:type="paragraph" w:customStyle="1" w:styleId="B647527007A041DC9FFEF405AA378173">
    <w:name w:val="B647527007A041DC9FFEF405AA378173"/>
    <w:rsid w:val="00404FD3"/>
  </w:style>
  <w:style w:type="paragraph" w:customStyle="1" w:styleId="8749E5142EAE4560B87503BF74736B43">
    <w:name w:val="8749E5142EAE4560B87503BF74736B43"/>
    <w:rsid w:val="00404FD3"/>
  </w:style>
  <w:style w:type="paragraph" w:customStyle="1" w:styleId="68EEB21C4D164C4DB97BC593C7019456">
    <w:name w:val="68EEB21C4D164C4DB97BC593C7019456"/>
    <w:rsid w:val="00404FD3"/>
  </w:style>
  <w:style w:type="paragraph" w:customStyle="1" w:styleId="5F880A8022EA496A858B637670CC11CB">
    <w:name w:val="5F880A8022EA496A858B637670CC11CB"/>
    <w:rsid w:val="00404FD3"/>
  </w:style>
  <w:style w:type="paragraph" w:customStyle="1" w:styleId="B8CB721CF6EE4D60A19CA71FBC01FDCD">
    <w:name w:val="B8CB721CF6EE4D60A19CA71FBC01FDCD"/>
    <w:rsid w:val="00404FD3"/>
  </w:style>
  <w:style w:type="paragraph" w:customStyle="1" w:styleId="A9BC3759880C4924A09D62C9C24A9FF8">
    <w:name w:val="A9BC3759880C4924A09D62C9C24A9FF8"/>
    <w:rsid w:val="00404FD3"/>
  </w:style>
  <w:style w:type="paragraph" w:customStyle="1" w:styleId="0687F0A05AF0440781DAAAC460AA3A4E">
    <w:name w:val="0687F0A05AF0440781DAAAC460AA3A4E"/>
    <w:rsid w:val="00404FD3"/>
  </w:style>
  <w:style w:type="paragraph" w:customStyle="1" w:styleId="A9E90C20450149B1B7A04BE19385F892">
    <w:name w:val="A9E90C20450149B1B7A04BE19385F892"/>
    <w:rsid w:val="00404FD3"/>
  </w:style>
  <w:style w:type="paragraph" w:customStyle="1" w:styleId="6ECE181DF42B4BD4B5ABDF33E035FFA6">
    <w:name w:val="6ECE181DF42B4BD4B5ABDF33E035FFA6"/>
    <w:rsid w:val="00404FD3"/>
  </w:style>
  <w:style w:type="paragraph" w:customStyle="1" w:styleId="C59E587226F14399984867D06B3A2290">
    <w:name w:val="C59E587226F14399984867D06B3A2290"/>
    <w:rsid w:val="00404FD3"/>
  </w:style>
  <w:style w:type="paragraph" w:customStyle="1" w:styleId="1967379693F843F88B383A5297CB3434">
    <w:name w:val="1967379693F843F88B383A5297CB3434"/>
    <w:rsid w:val="00404FD3"/>
  </w:style>
  <w:style w:type="paragraph" w:customStyle="1" w:styleId="A6F150E23DDE4490A2A175A9889AF89B">
    <w:name w:val="A6F150E23DDE4490A2A175A9889AF89B"/>
    <w:rsid w:val="00404FD3"/>
  </w:style>
  <w:style w:type="paragraph" w:customStyle="1" w:styleId="BB121558E6CE47EB89AC8EC395B705A0">
    <w:name w:val="BB121558E6CE47EB89AC8EC395B705A0"/>
    <w:rsid w:val="00404FD3"/>
  </w:style>
  <w:style w:type="paragraph" w:customStyle="1" w:styleId="140BA4E71D3D45A9913042B63E9D1DC3">
    <w:name w:val="140BA4E71D3D45A9913042B63E9D1DC3"/>
    <w:rsid w:val="00404FD3"/>
  </w:style>
  <w:style w:type="paragraph" w:customStyle="1" w:styleId="A2CC5F2AE5194E40BEDFF20ACEBC3F1C">
    <w:name w:val="A2CC5F2AE5194E40BEDFF20ACEBC3F1C"/>
    <w:rsid w:val="00404FD3"/>
  </w:style>
  <w:style w:type="paragraph" w:customStyle="1" w:styleId="DA8AE26D9AC54B41AD9BD9F25314271A">
    <w:name w:val="DA8AE26D9AC54B41AD9BD9F25314271A"/>
    <w:rsid w:val="00404FD3"/>
  </w:style>
  <w:style w:type="paragraph" w:customStyle="1" w:styleId="2765FB31374E412A8D75DBA1F0EE4C33">
    <w:name w:val="2765FB31374E412A8D75DBA1F0EE4C33"/>
    <w:rsid w:val="00404FD3"/>
  </w:style>
  <w:style w:type="paragraph" w:customStyle="1" w:styleId="FE6810765B0E4796971A4E10E3B80D8B">
    <w:name w:val="FE6810765B0E4796971A4E10E3B80D8B"/>
    <w:rsid w:val="00404FD3"/>
  </w:style>
  <w:style w:type="paragraph" w:customStyle="1" w:styleId="9C3B1A86AB7F4F78AE01F21364F86229">
    <w:name w:val="9C3B1A86AB7F4F78AE01F21364F86229"/>
    <w:rsid w:val="00404FD3"/>
  </w:style>
  <w:style w:type="paragraph" w:customStyle="1" w:styleId="7F2704B00E66495DBC9D163A24FBBA05">
    <w:name w:val="7F2704B00E66495DBC9D163A24FBBA05"/>
    <w:rsid w:val="00404FD3"/>
  </w:style>
  <w:style w:type="paragraph" w:customStyle="1" w:styleId="BCFD4B90D28C4D2FA35B63B7C19EE20E">
    <w:name w:val="BCFD4B90D28C4D2FA35B63B7C19EE20E"/>
    <w:rsid w:val="00404FD3"/>
  </w:style>
  <w:style w:type="paragraph" w:customStyle="1" w:styleId="A85A28AE3B0946F29086D0746C81D4FB">
    <w:name w:val="A85A28AE3B0946F29086D0746C81D4FB"/>
    <w:rsid w:val="00404FD3"/>
  </w:style>
  <w:style w:type="paragraph" w:customStyle="1" w:styleId="8D16D0D3B3CC49E38F4B1F1906173138">
    <w:name w:val="8D16D0D3B3CC49E38F4B1F1906173138"/>
    <w:rsid w:val="00404FD3"/>
  </w:style>
  <w:style w:type="paragraph" w:customStyle="1" w:styleId="5E502EDC6B43486596146286DFCCB2F5">
    <w:name w:val="5E502EDC6B43486596146286DFCCB2F5"/>
    <w:rsid w:val="00404FD3"/>
  </w:style>
  <w:style w:type="paragraph" w:customStyle="1" w:styleId="88BE6A50328942738F8865D2F8995FF1">
    <w:name w:val="88BE6A50328942738F8865D2F8995FF1"/>
    <w:rsid w:val="00404FD3"/>
  </w:style>
  <w:style w:type="paragraph" w:customStyle="1" w:styleId="F1EA3DB52834463FB20B0DC1E7CC14C1">
    <w:name w:val="F1EA3DB52834463FB20B0DC1E7CC14C1"/>
    <w:rsid w:val="00404FD3"/>
  </w:style>
  <w:style w:type="paragraph" w:customStyle="1" w:styleId="41D8C2038C384AB080656F6EF70C9CD5">
    <w:name w:val="41D8C2038C384AB080656F6EF70C9CD5"/>
    <w:rsid w:val="00404FD3"/>
  </w:style>
  <w:style w:type="paragraph" w:customStyle="1" w:styleId="B2E5705E66C94AC9A22CEF790EE50B52">
    <w:name w:val="B2E5705E66C94AC9A22CEF790EE50B52"/>
    <w:rsid w:val="00404FD3"/>
  </w:style>
  <w:style w:type="paragraph" w:customStyle="1" w:styleId="3AB9BCF43D524CCA82DFA83B03A1FF77">
    <w:name w:val="3AB9BCF43D524CCA82DFA83B03A1FF77"/>
    <w:rsid w:val="00404FD3"/>
  </w:style>
  <w:style w:type="paragraph" w:customStyle="1" w:styleId="E02979A853354D208C11CC18B0E03FD0">
    <w:name w:val="E02979A853354D208C11CC18B0E03FD0"/>
    <w:rsid w:val="00404FD3"/>
  </w:style>
  <w:style w:type="paragraph" w:customStyle="1" w:styleId="7D806FAFA03243149F77149771C6EC78">
    <w:name w:val="7D806FAFA03243149F77149771C6EC78"/>
    <w:rsid w:val="00404FD3"/>
  </w:style>
  <w:style w:type="paragraph" w:customStyle="1" w:styleId="528EE91E2AEF42718B24B1AF13A8F15B">
    <w:name w:val="528EE91E2AEF42718B24B1AF13A8F15B"/>
    <w:rsid w:val="00404FD3"/>
  </w:style>
  <w:style w:type="paragraph" w:customStyle="1" w:styleId="E1C09BC4DFA34FB2B36B5ED99D8F8255">
    <w:name w:val="E1C09BC4DFA34FB2B36B5ED99D8F8255"/>
    <w:rsid w:val="00404FD3"/>
  </w:style>
  <w:style w:type="paragraph" w:customStyle="1" w:styleId="802D59F0996949D58E322D10F55A3F56">
    <w:name w:val="802D59F0996949D58E322D10F55A3F56"/>
    <w:rsid w:val="00404FD3"/>
  </w:style>
  <w:style w:type="paragraph" w:customStyle="1" w:styleId="067BBDD0F1024F848595C3FB1FEB2CEE">
    <w:name w:val="067BBDD0F1024F848595C3FB1FEB2CEE"/>
    <w:rsid w:val="00404FD3"/>
  </w:style>
  <w:style w:type="paragraph" w:customStyle="1" w:styleId="729EBCED8F454422B6873452139D40A9">
    <w:name w:val="729EBCED8F454422B6873452139D40A9"/>
    <w:rsid w:val="00404FD3"/>
  </w:style>
  <w:style w:type="paragraph" w:customStyle="1" w:styleId="93528BD44AE849FBA70257F0FC49D675">
    <w:name w:val="93528BD44AE849FBA70257F0FC49D675"/>
    <w:rsid w:val="00404FD3"/>
  </w:style>
  <w:style w:type="paragraph" w:customStyle="1" w:styleId="0AB9D9F3F0E942468FE3043DFB12E9A4">
    <w:name w:val="0AB9D9F3F0E942468FE3043DFB12E9A4"/>
    <w:rsid w:val="00404FD3"/>
  </w:style>
  <w:style w:type="paragraph" w:customStyle="1" w:styleId="3AD1CB6DBC304B649FED75B41FE58990">
    <w:name w:val="3AD1CB6DBC304B649FED75B41FE58990"/>
    <w:rsid w:val="00404FD3"/>
  </w:style>
  <w:style w:type="paragraph" w:customStyle="1" w:styleId="C65DC68583FA492B8A76A2E105DDFDBB">
    <w:name w:val="C65DC68583FA492B8A76A2E105DDFDBB"/>
    <w:rsid w:val="00404FD3"/>
  </w:style>
  <w:style w:type="paragraph" w:customStyle="1" w:styleId="F539E202FDEA4114AF595401840EC551">
    <w:name w:val="F539E202FDEA4114AF595401840EC551"/>
    <w:rsid w:val="00404FD3"/>
  </w:style>
  <w:style w:type="paragraph" w:customStyle="1" w:styleId="CBF07C5FCCEC49EE94DD3A5BD17860BE">
    <w:name w:val="CBF07C5FCCEC49EE94DD3A5BD17860BE"/>
    <w:rsid w:val="00404FD3"/>
  </w:style>
  <w:style w:type="paragraph" w:customStyle="1" w:styleId="8EB30AB307004658BBAE129EAECB8B5A">
    <w:name w:val="8EB30AB307004658BBAE129EAECB8B5A"/>
    <w:rsid w:val="00404FD3"/>
  </w:style>
  <w:style w:type="paragraph" w:customStyle="1" w:styleId="E88AE081522C4655A51CADD4318016BD">
    <w:name w:val="E88AE081522C4655A51CADD4318016BD"/>
    <w:rsid w:val="00404FD3"/>
  </w:style>
  <w:style w:type="paragraph" w:customStyle="1" w:styleId="17067439FAF642E2B4D450657D8761C9">
    <w:name w:val="17067439FAF642E2B4D450657D8761C9"/>
    <w:rsid w:val="00404FD3"/>
  </w:style>
  <w:style w:type="paragraph" w:customStyle="1" w:styleId="723AC20C3DFA4D86A7477CCC98EF3C18">
    <w:name w:val="723AC20C3DFA4D86A7477CCC98EF3C18"/>
    <w:rsid w:val="00404FD3"/>
  </w:style>
  <w:style w:type="paragraph" w:customStyle="1" w:styleId="06DA4B472DCC49B99EF15E6BD22BC553">
    <w:name w:val="06DA4B472DCC49B99EF15E6BD22BC553"/>
    <w:rsid w:val="00404FD3"/>
  </w:style>
  <w:style w:type="paragraph" w:customStyle="1" w:styleId="95A0AA8FD610404E9492274A96B476A3">
    <w:name w:val="95A0AA8FD610404E9492274A96B476A3"/>
    <w:rsid w:val="00404FD3"/>
  </w:style>
  <w:style w:type="paragraph" w:customStyle="1" w:styleId="C5E3D4AA827743BAB6459EC7EFCE8B7C">
    <w:name w:val="C5E3D4AA827743BAB6459EC7EFCE8B7C"/>
    <w:rsid w:val="00404FD3"/>
  </w:style>
  <w:style w:type="paragraph" w:customStyle="1" w:styleId="72BF7B6AA8404C248E37A533D4E465DF">
    <w:name w:val="72BF7B6AA8404C248E37A533D4E465DF"/>
    <w:rsid w:val="00404FD3"/>
  </w:style>
  <w:style w:type="paragraph" w:customStyle="1" w:styleId="2BC03946B8664C9387A432F7A811BCD4">
    <w:name w:val="2BC03946B8664C9387A432F7A811BCD4"/>
    <w:rsid w:val="00404FD3"/>
  </w:style>
  <w:style w:type="paragraph" w:customStyle="1" w:styleId="442B2EBDC7AD44C293469160E2E342FA">
    <w:name w:val="442B2EBDC7AD44C293469160E2E342FA"/>
    <w:rsid w:val="00404FD3"/>
  </w:style>
  <w:style w:type="paragraph" w:customStyle="1" w:styleId="2C6CD0432B8B468D8FD2DFFA3658A502">
    <w:name w:val="2C6CD0432B8B468D8FD2DFFA3658A502"/>
    <w:rsid w:val="00404FD3"/>
  </w:style>
  <w:style w:type="paragraph" w:customStyle="1" w:styleId="8842E29AFFAC499F9C1054897DC195FF">
    <w:name w:val="8842E29AFFAC499F9C1054897DC195FF"/>
    <w:rsid w:val="00404FD3"/>
  </w:style>
  <w:style w:type="paragraph" w:customStyle="1" w:styleId="221856DFC4BD4B8083ABD15EA976846A">
    <w:name w:val="221856DFC4BD4B8083ABD15EA976846A"/>
    <w:rsid w:val="00404FD3"/>
  </w:style>
  <w:style w:type="paragraph" w:customStyle="1" w:styleId="81AC743240944D3AB2E7233965C3C2A3">
    <w:name w:val="81AC743240944D3AB2E7233965C3C2A3"/>
    <w:rsid w:val="00404FD3"/>
  </w:style>
  <w:style w:type="paragraph" w:customStyle="1" w:styleId="831CCD098FDF411E87B29CFE0874E07D">
    <w:name w:val="831CCD098FDF411E87B29CFE0874E07D"/>
    <w:rsid w:val="00404FD3"/>
  </w:style>
  <w:style w:type="paragraph" w:customStyle="1" w:styleId="A32132CB0C5B430AABACE9B3C29586A3">
    <w:name w:val="A32132CB0C5B430AABACE9B3C29586A3"/>
    <w:rsid w:val="00404FD3"/>
  </w:style>
  <w:style w:type="paragraph" w:customStyle="1" w:styleId="234651EA9E2946E785ED5910C2BC0926">
    <w:name w:val="234651EA9E2946E785ED5910C2BC0926"/>
    <w:rsid w:val="00404FD3"/>
  </w:style>
  <w:style w:type="paragraph" w:customStyle="1" w:styleId="805DEE797A7D436E9252FA3420760426">
    <w:name w:val="805DEE797A7D436E9252FA3420760426"/>
    <w:rsid w:val="00404FD3"/>
  </w:style>
  <w:style w:type="paragraph" w:customStyle="1" w:styleId="F507672BB61F498A9AB4072B75F69D43">
    <w:name w:val="F507672BB61F498A9AB4072B75F69D43"/>
    <w:rsid w:val="00404FD3"/>
  </w:style>
  <w:style w:type="paragraph" w:customStyle="1" w:styleId="7A250326AE2B4C219A8635E30F34BE66">
    <w:name w:val="7A250326AE2B4C219A8635E30F34BE66"/>
    <w:rsid w:val="00404FD3"/>
  </w:style>
  <w:style w:type="paragraph" w:customStyle="1" w:styleId="F14A0390D301444FB1C1450BED5FE4E3">
    <w:name w:val="F14A0390D301444FB1C1450BED5FE4E3"/>
    <w:rsid w:val="00404FD3"/>
  </w:style>
  <w:style w:type="paragraph" w:customStyle="1" w:styleId="1A9A828DD7DB4E0D83B6EAE953327134">
    <w:name w:val="1A9A828DD7DB4E0D83B6EAE953327134"/>
    <w:rsid w:val="00404FD3"/>
  </w:style>
  <w:style w:type="paragraph" w:customStyle="1" w:styleId="A4315C7E5EAE49378B11E24BC6FDE90F">
    <w:name w:val="A4315C7E5EAE49378B11E24BC6FDE90F"/>
    <w:rsid w:val="00404FD3"/>
  </w:style>
  <w:style w:type="paragraph" w:customStyle="1" w:styleId="021FEC4B632440529F0CA6A967673E94">
    <w:name w:val="021FEC4B632440529F0CA6A967673E94"/>
    <w:rsid w:val="00404FD3"/>
  </w:style>
  <w:style w:type="paragraph" w:customStyle="1" w:styleId="688F8F6FCA4F42BCBFF5EE7C7F13EBB5">
    <w:name w:val="688F8F6FCA4F42BCBFF5EE7C7F13EBB5"/>
    <w:rsid w:val="00404FD3"/>
  </w:style>
  <w:style w:type="paragraph" w:customStyle="1" w:styleId="9CC9307131C44CB9AE35E77A19DF76E3">
    <w:name w:val="9CC9307131C44CB9AE35E77A19DF76E3"/>
    <w:rsid w:val="00404FD3"/>
  </w:style>
  <w:style w:type="paragraph" w:customStyle="1" w:styleId="BC80C110B0DE4C1FB18FEE4D2137CD92">
    <w:name w:val="BC80C110B0DE4C1FB18FEE4D2137CD92"/>
    <w:rsid w:val="00404FD3"/>
  </w:style>
  <w:style w:type="paragraph" w:customStyle="1" w:styleId="CE57FA058D09459EBC55E05FA4C1A3CE">
    <w:name w:val="CE57FA058D09459EBC55E05FA4C1A3CE"/>
    <w:rsid w:val="00404FD3"/>
  </w:style>
  <w:style w:type="paragraph" w:customStyle="1" w:styleId="6D19EB3D18B5496BAF4AF2D4CFE93806">
    <w:name w:val="6D19EB3D18B5496BAF4AF2D4CFE93806"/>
    <w:rsid w:val="00404FD3"/>
  </w:style>
  <w:style w:type="paragraph" w:customStyle="1" w:styleId="2B663AE3A9F342D5B05E444D2DFAFA72">
    <w:name w:val="2B663AE3A9F342D5B05E444D2DFAFA72"/>
    <w:rsid w:val="00404FD3"/>
  </w:style>
  <w:style w:type="paragraph" w:customStyle="1" w:styleId="92168856E1154D84AD3BBBD2F6603119">
    <w:name w:val="92168856E1154D84AD3BBBD2F6603119"/>
    <w:rsid w:val="00404FD3"/>
  </w:style>
  <w:style w:type="paragraph" w:customStyle="1" w:styleId="9D7DACE3DAA849F4AAE007A1679CE7DB">
    <w:name w:val="9D7DACE3DAA849F4AAE007A1679CE7DB"/>
    <w:rsid w:val="00404FD3"/>
  </w:style>
  <w:style w:type="paragraph" w:customStyle="1" w:styleId="79B2375E90E3456693A8DFC951275F50">
    <w:name w:val="79B2375E90E3456693A8DFC951275F50"/>
    <w:rsid w:val="00404FD3"/>
  </w:style>
  <w:style w:type="paragraph" w:customStyle="1" w:styleId="418DAFF4175F49A3B94924C40BE69D6C">
    <w:name w:val="418DAFF4175F49A3B94924C40BE69D6C"/>
    <w:rsid w:val="00404FD3"/>
  </w:style>
  <w:style w:type="paragraph" w:customStyle="1" w:styleId="2D0F18CA629946CFA3753D1D86AEE254">
    <w:name w:val="2D0F18CA629946CFA3753D1D86AEE254"/>
    <w:rsid w:val="00404FD3"/>
  </w:style>
  <w:style w:type="paragraph" w:customStyle="1" w:styleId="9423278F873140789173E85156C33108">
    <w:name w:val="9423278F873140789173E85156C33108"/>
    <w:rsid w:val="00404FD3"/>
  </w:style>
  <w:style w:type="paragraph" w:customStyle="1" w:styleId="6E0B85473D0843E6ADA8F0DC85BED939">
    <w:name w:val="6E0B85473D0843E6ADA8F0DC85BED939"/>
    <w:rsid w:val="00404FD3"/>
  </w:style>
  <w:style w:type="paragraph" w:customStyle="1" w:styleId="A35387E2BC7F412DB842CD07D900F501">
    <w:name w:val="A35387E2BC7F412DB842CD07D900F501"/>
    <w:rsid w:val="00404FD3"/>
  </w:style>
  <w:style w:type="paragraph" w:customStyle="1" w:styleId="62F7699CCE4F400DB7675B8FB925E92C">
    <w:name w:val="62F7699CCE4F400DB7675B8FB925E92C"/>
    <w:rsid w:val="00404FD3"/>
  </w:style>
  <w:style w:type="paragraph" w:customStyle="1" w:styleId="B104DDF50A0443C28FC0BD0EACCDCF13">
    <w:name w:val="B104DDF50A0443C28FC0BD0EACCDCF13"/>
    <w:rsid w:val="00404FD3"/>
  </w:style>
  <w:style w:type="paragraph" w:customStyle="1" w:styleId="437AB01378E24216BC84743932AA41F8">
    <w:name w:val="437AB01378E24216BC84743932AA41F8"/>
    <w:rsid w:val="00404FD3"/>
  </w:style>
  <w:style w:type="paragraph" w:customStyle="1" w:styleId="7896639118F54687952B07A6FF53A30D">
    <w:name w:val="7896639118F54687952B07A6FF53A30D"/>
    <w:rsid w:val="00404FD3"/>
  </w:style>
  <w:style w:type="paragraph" w:customStyle="1" w:styleId="0EF345385CB64A82B4DE10DFBA68CFF2">
    <w:name w:val="0EF345385CB64A82B4DE10DFBA68CFF2"/>
    <w:rsid w:val="00404FD3"/>
  </w:style>
  <w:style w:type="paragraph" w:customStyle="1" w:styleId="6E9B65805ADB48DC856FB69D2A2F45CD">
    <w:name w:val="6E9B65805ADB48DC856FB69D2A2F45CD"/>
    <w:rsid w:val="00404FD3"/>
  </w:style>
  <w:style w:type="paragraph" w:customStyle="1" w:styleId="884FEE53C9844D4AA3AC069D5A01E466">
    <w:name w:val="884FEE53C9844D4AA3AC069D5A01E466"/>
    <w:rsid w:val="00404FD3"/>
  </w:style>
  <w:style w:type="paragraph" w:customStyle="1" w:styleId="0CCECD08E9A94966BAE42CFE088AFCD3">
    <w:name w:val="0CCECD08E9A94966BAE42CFE088AFCD3"/>
    <w:rsid w:val="00404FD3"/>
  </w:style>
  <w:style w:type="paragraph" w:customStyle="1" w:styleId="1D8D532C452640D994672BEA0160770F">
    <w:name w:val="1D8D532C452640D994672BEA0160770F"/>
    <w:rsid w:val="00404FD3"/>
  </w:style>
  <w:style w:type="paragraph" w:customStyle="1" w:styleId="4A4A5D7A41794CFA949B100BB802BAE6">
    <w:name w:val="4A4A5D7A41794CFA949B100BB802BAE6"/>
    <w:rsid w:val="00404FD3"/>
  </w:style>
  <w:style w:type="paragraph" w:customStyle="1" w:styleId="58F3C2A6C200448AB90C13CFEC263207">
    <w:name w:val="58F3C2A6C200448AB90C13CFEC263207"/>
    <w:rsid w:val="00404FD3"/>
  </w:style>
  <w:style w:type="paragraph" w:customStyle="1" w:styleId="D199496CF90C49E596EABCF71754B696">
    <w:name w:val="D199496CF90C49E596EABCF71754B696"/>
    <w:rsid w:val="00404FD3"/>
  </w:style>
  <w:style w:type="paragraph" w:customStyle="1" w:styleId="96268A618D8E4AFFA2865C3A56B7E533">
    <w:name w:val="96268A618D8E4AFFA2865C3A56B7E533"/>
    <w:rsid w:val="00404FD3"/>
  </w:style>
  <w:style w:type="paragraph" w:customStyle="1" w:styleId="A4AE2D70D7554F86BBA389BB2C01C445">
    <w:name w:val="A4AE2D70D7554F86BBA389BB2C01C445"/>
    <w:rsid w:val="00404FD3"/>
  </w:style>
  <w:style w:type="paragraph" w:customStyle="1" w:styleId="8145E47A0DD048129B0A983784F44F17">
    <w:name w:val="8145E47A0DD048129B0A983784F44F17"/>
    <w:rsid w:val="00404FD3"/>
  </w:style>
  <w:style w:type="paragraph" w:customStyle="1" w:styleId="C3C8D16452B146CCA661ECE54334FEDD">
    <w:name w:val="C3C8D16452B146CCA661ECE54334FEDD"/>
    <w:rsid w:val="00404FD3"/>
  </w:style>
  <w:style w:type="paragraph" w:customStyle="1" w:styleId="6A1AFEDFC3564A698A22E551942ADF3D">
    <w:name w:val="6A1AFEDFC3564A698A22E551942ADF3D"/>
    <w:rsid w:val="00404FD3"/>
  </w:style>
  <w:style w:type="paragraph" w:customStyle="1" w:styleId="79093D2851E9429BAAA79912427510A7">
    <w:name w:val="79093D2851E9429BAAA79912427510A7"/>
    <w:rsid w:val="00404FD3"/>
  </w:style>
  <w:style w:type="paragraph" w:customStyle="1" w:styleId="D08094E7187A4123BE32A19F36B043EA">
    <w:name w:val="D08094E7187A4123BE32A19F36B043EA"/>
    <w:rsid w:val="00404FD3"/>
  </w:style>
  <w:style w:type="paragraph" w:customStyle="1" w:styleId="A6B5C183BC8E499B821EB563B97AF9F7">
    <w:name w:val="A6B5C183BC8E499B821EB563B97AF9F7"/>
    <w:rsid w:val="00404FD3"/>
  </w:style>
  <w:style w:type="paragraph" w:customStyle="1" w:styleId="3F7A80BD98604ABE9666D6C103089D34">
    <w:name w:val="3F7A80BD98604ABE9666D6C103089D34"/>
    <w:rsid w:val="00404FD3"/>
  </w:style>
  <w:style w:type="paragraph" w:customStyle="1" w:styleId="9CB823BE384248AD994CF83FD00E04BF">
    <w:name w:val="9CB823BE384248AD994CF83FD00E04BF"/>
    <w:rsid w:val="00404FD3"/>
  </w:style>
  <w:style w:type="paragraph" w:customStyle="1" w:styleId="104A0DC5EA504BC89224288CD996F3C7">
    <w:name w:val="104A0DC5EA504BC89224288CD996F3C7"/>
    <w:rsid w:val="00404FD3"/>
  </w:style>
  <w:style w:type="paragraph" w:customStyle="1" w:styleId="F92A71C57D65467CB08FAB572124173A">
    <w:name w:val="F92A71C57D65467CB08FAB572124173A"/>
    <w:rsid w:val="00404FD3"/>
  </w:style>
  <w:style w:type="paragraph" w:customStyle="1" w:styleId="A43B76BDC6D2401CB524D80ADEB51361">
    <w:name w:val="A43B76BDC6D2401CB524D80ADEB51361"/>
    <w:rsid w:val="00404FD3"/>
  </w:style>
  <w:style w:type="paragraph" w:customStyle="1" w:styleId="7A2AC60FCC104FA0BE1F24059E23E029">
    <w:name w:val="7A2AC60FCC104FA0BE1F24059E23E029"/>
    <w:rsid w:val="00404FD3"/>
  </w:style>
  <w:style w:type="paragraph" w:customStyle="1" w:styleId="5335B566F7C549A0B76DEAA187C9B1CC">
    <w:name w:val="5335B566F7C549A0B76DEAA187C9B1CC"/>
    <w:rsid w:val="00404FD3"/>
  </w:style>
  <w:style w:type="paragraph" w:customStyle="1" w:styleId="D43D1CD0DF014F2CA1F4850819437020">
    <w:name w:val="D43D1CD0DF014F2CA1F4850819437020"/>
    <w:rsid w:val="00404FD3"/>
  </w:style>
  <w:style w:type="paragraph" w:customStyle="1" w:styleId="2962A857F8724BABB95A9BB3AE3731A3">
    <w:name w:val="2962A857F8724BABB95A9BB3AE3731A3"/>
    <w:rsid w:val="00404FD3"/>
  </w:style>
  <w:style w:type="paragraph" w:customStyle="1" w:styleId="8E240C27005B49D9AAED44A1FD352C70">
    <w:name w:val="8E240C27005B49D9AAED44A1FD352C70"/>
    <w:rsid w:val="00404FD3"/>
  </w:style>
  <w:style w:type="paragraph" w:customStyle="1" w:styleId="85EEE0F9B6044909B8E4B748B1C32C23">
    <w:name w:val="85EEE0F9B6044909B8E4B748B1C32C23"/>
    <w:rsid w:val="00404FD3"/>
  </w:style>
  <w:style w:type="paragraph" w:customStyle="1" w:styleId="59AA87C1B5944C9A8208BDE29949C6B4">
    <w:name w:val="59AA87C1B5944C9A8208BDE29949C6B4"/>
    <w:rsid w:val="00404FD3"/>
  </w:style>
  <w:style w:type="paragraph" w:customStyle="1" w:styleId="8EE845971FD9440A89EF21A3A0A3E705">
    <w:name w:val="8EE845971FD9440A89EF21A3A0A3E705"/>
    <w:rsid w:val="00404FD3"/>
  </w:style>
  <w:style w:type="paragraph" w:customStyle="1" w:styleId="07EAC611465B401F8ECF5BA2F2E25E49">
    <w:name w:val="07EAC611465B401F8ECF5BA2F2E25E49"/>
    <w:rsid w:val="00404FD3"/>
  </w:style>
  <w:style w:type="paragraph" w:customStyle="1" w:styleId="DCC863A16D1D484D8788DC95FA38308B">
    <w:name w:val="DCC863A16D1D484D8788DC95FA38308B"/>
    <w:rsid w:val="00404FD3"/>
  </w:style>
  <w:style w:type="paragraph" w:customStyle="1" w:styleId="DAD3B517CE0C4B06B58DA80E4DA1C861">
    <w:name w:val="DAD3B517CE0C4B06B58DA80E4DA1C861"/>
    <w:rsid w:val="00404FD3"/>
  </w:style>
  <w:style w:type="paragraph" w:customStyle="1" w:styleId="D09752A641CF4F92806BB8C066174CE8">
    <w:name w:val="D09752A641CF4F92806BB8C066174CE8"/>
    <w:rsid w:val="00404FD3"/>
  </w:style>
  <w:style w:type="paragraph" w:customStyle="1" w:styleId="80EFC25A5997444E8B4371F3E0892B3A">
    <w:name w:val="80EFC25A5997444E8B4371F3E0892B3A"/>
    <w:rsid w:val="00404FD3"/>
  </w:style>
  <w:style w:type="paragraph" w:customStyle="1" w:styleId="41C29F76411C4A858844B6829C2F6577">
    <w:name w:val="41C29F76411C4A858844B6829C2F6577"/>
    <w:rsid w:val="00404FD3"/>
  </w:style>
  <w:style w:type="paragraph" w:customStyle="1" w:styleId="9A5406F0F66F4FEC9DF4EEACC76EBAF6">
    <w:name w:val="9A5406F0F66F4FEC9DF4EEACC76EBAF6"/>
    <w:rsid w:val="00404FD3"/>
  </w:style>
  <w:style w:type="paragraph" w:customStyle="1" w:styleId="E99942F217334139BE4C641D3D3475B7">
    <w:name w:val="E99942F217334139BE4C641D3D3475B7"/>
    <w:rsid w:val="00404FD3"/>
  </w:style>
  <w:style w:type="paragraph" w:customStyle="1" w:styleId="E0399B78550A49569F433F34A1E60BA2">
    <w:name w:val="E0399B78550A49569F433F34A1E60BA2"/>
    <w:rsid w:val="00404FD3"/>
  </w:style>
  <w:style w:type="paragraph" w:customStyle="1" w:styleId="891CE6DB1678491C90CFA4A1F414C9DF">
    <w:name w:val="891CE6DB1678491C90CFA4A1F414C9DF"/>
    <w:rsid w:val="00404FD3"/>
  </w:style>
  <w:style w:type="paragraph" w:customStyle="1" w:styleId="B7C878F13B334C0C8AB9F20795C0EE48">
    <w:name w:val="B7C878F13B334C0C8AB9F20795C0EE48"/>
    <w:rsid w:val="00404FD3"/>
  </w:style>
  <w:style w:type="paragraph" w:customStyle="1" w:styleId="7BC5703A2914421BABAEAF036EDEAC1F">
    <w:name w:val="7BC5703A2914421BABAEAF036EDEAC1F"/>
    <w:rsid w:val="00404FD3"/>
  </w:style>
  <w:style w:type="paragraph" w:customStyle="1" w:styleId="5C33072B6614470AB0AC56F5C67EC879">
    <w:name w:val="5C33072B6614470AB0AC56F5C67EC879"/>
    <w:rsid w:val="00404FD3"/>
  </w:style>
  <w:style w:type="paragraph" w:customStyle="1" w:styleId="57E24E7D725B4ACBB3C3DEFE71A3B61A">
    <w:name w:val="57E24E7D725B4ACBB3C3DEFE71A3B61A"/>
    <w:rsid w:val="00404FD3"/>
  </w:style>
  <w:style w:type="paragraph" w:customStyle="1" w:styleId="FBBED02ACBC14CF19389F85E5BE1A396">
    <w:name w:val="FBBED02ACBC14CF19389F85E5BE1A396"/>
    <w:rsid w:val="00404FD3"/>
  </w:style>
  <w:style w:type="paragraph" w:customStyle="1" w:styleId="9E98EC7086464213ADFE9021CA608C2A">
    <w:name w:val="9E98EC7086464213ADFE9021CA608C2A"/>
    <w:rsid w:val="00404FD3"/>
  </w:style>
  <w:style w:type="paragraph" w:customStyle="1" w:styleId="F11AA6FED93E41E8B123BADBCB39E435">
    <w:name w:val="F11AA6FED93E41E8B123BADBCB39E435"/>
    <w:rsid w:val="00404FD3"/>
  </w:style>
  <w:style w:type="paragraph" w:customStyle="1" w:styleId="C633D7ECD0F54B4F8B64D7B10AF5696D">
    <w:name w:val="C633D7ECD0F54B4F8B64D7B10AF5696D"/>
    <w:rsid w:val="00404FD3"/>
  </w:style>
  <w:style w:type="paragraph" w:customStyle="1" w:styleId="1A6B43022EC34B4A92B409DA51C87577">
    <w:name w:val="1A6B43022EC34B4A92B409DA51C87577"/>
    <w:rsid w:val="00404FD3"/>
  </w:style>
  <w:style w:type="paragraph" w:customStyle="1" w:styleId="ED43D7C3777E4308BA52CF8BF33E53E8">
    <w:name w:val="ED43D7C3777E4308BA52CF8BF33E53E8"/>
    <w:rsid w:val="00404FD3"/>
  </w:style>
  <w:style w:type="paragraph" w:customStyle="1" w:styleId="6BD15BC97E6D4E79822998F18CC31A54">
    <w:name w:val="6BD15BC97E6D4E79822998F18CC31A54"/>
    <w:rsid w:val="00404FD3"/>
  </w:style>
  <w:style w:type="paragraph" w:customStyle="1" w:styleId="9152D10044674A2EBA7F395D90681838">
    <w:name w:val="9152D10044674A2EBA7F395D90681838"/>
    <w:rsid w:val="00404FD3"/>
  </w:style>
  <w:style w:type="paragraph" w:customStyle="1" w:styleId="6D5779E313E845C3892F26D3B825EAD7">
    <w:name w:val="6D5779E313E845C3892F26D3B825EAD7"/>
    <w:rsid w:val="00404FD3"/>
  </w:style>
  <w:style w:type="paragraph" w:customStyle="1" w:styleId="B738B0D3882742859AF9F36043CC3894">
    <w:name w:val="B738B0D3882742859AF9F36043CC3894"/>
    <w:rsid w:val="00404FD3"/>
  </w:style>
  <w:style w:type="paragraph" w:customStyle="1" w:styleId="3066759083034C8FA14DE9E3B936F9F5">
    <w:name w:val="3066759083034C8FA14DE9E3B936F9F5"/>
    <w:rsid w:val="00404FD3"/>
  </w:style>
  <w:style w:type="paragraph" w:customStyle="1" w:styleId="C04C738422584D9AADB36E4E94275744">
    <w:name w:val="C04C738422584D9AADB36E4E94275744"/>
    <w:rsid w:val="00404FD3"/>
  </w:style>
  <w:style w:type="paragraph" w:customStyle="1" w:styleId="DBAF8FDAB5EE47B1B8A1FB0793380DF5">
    <w:name w:val="DBAF8FDAB5EE47B1B8A1FB0793380DF5"/>
    <w:rsid w:val="00404FD3"/>
  </w:style>
  <w:style w:type="paragraph" w:customStyle="1" w:styleId="AD26EAE33D904715B57910F9A8ACC335">
    <w:name w:val="AD26EAE33D904715B57910F9A8ACC335"/>
    <w:rsid w:val="00404FD3"/>
  </w:style>
  <w:style w:type="paragraph" w:customStyle="1" w:styleId="CA24964E6178422F8587130AD3EA4E17">
    <w:name w:val="CA24964E6178422F8587130AD3EA4E17"/>
    <w:rsid w:val="00404FD3"/>
  </w:style>
  <w:style w:type="paragraph" w:customStyle="1" w:styleId="0CE90AF9CC52470486DA5613DCC68C0F">
    <w:name w:val="0CE90AF9CC52470486DA5613DCC68C0F"/>
    <w:rsid w:val="00404FD3"/>
  </w:style>
  <w:style w:type="paragraph" w:customStyle="1" w:styleId="B621C81561D14527B7A39E6CC441A71A">
    <w:name w:val="B621C81561D14527B7A39E6CC441A71A"/>
    <w:rsid w:val="00C3124D"/>
  </w:style>
  <w:style w:type="paragraph" w:customStyle="1" w:styleId="66FF8952B6684B4988ED15778D9765E3">
    <w:name w:val="66FF8952B6684B4988ED15778D9765E3"/>
    <w:rsid w:val="00C3124D"/>
  </w:style>
  <w:style w:type="paragraph" w:customStyle="1" w:styleId="EA0854DF97554B9098779828EFCB3C85">
    <w:name w:val="EA0854DF97554B9098779828EFCB3C85"/>
    <w:rsid w:val="00C3124D"/>
  </w:style>
  <w:style w:type="paragraph" w:customStyle="1" w:styleId="793B395B702748EFACBE8E5C449A40A5">
    <w:name w:val="793B395B702748EFACBE8E5C449A40A5"/>
    <w:rsid w:val="00C3124D"/>
  </w:style>
  <w:style w:type="paragraph" w:customStyle="1" w:styleId="9167FB85BC2D4D07A28DC1A0DDB4A1C8">
    <w:name w:val="9167FB85BC2D4D07A28DC1A0DDB4A1C8"/>
    <w:rsid w:val="00C3124D"/>
  </w:style>
  <w:style w:type="paragraph" w:customStyle="1" w:styleId="7BEF726E543041948B22AF4A4967EAF8">
    <w:name w:val="7BEF726E543041948B22AF4A4967EAF8"/>
    <w:rsid w:val="00C3124D"/>
  </w:style>
  <w:style w:type="paragraph" w:customStyle="1" w:styleId="F854ACFE989648559008AF1E593DC97D">
    <w:name w:val="F854ACFE989648559008AF1E593DC97D"/>
    <w:rsid w:val="00C3124D"/>
  </w:style>
  <w:style w:type="paragraph" w:customStyle="1" w:styleId="06F2B3940A3D4824A5E43CC4E42AF9BF">
    <w:name w:val="06F2B3940A3D4824A5E43CC4E42AF9BF"/>
    <w:rsid w:val="00C3124D"/>
  </w:style>
  <w:style w:type="paragraph" w:customStyle="1" w:styleId="5C8934AAFF0849678E10D58C869739A8">
    <w:name w:val="5C8934AAFF0849678E10D58C869739A8"/>
    <w:rsid w:val="00C3124D"/>
  </w:style>
  <w:style w:type="paragraph" w:customStyle="1" w:styleId="6CBEE20D36B946C9B88CA8B60333DEEE">
    <w:name w:val="6CBEE20D36B946C9B88CA8B60333DEEE"/>
    <w:rsid w:val="00C3124D"/>
  </w:style>
  <w:style w:type="paragraph" w:customStyle="1" w:styleId="DD1BDEF1E8E14A89889D2092201451FD">
    <w:name w:val="DD1BDEF1E8E14A89889D2092201451FD"/>
    <w:rsid w:val="00C3124D"/>
  </w:style>
  <w:style w:type="paragraph" w:customStyle="1" w:styleId="CD68E80FBEF34D9EB364D51D61CAB5BE">
    <w:name w:val="CD68E80FBEF34D9EB364D51D61CAB5BE"/>
    <w:rsid w:val="00C3124D"/>
  </w:style>
  <w:style w:type="paragraph" w:customStyle="1" w:styleId="607623F827F940A8950668791DB6414E">
    <w:name w:val="607623F827F940A8950668791DB6414E"/>
    <w:rsid w:val="00C3124D"/>
  </w:style>
  <w:style w:type="paragraph" w:customStyle="1" w:styleId="D1D3EFE4C6DE4F079388AAB2357C6A59">
    <w:name w:val="D1D3EFE4C6DE4F079388AAB2357C6A59"/>
    <w:rsid w:val="00C3124D"/>
  </w:style>
  <w:style w:type="paragraph" w:customStyle="1" w:styleId="119B9DE8431D4542B4E827E00E96D538">
    <w:name w:val="119B9DE8431D4542B4E827E00E96D538"/>
    <w:rsid w:val="00C3124D"/>
  </w:style>
  <w:style w:type="paragraph" w:customStyle="1" w:styleId="43957E7A51CB481E8C07D3423DEA1AC6">
    <w:name w:val="43957E7A51CB481E8C07D3423DEA1AC6"/>
    <w:rsid w:val="00C3124D"/>
  </w:style>
  <w:style w:type="paragraph" w:customStyle="1" w:styleId="A361EC911C824CE59354DD4EBA68A004">
    <w:name w:val="A361EC911C824CE59354DD4EBA68A004"/>
    <w:rsid w:val="00C3124D"/>
  </w:style>
  <w:style w:type="paragraph" w:customStyle="1" w:styleId="CD92E9A394184B50BF2DF3E3D83BCEC3">
    <w:name w:val="CD92E9A394184B50BF2DF3E3D83BCEC3"/>
    <w:rsid w:val="00C3124D"/>
  </w:style>
  <w:style w:type="paragraph" w:customStyle="1" w:styleId="A33D2E3E4C5C4204828D77E8BFB0ABF3">
    <w:name w:val="A33D2E3E4C5C4204828D77E8BFB0ABF3"/>
    <w:rsid w:val="00C3124D"/>
  </w:style>
  <w:style w:type="paragraph" w:customStyle="1" w:styleId="F01D5D6A54D0407FB262DF4E48A64DE8">
    <w:name w:val="F01D5D6A54D0407FB262DF4E48A64DE8"/>
    <w:rsid w:val="00C3124D"/>
  </w:style>
  <w:style w:type="paragraph" w:customStyle="1" w:styleId="0A018DEA34F440E794B069B52A73D482">
    <w:name w:val="0A018DEA34F440E794B069B52A73D482"/>
    <w:rsid w:val="00C3124D"/>
  </w:style>
  <w:style w:type="paragraph" w:customStyle="1" w:styleId="EC4A5305D3A344E39F8D19C57A7DD4A3">
    <w:name w:val="EC4A5305D3A344E39F8D19C57A7DD4A3"/>
    <w:rsid w:val="00C3124D"/>
  </w:style>
  <w:style w:type="paragraph" w:customStyle="1" w:styleId="E4EBBE8684034D6386A276E6C970C275">
    <w:name w:val="E4EBBE8684034D6386A276E6C970C275"/>
    <w:rsid w:val="00C3124D"/>
  </w:style>
  <w:style w:type="paragraph" w:customStyle="1" w:styleId="CE39C6C3CECA4B5FBB6F9A6C27643685">
    <w:name w:val="CE39C6C3CECA4B5FBB6F9A6C27643685"/>
    <w:rsid w:val="00C3124D"/>
  </w:style>
  <w:style w:type="paragraph" w:customStyle="1" w:styleId="9ADFD25D5951422E9003D293572EB062">
    <w:name w:val="9ADFD25D5951422E9003D293572EB062"/>
    <w:rsid w:val="00C3124D"/>
  </w:style>
  <w:style w:type="paragraph" w:customStyle="1" w:styleId="8BA6C72E098E40808B514A080EBB7B01">
    <w:name w:val="8BA6C72E098E40808B514A080EBB7B01"/>
    <w:rsid w:val="00C3124D"/>
  </w:style>
  <w:style w:type="paragraph" w:customStyle="1" w:styleId="801D0E907A96442EA1B77DA071C0B6D6">
    <w:name w:val="801D0E907A96442EA1B77DA071C0B6D6"/>
    <w:rsid w:val="00C3124D"/>
  </w:style>
  <w:style w:type="paragraph" w:customStyle="1" w:styleId="DA5C58CDB5AB44A18FBFEE645AD08AA2">
    <w:name w:val="DA5C58CDB5AB44A18FBFEE645AD08AA2"/>
    <w:rsid w:val="00C3124D"/>
  </w:style>
  <w:style w:type="paragraph" w:customStyle="1" w:styleId="20DD687EBD654785BEBAA729E4D28A13">
    <w:name w:val="20DD687EBD654785BEBAA729E4D28A13"/>
    <w:rsid w:val="00C3124D"/>
  </w:style>
  <w:style w:type="paragraph" w:customStyle="1" w:styleId="95F98F0DCB844AF8B6C9AC844C4C3AF4">
    <w:name w:val="95F98F0DCB844AF8B6C9AC844C4C3AF4"/>
    <w:rsid w:val="00C31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65CA-66B6-42DC-92CC-FD19D627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21777</Words>
  <Characters>124134</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2024-05-01T22:39:00Z</dcterms:created>
  <dcterms:modified xsi:type="dcterms:W3CDTF">2024-05-01T22:39:00Z</dcterms:modified>
</cp:coreProperties>
</file>