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28581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3E98">
        <w:rPr>
          <w:rFonts w:ascii="Times New Roman" w:hAnsi="Times New Roman" w:cs="Times New Roman"/>
          <w:sz w:val="24"/>
          <w:szCs w:val="24"/>
        </w:rPr>
        <w:t>Mr Daniel Craig</w:t>
      </w:r>
    </w:p>
    <w:p w14:paraId="46685A2A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A/g Executive Director</w:t>
      </w:r>
    </w:p>
    <w:p w14:paraId="2C57CED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FA779FB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E98"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6FF6488" w14:textId="77777777" w:rsidR="000423A4" w:rsidRPr="000E6D0B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6D0B">
        <w:rPr>
          <w:rFonts w:ascii="Times New Roman" w:hAnsi="Times New Roman" w:cs="Times New Roman"/>
          <w:sz w:val="24"/>
          <w:szCs w:val="24"/>
        </w:rPr>
        <w:t>1 National Circuit</w:t>
      </w:r>
    </w:p>
    <w:p w14:paraId="5EC080C8" w14:textId="77777777" w:rsidR="000423A4" w:rsidRPr="00C63E98" w:rsidRDefault="000423A4" w:rsidP="000423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BARTON ACT </w:t>
      </w:r>
      <w:r w:rsidRPr="000E6D0B">
        <w:rPr>
          <w:rFonts w:ascii="Times New Roman" w:hAnsi="Times New Roman" w:cs="Times New Roman"/>
          <w:sz w:val="24"/>
          <w:szCs w:val="24"/>
        </w:rPr>
        <w:t>2600</w:t>
      </w:r>
    </w:p>
    <w:p w14:paraId="1A196E85" w14:textId="77777777" w:rsidR="000423A4" w:rsidRPr="00C63E98" w:rsidRDefault="000423A4" w:rsidP="000423A4">
      <w:pPr>
        <w:spacing w:before="160" w:after="240"/>
        <w:rPr>
          <w:szCs w:val="24"/>
        </w:rPr>
      </w:pPr>
      <w:r w:rsidRPr="00C63E98">
        <w:rPr>
          <w:szCs w:val="24"/>
        </w:rPr>
        <w:t>Email: helpdesk-OIA@pmc.gov.au</w:t>
      </w:r>
    </w:p>
    <w:p w14:paraId="56109811" w14:textId="7DFCC592" w:rsidR="00EC4331" w:rsidRDefault="000423A4" w:rsidP="000423A4">
      <w:pPr>
        <w:spacing w:before="240" w:after="240"/>
      </w:pPr>
      <w:r w:rsidRPr="00C63E98">
        <w:rPr>
          <w:szCs w:val="24"/>
        </w:rPr>
        <w:t>Dear Mr Craig</w:t>
      </w:r>
    </w:p>
    <w:p w14:paraId="55A6AB20" w14:textId="2FAE3CC0" w:rsidR="008C4768" w:rsidRPr="004D6A26" w:rsidRDefault="00267C0F" w:rsidP="000423A4">
      <w:pPr>
        <w:pStyle w:val="Heading1"/>
        <w:spacing w:before="120" w:after="12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C21967" w:rsidRPr="003D7834">
        <w:rPr>
          <w:sz w:val="24"/>
          <w:szCs w:val="24"/>
        </w:rPr>
        <w:t xml:space="preserve">Commercial Fishing </w:t>
      </w:r>
      <w:r w:rsidR="001E1DEA" w:rsidRPr="003D7834">
        <w:rPr>
          <w:sz w:val="24"/>
          <w:szCs w:val="24"/>
        </w:rPr>
        <w:t>Vessel Monitoring Systems in Australian Marine Parks</w:t>
      </w:r>
      <w:r w:rsidR="00212DB4" w:rsidRPr="003D7834">
        <w:rPr>
          <w:sz w:val="24"/>
          <w:szCs w:val="24"/>
        </w:rPr>
        <w:t xml:space="preserve"> </w:t>
      </w:r>
      <w:r w:rsidR="00212DB4">
        <w:rPr>
          <w:sz w:val="24"/>
          <w:szCs w:val="24"/>
        </w:rPr>
        <w:t>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75FFDA7D" w14:textId="759472B0" w:rsidR="000A7ABA" w:rsidRDefault="00284E41" w:rsidP="000423A4">
      <w:pPr>
        <w:pStyle w:val="BodyText"/>
        <w:spacing w:before="120" w:after="120"/>
        <w:jc w:val="left"/>
        <w:rPr>
          <w:szCs w:val="24"/>
        </w:rPr>
      </w:pPr>
      <w:r>
        <w:t xml:space="preserve">I am writing in relation to the attached </w:t>
      </w:r>
      <w:r w:rsidR="00267C0F">
        <w:t>Impact Analysis</w:t>
      </w:r>
      <w:r w:rsidR="005B6B55">
        <w:t xml:space="preserve"> (</w:t>
      </w:r>
      <w:r w:rsidR="00267C0F">
        <w:t>IA</w:t>
      </w:r>
      <w:r w:rsidR="005B6B55">
        <w:t xml:space="preserve">) prepared </w:t>
      </w:r>
      <w:r>
        <w:t xml:space="preserve">for </w:t>
      </w:r>
      <w:r w:rsidR="008719B3" w:rsidRPr="003D7834">
        <w:rPr>
          <w:szCs w:val="24"/>
        </w:rPr>
        <w:t>Commercial Fishing Vessel Monitoring Systems in Australian Marine Parks</w:t>
      </w:r>
      <w:r w:rsidR="008719B3">
        <w:rPr>
          <w:szCs w:val="24"/>
        </w:rPr>
        <w:t>.</w:t>
      </w:r>
    </w:p>
    <w:p w14:paraId="22F76ED1" w14:textId="34C8AEAA" w:rsidR="00EA5B23" w:rsidRDefault="00284E41" w:rsidP="000423A4">
      <w:pPr>
        <w:pStyle w:val="BodyText"/>
        <w:spacing w:before="120" w:after="120"/>
        <w:jc w:val="left"/>
        <w:rPr>
          <w:color w:val="FF0000"/>
          <w:szCs w:val="24"/>
        </w:rPr>
      </w:pPr>
      <w:r>
        <w:rPr>
          <w:szCs w:val="24"/>
        </w:rPr>
        <w:t xml:space="preserve">I am satisfied that the </w:t>
      </w:r>
      <w:r w:rsidR="00267C0F">
        <w:rPr>
          <w:szCs w:val="24"/>
        </w:rPr>
        <w:t xml:space="preserve">IA </w:t>
      </w:r>
      <w:r w:rsidR="00B5658B">
        <w:rPr>
          <w:szCs w:val="24"/>
        </w:rPr>
        <w:t xml:space="preserve">addresses the concerns raised in your letter of </w:t>
      </w:r>
      <w:r w:rsidR="00D02519" w:rsidRPr="00D02519">
        <w:rPr>
          <w:szCs w:val="24"/>
        </w:rPr>
        <w:t>13 February 2024</w:t>
      </w:r>
      <w:r w:rsidR="00D02519">
        <w:rPr>
          <w:szCs w:val="24"/>
        </w:rPr>
        <w:t>.</w:t>
      </w:r>
      <w:r w:rsidR="00B5658B" w:rsidRPr="00D02519">
        <w:rPr>
          <w:szCs w:val="24"/>
        </w:rPr>
        <w:t xml:space="preserve"> </w:t>
      </w:r>
      <w:r w:rsidR="00B5658B">
        <w:rPr>
          <w:szCs w:val="24"/>
        </w:rPr>
        <w:t xml:space="preserve">Specifically, </w:t>
      </w:r>
    </w:p>
    <w:p w14:paraId="7E1C81D9" w14:textId="627A72C3" w:rsidR="00546391" w:rsidRPr="00EF23CA" w:rsidRDefault="00546391" w:rsidP="00EA5B23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>The title has been updated to “</w:t>
      </w:r>
      <w:r w:rsidRPr="00546391">
        <w:rPr>
          <w:i/>
          <w:iCs/>
          <w:sz w:val="22"/>
          <w:szCs w:val="22"/>
        </w:rPr>
        <w:t>Commercial Fishing Vessel Monitoring Systems in Australian Marine Parks: Impact Analysis</w:t>
      </w:r>
      <w:r w:rsidRPr="00466C52">
        <w:rPr>
          <w:sz w:val="22"/>
          <w:szCs w:val="22"/>
        </w:rPr>
        <w:t>”</w:t>
      </w:r>
      <w:r w:rsidR="007A0B49" w:rsidRPr="00466C52">
        <w:rPr>
          <w:sz w:val="22"/>
          <w:szCs w:val="22"/>
        </w:rPr>
        <w:t xml:space="preserve"> to ensure the </w:t>
      </w:r>
      <w:r w:rsidR="00466C52" w:rsidRPr="00466C52">
        <w:rPr>
          <w:sz w:val="22"/>
          <w:szCs w:val="22"/>
        </w:rPr>
        <w:t xml:space="preserve">IA does not </w:t>
      </w:r>
      <w:r w:rsidR="007A0B49" w:rsidRPr="00466C52">
        <w:rPr>
          <w:sz w:val="22"/>
          <w:szCs w:val="22"/>
        </w:rPr>
        <w:t xml:space="preserve">pre-empt the analysis, preferred </w:t>
      </w:r>
      <w:r w:rsidR="00466C52" w:rsidRPr="00466C52">
        <w:rPr>
          <w:sz w:val="22"/>
          <w:szCs w:val="22"/>
        </w:rPr>
        <w:t>option,</w:t>
      </w:r>
      <w:r w:rsidR="007A0B49" w:rsidRPr="00466C52">
        <w:rPr>
          <w:sz w:val="22"/>
          <w:szCs w:val="22"/>
        </w:rPr>
        <w:t xml:space="preserve"> and policy decision</w:t>
      </w:r>
      <w:r w:rsidR="00466C52" w:rsidRPr="00466C52">
        <w:rPr>
          <w:sz w:val="22"/>
          <w:szCs w:val="22"/>
        </w:rPr>
        <w:t xml:space="preserve">. The addition of “Commercial Fishing” </w:t>
      </w:r>
      <w:r w:rsidR="005D7DBF">
        <w:rPr>
          <w:sz w:val="22"/>
          <w:szCs w:val="22"/>
        </w:rPr>
        <w:t>has been added to provide</w:t>
      </w:r>
      <w:r w:rsidR="00466C52" w:rsidRPr="00466C52">
        <w:rPr>
          <w:sz w:val="22"/>
          <w:szCs w:val="22"/>
        </w:rPr>
        <w:t xml:space="preserve"> clarity on the </w:t>
      </w:r>
      <w:r w:rsidR="001F7353">
        <w:rPr>
          <w:sz w:val="22"/>
          <w:szCs w:val="22"/>
        </w:rPr>
        <w:t>sector</w:t>
      </w:r>
      <w:r w:rsidR="00466C52" w:rsidRPr="00466C52">
        <w:rPr>
          <w:sz w:val="22"/>
          <w:szCs w:val="22"/>
        </w:rPr>
        <w:t xml:space="preserve"> to which the IA applies.</w:t>
      </w:r>
    </w:p>
    <w:p w14:paraId="07B31B30" w14:textId="6942D6A4" w:rsidR="00EF23CA" w:rsidRPr="00B55003" w:rsidRDefault="001F7353" w:rsidP="00B55003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 w:rsidRPr="00B55003">
        <w:rPr>
          <w:sz w:val="22"/>
          <w:szCs w:val="22"/>
        </w:rPr>
        <w:t xml:space="preserve">There is additional </w:t>
      </w:r>
      <w:r w:rsidR="00EF23CA" w:rsidRPr="00B55003">
        <w:rPr>
          <w:sz w:val="22"/>
          <w:szCs w:val="22"/>
        </w:rPr>
        <w:t xml:space="preserve">narrative around non-compliance potentially adversely affecting ecology / </w:t>
      </w:r>
      <w:r w:rsidR="00283732" w:rsidRPr="00B55003">
        <w:rPr>
          <w:sz w:val="22"/>
          <w:szCs w:val="22"/>
        </w:rPr>
        <w:t>m</w:t>
      </w:r>
      <w:r w:rsidR="00EF23CA" w:rsidRPr="00B55003">
        <w:rPr>
          <w:sz w:val="22"/>
          <w:szCs w:val="22"/>
        </w:rPr>
        <w:t xml:space="preserve">arine </w:t>
      </w:r>
      <w:r w:rsidR="00283732" w:rsidRPr="00B55003">
        <w:rPr>
          <w:sz w:val="22"/>
          <w:szCs w:val="22"/>
        </w:rPr>
        <w:t>p</w:t>
      </w:r>
      <w:r w:rsidR="00EF23CA" w:rsidRPr="00B55003">
        <w:rPr>
          <w:sz w:val="22"/>
          <w:szCs w:val="22"/>
        </w:rPr>
        <w:t>ark value</w:t>
      </w:r>
      <w:r w:rsidR="00283732" w:rsidRPr="00B55003">
        <w:rPr>
          <w:sz w:val="22"/>
          <w:szCs w:val="22"/>
        </w:rPr>
        <w:t>s</w:t>
      </w:r>
      <w:r w:rsidR="00BF5DB4">
        <w:rPr>
          <w:sz w:val="22"/>
          <w:szCs w:val="22"/>
        </w:rPr>
        <w:t xml:space="preserve"> </w:t>
      </w:r>
      <w:r w:rsidR="00BF5DB4" w:rsidRPr="00B55003">
        <w:rPr>
          <w:i/>
          <w:iCs/>
          <w:sz w:val="22"/>
          <w:szCs w:val="22"/>
        </w:rPr>
        <w:t>(Page 5 Paragraph 2</w:t>
      </w:r>
      <w:r w:rsidR="00BF5DB4">
        <w:rPr>
          <w:i/>
          <w:iCs/>
          <w:sz w:val="22"/>
          <w:szCs w:val="22"/>
        </w:rPr>
        <w:t xml:space="preserve"> &amp; 4)</w:t>
      </w:r>
      <w:r w:rsidR="00B55003" w:rsidRPr="00B55003">
        <w:rPr>
          <w:sz w:val="22"/>
          <w:szCs w:val="22"/>
        </w:rPr>
        <w:t xml:space="preserve"> </w:t>
      </w:r>
      <w:r w:rsidR="00BF5DB4">
        <w:rPr>
          <w:sz w:val="22"/>
          <w:szCs w:val="22"/>
        </w:rPr>
        <w:t>and</w:t>
      </w:r>
      <w:r w:rsidR="00B55003" w:rsidRPr="00B55003">
        <w:rPr>
          <w:sz w:val="22"/>
          <w:szCs w:val="22"/>
        </w:rPr>
        <w:t xml:space="preserve"> additional narrative from the example litigation cases cited</w:t>
      </w:r>
      <w:r w:rsidR="00BF5DB4">
        <w:rPr>
          <w:i/>
          <w:iCs/>
          <w:sz w:val="22"/>
          <w:szCs w:val="22"/>
        </w:rPr>
        <w:t xml:space="preserve"> (</w:t>
      </w:r>
      <w:r w:rsidR="00C519A7" w:rsidRPr="00B55003">
        <w:rPr>
          <w:i/>
          <w:iCs/>
          <w:sz w:val="22"/>
          <w:szCs w:val="22"/>
        </w:rPr>
        <w:t xml:space="preserve">Page </w:t>
      </w:r>
      <w:r w:rsidR="00BF5DB4">
        <w:rPr>
          <w:i/>
          <w:iCs/>
          <w:sz w:val="22"/>
          <w:szCs w:val="22"/>
        </w:rPr>
        <w:t>12</w:t>
      </w:r>
      <w:r w:rsidR="00C519A7" w:rsidRPr="00B55003">
        <w:rPr>
          <w:i/>
          <w:iCs/>
          <w:sz w:val="22"/>
          <w:szCs w:val="22"/>
        </w:rPr>
        <w:t xml:space="preserve"> Paragraph </w:t>
      </w:r>
      <w:r w:rsidR="00BF5DB4">
        <w:rPr>
          <w:i/>
          <w:iCs/>
          <w:sz w:val="22"/>
          <w:szCs w:val="22"/>
        </w:rPr>
        <w:t>3 &amp; 4</w:t>
      </w:r>
      <w:r w:rsidR="00C519A7" w:rsidRPr="00B55003">
        <w:rPr>
          <w:i/>
          <w:iCs/>
          <w:sz w:val="22"/>
          <w:szCs w:val="22"/>
        </w:rPr>
        <w:t>)</w:t>
      </w:r>
      <w:r w:rsidR="001827A6" w:rsidRPr="00B55003">
        <w:rPr>
          <w:i/>
          <w:iCs/>
          <w:sz w:val="22"/>
          <w:szCs w:val="22"/>
        </w:rPr>
        <w:t>.</w:t>
      </w:r>
    </w:p>
    <w:p w14:paraId="6FF199C4" w14:textId="73BDE3A2" w:rsidR="00BB5705" w:rsidRPr="00195CF6" w:rsidRDefault="00A03480" w:rsidP="00EA5B23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 xml:space="preserve">Where </w:t>
      </w:r>
      <w:r w:rsidR="001827A6">
        <w:rPr>
          <w:sz w:val="22"/>
          <w:szCs w:val="22"/>
        </w:rPr>
        <w:t>i</w:t>
      </w:r>
      <w:r w:rsidR="00280DD3">
        <w:rPr>
          <w:sz w:val="22"/>
          <w:szCs w:val="22"/>
        </w:rPr>
        <w:t>t is</w:t>
      </w:r>
      <w:r w:rsidR="00BB5705">
        <w:rPr>
          <w:sz w:val="22"/>
          <w:szCs w:val="22"/>
        </w:rPr>
        <w:t xml:space="preserve"> noted </w:t>
      </w:r>
      <w:r w:rsidR="00280DD3">
        <w:rPr>
          <w:sz w:val="22"/>
          <w:szCs w:val="22"/>
        </w:rPr>
        <w:t xml:space="preserve">that </w:t>
      </w:r>
      <w:r w:rsidR="00BB5705">
        <w:rPr>
          <w:sz w:val="22"/>
          <w:szCs w:val="22"/>
        </w:rPr>
        <w:t>commercial fishing activities make up approximately 60 per cent of domestic compliance incidents in Australian Marine Parks, a brief narrative around the incidents that contribute to the other 40 per cent has been added</w:t>
      </w:r>
      <w:r w:rsidR="006C3D6B">
        <w:rPr>
          <w:sz w:val="22"/>
          <w:szCs w:val="22"/>
        </w:rPr>
        <w:t xml:space="preserve"> </w:t>
      </w:r>
      <w:r w:rsidR="006C3D6B" w:rsidRPr="00C519A7">
        <w:rPr>
          <w:i/>
          <w:iCs/>
          <w:sz w:val="22"/>
          <w:szCs w:val="22"/>
        </w:rPr>
        <w:t xml:space="preserve">(Page 5 </w:t>
      </w:r>
      <w:r w:rsidR="00280DD3" w:rsidRPr="00C519A7">
        <w:rPr>
          <w:i/>
          <w:iCs/>
          <w:sz w:val="22"/>
          <w:szCs w:val="22"/>
        </w:rPr>
        <w:t>F</w:t>
      </w:r>
      <w:r w:rsidR="006C3D6B" w:rsidRPr="00C519A7">
        <w:rPr>
          <w:i/>
          <w:iCs/>
          <w:sz w:val="22"/>
          <w:szCs w:val="22"/>
        </w:rPr>
        <w:t>ootnote 5</w:t>
      </w:r>
      <w:r w:rsidR="00280DD3" w:rsidRPr="00C519A7">
        <w:rPr>
          <w:i/>
          <w:iCs/>
          <w:sz w:val="22"/>
          <w:szCs w:val="22"/>
        </w:rPr>
        <w:t>)</w:t>
      </w:r>
      <w:r w:rsidR="00BB5705" w:rsidRPr="00C519A7">
        <w:rPr>
          <w:i/>
          <w:iCs/>
          <w:sz w:val="22"/>
          <w:szCs w:val="22"/>
        </w:rPr>
        <w:t>.</w:t>
      </w:r>
    </w:p>
    <w:p w14:paraId="5B6CB2BA" w14:textId="3947B746" w:rsidR="00195CF6" w:rsidRPr="004F35CB" w:rsidRDefault="00195CF6" w:rsidP="00EA5B23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>The discussion around protected area experience has been moved to the policy options section</w:t>
      </w:r>
      <w:r w:rsidR="00832A2F">
        <w:rPr>
          <w:sz w:val="22"/>
          <w:szCs w:val="22"/>
        </w:rPr>
        <w:t xml:space="preserve"> </w:t>
      </w:r>
      <w:r w:rsidR="00832A2F" w:rsidRPr="00EE2857">
        <w:rPr>
          <w:sz w:val="22"/>
          <w:szCs w:val="22"/>
        </w:rPr>
        <w:t>(</w:t>
      </w:r>
      <w:r w:rsidR="007F5841" w:rsidRPr="00EE2857">
        <w:rPr>
          <w:i/>
          <w:iCs/>
          <w:sz w:val="22"/>
          <w:szCs w:val="22"/>
        </w:rPr>
        <w:t xml:space="preserve">Page </w:t>
      </w:r>
      <w:r w:rsidR="009C7805" w:rsidRPr="00EE2857">
        <w:rPr>
          <w:i/>
          <w:iCs/>
          <w:sz w:val="22"/>
          <w:szCs w:val="22"/>
        </w:rPr>
        <w:t>12</w:t>
      </w:r>
      <w:r w:rsidR="007F5841" w:rsidRPr="00EE2857">
        <w:rPr>
          <w:i/>
          <w:iCs/>
          <w:sz w:val="22"/>
          <w:szCs w:val="22"/>
        </w:rPr>
        <w:t xml:space="preserve"> </w:t>
      </w:r>
      <w:r w:rsidR="009C7805" w:rsidRPr="00EE2857">
        <w:rPr>
          <w:i/>
          <w:iCs/>
          <w:sz w:val="22"/>
          <w:szCs w:val="22"/>
        </w:rPr>
        <w:t>Section</w:t>
      </w:r>
      <w:r w:rsidR="009C7805">
        <w:rPr>
          <w:i/>
          <w:iCs/>
          <w:sz w:val="22"/>
          <w:szCs w:val="22"/>
        </w:rPr>
        <w:t xml:space="preserve"> 8.</w:t>
      </w:r>
      <w:r w:rsidR="007F5841" w:rsidRPr="007F5841">
        <w:rPr>
          <w:i/>
          <w:iCs/>
          <w:sz w:val="22"/>
          <w:szCs w:val="22"/>
        </w:rPr>
        <w:t>2</w:t>
      </w:r>
      <w:r w:rsidR="007F5841">
        <w:rPr>
          <w:sz w:val="22"/>
          <w:szCs w:val="22"/>
        </w:rPr>
        <w:t>)</w:t>
      </w:r>
      <w:r w:rsidR="001827A6">
        <w:rPr>
          <w:sz w:val="22"/>
          <w:szCs w:val="22"/>
        </w:rPr>
        <w:t>.</w:t>
      </w:r>
    </w:p>
    <w:p w14:paraId="6844B490" w14:textId="18A1CFE5" w:rsidR="004F35CB" w:rsidRPr="00F2042E" w:rsidRDefault="004F35CB" w:rsidP="00EA5B23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>The role for government and the objective of government action has been consolidated and placed under a distinct section heading</w:t>
      </w:r>
      <w:r w:rsidR="007E5B11">
        <w:rPr>
          <w:sz w:val="22"/>
          <w:szCs w:val="22"/>
        </w:rPr>
        <w:t xml:space="preserve"> (</w:t>
      </w:r>
      <w:r w:rsidR="007E5B11" w:rsidRPr="007E5B11">
        <w:rPr>
          <w:i/>
          <w:iCs/>
          <w:sz w:val="22"/>
          <w:szCs w:val="22"/>
        </w:rPr>
        <w:t>Page 6 Section 4)</w:t>
      </w:r>
    </w:p>
    <w:p w14:paraId="15791875" w14:textId="7A57AC80" w:rsidR="007F5841" w:rsidRPr="00D451B9" w:rsidRDefault="00F2042E" w:rsidP="004F35CB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 w:rsidRPr="0077394F">
        <w:rPr>
          <w:sz w:val="22"/>
          <w:szCs w:val="22"/>
        </w:rPr>
        <w:t xml:space="preserve">Narrative </w:t>
      </w:r>
      <w:r w:rsidR="0077394F">
        <w:rPr>
          <w:sz w:val="22"/>
          <w:szCs w:val="22"/>
        </w:rPr>
        <w:t xml:space="preserve">has been </w:t>
      </w:r>
      <w:r w:rsidR="0077394F" w:rsidRPr="0077394F">
        <w:rPr>
          <w:sz w:val="22"/>
          <w:szCs w:val="22"/>
        </w:rPr>
        <w:t xml:space="preserve">added </w:t>
      </w:r>
      <w:r w:rsidRPr="0077394F">
        <w:rPr>
          <w:sz w:val="22"/>
          <w:szCs w:val="22"/>
        </w:rPr>
        <w:t>around the expected impact of maintaining the status quo</w:t>
      </w:r>
      <w:r w:rsidR="008E677C" w:rsidRPr="0077394F">
        <w:rPr>
          <w:sz w:val="22"/>
          <w:szCs w:val="22"/>
        </w:rPr>
        <w:t xml:space="preserve"> and why</w:t>
      </w:r>
      <w:r w:rsidR="00F25690">
        <w:rPr>
          <w:sz w:val="22"/>
          <w:szCs w:val="22"/>
        </w:rPr>
        <w:t xml:space="preserve"> </w:t>
      </w:r>
      <w:r w:rsidR="008E677C" w:rsidRPr="0077394F">
        <w:rPr>
          <w:sz w:val="22"/>
          <w:szCs w:val="22"/>
        </w:rPr>
        <w:t>a non-regulatory option</w:t>
      </w:r>
      <w:r w:rsidR="00560161" w:rsidRPr="0077394F">
        <w:rPr>
          <w:sz w:val="22"/>
          <w:szCs w:val="22"/>
        </w:rPr>
        <w:t xml:space="preserve"> such as an </w:t>
      </w:r>
      <w:r w:rsidR="008E677C" w:rsidRPr="0077394F">
        <w:rPr>
          <w:sz w:val="22"/>
          <w:szCs w:val="22"/>
        </w:rPr>
        <w:t xml:space="preserve">education campaign </w:t>
      </w:r>
      <w:r w:rsidR="00911A46">
        <w:rPr>
          <w:sz w:val="22"/>
          <w:szCs w:val="22"/>
        </w:rPr>
        <w:t>would be ineffective in the absence of the a</w:t>
      </w:r>
      <w:r w:rsidR="00081213">
        <w:rPr>
          <w:sz w:val="22"/>
          <w:szCs w:val="22"/>
        </w:rPr>
        <w:t>bility to detect and deter illegal fishing activity.</w:t>
      </w:r>
      <w:r w:rsidR="002B178B" w:rsidRPr="002B178B">
        <w:rPr>
          <w:sz w:val="22"/>
          <w:szCs w:val="22"/>
        </w:rPr>
        <w:t xml:space="preserve"> </w:t>
      </w:r>
      <w:r w:rsidR="002B178B">
        <w:rPr>
          <w:sz w:val="22"/>
          <w:szCs w:val="22"/>
        </w:rPr>
        <w:t>(</w:t>
      </w:r>
      <w:r w:rsidR="002B178B" w:rsidRPr="007E5B11">
        <w:rPr>
          <w:i/>
          <w:iCs/>
          <w:sz w:val="22"/>
          <w:szCs w:val="22"/>
        </w:rPr>
        <w:t xml:space="preserve">Page 6 Section </w:t>
      </w:r>
      <w:r w:rsidR="002B178B">
        <w:rPr>
          <w:i/>
          <w:iCs/>
          <w:sz w:val="22"/>
          <w:szCs w:val="22"/>
        </w:rPr>
        <w:t>5.1</w:t>
      </w:r>
      <w:r w:rsidR="002B178B" w:rsidRPr="007E5B11">
        <w:rPr>
          <w:i/>
          <w:iCs/>
          <w:sz w:val="22"/>
          <w:szCs w:val="22"/>
        </w:rPr>
        <w:t>)</w:t>
      </w:r>
    </w:p>
    <w:p w14:paraId="633D2CF4" w14:textId="3B0658CC" w:rsidR="00D451B9" w:rsidRPr="00951686" w:rsidRDefault="00803684" w:rsidP="004F35CB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 w:rsidRPr="00DE3129">
        <w:rPr>
          <w:sz w:val="22"/>
          <w:szCs w:val="22"/>
        </w:rPr>
        <w:t>It has been made clearer who (industry or Government) will incur costs from each policy option</w:t>
      </w:r>
      <w:r>
        <w:rPr>
          <w:color w:val="000000" w:themeColor="text1"/>
          <w:szCs w:val="24"/>
        </w:rPr>
        <w:t xml:space="preserve"> </w:t>
      </w:r>
      <w:r w:rsidRPr="00DE3129">
        <w:rPr>
          <w:i/>
          <w:iCs/>
          <w:sz w:val="22"/>
          <w:szCs w:val="22"/>
        </w:rPr>
        <w:t>(</w:t>
      </w:r>
      <w:r w:rsidR="00836387" w:rsidRPr="00DE3129">
        <w:rPr>
          <w:i/>
          <w:iCs/>
          <w:sz w:val="22"/>
          <w:szCs w:val="22"/>
        </w:rPr>
        <w:t>Page 1</w:t>
      </w:r>
      <w:r w:rsidR="00900E3C">
        <w:rPr>
          <w:i/>
          <w:iCs/>
          <w:sz w:val="22"/>
          <w:szCs w:val="22"/>
        </w:rPr>
        <w:t>5</w:t>
      </w:r>
      <w:r w:rsidR="00836387" w:rsidRPr="00DE3129">
        <w:rPr>
          <w:i/>
          <w:iCs/>
          <w:sz w:val="22"/>
          <w:szCs w:val="22"/>
        </w:rPr>
        <w:t xml:space="preserve"> Table 2)</w:t>
      </w:r>
    </w:p>
    <w:p w14:paraId="63893D71" w14:textId="74339BCE" w:rsidR="00951686" w:rsidRPr="00951686" w:rsidRDefault="00951686" w:rsidP="004F35CB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 xml:space="preserve">The regulatory costs to industry </w:t>
      </w:r>
      <w:r w:rsidR="00DE3129">
        <w:rPr>
          <w:sz w:val="22"/>
          <w:szCs w:val="22"/>
        </w:rPr>
        <w:t>have been</w:t>
      </w:r>
      <w:r>
        <w:rPr>
          <w:sz w:val="22"/>
          <w:szCs w:val="22"/>
        </w:rPr>
        <w:t xml:space="preserve"> described in PV terms</w:t>
      </w:r>
      <w:r w:rsidR="00DE3129">
        <w:rPr>
          <w:sz w:val="22"/>
          <w:szCs w:val="22"/>
        </w:rPr>
        <w:t xml:space="preserve"> (rather than NPV) throughout the </w:t>
      </w:r>
      <w:r w:rsidR="00402EBD">
        <w:rPr>
          <w:sz w:val="22"/>
          <w:szCs w:val="22"/>
        </w:rPr>
        <w:t>document.</w:t>
      </w:r>
    </w:p>
    <w:p w14:paraId="226BC446" w14:textId="174173E0" w:rsidR="00951686" w:rsidRPr="00875DD3" w:rsidRDefault="001D2D88" w:rsidP="004F35CB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lastRenderedPageBreak/>
        <w:t>Formatting issue with the table under heading 7.3.3.</w:t>
      </w:r>
      <w:r w:rsidR="00402EBD">
        <w:rPr>
          <w:sz w:val="22"/>
          <w:szCs w:val="22"/>
        </w:rPr>
        <w:t xml:space="preserve"> </w:t>
      </w:r>
      <w:r w:rsidR="00900E3C">
        <w:rPr>
          <w:sz w:val="22"/>
          <w:szCs w:val="22"/>
        </w:rPr>
        <w:t>(</w:t>
      </w:r>
      <w:r w:rsidR="00900E3C" w:rsidRPr="00CB548C">
        <w:rPr>
          <w:i/>
          <w:iCs/>
          <w:sz w:val="22"/>
          <w:szCs w:val="22"/>
        </w:rPr>
        <w:t xml:space="preserve">now </w:t>
      </w:r>
      <w:r w:rsidR="00CB548C" w:rsidRPr="00CB548C">
        <w:rPr>
          <w:i/>
          <w:iCs/>
          <w:sz w:val="22"/>
          <w:szCs w:val="22"/>
        </w:rPr>
        <w:t>8.3.4 with additional of new sections</w:t>
      </w:r>
      <w:r w:rsidR="00CB548C">
        <w:rPr>
          <w:sz w:val="22"/>
          <w:szCs w:val="22"/>
        </w:rPr>
        <w:t xml:space="preserve">) </w:t>
      </w:r>
      <w:r w:rsidR="00402EBD">
        <w:rPr>
          <w:sz w:val="22"/>
          <w:szCs w:val="22"/>
        </w:rPr>
        <w:t>has been corrected</w:t>
      </w:r>
      <w:r w:rsidR="009E15AD">
        <w:rPr>
          <w:sz w:val="22"/>
          <w:szCs w:val="22"/>
        </w:rPr>
        <w:t>.</w:t>
      </w:r>
    </w:p>
    <w:p w14:paraId="686B2121" w14:textId="43C366FE" w:rsidR="00875DD3" w:rsidRPr="0077394F" w:rsidRDefault="00875DD3" w:rsidP="004F35CB">
      <w:pPr>
        <w:pStyle w:val="BodyText"/>
        <w:numPr>
          <w:ilvl w:val="0"/>
          <w:numId w:val="2"/>
        </w:numPr>
        <w:spacing w:before="120" w:after="120"/>
        <w:rPr>
          <w:color w:val="000000" w:themeColor="text1"/>
          <w:szCs w:val="24"/>
        </w:rPr>
      </w:pPr>
      <w:r>
        <w:rPr>
          <w:sz w:val="22"/>
          <w:szCs w:val="22"/>
        </w:rPr>
        <w:t xml:space="preserve">The error in the annual cost estimates has been corrected and </w:t>
      </w:r>
      <w:r w:rsidR="00271C03">
        <w:rPr>
          <w:sz w:val="22"/>
          <w:szCs w:val="22"/>
        </w:rPr>
        <w:t xml:space="preserve">cost estimate figures have been </w:t>
      </w:r>
      <w:r w:rsidR="0062047B">
        <w:rPr>
          <w:sz w:val="22"/>
          <w:szCs w:val="22"/>
        </w:rPr>
        <w:t xml:space="preserve">rounded to avoid </w:t>
      </w:r>
      <w:r w:rsidR="009E15AD">
        <w:rPr>
          <w:sz w:val="22"/>
          <w:szCs w:val="22"/>
        </w:rPr>
        <w:t xml:space="preserve">the </w:t>
      </w:r>
      <w:r w:rsidR="0062047B">
        <w:rPr>
          <w:sz w:val="22"/>
          <w:szCs w:val="22"/>
        </w:rPr>
        <w:t>perception of a high degree of precision.</w:t>
      </w:r>
      <w:r w:rsidR="006947BE">
        <w:rPr>
          <w:sz w:val="22"/>
          <w:szCs w:val="22"/>
        </w:rPr>
        <w:t xml:space="preserve"> (</w:t>
      </w:r>
      <w:r w:rsidR="006947BE" w:rsidRPr="006947BE">
        <w:rPr>
          <w:i/>
          <w:iCs/>
          <w:sz w:val="22"/>
          <w:szCs w:val="22"/>
        </w:rPr>
        <w:t>Table 6 Page 23)</w:t>
      </w:r>
      <w:r w:rsidR="006947BE">
        <w:rPr>
          <w:i/>
          <w:iCs/>
          <w:sz w:val="22"/>
          <w:szCs w:val="22"/>
        </w:rPr>
        <w:t>.</w:t>
      </w:r>
    </w:p>
    <w:p w14:paraId="47303823" w14:textId="77777777" w:rsidR="004F35CB" w:rsidRPr="00466C52" w:rsidRDefault="004F35CB" w:rsidP="004F35CB">
      <w:pPr>
        <w:pStyle w:val="BodyText"/>
        <w:spacing w:before="120" w:after="120"/>
        <w:rPr>
          <w:color w:val="000000" w:themeColor="text1"/>
          <w:szCs w:val="24"/>
        </w:rPr>
      </w:pPr>
    </w:p>
    <w:p w14:paraId="4162259D" w14:textId="6CFC0D90" w:rsidR="006369A1" w:rsidRPr="00EA5B23" w:rsidRDefault="006369A1" w:rsidP="00EA5B23">
      <w:pPr>
        <w:pStyle w:val="BodyText"/>
        <w:spacing w:before="120" w:after="120"/>
        <w:rPr>
          <w:color w:val="000000" w:themeColor="text1"/>
          <w:szCs w:val="24"/>
        </w:rPr>
      </w:pPr>
      <w:r w:rsidRPr="00EA5B23">
        <w:rPr>
          <w:color w:val="000000" w:themeColor="text1"/>
          <w:szCs w:val="24"/>
        </w:rPr>
        <w:t xml:space="preserve">The regulatory </w:t>
      </w:r>
      <w:r w:rsidRPr="00796E26">
        <w:rPr>
          <w:szCs w:val="24"/>
        </w:rPr>
        <w:t xml:space="preserve">costs are </w:t>
      </w:r>
      <w:r w:rsidR="009129CE" w:rsidRPr="00796E26">
        <w:rPr>
          <w:szCs w:val="24"/>
        </w:rPr>
        <w:t>$</w:t>
      </w:r>
      <w:r w:rsidR="00796E26" w:rsidRPr="00796E26">
        <w:rPr>
          <w:szCs w:val="24"/>
        </w:rPr>
        <w:t>5,923,000</w:t>
      </w:r>
      <w:r w:rsidRPr="00796E26">
        <w:rPr>
          <w:szCs w:val="24"/>
        </w:rPr>
        <w:t xml:space="preserve"> </w:t>
      </w:r>
      <w:r w:rsidRPr="00EA5B23">
        <w:rPr>
          <w:color w:val="000000" w:themeColor="text1"/>
          <w:szCs w:val="24"/>
        </w:rPr>
        <w:t xml:space="preserve">million per year. </w:t>
      </w:r>
    </w:p>
    <w:p w14:paraId="6D49CB34" w14:textId="6DE2FC04" w:rsidR="00535899" w:rsidRDefault="00B5658B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 xml:space="preserve">Accordingly, I am satisfied that the </w:t>
      </w:r>
      <w:r w:rsidR="00267C0F">
        <w:rPr>
          <w:szCs w:val="24"/>
        </w:rPr>
        <w:t xml:space="preserve">IA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 xml:space="preserve">Australian Government Guide to </w:t>
      </w:r>
      <w:r w:rsidR="00267C0F">
        <w:rPr>
          <w:i/>
          <w:szCs w:val="24"/>
        </w:rPr>
        <w:t xml:space="preserve">Policy </w:t>
      </w:r>
      <w:r w:rsidR="00212DB4">
        <w:rPr>
          <w:i/>
          <w:szCs w:val="24"/>
        </w:rPr>
        <w:t>Impact Analysis</w:t>
      </w:r>
      <w:r w:rsidR="00692B2A">
        <w:rPr>
          <w:szCs w:val="24"/>
        </w:rPr>
        <w:t>.</w:t>
      </w:r>
    </w:p>
    <w:p w14:paraId="43057B8F" w14:textId="01A87C5F" w:rsidR="008C4768" w:rsidRPr="006E1B31" w:rsidRDefault="00535899" w:rsidP="000423A4">
      <w:pPr>
        <w:pStyle w:val="BodyText"/>
        <w:spacing w:before="120" w:after="120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 xml:space="preserve">the </w:t>
      </w:r>
      <w:r w:rsidR="00267C0F">
        <w:rPr>
          <w:szCs w:val="24"/>
        </w:rPr>
        <w:t xml:space="preserve">IA </w:t>
      </w:r>
      <w:r w:rsidR="00284E41">
        <w:rPr>
          <w:szCs w:val="24"/>
        </w:rPr>
        <w:t xml:space="preserve">to the Office of </w:t>
      </w:r>
      <w:r w:rsidR="00267C0F">
        <w:rPr>
          <w:szCs w:val="24"/>
        </w:rPr>
        <w:t>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461E58E" w14:textId="77777777" w:rsidR="008C4768" w:rsidRPr="006E1B31" w:rsidRDefault="008C4768" w:rsidP="000423A4">
      <w:pPr>
        <w:spacing w:before="120" w:after="120" w:line="300" w:lineRule="exact"/>
      </w:pPr>
    </w:p>
    <w:p w14:paraId="7AB052CC" w14:textId="77777777" w:rsidR="008C4768" w:rsidRDefault="008C4768" w:rsidP="000423A4">
      <w:pPr>
        <w:pStyle w:val="Header"/>
        <w:spacing w:before="120" w:after="120"/>
      </w:pPr>
      <w:r>
        <w:t>Yours sincerely</w:t>
      </w:r>
    </w:p>
    <w:p w14:paraId="5965509F" w14:textId="14E91AD8" w:rsidR="008C4768" w:rsidRDefault="008C4768" w:rsidP="000423A4">
      <w:pPr>
        <w:pStyle w:val="Header"/>
        <w:spacing w:before="120" w:after="120"/>
      </w:pPr>
    </w:p>
    <w:p w14:paraId="4DB78990" w14:textId="152542E4" w:rsidR="000423A4" w:rsidRDefault="000423A4" w:rsidP="000423A4">
      <w:pPr>
        <w:pStyle w:val="Header"/>
        <w:spacing w:before="120" w:after="120"/>
      </w:pPr>
    </w:p>
    <w:p w14:paraId="5183D5AE" w14:textId="77777777" w:rsidR="000423A4" w:rsidRDefault="000423A4" w:rsidP="000423A4">
      <w:pPr>
        <w:pStyle w:val="Header"/>
        <w:spacing w:before="120" w:after="120"/>
      </w:pPr>
    </w:p>
    <w:p w14:paraId="1ED2CEFD" w14:textId="43F93D00" w:rsidR="008C4768" w:rsidRDefault="001909E7" w:rsidP="008C4768">
      <w:r>
        <w:t>Sean Sullivan</w:t>
      </w:r>
    </w:p>
    <w:p w14:paraId="185B709E" w14:textId="5EBA1C4C" w:rsidR="008C4768" w:rsidRDefault="001909E7" w:rsidP="008C4768">
      <w:r>
        <w:t>Deputy Secretary</w:t>
      </w:r>
      <w:r w:rsidR="008C4768">
        <w:br/>
      </w:r>
      <w:r w:rsidR="00C81D07" w:rsidRPr="00C81D07">
        <w:t>Department of Climate Change, Energy, the Environment and Water</w:t>
      </w:r>
      <w:r w:rsidR="008C4768">
        <w:br/>
      </w:r>
      <w:r w:rsidR="00AC612F">
        <w:t xml:space="preserve">   March</w:t>
      </w:r>
      <w:r w:rsidR="00C81D07">
        <w:t xml:space="preserve"> 2024</w:t>
      </w:r>
    </w:p>
    <w:sectPr w:rsidR="008C4768" w:rsidSect="005D4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93CB" w14:textId="77777777" w:rsidR="00AE2B47" w:rsidRDefault="00AE2B47" w:rsidP="008E7E78">
      <w:pPr>
        <w:spacing w:line="240" w:lineRule="auto"/>
      </w:pPr>
      <w:r>
        <w:separator/>
      </w:r>
    </w:p>
  </w:endnote>
  <w:endnote w:type="continuationSeparator" w:id="0">
    <w:p w14:paraId="29CC8F09" w14:textId="77777777" w:rsidR="00AE2B47" w:rsidRDefault="00AE2B47" w:rsidP="008E7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8A98" w14:textId="77777777" w:rsidR="005B69DC" w:rsidRDefault="005B6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087E" w14:textId="77777777" w:rsidR="0017633F" w:rsidRDefault="0017633F" w:rsidP="0017633F">
    <w:pPr>
      <w:pStyle w:val="Footer"/>
      <w:ind w:right="360"/>
      <w:jc w:val="center"/>
      <w:rPr>
        <w:b/>
        <w:sz w:val="20"/>
      </w:rPr>
    </w:pPr>
    <w:r>
      <w:rPr>
        <w:b/>
        <w:sz w:val="20"/>
      </w:rPr>
      <w:t>DCCEEW.gov.au</w:t>
    </w:r>
  </w:p>
  <w:p w14:paraId="672BAE8D" w14:textId="77777777" w:rsidR="0017633F" w:rsidRDefault="0017633F" w:rsidP="0017633F">
    <w:pPr>
      <w:pStyle w:val="Footer"/>
      <w:ind w:right="360"/>
      <w:jc w:val="center"/>
      <w:rPr>
        <w:bCs/>
        <w:sz w:val="20"/>
      </w:rPr>
    </w:pPr>
    <w:r>
      <w:rPr>
        <w:bCs/>
        <w:sz w:val="20"/>
      </w:rPr>
      <w:t>John Gorton Building, King Edward Terrace, Parkes ACT 2600 Australia</w:t>
    </w:r>
  </w:p>
  <w:p w14:paraId="11D43CE7" w14:textId="77777777" w:rsidR="0017633F" w:rsidRDefault="0017633F" w:rsidP="0017633F">
    <w:pPr>
      <w:pStyle w:val="Footer"/>
      <w:ind w:right="360"/>
      <w:jc w:val="center"/>
      <w:rPr>
        <w:sz w:val="20"/>
      </w:rPr>
    </w:pPr>
    <w:r w:rsidRPr="437F5F0B">
      <w:rPr>
        <w:sz w:val="20"/>
      </w:rPr>
      <w:t>GPO Box 3090 Canberra ACT 2601 ABN: 63 573 932 849</w:t>
    </w:r>
  </w:p>
  <w:p w14:paraId="1631300E" w14:textId="6C22BC63" w:rsidR="0017633F" w:rsidRPr="008C550A" w:rsidRDefault="0017633F" w:rsidP="0017633F">
    <w:pPr>
      <w:pStyle w:val="Footer"/>
      <w:ind w:right="360"/>
      <w:jc w:val="center"/>
      <w:rPr>
        <w:b/>
        <w:color w:val="FF0000"/>
        <w:szCs w:val="24"/>
      </w:rPr>
    </w:pPr>
    <w:r>
      <w:rPr>
        <w:b/>
        <w:color w:val="FF0000"/>
        <w:szCs w:val="24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4DA3" w14:textId="77777777" w:rsidR="005B69DC" w:rsidRDefault="005B6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84EF" w14:textId="77777777" w:rsidR="00AE2B47" w:rsidRDefault="00AE2B47" w:rsidP="008E7E78">
      <w:pPr>
        <w:spacing w:line="240" w:lineRule="auto"/>
      </w:pPr>
      <w:r>
        <w:separator/>
      </w:r>
    </w:p>
  </w:footnote>
  <w:footnote w:type="continuationSeparator" w:id="0">
    <w:p w14:paraId="66B63119" w14:textId="77777777" w:rsidR="00AE2B47" w:rsidRDefault="00AE2B47" w:rsidP="008E7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C569" w14:textId="77777777" w:rsidR="005B69DC" w:rsidRDefault="005B6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9E591" w14:textId="64441A28" w:rsidR="008E7E78" w:rsidRPr="009948F5" w:rsidRDefault="008E7E78" w:rsidP="008E7E78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  <w:p w14:paraId="6548DB9E" w14:textId="77777777" w:rsidR="008E7E78" w:rsidRPr="00BB72B3" w:rsidRDefault="008E7E78" w:rsidP="008E7E78">
    <w:pPr>
      <w:pStyle w:val="Header"/>
    </w:pPr>
    <w:r w:rsidRPr="00180BF8">
      <w:rPr>
        <w:noProof/>
        <w:lang w:eastAsia="en-AU"/>
      </w:rPr>
      <w:drawing>
        <wp:inline distT="0" distB="0" distL="0" distR="0" wp14:anchorId="371E24A0" wp14:editId="1A6FDB01">
          <wp:extent cx="2923111" cy="607375"/>
          <wp:effectExtent l="0" t="0" r="0" b="2540"/>
          <wp:docPr id="1" name="Picture 1" title="Australian Government Department of Climate Change, Energy, the Environment and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8004" cy="6187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16AEF7" w14:textId="77777777" w:rsidR="008E7E78" w:rsidRDefault="008E7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02F7" w14:textId="77777777" w:rsidR="005B69DC" w:rsidRDefault="005B6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463"/>
    <w:multiLevelType w:val="hybridMultilevel"/>
    <w:tmpl w:val="1654D75C"/>
    <w:lvl w:ilvl="0" w:tplc="A6AA6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423A4"/>
    <w:rsid w:val="0006386B"/>
    <w:rsid w:val="00081213"/>
    <w:rsid w:val="000954BF"/>
    <w:rsid w:val="000A7ABA"/>
    <w:rsid w:val="000B5184"/>
    <w:rsid w:val="000E63AC"/>
    <w:rsid w:val="001175F6"/>
    <w:rsid w:val="00124998"/>
    <w:rsid w:val="0015323A"/>
    <w:rsid w:val="0017633F"/>
    <w:rsid w:val="001827A6"/>
    <w:rsid w:val="001909E7"/>
    <w:rsid w:val="00195CF6"/>
    <w:rsid w:val="001C2E28"/>
    <w:rsid w:val="001D2D88"/>
    <w:rsid w:val="001E1DEA"/>
    <w:rsid w:val="001F7353"/>
    <w:rsid w:val="00212DB4"/>
    <w:rsid w:val="00243D5F"/>
    <w:rsid w:val="0025230E"/>
    <w:rsid w:val="00267C0F"/>
    <w:rsid w:val="00267E33"/>
    <w:rsid w:val="00271C03"/>
    <w:rsid w:val="00280DD3"/>
    <w:rsid w:val="00283732"/>
    <w:rsid w:val="00284E41"/>
    <w:rsid w:val="002B0E06"/>
    <w:rsid w:val="002B178B"/>
    <w:rsid w:val="002B1A2E"/>
    <w:rsid w:val="003C56DD"/>
    <w:rsid w:val="003D511E"/>
    <w:rsid w:val="003D5500"/>
    <w:rsid w:val="003D7834"/>
    <w:rsid w:val="00402EBD"/>
    <w:rsid w:val="00466C52"/>
    <w:rsid w:val="0047563D"/>
    <w:rsid w:val="004D3D7B"/>
    <w:rsid w:val="004D6A26"/>
    <w:rsid w:val="004F35CB"/>
    <w:rsid w:val="00535899"/>
    <w:rsid w:val="00546391"/>
    <w:rsid w:val="00547F2C"/>
    <w:rsid w:val="00560161"/>
    <w:rsid w:val="005921A1"/>
    <w:rsid w:val="005B69DC"/>
    <w:rsid w:val="005B6B55"/>
    <w:rsid w:val="005D46A4"/>
    <w:rsid w:val="005D7DBF"/>
    <w:rsid w:val="005E621B"/>
    <w:rsid w:val="0062047B"/>
    <w:rsid w:val="006369A1"/>
    <w:rsid w:val="00671DCB"/>
    <w:rsid w:val="00692B2A"/>
    <w:rsid w:val="006947BE"/>
    <w:rsid w:val="006C1716"/>
    <w:rsid w:val="006C3D6B"/>
    <w:rsid w:val="006E1B31"/>
    <w:rsid w:val="006E362C"/>
    <w:rsid w:val="00707DD8"/>
    <w:rsid w:val="0076750A"/>
    <w:rsid w:val="00770E95"/>
    <w:rsid w:val="0077394F"/>
    <w:rsid w:val="00796E26"/>
    <w:rsid w:val="007A0B49"/>
    <w:rsid w:val="007E5B11"/>
    <w:rsid w:val="007F5841"/>
    <w:rsid w:val="007F7884"/>
    <w:rsid w:val="00803684"/>
    <w:rsid w:val="00830E27"/>
    <w:rsid w:val="00832A2F"/>
    <w:rsid w:val="00836343"/>
    <w:rsid w:val="00836387"/>
    <w:rsid w:val="0084719A"/>
    <w:rsid w:val="008719B3"/>
    <w:rsid w:val="00873BFD"/>
    <w:rsid w:val="00875DD3"/>
    <w:rsid w:val="008C4768"/>
    <w:rsid w:val="008D4630"/>
    <w:rsid w:val="008E677C"/>
    <w:rsid w:val="008E6A0C"/>
    <w:rsid w:val="008E7E78"/>
    <w:rsid w:val="008F1BC6"/>
    <w:rsid w:val="00900E3C"/>
    <w:rsid w:val="00911A46"/>
    <w:rsid w:val="009129CE"/>
    <w:rsid w:val="00951686"/>
    <w:rsid w:val="009A18F3"/>
    <w:rsid w:val="009C7805"/>
    <w:rsid w:val="009D0CF5"/>
    <w:rsid w:val="009E15AD"/>
    <w:rsid w:val="00A03480"/>
    <w:rsid w:val="00A32F9F"/>
    <w:rsid w:val="00A8121F"/>
    <w:rsid w:val="00AA2F0C"/>
    <w:rsid w:val="00AC2EEE"/>
    <w:rsid w:val="00AC612F"/>
    <w:rsid w:val="00AE2B47"/>
    <w:rsid w:val="00B244B5"/>
    <w:rsid w:val="00B51C4A"/>
    <w:rsid w:val="00B55003"/>
    <w:rsid w:val="00B5658B"/>
    <w:rsid w:val="00B858F9"/>
    <w:rsid w:val="00BB5705"/>
    <w:rsid w:val="00BF5DB4"/>
    <w:rsid w:val="00C21967"/>
    <w:rsid w:val="00C519A7"/>
    <w:rsid w:val="00C81D07"/>
    <w:rsid w:val="00CB0539"/>
    <w:rsid w:val="00CB548C"/>
    <w:rsid w:val="00CC1E38"/>
    <w:rsid w:val="00CF428D"/>
    <w:rsid w:val="00D02519"/>
    <w:rsid w:val="00D451B9"/>
    <w:rsid w:val="00D825A5"/>
    <w:rsid w:val="00DE2AB1"/>
    <w:rsid w:val="00DE3129"/>
    <w:rsid w:val="00DF1EDD"/>
    <w:rsid w:val="00E2259E"/>
    <w:rsid w:val="00E45BCB"/>
    <w:rsid w:val="00E5554F"/>
    <w:rsid w:val="00EA4572"/>
    <w:rsid w:val="00EA5B23"/>
    <w:rsid w:val="00EC4331"/>
    <w:rsid w:val="00ED3933"/>
    <w:rsid w:val="00ED7854"/>
    <w:rsid w:val="00EE2857"/>
    <w:rsid w:val="00EF23CA"/>
    <w:rsid w:val="00F01098"/>
    <w:rsid w:val="00F2042E"/>
    <w:rsid w:val="00F21256"/>
    <w:rsid w:val="00F25690"/>
    <w:rsid w:val="00F67352"/>
    <w:rsid w:val="00F80033"/>
    <w:rsid w:val="00FC0F81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49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NoSpacing">
    <w:name w:val="No Spacing"/>
    <w:uiPriority w:val="98"/>
    <w:unhideWhenUsed/>
    <w:rsid w:val="000423A4"/>
    <w:pPr>
      <w:spacing w:after="0" w:line="240" w:lineRule="auto"/>
    </w:pPr>
    <w:rPr>
      <w:rFonts w:eastAsiaTheme="minorEastAsia" w:cstheme="minorBid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E7E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E78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2024-04-18T23:27:00Z</dcterms:created>
  <dcterms:modified xsi:type="dcterms:W3CDTF">2024-04-18T23:27:00Z</dcterms:modified>
</cp:coreProperties>
</file>