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4.xml" ContentType="application/vnd.openxmlformats-officedocument.drawingml.chart+xml"/>
  <Override PartName="/word/theme/theme1.xml" ContentType="application/vnd.openxmlformats-officedocument.theme+xml"/>
  <Override PartName="/word/charts/style4.xml" ContentType="application/vnd.ms-office.chartstyle+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colors4.xml" ContentType="application/vnd.ms-office.chartcolor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2626C" w14:textId="77777777" w:rsidR="00A503F3" w:rsidRDefault="00A503F3" w:rsidP="00A80C67">
      <w:pPr>
        <w:pStyle w:val="Title"/>
        <w:ind w:left="1134"/>
        <w:rPr>
          <w:rFonts w:ascii="Segoe UI Semibold" w:hAnsi="Segoe UI Semibold" w:cs="Segoe UI Semibold"/>
          <w:noProof w:val="0"/>
        </w:rPr>
      </w:pPr>
      <w:bookmarkStart w:id="0" w:name="_Toc96326909"/>
    </w:p>
    <w:p w14:paraId="0C16AF84" w14:textId="4265FE99" w:rsidR="00A80C67" w:rsidRPr="003D290F" w:rsidRDefault="00A44F3B" w:rsidP="00A80C67">
      <w:pPr>
        <w:pStyle w:val="Title"/>
        <w:ind w:left="1134"/>
        <w:rPr>
          <w:rFonts w:ascii="Segoe UI Semibold" w:hAnsi="Segoe UI Semibold" w:cs="Segoe UI Semibold"/>
          <w:noProof w:val="0"/>
        </w:rPr>
      </w:pPr>
      <w:r w:rsidRPr="003D290F">
        <w:rPr>
          <w:rFonts w:ascii="Segoe UI Semibold" w:hAnsi="Segoe UI Semibold" w:cs="Segoe UI Semibold"/>
          <w:noProof w:val="0"/>
        </w:rPr>
        <w:t>Impact Analysis OIA23-04803</w:t>
      </w:r>
    </w:p>
    <w:p w14:paraId="5D580C2E" w14:textId="16A66E36" w:rsidR="00A80C67" w:rsidRPr="003D290F" w:rsidRDefault="00A44F3B" w:rsidP="00A80C67">
      <w:pPr>
        <w:pStyle w:val="Subtitle"/>
        <w:ind w:left="1134"/>
        <w:rPr>
          <w:noProof w:val="0"/>
        </w:rPr>
      </w:pPr>
      <w:r w:rsidRPr="003D290F">
        <w:rPr>
          <w:noProof w:val="0"/>
        </w:rPr>
        <w:t>Support for worker</w:t>
      </w:r>
      <w:r w:rsidR="0072743B">
        <w:rPr>
          <w:noProof w:val="0"/>
        </w:rPr>
        <w:t>s during the net zero transition</w:t>
      </w:r>
    </w:p>
    <w:p w14:paraId="15D82784" w14:textId="77777777" w:rsidR="00A80C67" w:rsidRPr="003D290F" w:rsidRDefault="00A80C67" w:rsidP="00A80C67">
      <w:r w:rsidRPr="003D290F">
        <w:rPr>
          <w:noProof/>
          <w:lang w:eastAsia="en-AU"/>
        </w:rPr>
        <w:drawing>
          <wp:anchor distT="0" distB="0" distL="114300" distR="114300" simplePos="0" relativeHeight="251658241" behindDoc="0" locked="0" layoutInCell="1" allowOverlap="1" wp14:anchorId="796AE61C" wp14:editId="1C372520">
            <wp:simplePos x="0" y="0"/>
            <wp:positionH relativeFrom="column">
              <wp:posOffset>946771</wp:posOffset>
            </wp:positionH>
            <wp:positionV relativeFrom="paragraph">
              <wp:posOffset>99116</wp:posOffset>
            </wp:positionV>
            <wp:extent cx="5889018" cy="3146757"/>
            <wp:effectExtent l="0" t="0" r="0" b="0"/>
            <wp:wrapNone/>
            <wp:docPr id="220" name="Picture 220" descr="C:\Users\PMC13288\AppData\Local\Microsoft\Windows\INetCache\Content.Outlook\CBVFI2T3\GettyImages-13408169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288\AppData\Local\Microsoft\Windows\INetCache\Content.Outlook\CBVFI2T3\GettyImages-1340816904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889018" cy="3146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0AE86" w14:textId="77777777" w:rsidR="00A80C67" w:rsidRPr="003D290F" w:rsidRDefault="00A80C67" w:rsidP="00A80C67"/>
    <w:p w14:paraId="1DE40DAB" w14:textId="77777777" w:rsidR="00A80C67" w:rsidRPr="003D290F" w:rsidRDefault="00A80C67" w:rsidP="00A80C67"/>
    <w:p w14:paraId="50ED1B6F" w14:textId="77777777" w:rsidR="00A80C67" w:rsidRPr="003D290F" w:rsidRDefault="00A80C67" w:rsidP="00A80C67"/>
    <w:p w14:paraId="334241A6" w14:textId="77777777" w:rsidR="00A80C67" w:rsidRPr="003D290F" w:rsidRDefault="00A80C67" w:rsidP="00A80C67"/>
    <w:p w14:paraId="0FDD4C5B" w14:textId="77777777" w:rsidR="00A80C67" w:rsidRPr="003D290F" w:rsidRDefault="00A80C67" w:rsidP="00A80C67"/>
    <w:p w14:paraId="37C70ABD" w14:textId="77777777" w:rsidR="00A80C67" w:rsidRPr="003D290F" w:rsidRDefault="00A80C67" w:rsidP="00A80C67"/>
    <w:p w14:paraId="69F3B9AB" w14:textId="77777777" w:rsidR="00A80C67" w:rsidRPr="003D290F" w:rsidRDefault="00A80C67" w:rsidP="00A80C67"/>
    <w:p w14:paraId="4626BA20" w14:textId="77777777" w:rsidR="00A80C67" w:rsidRPr="003D290F" w:rsidRDefault="00A80C67" w:rsidP="00A80C67"/>
    <w:p w14:paraId="56BF31C5" w14:textId="77777777" w:rsidR="00A80C67" w:rsidRPr="003D290F" w:rsidRDefault="00A80C67" w:rsidP="00A80C67">
      <w:r w:rsidRPr="003D290F">
        <w:rPr>
          <w:noProof/>
          <w:lang w:eastAsia="en-AU"/>
        </w:rPr>
        <w:drawing>
          <wp:anchor distT="0" distB="0" distL="114300" distR="114300" simplePos="0" relativeHeight="251658240" behindDoc="0" locked="0" layoutInCell="1" allowOverlap="1" wp14:anchorId="566F2C9F" wp14:editId="24F28608">
            <wp:simplePos x="0" y="0"/>
            <wp:positionH relativeFrom="column">
              <wp:posOffset>946771</wp:posOffset>
            </wp:positionH>
            <wp:positionV relativeFrom="paragraph">
              <wp:posOffset>175037</wp:posOffset>
            </wp:positionV>
            <wp:extent cx="5889018" cy="3312955"/>
            <wp:effectExtent l="0" t="0" r="0" b="1905"/>
            <wp:wrapNone/>
            <wp:docPr id="213" name="Picture 213" descr="C:\Users\PMC13288\AppData\Local\Microsoft\Windows\INetCache\Content.Outlook\CBVFI2T3\GettyImages-133853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288\AppData\Local\Microsoft\Windows\INetCache\Content.Outlook\CBVFI2T3\GettyImages-1338537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8870" cy="3318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52BBA" w14:textId="77777777" w:rsidR="00A80C67" w:rsidRPr="003D290F" w:rsidRDefault="00A80C67" w:rsidP="00A80C67"/>
    <w:p w14:paraId="15CB849F" w14:textId="77777777" w:rsidR="00A80C67" w:rsidRPr="003D290F" w:rsidRDefault="00A80C67" w:rsidP="00A80C67"/>
    <w:p w14:paraId="3BAB7997" w14:textId="77777777" w:rsidR="00A80C67" w:rsidRPr="003D290F" w:rsidRDefault="00A80C67" w:rsidP="00A80C67"/>
    <w:p w14:paraId="3C6467AD" w14:textId="77777777" w:rsidR="00A80C67" w:rsidRPr="003D290F" w:rsidRDefault="00A80C67" w:rsidP="00A80C67"/>
    <w:p w14:paraId="72EA3F2C" w14:textId="77777777" w:rsidR="00A80C67" w:rsidRPr="003D290F" w:rsidRDefault="00A80C67" w:rsidP="00A80C67">
      <w:pPr>
        <w:tabs>
          <w:tab w:val="left" w:pos="2790"/>
        </w:tabs>
      </w:pPr>
      <w:r w:rsidRPr="003D290F">
        <w:tab/>
      </w:r>
    </w:p>
    <w:p w14:paraId="1F866755" w14:textId="77777777" w:rsidR="00A80C67" w:rsidRPr="003D290F" w:rsidRDefault="00A80C67" w:rsidP="00A80C67">
      <w:pPr>
        <w:tabs>
          <w:tab w:val="left" w:pos="2790"/>
        </w:tabs>
      </w:pPr>
      <w:r w:rsidRPr="003D290F">
        <w:tab/>
      </w:r>
    </w:p>
    <w:p w14:paraId="0236F489" w14:textId="77777777" w:rsidR="00A62EF3" w:rsidRPr="003D290F" w:rsidRDefault="00A62EF3" w:rsidP="00A62EF3">
      <w:pPr>
        <w:rPr>
          <w:rStyle w:val="Emphasis"/>
          <w:rFonts w:asciiTheme="majorHAnsi" w:eastAsiaTheme="majorEastAsia" w:hAnsiTheme="majorHAnsi" w:cstheme="majorBidi"/>
          <w:i w:val="0"/>
          <w:iCs w:val="0"/>
          <w:noProof/>
          <w:spacing w:val="-15"/>
          <w:sz w:val="56"/>
          <w:szCs w:val="96"/>
        </w:rPr>
      </w:pPr>
    </w:p>
    <w:p w14:paraId="114FD848" w14:textId="77777777" w:rsidR="00A80C67" w:rsidRPr="003D290F" w:rsidRDefault="00A80C67" w:rsidP="00C76B32">
      <w:pPr>
        <w:rPr>
          <w:iCs/>
        </w:rPr>
      </w:pPr>
    </w:p>
    <w:p w14:paraId="3F28F197" w14:textId="77777777" w:rsidR="009745A0" w:rsidRDefault="009745A0" w:rsidP="009745A0">
      <w:pPr>
        <w:rPr>
          <w:rFonts w:eastAsia="Times New Roman"/>
          <w:b/>
          <w:i/>
          <w:sz w:val="20"/>
          <w:u w:val="single"/>
        </w:rPr>
      </w:pPr>
    </w:p>
    <w:p w14:paraId="20C8F783" w14:textId="77777777" w:rsidR="00A80C67" w:rsidRDefault="00A80C67" w:rsidP="009745A0">
      <w:pPr>
        <w:rPr>
          <w:b/>
          <w:iCs/>
          <w:color w:val="FF0000"/>
        </w:rPr>
      </w:pPr>
      <w:r w:rsidRPr="001E79E2">
        <w:rPr>
          <w:b/>
          <w:iCs/>
          <w:color w:val="FF0000"/>
        </w:rPr>
        <w:br w:type="page"/>
      </w:r>
    </w:p>
    <w:p w14:paraId="58CC2545" w14:textId="77777777" w:rsidR="00D23026" w:rsidRPr="002B6523" w:rsidRDefault="00D23026" w:rsidP="009745A0">
      <w:pPr>
        <w:rPr>
          <w:rFonts w:cs="Arial"/>
          <w:b/>
          <w:szCs w:val="22"/>
        </w:rPr>
      </w:pPr>
      <w:r w:rsidRPr="002B6523">
        <w:rPr>
          <w:rFonts w:cs="Arial"/>
          <w:b/>
          <w:szCs w:val="22"/>
        </w:rPr>
        <w:lastRenderedPageBreak/>
        <w:t xml:space="preserve">Copyright </w:t>
      </w:r>
    </w:p>
    <w:p w14:paraId="2ABEA940" w14:textId="77777777" w:rsidR="00D23026" w:rsidRPr="002B6523" w:rsidRDefault="00D23026" w:rsidP="009745A0">
      <w:pPr>
        <w:rPr>
          <w:rFonts w:cs="Arial"/>
          <w:szCs w:val="22"/>
        </w:rPr>
      </w:pPr>
      <w:r w:rsidRPr="002B6523">
        <w:rPr>
          <w:rFonts w:cs="Arial"/>
          <w:szCs w:val="22"/>
        </w:rPr>
        <w:t xml:space="preserve">© Commonwealth of Australia 2024  </w:t>
      </w:r>
    </w:p>
    <w:p w14:paraId="6F6FC647" w14:textId="77777777" w:rsidR="00D23026" w:rsidRPr="002B6523" w:rsidRDefault="00D23026" w:rsidP="009745A0">
      <w:pPr>
        <w:rPr>
          <w:rFonts w:cs="Arial"/>
          <w:b/>
          <w:szCs w:val="22"/>
        </w:rPr>
      </w:pPr>
      <w:r w:rsidRPr="002B6523">
        <w:rPr>
          <w:rFonts w:cs="Arial"/>
          <w:b/>
          <w:szCs w:val="22"/>
        </w:rPr>
        <w:t>Ownership of intellectual property rights </w:t>
      </w:r>
    </w:p>
    <w:p w14:paraId="2E167D51" w14:textId="77777777" w:rsidR="00D23026" w:rsidRPr="002B6523" w:rsidRDefault="00D23026" w:rsidP="009745A0">
      <w:pPr>
        <w:rPr>
          <w:rFonts w:cs="Arial"/>
          <w:szCs w:val="22"/>
        </w:rPr>
      </w:pPr>
      <w:r w:rsidRPr="002B6523">
        <w:rPr>
          <w:rFonts w:cs="Arial"/>
          <w:szCs w:val="22"/>
        </w:rPr>
        <w:t>Unless otherwise noted, copyright (and any other intellectual property rights, if any) in this publication is owned by the Commonwealth of Australia.</w:t>
      </w:r>
    </w:p>
    <w:p w14:paraId="2FD25914" w14:textId="77777777" w:rsidR="00D23026" w:rsidRPr="002B6523" w:rsidRDefault="00D23026" w:rsidP="009745A0">
      <w:pPr>
        <w:rPr>
          <w:rFonts w:cs="Arial"/>
          <w:b/>
          <w:szCs w:val="22"/>
        </w:rPr>
      </w:pPr>
      <w:r w:rsidRPr="002B6523">
        <w:rPr>
          <w:rFonts w:cs="Arial"/>
          <w:b/>
          <w:szCs w:val="22"/>
        </w:rPr>
        <w:t xml:space="preserve">Disclaimer </w:t>
      </w:r>
    </w:p>
    <w:p w14:paraId="33B02723" w14:textId="77777777" w:rsidR="00D23026" w:rsidRDefault="00D23026" w:rsidP="00D23026">
      <w:pPr>
        <w:rPr>
          <w:rFonts w:cs="Arial"/>
          <w:szCs w:val="22"/>
        </w:rPr>
      </w:pPr>
      <w:r w:rsidRPr="00D23026">
        <w:rPr>
          <w:rFonts w:cs="Arial"/>
          <w:szCs w:val="22"/>
        </w:rPr>
        <w:t xml:space="preserve">The Australian Government as represented by the </w:t>
      </w:r>
      <w:r>
        <w:rPr>
          <w:rFonts w:cs="Arial"/>
          <w:szCs w:val="22"/>
        </w:rPr>
        <w:t>Net Zero Economy Agency</w:t>
      </w:r>
      <w:r w:rsidRPr="00D23026">
        <w:rPr>
          <w:rFonts w:cs="Arial"/>
          <w:szCs w:val="22"/>
        </w:rPr>
        <w:t xml:space="preserve"> has</w:t>
      </w:r>
      <w:r>
        <w:rPr>
          <w:rFonts w:cs="Arial"/>
          <w:szCs w:val="22"/>
        </w:rPr>
        <w:t xml:space="preserve"> </w:t>
      </w:r>
      <w:r w:rsidRPr="00D23026">
        <w:rPr>
          <w:rFonts w:cs="Arial"/>
          <w:szCs w:val="22"/>
        </w:rPr>
        <w:t>exercised due care and skill in the preparation and compilation of the information and data in this publication. Notwithstanding, the Commonwealth of Australia, its officers, employees, or agents disclaim any liability, including liability</w:t>
      </w:r>
      <w:r>
        <w:rPr>
          <w:rFonts w:cs="Arial"/>
          <w:szCs w:val="22"/>
        </w:rPr>
        <w:t xml:space="preserve"> </w:t>
      </w:r>
      <w:r w:rsidRPr="00D23026">
        <w:rPr>
          <w:rFonts w:cs="Arial"/>
          <w:szCs w:val="22"/>
        </w:rPr>
        <w:t>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w:t>
      </w:r>
      <w:r>
        <w:rPr>
          <w:rFonts w:cs="Arial"/>
          <w:szCs w:val="22"/>
        </w:rPr>
        <w:t xml:space="preserve"> </w:t>
      </w:r>
      <w:r w:rsidRPr="00D23026">
        <w:rPr>
          <w:rFonts w:cs="Arial"/>
          <w:szCs w:val="22"/>
        </w:rPr>
        <w:t>contained in this publication. The reader should rely on their own inquiries to independently confirm the information and</w:t>
      </w:r>
      <w:r>
        <w:rPr>
          <w:rFonts w:cs="Arial"/>
          <w:szCs w:val="22"/>
        </w:rPr>
        <w:t xml:space="preserve"> </w:t>
      </w:r>
      <w:r w:rsidRPr="00D23026">
        <w:rPr>
          <w:rFonts w:cs="Arial"/>
          <w:szCs w:val="22"/>
        </w:rPr>
        <w:t>comment on which they intend to act. This publication does not indicate commitment by the Australian Government to a particular</w:t>
      </w:r>
      <w:r w:rsidR="00B635FD">
        <w:rPr>
          <w:rFonts w:cs="Arial"/>
          <w:szCs w:val="22"/>
        </w:rPr>
        <w:t xml:space="preserve"> </w:t>
      </w:r>
      <w:r w:rsidRPr="00D23026">
        <w:rPr>
          <w:rFonts w:cs="Arial"/>
          <w:szCs w:val="22"/>
        </w:rPr>
        <w:t>course of action</w:t>
      </w:r>
      <w:r>
        <w:rPr>
          <w:rFonts w:cs="Arial"/>
          <w:szCs w:val="22"/>
        </w:rPr>
        <w:t>.</w:t>
      </w:r>
    </w:p>
    <w:p w14:paraId="07DA3F83" w14:textId="77777777" w:rsidR="00D23026" w:rsidRDefault="00D23026">
      <w:pPr>
        <w:rPr>
          <w:rFonts w:cs="Arial"/>
          <w:szCs w:val="22"/>
        </w:rPr>
      </w:pPr>
      <w:r>
        <w:rPr>
          <w:rFonts w:cs="Arial"/>
          <w:szCs w:val="22"/>
        </w:rPr>
        <w:br w:type="page"/>
      </w:r>
    </w:p>
    <w:bookmarkEnd w:id="0" w:displacedByCustomXml="next"/>
    <w:bookmarkStart w:id="1" w:name="_Toc161759643" w:displacedByCustomXml="next"/>
    <w:bookmarkStart w:id="2" w:name="_Toc161403477" w:displacedByCustomXml="next"/>
    <w:bookmarkStart w:id="3" w:name="_Toc161395941" w:displacedByCustomXml="next"/>
    <w:bookmarkStart w:id="4" w:name="_Toc161752206" w:displacedByCustomXml="next"/>
    <w:sdt>
      <w:sdtPr>
        <w:rPr>
          <w:rFonts w:eastAsiaTheme="minorEastAsia" w:cstheme="minorBidi"/>
          <w:noProof/>
          <w:color w:val="auto"/>
          <w:sz w:val="22"/>
          <w:szCs w:val="21"/>
        </w:rPr>
        <w:id w:val="-912308435"/>
        <w:docPartObj>
          <w:docPartGallery w:val="Table of Contents"/>
          <w:docPartUnique/>
        </w:docPartObj>
      </w:sdtPr>
      <w:sdtEndPr>
        <w:rPr>
          <w:bCs/>
        </w:rPr>
      </w:sdtEndPr>
      <w:sdtContent>
        <w:p w14:paraId="5AC3373D" w14:textId="77777777" w:rsidR="004D10DD" w:rsidRDefault="004D10DD" w:rsidP="004D10DD">
          <w:pPr>
            <w:pStyle w:val="Heading1"/>
            <w:ind w:left="0" w:firstLine="0"/>
          </w:pPr>
          <w:r>
            <w:t>Contents</w:t>
          </w:r>
          <w:bookmarkEnd w:id="4"/>
          <w:bookmarkEnd w:id="3"/>
          <w:bookmarkEnd w:id="2"/>
          <w:bookmarkEnd w:id="1"/>
        </w:p>
        <w:p w14:paraId="0E2B1746" w14:textId="77777777" w:rsidR="00354BBC" w:rsidRDefault="004D10DD">
          <w:pPr>
            <w:pStyle w:val="TOC1"/>
            <w:rPr>
              <w:rFonts w:asciiTheme="minorHAnsi" w:hAnsiTheme="minorHAnsi"/>
              <w:szCs w:val="22"/>
              <w:lang w:eastAsia="en-AU"/>
            </w:rPr>
          </w:pPr>
          <w:r>
            <w:fldChar w:fldCharType="begin"/>
          </w:r>
          <w:r>
            <w:instrText xml:space="preserve"> TOC \o "1-3" \h \z \u </w:instrText>
          </w:r>
          <w:r>
            <w:fldChar w:fldCharType="separate"/>
          </w:r>
          <w:hyperlink w:anchor="_Toc161759643" w:history="1">
            <w:r w:rsidR="00354BBC" w:rsidRPr="006366D2">
              <w:rPr>
                <w:rFonts w:eastAsia="Times New Roman"/>
                <w:b/>
                <w:color w:val="1B375C" w:themeColor="accent1"/>
              </w:rPr>
              <w:t>Contents</w:t>
            </w:r>
            <w:r w:rsidR="00354BBC">
              <w:rPr>
                <w:webHidden/>
              </w:rPr>
              <w:tab/>
            </w:r>
            <w:r w:rsidR="00354BBC">
              <w:rPr>
                <w:webHidden/>
              </w:rPr>
              <w:fldChar w:fldCharType="begin"/>
            </w:r>
            <w:r w:rsidR="00354BBC">
              <w:rPr>
                <w:webHidden/>
              </w:rPr>
              <w:instrText xml:space="preserve"> PAGEREF _Toc161759643 \h </w:instrText>
            </w:r>
            <w:r w:rsidR="00354BBC">
              <w:rPr>
                <w:webHidden/>
              </w:rPr>
            </w:r>
            <w:r w:rsidR="00354BBC">
              <w:rPr>
                <w:webHidden/>
              </w:rPr>
              <w:fldChar w:fldCharType="separate"/>
            </w:r>
            <w:r w:rsidR="00732473">
              <w:rPr>
                <w:webHidden/>
              </w:rPr>
              <w:t>3</w:t>
            </w:r>
            <w:r w:rsidR="00354BBC">
              <w:rPr>
                <w:webHidden/>
              </w:rPr>
              <w:fldChar w:fldCharType="end"/>
            </w:r>
          </w:hyperlink>
        </w:p>
        <w:p w14:paraId="2628926D" w14:textId="77777777" w:rsidR="00354BBC" w:rsidRDefault="00E32F9D">
          <w:pPr>
            <w:pStyle w:val="TOC1"/>
            <w:rPr>
              <w:rFonts w:asciiTheme="minorHAnsi" w:hAnsiTheme="minorHAnsi"/>
              <w:szCs w:val="22"/>
              <w:lang w:eastAsia="en-AU"/>
            </w:rPr>
          </w:pPr>
          <w:hyperlink w:anchor="_Toc161759644" w:history="1">
            <w:r w:rsidR="00354BBC" w:rsidRPr="006366D2">
              <w:rPr>
                <w:rFonts w:eastAsia="Times New Roman"/>
                <w:b/>
                <w:color w:val="1B375C" w:themeColor="accent1"/>
              </w:rPr>
              <w:t>Abbreviations</w:t>
            </w:r>
            <w:r w:rsidR="00354BBC">
              <w:rPr>
                <w:webHidden/>
              </w:rPr>
              <w:tab/>
            </w:r>
            <w:r w:rsidR="00354BBC">
              <w:rPr>
                <w:webHidden/>
              </w:rPr>
              <w:fldChar w:fldCharType="begin"/>
            </w:r>
            <w:r w:rsidR="00354BBC">
              <w:rPr>
                <w:webHidden/>
              </w:rPr>
              <w:instrText xml:space="preserve"> PAGEREF _Toc161759644 \h </w:instrText>
            </w:r>
            <w:r w:rsidR="00354BBC">
              <w:rPr>
                <w:webHidden/>
              </w:rPr>
            </w:r>
            <w:r w:rsidR="00354BBC">
              <w:rPr>
                <w:webHidden/>
              </w:rPr>
              <w:fldChar w:fldCharType="separate"/>
            </w:r>
            <w:r w:rsidR="00732473">
              <w:rPr>
                <w:webHidden/>
              </w:rPr>
              <w:t>5</w:t>
            </w:r>
            <w:r w:rsidR="00354BBC">
              <w:rPr>
                <w:webHidden/>
              </w:rPr>
              <w:fldChar w:fldCharType="end"/>
            </w:r>
          </w:hyperlink>
        </w:p>
        <w:p w14:paraId="7D8629B3" w14:textId="77777777" w:rsidR="00354BBC" w:rsidRDefault="00E32F9D">
          <w:pPr>
            <w:pStyle w:val="TOC1"/>
            <w:rPr>
              <w:rFonts w:asciiTheme="minorHAnsi" w:hAnsiTheme="minorHAnsi"/>
              <w:szCs w:val="22"/>
              <w:lang w:eastAsia="en-AU"/>
            </w:rPr>
          </w:pPr>
          <w:hyperlink w:anchor="_Toc161759645" w:history="1">
            <w:r w:rsidR="00354BBC" w:rsidRPr="00B91C80">
              <w:rPr>
                <w:rStyle w:val="Hyperlink"/>
              </w:rPr>
              <w:t>I</w:t>
            </w:r>
            <w:r w:rsidR="00354BBC" w:rsidRPr="006366D2">
              <w:rPr>
                <w:rFonts w:eastAsia="Times New Roman"/>
                <w:b/>
                <w:color w:val="1B375C" w:themeColor="accent1"/>
              </w:rPr>
              <w:t>ntroduction</w:t>
            </w:r>
            <w:r w:rsidR="00354BBC">
              <w:rPr>
                <w:webHidden/>
              </w:rPr>
              <w:tab/>
            </w:r>
            <w:r w:rsidR="00354BBC">
              <w:rPr>
                <w:webHidden/>
              </w:rPr>
              <w:fldChar w:fldCharType="begin"/>
            </w:r>
            <w:r w:rsidR="00354BBC">
              <w:rPr>
                <w:webHidden/>
              </w:rPr>
              <w:instrText xml:space="preserve"> PAGEREF _Toc161759645 \h </w:instrText>
            </w:r>
            <w:r w:rsidR="00354BBC">
              <w:rPr>
                <w:webHidden/>
              </w:rPr>
            </w:r>
            <w:r w:rsidR="00354BBC">
              <w:rPr>
                <w:webHidden/>
              </w:rPr>
              <w:fldChar w:fldCharType="separate"/>
            </w:r>
            <w:r w:rsidR="00732473">
              <w:rPr>
                <w:webHidden/>
              </w:rPr>
              <w:t>6</w:t>
            </w:r>
            <w:r w:rsidR="00354BBC">
              <w:rPr>
                <w:webHidden/>
              </w:rPr>
              <w:fldChar w:fldCharType="end"/>
            </w:r>
          </w:hyperlink>
        </w:p>
        <w:p w14:paraId="1EFAAA85" w14:textId="77777777" w:rsidR="00354BBC" w:rsidRDefault="00E32F9D">
          <w:pPr>
            <w:pStyle w:val="TOC1"/>
            <w:rPr>
              <w:rFonts w:asciiTheme="minorHAnsi" w:hAnsiTheme="minorHAnsi"/>
              <w:szCs w:val="22"/>
              <w:lang w:eastAsia="en-AU"/>
            </w:rPr>
          </w:pPr>
          <w:hyperlink w:anchor="_Toc161759647" w:history="1">
            <w:r w:rsidR="00354BBC" w:rsidRPr="006366D2">
              <w:rPr>
                <w:rFonts w:eastAsia="Times New Roman"/>
                <w:b/>
                <w:color w:val="1B375C" w:themeColor="accent1"/>
              </w:rPr>
              <w:t>Executive Summary</w:t>
            </w:r>
            <w:r w:rsidR="00354BBC">
              <w:rPr>
                <w:webHidden/>
              </w:rPr>
              <w:tab/>
            </w:r>
            <w:r w:rsidR="00354BBC">
              <w:rPr>
                <w:webHidden/>
              </w:rPr>
              <w:fldChar w:fldCharType="begin"/>
            </w:r>
            <w:r w:rsidR="00354BBC">
              <w:rPr>
                <w:webHidden/>
              </w:rPr>
              <w:instrText xml:space="preserve"> PAGEREF _Toc161759647 \h </w:instrText>
            </w:r>
            <w:r w:rsidR="00354BBC">
              <w:rPr>
                <w:webHidden/>
              </w:rPr>
            </w:r>
            <w:r w:rsidR="00354BBC">
              <w:rPr>
                <w:webHidden/>
              </w:rPr>
              <w:fldChar w:fldCharType="separate"/>
            </w:r>
            <w:r w:rsidR="00732473">
              <w:rPr>
                <w:webHidden/>
              </w:rPr>
              <w:t>7</w:t>
            </w:r>
            <w:r w:rsidR="00354BBC">
              <w:rPr>
                <w:webHidden/>
              </w:rPr>
              <w:fldChar w:fldCharType="end"/>
            </w:r>
          </w:hyperlink>
        </w:p>
        <w:p w14:paraId="116C78C6" w14:textId="77777777" w:rsidR="00354BBC" w:rsidRDefault="00E32F9D">
          <w:pPr>
            <w:pStyle w:val="TOC1"/>
            <w:tabs>
              <w:tab w:val="left" w:pos="440"/>
            </w:tabs>
            <w:rPr>
              <w:rFonts w:asciiTheme="minorHAnsi" w:hAnsiTheme="minorHAnsi"/>
              <w:szCs w:val="22"/>
              <w:lang w:eastAsia="en-AU"/>
            </w:rPr>
          </w:pPr>
          <w:hyperlink w:anchor="_Toc161759648" w:history="1">
            <w:r w:rsidR="00354BBC" w:rsidRPr="006366D2">
              <w:rPr>
                <w:rFonts w:eastAsia="Times New Roman"/>
                <w:b/>
                <w:color w:val="1B375C" w:themeColor="accent1"/>
              </w:rPr>
              <w:t>1</w:t>
            </w:r>
            <w:r w:rsidR="00354BBC" w:rsidRPr="006366D2">
              <w:rPr>
                <w:rFonts w:eastAsia="Times New Roman"/>
                <w:b/>
                <w:color w:val="1B375C" w:themeColor="accent1"/>
              </w:rPr>
              <w:tab/>
              <w:t xml:space="preserve"> Defining the policy problem</w:t>
            </w:r>
            <w:r w:rsidR="00354BBC">
              <w:rPr>
                <w:webHidden/>
              </w:rPr>
              <w:tab/>
            </w:r>
            <w:r w:rsidR="00354BBC">
              <w:rPr>
                <w:webHidden/>
              </w:rPr>
              <w:fldChar w:fldCharType="begin"/>
            </w:r>
            <w:r w:rsidR="00354BBC">
              <w:rPr>
                <w:webHidden/>
              </w:rPr>
              <w:instrText xml:space="preserve"> PAGEREF _Toc161759648 \h </w:instrText>
            </w:r>
            <w:r w:rsidR="00354BBC">
              <w:rPr>
                <w:webHidden/>
              </w:rPr>
            </w:r>
            <w:r w:rsidR="00354BBC">
              <w:rPr>
                <w:webHidden/>
              </w:rPr>
              <w:fldChar w:fldCharType="separate"/>
            </w:r>
            <w:r w:rsidR="00732473">
              <w:rPr>
                <w:webHidden/>
              </w:rPr>
              <w:t>11</w:t>
            </w:r>
            <w:r w:rsidR="00354BBC">
              <w:rPr>
                <w:webHidden/>
              </w:rPr>
              <w:fldChar w:fldCharType="end"/>
            </w:r>
          </w:hyperlink>
        </w:p>
        <w:p w14:paraId="09621036" w14:textId="77777777" w:rsidR="00354BBC" w:rsidRDefault="00E32F9D">
          <w:pPr>
            <w:pStyle w:val="TOC2"/>
            <w:rPr>
              <w:rFonts w:asciiTheme="minorHAnsi" w:hAnsiTheme="minorHAnsi"/>
              <w:noProof/>
              <w:szCs w:val="22"/>
              <w:lang w:eastAsia="en-AU"/>
            </w:rPr>
          </w:pPr>
          <w:hyperlink w:anchor="_Toc161759649" w:history="1">
            <w:r w:rsidR="00354BBC" w:rsidRPr="00B91C80">
              <w:rPr>
                <w:rStyle w:val="Hyperlink"/>
                <w:noProof/>
              </w:rPr>
              <w:t>1.1 Affected energy workers and workforce</w:t>
            </w:r>
            <w:r w:rsidR="00354BBC">
              <w:rPr>
                <w:noProof/>
                <w:webHidden/>
              </w:rPr>
              <w:tab/>
            </w:r>
            <w:r w:rsidR="00354BBC">
              <w:rPr>
                <w:noProof/>
                <w:webHidden/>
              </w:rPr>
              <w:fldChar w:fldCharType="begin"/>
            </w:r>
            <w:r w:rsidR="00354BBC">
              <w:rPr>
                <w:noProof/>
                <w:webHidden/>
              </w:rPr>
              <w:instrText xml:space="preserve"> PAGEREF _Toc161759649 \h </w:instrText>
            </w:r>
            <w:r w:rsidR="00354BBC">
              <w:rPr>
                <w:noProof/>
                <w:webHidden/>
              </w:rPr>
            </w:r>
            <w:r w:rsidR="00354BBC">
              <w:rPr>
                <w:noProof/>
                <w:webHidden/>
              </w:rPr>
              <w:fldChar w:fldCharType="separate"/>
            </w:r>
            <w:r w:rsidR="00732473">
              <w:rPr>
                <w:noProof/>
                <w:webHidden/>
              </w:rPr>
              <w:t>11</w:t>
            </w:r>
            <w:r w:rsidR="00354BBC">
              <w:rPr>
                <w:noProof/>
                <w:webHidden/>
              </w:rPr>
              <w:fldChar w:fldCharType="end"/>
            </w:r>
          </w:hyperlink>
        </w:p>
        <w:p w14:paraId="121497A6" w14:textId="77777777" w:rsidR="00354BBC" w:rsidRDefault="00E32F9D" w:rsidP="00275325">
          <w:pPr>
            <w:pStyle w:val="TOC2"/>
            <w:rPr>
              <w:rFonts w:asciiTheme="minorHAnsi" w:hAnsiTheme="minorHAnsi"/>
              <w:noProof/>
              <w:szCs w:val="22"/>
              <w:lang w:eastAsia="en-AU"/>
            </w:rPr>
          </w:pPr>
          <w:hyperlink w:anchor="_Toc161759653" w:history="1">
            <w:r w:rsidR="00354BBC" w:rsidRPr="00B91C80">
              <w:rPr>
                <w:rStyle w:val="Hyperlink"/>
                <w:noProof/>
              </w:rPr>
              <w:t>1.2 Impacts of closures on communities and regions</w:t>
            </w:r>
            <w:r w:rsidR="00354BBC">
              <w:rPr>
                <w:noProof/>
                <w:webHidden/>
              </w:rPr>
              <w:tab/>
            </w:r>
            <w:r w:rsidR="00354BBC">
              <w:rPr>
                <w:noProof/>
                <w:webHidden/>
              </w:rPr>
              <w:fldChar w:fldCharType="begin"/>
            </w:r>
            <w:r w:rsidR="00354BBC">
              <w:rPr>
                <w:noProof/>
                <w:webHidden/>
              </w:rPr>
              <w:instrText xml:space="preserve"> PAGEREF _Toc161759653 \h </w:instrText>
            </w:r>
            <w:r w:rsidR="00354BBC">
              <w:rPr>
                <w:noProof/>
                <w:webHidden/>
              </w:rPr>
            </w:r>
            <w:r w:rsidR="00354BBC">
              <w:rPr>
                <w:noProof/>
                <w:webHidden/>
              </w:rPr>
              <w:fldChar w:fldCharType="separate"/>
            </w:r>
            <w:r w:rsidR="00732473">
              <w:rPr>
                <w:noProof/>
                <w:webHidden/>
              </w:rPr>
              <w:t>14</w:t>
            </w:r>
            <w:r w:rsidR="00354BBC">
              <w:rPr>
                <w:noProof/>
                <w:webHidden/>
              </w:rPr>
              <w:fldChar w:fldCharType="end"/>
            </w:r>
          </w:hyperlink>
        </w:p>
        <w:p w14:paraId="3B0A7F57" w14:textId="77777777" w:rsidR="00354BBC" w:rsidRDefault="00E32F9D" w:rsidP="00275325">
          <w:pPr>
            <w:pStyle w:val="TOC2"/>
            <w:rPr>
              <w:rFonts w:asciiTheme="minorHAnsi" w:hAnsiTheme="minorHAnsi"/>
              <w:noProof/>
              <w:szCs w:val="22"/>
              <w:lang w:eastAsia="en-AU"/>
            </w:rPr>
          </w:pPr>
          <w:hyperlink w:anchor="_Toc161759655" w:history="1">
            <w:r w:rsidR="00354BBC" w:rsidRPr="00B91C80">
              <w:rPr>
                <w:rStyle w:val="Hyperlink"/>
                <w:noProof/>
              </w:rPr>
              <w:t>1.3 Existing supports for workers at closing power stations and associated mines</w:t>
            </w:r>
            <w:r w:rsidR="00354BBC">
              <w:rPr>
                <w:noProof/>
                <w:webHidden/>
              </w:rPr>
              <w:tab/>
            </w:r>
            <w:r w:rsidR="00354BBC">
              <w:rPr>
                <w:noProof/>
                <w:webHidden/>
              </w:rPr>
              <w:fldChar w:fldCharType="begin"/>
            </w:r>
            <w:r w:rsidR="00354BBC">
              <w:rPr>
                <w:noProof/>
                <w:webHidden/>
              </w:rPr>
              <w:instrText xml:space="preserve"> PAGEREF _Toc161759655 \h </w:instrText>
            </w:r>
            <w:r w:rsidR="00354BBC">
              <w:rPr>
                <w:noProof/>
                <w:webHidden/>
              </w:rPr>
            </w:r>
            <w:r w:rsidR="00354BBC">
              <w:rPr>
                <w:noProof/>
                <w:webHidden/>
              </w:rPr>
              <w:fldChar w:fldCharType="separate"/>
            </w:r>
            <w:r w:rsidR="00732473">
              <w:rPr>
                <w:noProof/>
                <w:webHidden/>
              </w:rPr>
              <w:t>17</w:t>
            </w:r>
            <w:r w:rsidR="00354BBC">
              <w:rPr>
                <w:noProof/>
                <w:webHidden/>
              </w:rPr>
              <w:fldChar w:fldCharType="end"/>
            </w:r>
          </w:hyperlink>
        </w:p>
        <w:p w14:paraId="1CC403C0" w14:textId="77777777" w:rsidR="00354BBC" w:rsidRDefault="00E32F9D">
          <w:pPr>
            <w:pStyle w:val="TOC2"/>
            <w:rPr>
              <w:rFonts w:asciiTheme="minorHAnsi" w:hAnsiTheme="minorHAnsi"/>
              <w:noProof/>
              <w:szCs w:val="22"/>
              <w:lang w:eastAsia="en-AU"/>
            </w:rPr>
          </w:pPr>
          <w:hyperlink w:anchor="_Toc161759659" w:history="1">
            <w:r w:rsidR="00354BBC" w:rsidRPr="00B91C80">
              <w:rPr>
                <w:rStyle w:val="Hyperlink"/>
                <w:noProof/>
              </w:rPr>
              <w:t>1.4 Workforce planning, skills and training</w:t>
            </w:r>
            <w:r w:rsidR="00354BBC">
              <w:rPr>
                <w:noProof/>
                <w:webHidden/>
              </w:rPr>
              <w:tab/>
            </w:r>
            <w:r w:rsidR="00354BBC">
              <w:rPr>
                <w:noProof/>
                <w:webHidden/>
              </w:rPr>
              <w:fldChar w:fldCharType="begin"/>
            </w:r>
            <w:r w:rsidR="00354BBC">
              <w:rPr>
                <w:noProof/>
                <w:webHidden/>
              </w:rPr>
              <w:instrText xml:space="preserve"> PAGEREF _Toc161759659 \h </w:instrText>
            </w:r>
            <w:r w:rsidR="00354BBC">
              <w:rPr>
                <w:noProof/>
                <w:webHidden/>
              </w:rPr>
            </w:r>
            <w:r w:rsidR="00354BBC">
              <w:rPr>
                <w:noProof/>
                <w:webHidden/>
              </w:rPr>
              <w:fldChar w:fldCharType="separate"/>
            </w:r>
            <w:r w:rsidR="00732473">
              <w:rPr>
                <w:noProof/>
                <w:webHidden/>
              </w:rPr>
              <w:t>20</w:t>
            </w:r>
            <w:r w:rsidR="00354BBC">
              <w:rPr>
                <w:noProof/>
                <w:webHidden/>
              </w:rPr>
              <w:fldChar w:fldCharType="end"/>
            </w:r>
          </w:hyperlink>
        </w:p>
        <w:p w14:paraId="26D099BE" w14:textId="77777777" w:rsidR="00354BBC" w:rsidRDefault="00E32F9D">
          <w:pPr>
            <w:pStyle w:val="TOC2"/>
            <w:rPr>
              <w:rFonts w:asciiTheme="minorHAnsi" w:hAnsiTheme="minorHAnsi"/>
              <w:noProof/>
              <w:szCs w:val="22"/>
              <w:lang w:eastAsia="en-AU"/>
            </w:rPr>
          </w:pPr>
          <w:hyperlink w:anchor="_Toc161759661" w:history="1">
            <w:r w:rsidR="00354BBC" w:rsidRPr="00B91C80">
              <w:rPr>
                <w:rStyle w:val="Hyperlink"/>
                <w:noProof/>
              </w:rPr>
              <w:t>1.5 Availability of data and literature to inform impact analysis</w:t>
            </w:r>
            <w:r w:rsidR="00354BBC">
              <w:rPr>
                <w:noProof/>
                <w:webHidden/>
              </w:rPr>
              <w:tab/>
            </w:r>
            <w:r w:rsidR="00354BBC">
              <w:rPr>
                <w:noProof/>
                <w:webHidden/>
              </w:rPr>
              <w:fldChar w:fldCharType="begin"/>
            </w:r>
            <w:r w:rsidR="00354BBC">
              <w:rPr>
                <w:noProof/>
                <w:webHidden/>
              </w:rPr>
              <w:instrText xml:space="preserve"> PAGEREF _Toc161759661 \h </w:instrText>
            </w:r>
            <w:r w:rsidR="00354BBC">
              <w:rPr>
                <w:noProof/>
                <w:webHidden/>
              </w:rPr>
            </w:r>
            <w:r w:rsidR="00354BBC">
              <w:rPr>
                <w:noProof/>
                <w:webHidden/>
              </w:rPr>
              <w:fldChar w:fldCharType="separate"/>
            </w:r>
            <w:r w:rsidR="00732473">
              <w:rPr>
                <w:noProof/>
                <w:webHidden/>
              </w:rPr>
              <w:t>22</w:t>
            </w:r>
            <w:r w:rsidR="00354BBC">
              <w:rPr>
                <w:noProof/>
                <w:webHidden/>
              </w:rPr>
              <w:fldChar w:fldCharType="end"/>
            </w:r>
          </w:hyperlink>
        </w:p>
        <w:p w14:paraId="2BA6E252" w14:textId="77777777" w:rsidR="00354BBC" w:rsidRDefault="00E32F9D">
          <w:pPr>
            <w:pStyle w:val="TOC1"/>
            <w:tabs>
              <w:tab w:val="left" w:pos="440"/>
            </w:tabs>
            <w:rPr>
              <w:rFonts w:asciiTheme="minorHAnsi" w:hAnsiTheme="minorHAnsi"/>
              <w:szCs w:val="22"/>
              <w:lang w:eastAsia="en-AU"/>
            </w:rPr>
          </w:pPr>
          <w:hyperlink w:anchor="_Toc161759662" w:history="1">
            <w:r w:rsidR="00354BBC" w:rsidRPr="006366D2">
              <w:rPr>
                <w:rFonts w:eastAsia="Times New Roman"/>
                <w:b/>
                <w:color w:val="1B375C" w:themeColor="accent1"/>
              </w:rPr>
              <w:t>2</w:t>
            </w:r>
            <w:r w:rsidR="00354BBC" w:rsidRPr="006366D2">
              <w:rPr>
                <w:rFonts w:eastAsia="Times New Roman"/>
                <w:b/>
                <w:color w:val="1B375C" w:themeColor="accent1"/>
              </w:rPr>
              <w:tab/>
              <w:t>The need for government action to support worker transition</w:t>
            </w:r>
            <w:r w:rsidR="00354BBC">
              <w:rPr>
                <w:webHidden/>
              </w:rPr>
              <w:tab/>
            </w:r>
            <w:r w:rsidR="00354BBC">
              <w:rPr>
                <w:webHidden/>
              </w:rPr>
              <w:fldChar w:fldCharType="begin"/>
            </w:r>
            <w:r w:rsidR="00354BBC">
              <w:rPr>
                <w:webHidden/>
              </w:rPr>
              <w:instrText xml:space="preserve"> PAGEREF _Toc161759662 \h </w:instrText>
            </w:r>
            <w:r w:rsidR="00354BBC">
              <w:rPr>
                <w:webHidden/>
              </w:rPr>
            </w:r>
            <w:r w:rsidR="00354BBC">
              <w:rPr>
                <w:webHidden/>
              </w:rPr>
              <w:fldChar w:fldCharType="separate"/>
            </w:r>
            <w:r w:rsidR="00732473">
              <w:rPr>
                <w:webHidden/>
              </w:rPr>
              <w:t>24</w:t>
            </w:r>
            <w:r w:rsidR="00354BBC">
              <w:rPr>
                <w:webHidden/>
              </w:rPr>
              <w:fldChar w:fldCharType="end"/>
            </w:r>
          </w:hyperlink>
        </w:p>
        <w:p w14:paraId="3C452487" w14:textId="77777777" w:rsidR="00354BBC" w:rsidRDefault="00E32F9D">
          <w:pPr>
            <w:pStyle w:val="TOC2"/>
            <w:rPr>
              <w:rFonts w:asciiTheme="minorHAnsi" w:hAnsiTheme="minorHAnsi"/>
              <w:noProof/>
              <w:szCs w:val="22"/>
              <w:lang w:eastAsia="en-AU"/>
            </w:rPr>
          </w:pPr>
          <w:hyperlink w:anchor="_Toc161759663" w:history="1">
            <w:r w:rsidR="00354BBC" w:rsidRPr="00B91C80">
              <w:rPr>
                <w:rStyle w:val="Hyperlink"/>
                <w:noProof/>
              </w:rPr>
              <w:t>2.1 Rationale for government intervention</w:t>
            </w:r>
            <w:r w:rsidR="00354BBC">
              <w:rPr>
                <w:noProof/>
                <w:webHidden/>
              </w:rPr>
              <w:tab/>
            </w:r>
            <w:r w:rsidR="00354BBC">
              <w:rPr>
                <w:noProof/>
                <w:webHidden/>
              </w:rPr>
              <w:fldChar w:fldCharType="begin"/>
            </w:r>
            <w:r w:rsidR="00354BBC">
              <w:rPr>
                <w:noProof/>
                <w:webHidden/>
              </w:rPr>
              <w:instrText xml:space="preserve"> PAGEREF _Toc161759663 \h </w:instrText>
            </w:r>
            <w:r w:rsidR="00354BBC">
              <w:rPr>
                <w:noProof/>
                <w:webHidden/>
              </w:rPr>
            </w:r>
            <w:r w:rsidR="00354BBC">
              <w:rPr>
                <w:noProof/>
                <w:webHidden/>
              </w:rPr>
              <w:fldChar w:fldCharType="separate"/>
            </w:r>
            <w:r w:rsidR="00732473">
              <w:rPr>
                <w:noProof/>
                <w:webHidden/>
              </w:rPr>
              <w:t>24</w:t>
            </w:r>
            <w:r w:rsidR="00354BBC">
              <w:rPr>
                <w:noProof/>
                <w:webHidden/>
              </w:rPr>
              <w:fldChar w:fldCharType="end"/>
            </w:r>
          </w:hyperlink>
        </w:p>
        <w:p w14:paraId="4397267C" w14:textId="77777777" w:rsidR="00354BBC" w:rsidRDefault="00E32F9D">
          <w:pPr>
            <w:pStyle w:val="TOC2"/>
            <w:rPr>
              <w:rFonts w:asciiTheme="minorHAnsi" w:hAnsiTheme="minorHAnsi"/>
              <w:noProof/>
              <w:szCs w:val="22"/>
              <w:lang w:eastAsia="en-AU"/>
            </w:rPr>
          </w:pPr>
          <w:hyperlink w:anchor="_Toc161759669" w:history="1">
            <w:r w:rsidR="00354BBC" w:rsidRPr="00B91C80">
              <w:rPr>
                <w:rStyle w:val="Hyperlink"/>
                <w:noProof/>
              </w:rPr>
              <w:t>2.2 Objectives of policy responses to support workers in closing facilities</w:t>
            </w:r>
            <w:r w:rsidR="00354BBC">
              <w:rPr>
                <w:noProof/>
                <w:webHidden/>
              </w:rPr>
              <w:tab/>
            </w:r>
            <w:r w:rsidR="00354BBC">
              <w:rPr>
                <w:noProof/>
                <w:webHidden/>
              </w:rPr>
              <w:fldChar w:fldCharType="begin"/>
            </w:r>
            <w:r w:rsidR="00354BBC">
              <w:rPr>
                <w:noProof/>
                <w:webHidden/>
              </w:rPr>
              <w:instrText xml:space="preserve"> PAGEREF _Toc161759669 \h </w:instrText>
            </w:r>
            <w:r w:rsidR="00354BBC">
              <w:rPr>
                <w:noProof/>
                <w:webHidden/>
              </w:rPr>
            </w:r>
            <w:r w:rsidR="00354BBC">
              <w:rPr>
                <w:noProof/>
                <w:webHidden/>
              </w:rPr>
              <w:fldChar w:fldCharType="separate"/>
            </w:r>
            <w:r w:rsidR="00732473">
              <w:rPr>
                <w:noProof/>
                <w:webHidden/>
              </w:rPr>
              <w:t>27</w:t>
            </w:r>
            <w:r w:rsidR="00354BBC">
              <w:rPr>
                <w:noProof/>
                <w:webHidden/>
              </w:rPr>
              <w:fldChar w:fldCharType="end"/>
            </w:r>
          </w:hyperlink>
        </w:p>
        <w:p w14:paraId="18AC3BEA" w14:textId="77777777" w:rsidR="00354BBC" w:rsidRDefault="00E32F9D">
          <w:pPr>
            <w:pStyle w:val="TOC1"/>
            <w:tabs>
              <w:tab w:val="left" w:pos="440"/>
            </w:tabs>
            <w:rPr>
              <w:rFonts w:asciiTheme="minorHAnsi" w:hAnsiTheme="minorHAnsi"/>
              <w:szCs w:val="22"/>
              <w:lang w:eastAsia="en-AU"/>
            </w:rPr>
          </w:pPr>
          <w:hyperlink w:anchor="_Toc161759671" w:history="1">
            <w:r w:rsidR="00354BBC" w:rsidRPr="006366D2">
              <w:rPr>
                <w:rFonts w:eastAsia="Times New Roman"/>
                <w:b/>
                <w:color w:val="1B375C" w:themeColor="accent1"/>
              </w:rPr>
              <w:t>3</w:t>
            </w:r>
            <w:r w:rsidR="00354BBC" w:rsidRPr="006366D2">
              <w:rPr>
                <w:rFonts w:eastAsia="Times New Roman"/>
                <w:b/>
                <w:color w:val="1B375C" w:themeColor="accent1"/>
              </w:rPr>
              <w:tab/>
              <w:t xml:space="preserve"> Policy options for consideration</w:t>
            </w:r>
            <w:r w:rsidR="00354BBC">
              <w:rPr>
                <w:webHidden/>
              </w:rPr>
              <w:tab/>
            </w:r>
            <w:r w:rsidR="00354BBC">
              <w:rPr>
                <w:webHidden/>
              </w:rPr>
              <w:fldChar w:fldCharType="begin"/>
            </w:r>
            <w:r w:rsidR="00354BBC">
              <w:rPr>
                <w:webHidden/>
              </w:rPr>
              <w:instrText xml:space="preserve"> PAGEREF _Toc161759671 \h </w:instrText>
            </w:r>
            <w:r w:rsidR="00354BBC">
              <w:rPr>
                <w:webHidden/>
              </w:rPr>
            </w:r>
            <w:r w:rsidR="00354BBC">
              <w:rPr>
                <w:webHidden/>
              </w:rPr>
              <w:fldChar w:fldCharType="separate"/>
            </w:r>
            <w:r w:rsidR="00732473">
              <w:rPr>
                <w:webHidden/>
              </w:rPr>
              <w:t>29</w:t>
            </w:r>
            <w:r w:rsidR="00354BBC">
              <w:rPr>
                <w:webHidden/>
              </w:rPr>
              <w:fldChar w:fldCharType="end"/>
            </w:r>
          </w:hyperlink>
        </w:p>
        <w:p w14:paraId="228343D2" w14:textId="77777777" w:rsidR="00354BBC" w:rsidRDefault="00E32F9D">
          <w:pPr>
            <w:pStyle w:val="TOC2"/>
            <w:rPr>
              <w:rFonts w:asciiTheme="minorHAnsi" w:hAnsiTheme="minorHAnsi"/>
              <w:noProof/>
              <w:szCs w:val="22"/>
              <w:lang w:eastAsia="en-AU"/>
            </w:rPr>
          </w:pPr>
          <w:hyperlink w:anchor="_Toc161759672" w:history="1">
            <w:r w:rsidR="00354BBC" w:rsidRPr="00B91C80">
              <w:rPr>
                <w:rStyle w:val="Hyperlink"/>
                <w:noProof/>
              </w:rPr>
              <w:t>3.1 Overview of potential policy responses</w:t>
            </w:r>
            <w:r w:rsidR="00354BBC">
              <w:rPr>
                <w:noProof/>
                <w:webHidden/>
              </w:rPr>
              <w:tab/>
            </w:r>
            <w:r w:rsidR="00354BBC">
              <w:rPr>
                <w:noProof/>
                <w:webHidden/>
              </w:rPr>
              <w:fldChar w:fldCharType="begin"/>
            </w:r>
            <w:r w:rsidR="00354BBC">
              <w:rPr>
                <w:noProof/>
                <w:webHidden/>
              </w:rPr>
              <w:instrText xml:space="preserve"> PAGEREF _Toc161759672 \h </w:instrText>
            </w:r>
            <w:r w:rsidR="00354BBC">
              <w:rPr>
                <w:noProof/>
                <w:webHidden/>
              </w:rPr>
            </w:r>
            <w:r w:rsidR="00354BBC">
              <w:rPr>
                <w:noProof/>
                <w:webHidden/>
              </w:rPr>
              <w:fldChar w:fldCharType="separate"/>
            </w:r>
            <w:r w:rsidR="00732473">
              <w:rPr>
                <w:noProof/>
                <w:webHidden/>
              </w:rPr>
              <w:t>29</w:t>
            </w:r>
            <w:r w:rsidR="00354BBC">
              <w:rPr>
                <w:noProof/>
                <w:webHidden/>
              </w:rPr>
              <w:fldChar w:fldCharType="end"/>
            </w:r>
          </w:hyperlink>
        </w:p>
        <w:p w14:paraId="20CD9187" w14:textId="77777777" w:rsidR="00354BBC" w:rsidRDefault="00E32F9D">
          <w:pPr>
            <w:pStyle w:val="TOC2"/>
            <w:rPr>
              <w:rFonts w:asciiTheme="minorHAnsi" w:hAnsiTheme="minorHAnsi"/>
              <w:noProof/>
              <w:szCs w:val="22"/>
              <w:lang w:eastAsia="en-AU"/>
            </w:rPr>
          </w:pPr>
          <w:hyperlink w:anchor="_Toc161759673" w:history="1">
            <w:r w:rsidR="00354BBC" w:rsidRPr="00B91C80">
              <w:rPr>
                <w:rStyle w:val="Hyperlink"/>
                <w:noProof/>
              </w:rPr>
              <w:t>3.2 Scoping policy options for this impact analysis</w:t>
            </w:r>
            <w:r w:rsidR="00354BBC">
              <w:rPr>
                <w:noProof/>
                <w:webHidden/>
              </w:rPr>
              <w:tab/>
            </w:r>
            <w:r w:rsidR="00354BBC">
              <w:rPr>
                <w:noProof/>
                <w:webHidden/>
              </w:rPr>
              <w:fldChar w:fldCharType="begin"/>
            </w:r>
            <w:r w:rsidR="00354BBC">
              <w:rPr>
                <w:noProof/>
                <w:webHidden/>
              </w:rPr>
              <w:instrText xml:space="preserve"> PAGEREF _Toc161759673 \h </w:instrText>
            </w:r>
            <w:r w:rsidR="00354BBC">
              <w:rPr>
                <w:noProof/>
                <w:webHidden/>
              </w:rPr>
            </w:r>
            <w:r w:rsidR="00354BBC">
              <w:rPr>
                <w:noProof/>
                <w:webHidden/>
              </w:rPr>
              <w:fldChar w:fldCharType="separate"/>
            </w:r>
            <w:r w:rsidR="00732473">
              <w:rPr>
                <w:noProof/>
                <w:webHidden/>
              </w:rPr>
              <w:t>30</w:t>
            </w:r>
            <w:r w:rsidR="00354BBC">
              <w:rPr>
                <w:noProof/>
                <w:webHidden/>
              </w:rPr>
              <w:fldChar w:fldCharType="end"/>
            </w:r>
          </w:hyperlink>
        </w:p>
        <w:p w14:paraId="0954B167" w14:textId="77777777" w:rsidR="00354BBC" w:rsidRDefault="00E32F9D">
          <w:pPr>
            <w:pStyle w:val="TOC2"/>
            <w:rPr>
              <w:rFonts w:asciiTheme="minorHAnsi" w:hAnsiTheme="minorHAnsi"/>
              <w:noProof/>
              <w:szCs w:val="22"/>
              <w:lang w:eastAsia="en-AU"/>
            </w:rPr>
          </w:pPr>
          <w:hyperlink w:anchor="_Toc161759675" w:history="1">
            <w:r w:rsidR="00354BBC" w:rsidRPr="00B91C80">
              <w:rPr>
                <w:rStyle w:val="Hyperlink"/>
                <w:noProof/>
              </w:rPr>
              <w:t>3.3 Option 1 – Rely on existing labour market conditions and supports (status quo case)</w:t>
            </w:r>
            <w:r w:rsidR="00354BBC">
              <w:rPr>
                <w:noProof/>
                <w:webHidden/>
              </w:rPr>
              <w:tab/>
            </w:r>
            <w:r w:rsidR="00354BBC">
              <w:rPr>
                <w:noProof/>
                <w:webHidden/>
              </w:rPr>
              <w:fldChar w:fldCharType="begin"/>
            </w:r>
            <w:r w:rsidR="00354BBC">
              <w:rPr>
                <w:noProof/>
                <w:webHidden/>
              </w:rPr>
              <w:instrText xml:space="preserve"> PAGEREF _Toc161759675 \h </w:instrText>
            </w:r>
            <w:r w:rsidR="00354BBC">
              <w:rPr>
                <w:noProof/>
                <w:webHidden/>
              </w:rPr>
            </w:r>
            <w:r w:rsidR="00354BBC">
              <w:rPr>
                <w:noProof/>
                <w:webHidden/>
              </w:rPr>
              <w:fldChar w:fldCharType="separate"/>
            </w:r>
            <w:r w:rsidR="00732473">
              <w:rPr>
                <w:noProof/>
                <w:webHidden/>
              </w:rPr>
              <w:t>31</w:t>
            </w:r>
            <w:r w:rsidR="00354BBC">
              <w:rPr>
                <w:noProof/>
                <w:webHidden/>
              </w:rPr>
              <w:fldChar w:fldCharType="end"/>
            </w:r>
          </w:hyperlink>
        </w:p>
        <w:p w14:paraId="1126693A" w14:textId="77777777" w:rsidR="00354BBC" w:rsidRDefault="00E32F9D">
          <w:pPr>
            <w:pStyle w:val="TOC2"/>
            <w:rPr>
              <w:rFonts w:asciiTheme="minorHAnsi" w:hAnsiTheme="minorHAnsi"/>
              <w:noProof/>
              <w:szCs w:val="22"/>
              <w:lang w:eastAsia="en-AU"/>
            </w:rPr>
          </w:pPr>
          <w:hyperlink w:anchor="_Toc161759676" w:history="1">
            <w:r w:rsidR="00354BBC" w:rsidRPr="00B91C80">
              <w:rPr>
                <w:rStyle w:val="Hyperlink"/>
                <w:noProof/>
              </w:rPr>
              <w:t>3.4 Option 2 – Pooled redeployment arrangements</w:t>
            </w:r>
            <w:r w:rsidR="00354BBC">
              <w:rPr>
                <w:noProof/>
                <w:webHidden/>
              </w:rPr>
              <w:tab/>
            </w:r>
            <w:r w:rsidR="00354BBC">
              <w:rPr>
                <w:noProof/>
                <w:webHidden/>
              </w:rPr>
              <w:fldChar w:fldCharType="begin"/>
            </w:r>
            <w:r w:rsidR="00354BBC">
              <w:rPr>
                <w:noProof/>
                <w:webHidden/>
              </w:rPr>
              <w:instrText xml:space="preserve"> PAGEREF _Toc161759676 \h </w:instrText>
            </w:r>
            <w:r w:rsidR="00354BBC">
              <w:rPr>
                <w:noProof/>
                <w:webHidden/>
              </w:rPr>
            </w:r>
            <w:r w:rsidR="00354BBC">
              <w:rPr>
                <w:noProof/>
                <w:webHidden/>
              </w:rPr>
              <w:fldChar w:fldCharType="separate"/>
            </w:r>
            <w:r w:rsidR="00732473">
              <w:rPr>
                <w:noProof/>
                <w:webHidden/>
              </w:rPr>
              <w:t>32</w:t>
            </w:r>
            <w:r w:rsidR="00354BBC">
              <w:rPr>
                <w:noProof/>
                <w:webHidden/>
              </w:rPr>
              <w:fldChar w:fldCharType="end"/>
            </w:r>
          </w:hyperlink>
        </w:p>
        <w:p w14:paraId="099FA160" w14:textId="77777777" w:rsidR="00354BBC" w:rsidRDefault="00E32F9D" w:rsidP="00275325">
          <w:pPr>
            <w:pStyle w:val="TOC2"/>
            <w:rPr>
              <w:rFonts w:asciiTheme="minorHAnsi" w:hAnsiTheme="minorHAnsi"/>
              <w:noProof/>
              <w:szCs w:val="22"/>
              <w:lang w:eastAsia="en-AU"/>
            </w:rPr>
          </w:pPr>
          <w:hyperlink w:anchor="_Toc161759683" w:history="1">
            <w:r w:rsidR="00354BBC" w:rsidRPr="00B91C80">
              <w:rPr>
                <w:rStyle w:val="Hyperlink"/>
                <w:noProof/>
              </w:rPr>
              <w:t>3.5 Option 3 – Pooled redeployment arrangements with a legislated framework and mandated employer supports</w:t>
            </w:r>
            <w:r w:rsidR="00354BBC">
              <w:rPr>
                <w:noProof/>
                <w:webHidden/>
              </w:rPr>
              <w:tab/>
            </w:r>
            <w:r w:rsidR="00354BBC">
              <w:rPr>
                <w:noProof/>
                <w:webHidden/>
              </w:rPr>
              <w:fldChar w:fldCharType="begin"/>
            </w:r>
            <w:r w:rsidR="00354BBC">
              <w:rPr>
                <w:noProof/>
                <w:webHidden/>
              </w:rPr>
              <w:instrText xml:space="preserve"> PAGEREF _Toc161759683 \h </w:instrText>
            </w:r>
            <w:r w:rsidR="00354BBC">
              <w:rPr>
                <w:noProof/>
                <w:webHidden/>
              </w:rPr>
            </w:r>
            <w:r w:rsidR="00354BBC">
              <w:rPr>
                <w:noProof/>
                <w:webHidden/>
              </w:rPr>
              <w:fldChar w:fldCharType="separate"/>
            </w:r>
            <w:r w:rsidR="00732473">
              <w:rPr>
                <w:noProof/>
                <w:webHidden/>
              </w:rPr>
              <w:t>35</w:t>
            </w:r>
            <w:r w:rsidR="00354BBC">
              <w:rPr>
                <w:noProof/>
                <w:webHidden/>
              </w:rPr>
              <w:fldChar w:fldCharType="end"/>
            </w:r>
          </w:hyperlink>
        </w:p>
        <w:p w14:paraId="4BFEA868" w14:textId="77777777" w:rsidR="00354BBC" w:rsidRDefault="00E32F9D">
          <w:pPr>
            <w:pStyle w:val="TOC2"/>
            <w:rPr>
              <w:rFonts w:asciiTheme="minorHAnsi" w:hAnsiTheme="minorHAnsi"/>
              <w:noProof/>
              <w:szCs w:val="22"/>
              <w:lang w:eastAsia="en-AU"/>
            </w:rPr>
          </w:pPr>
          <w:hyperlink w:anchor="_Toc161759688" w:history="1">
            <w:r w:rsidR="00354BBC" w:rsidRPr="00B91C80">
              <w:rPr>
                <w:rStyle w:val="Hyperlink"/>
                <w:noProof/>
              </w:rPr>
              <w:t>3.6 Consideration of alternate policy parameters</w:t>
            </w:r>
            <w:r w:rsidR="00354BBC">
              <w:rPr>
                <w:noProof/>
                <w:webHidden/>
              </w:rPr>
              <w:tab/>
            </w:r>
            <w:r w:rsidR="00354BBC">
              <w:rPr>
                <w:noProof/>
                <w:webHidden/>
              </w:rPr>
              <w:fldChar w:fldCharType="begin"/>
            </w:r>
            <w:r w:rsidR="00354BBC">
              <w:rPr>
                <w:noProof/>
                <w:webHidden/>
              </w:rPr>
              <w:instrText xml:space="preserve"> PAGEREF _Toc161759688 \h </w:instrText>
            </w:r>
            <w:r w:rsidR="00354BBC">
              <w:rPr>
                <w:noProof/>
                <w:webHidden/>
              </w:rPr>
            </w:r>
            <w:r w:rsidR="00354BBC">
              <w:rPr>
                <w:noProof/>
                <w:webHidden/>
              </w:rPr>
              <w:fldChar w:fldCharType="separate"/>
            </w:r>
            <w:r w:rsidR="00732473">
              <w:rPr>
                <w:noProof/>
                <w:webHidden/>
              </w:rPr>
              <w:t>38</w:t>
            </w:r>
            <w:r w:rsidR="00354BBC">
              <w:rPr>
                <w:noProof/>
                <w:webHidden/>
              </w:rPr>
              <w:fldChar w:fldCharType="end"/>
            </w:r>
          </w:hyperlink>
        </w:p>
        <w:p w14:paraId="038F7108" w14:textId="77777777" w:rsidR="00354BBC" w:rsidRDefault="00E32F9D">
          <w:pPr>
            <w:pStyle w:val="TOC1"/>
            <w:tabs>
              <w:tab w:val="left" w:pos="440"/>
            </w:tabs>
            <w:rPr>
              <w:rFonts w:asciiTheme="minorHAnsi" w:hAnsiTheme="minorHAnsi"/>
              <w:szCs w:val="22"/>
              <w:lang w:eastAsia="en-AU"/>
            </w:rPr>
          </w:pPr>
          <w:hyperlink w:anchor="_Toc161759689" w:history="1">
            <w:r w:rsidR="00354BBC" w:rsidRPr="006366D2">
              <w:rPr>
                <w:rFonts w:eastAsia="Times New Roman"/>
                <w:b/>
                <w:color w:val="1B375C" w:themeColor="accent1"/>
              </w:rPr>
              <w:t>4</w:t>
            </w:r>
            <w:r w:rsidR="00354BBC" w:rsidRPr="006366D2">
              <w:rPr>
                <w:rFonts w:eastAsia="Times New Roman"/>
                <w:b/>
                <w:color w:val="1B375C" w:themeColor="accent1"/>
              </w:rPr>
              <w:tab/>
              <w:t>Likely net benefit of policy options</w:t>
            </w:r>
            <w:r w:rsidR="00354BBC">
              <w:rPr>
                <w:webHidden/>
              </w:rPr>
              <w:tab/>
            </w:r>
            <w:r w:rsidR="00354BBC">
              <w:rPr>
                <w:webHidden/>
              </w:rPr>
              <w:fldChar w:fldCharType="begin"/>
            </w:r>
            <w:r w:rsidR="00354BBC">
              <w:rPr>
                <w:webHidden/>
              </w:rPr>
              <w:instrText xml:space="preserve"> PAGEREF _Toc161759689 \h </w:instrText>
            </w:r>
            <w:r w:rsidR="00354BBC">
              <w:rPr>
                <w:webHidden/>
              </w:rPr>
            </w:r>
            <w:r w:rsidR="00354BBC">
              <w:rPr>
                <w:webHidden/>
              </w:rPr>
              <w:fldChar w:fldCharType="separate"/>
            </w:r>
            <w:r w:rsidR="00732473">
              <w:rPr>
                <w:webHidden/>
              </w:rPr>
              <w:t>40</w:t>
            </w:r>
            <w:r w:rsidR="00354BBC">
              <w:rPr>
                <w:webHidden/>
              </w:rPr>
              <w:fldChar w:fldCharType="end"/>
            </w:r>
          </w:hyperlink>
        </w:p>
        <w:p w14:paraId="30EFEBD1" w14:textId="77777777" w:rsidR="00354BBC" w:rsidRDefault="00E32F9D">
          <w:pPr>
            <w:pStyle w:val="TOC2"/>
            <w:rPr>
              <w:rFonts w:asciiTheme="minorHAnsi" w:hAnsiTheme="minorHAnsi"/>
              <w:noProof/>
              <w:szCs w:val="22"/>
              <w:lang w:eastAsia="en-AU"/>
            </w:rPr>
          </w:pPr>
          <w:hyperlink w:anchor="_Toc161759690" w:history="1">
            <w:r w:rsidR="00354BBC" w:rsidRPr="00B91C80">
              <w:rPr>
                <w:rStyle w:val="Hyperlink"/>
                <w:noProof/>
              </w:rPr>
              <w:t>4.1 Summary</w:t>
            </w:r>
            <w:r w:rsidR="00354BBC">
              <w:rPr>
                <w:noProof/>
                <w:webHidden/>
              </w:rPr>
              <w:tab/>
            </w:r>
            <w:r w:rsidR="00354BBC">
              <w:rPr>
                <w:noProof/>
                <w:webHidden/>
              </w:rPr>
              <w:fldChar w:fldCharType="begin"/>
            </w:r>
            <w:r w:rsidR="00354BBC">
              <w:rPr>
                <w:noProof/>
                <w:webHidden/>
              </w:rPr>
              <w:instrText xml:space="preserve"> PAGEREF _Toc161759690 \h </w:instrText>
            </w:r>
            <w:r w:rsidR="00354BBC">
              <w:rPr>
                <w:noProof/>
                <w:webHidden/>
              </w:rPr>
            </w:r>
            <w:r w:rsidR="00354BBC">
              <w:rPr>
                <w:noProof/>
                <w:webHidden/>
              </w:rPr>
              <w:fldChar w:fldCharType="separate"/>
            </w:r>
            <w:r w:rsidR="00732473">
              <w:rPr>
                <w:noProof/>
                <w:webHidden/>
              </w:rPr>
              <w:t>40</w:t>
            </w:r>
            <w:r w:rsidR="00354BBC">
              <w:rPr>
                <w:noProof/>
                <w:webHidden/>
              </w:rPr>
              <w:fldChar w:fldCharType="end"/>
            </w:r>
          </w:hyperlink>
        </w:p>
        <w:p w14:paraId="7F367555" w14:textId="77777777" w:rsidR="00354BBC" w:rsidRDefault="00E32F9D">
          <w:pPr>
            <w:pStyle w:val="TOC2"/>
            <w:rPr>
              <w:rFonts w:asciiTheme="minorHAnsi" w:hAnsiTheme="minorHAnsi"/>
              <w:noProof/>
              <w:szCs w:val="22"/>
              <w:lang w:eastAsia="en-AU"/>
            </w:rPr>
          </w:pPr>
          <w:hyperlink w:anchor="_Toc161759692" w:history="1">
            <w:r w:rsidR="00354BBC" w:rsidRPr="00B91C80">
              <w:rPr>
                <w:rStyle w:val="Hyperlink"/>
                <w:noProof/>
              </w:rPr>
              <w:t>4.2 Approach</w:t>
            </w:r>
            <w:r w:rsidR="00354BBC">
              <w:rPr>
                <w:noProof/>
                <w:webHidden/>
              </w:rPr>
              <w:tab/>
            </w:r>
            <w:r w:rsidR="00354BBC">
              <w:rPr>
                <w:noProof/>
                <w:webHidden/>
              </w:rPr>
              <w:fldChar w:fldCharType="begin"/>
            </w:r>
            <w:r w:rsidR="00354BBC">
              <w:rPr>
                <w:noProof/>
                <w:webHidden/>
              </w:rPr>
              <w:instrText xml:space="preserve"> PAGEREF _Toc161759692 \h </w:instrText>
            </w:r>
            <w:r w:rsidR="00354BBC">
              <w:rPr>
                <w:noProof/>
                <w:webHidden/>
              </w:rPr>
            </w:r>
            <w:r w:rsidR="00354BBC">
              <w:rPr>
                <w:noProof/>
                <w:webHidden/>
              </w:rPr>
              <w:fldChar w:fldCharType="separate"/>
            </w:r>
            <w:r w:rsidR="00732473">
              <w:rPr>
                <w:noProof/>
                <w:webHidden/>
              </w:rPr>
              <w:t>43</w:t>
            </w:r>
            <w:r w:rsidR="00354BBC">
              <w:rPr>
                <w:noProof/>
                <w:webHidden/>
              </w:rPr>
              <w:fldChar w:fldCharType="end"/>
            </w:r>
          </w:hyperlink>
        </w:p>
        <w:p w14:paraId="674037DC" w14:textId="77777777" w:rsidR="00354BBC" w:rsidRDefault="00E32F9D">
          <w:pPr>
            <w:pStyle w:val="TOC2"/>
            <w:rPr>
              <w:rFonts w:asciiTheme="minorHAnsi" w:hAnsiTheme="minorHAnsi"/>
              <w:noProof/>
              <w:szCs w:val="22"/>
              <w:lang w:eastAsia="en-AU"/>
            </w:rPr>
          </w:pPr>
          <w:hyperlink w:anchor="_Toc161759693" w:history="1">
            <w:r w:rsidR="00354BBC" w:rsidRPr="00B91C80">
              <w:rPr>
                <w:rStyle w:val="Hyperlink"/>
                <w:noProof/>
              </w:rPr>
              <w:t>4.3 Stakeholders</w:t>
            </w:r>
            <w:r w:rsidR="00354BBC">
              <w:rPr>
                <w:noProof/>
                <w:webHidden/>
              </w:rPr>
              <w:tab/>
            </w:r>
            <w:r w:rsidR="00354BBC">
              <w:rPr>
                <w:noProof/>
                <w:webHidden/>
              </w:rPr>
              <w:fldChar w:fldCharType="begin"/>
            </w:r>
            <w:r w:rsidR="00354BBC">
              <w:rPr>
                <w:noProof/>
                <w:webHidden/>
              </w:rPr>
              <w:instrText xml:space="preserve"> PAGEREF _Toc161759693 \h </w:instrText>
            </w:r>
            <w:r w:rsidR="00354BBC">
              <w:rPr>
                <w:noProof/>
                <w:webHidden/>
              </w:rPr>
            </w:r>
            <w:r w:rsidR="00354BBC">
              <w:rPr>
                <w:noProof/>
                <w:webHidden/>
              </w:rPr>
              <w:fldChar w:fldCharType="separate"/>
            </w:r>
            <w:r w:rsidR="00732473">
              <w:rPr>
                <w:noProof/>
                <w:webHidden/>
              </w:rPr>
              <w:t>44</w:t>
            </w:r>
            <w:r w:rsidR="00354BBC">
              <w:rPr>
                <w:noProof/>
                <w:webHidden/>
              </w:rPr>
              <w:fldChar w:fldCharType="end"/>
            </w:r>
          </w:hyperlink>
        </w:p>
        <w:p w14:paraId="25ABE809" w14:textId="77777777" w:rsidR="00354BBC" w:rsidRDefault="00E32F9D">
          <w:pPr>
            <w:pStyle w:val="TOC2"/>
            <w:rPr>
              <w:rFonts w:asciiTheme="minorHAnsi" w:hAnsiTheme="minorHAnsi"/>
              <w:noProof/>
              <w:szCs w:val="22"/>
              <w:lang w:eastAsia="en-AU"/>
            </w:rPr>
          </w:pPr>
          <w:hyperlink w:anchor="_Toc161759698" w:history="1">
            <w:r w:rsidR="00354BBC" w:rsidRPr="00B91C80">
              <w:rPr>
                <w:rStyle w:val="Hyperlink"/>
                <w:noProof/>
              </w:rPr>
              <w:t>4.4 Option 1: status quo</w:t>
            </w:r>
            <w:r w:rsidR="00354BBC">
              <w:rPr>
                <w:noProof/>
                <w:webHidden/>
              </w:rPr>
              <w:tab/>
            </w:r>
            <w:r w:rsidR="00354BBC">
              <w:rPr>
                <w:noProof/>
                <w:webHidden/>
              </w:rPr>
              <w:fldChar w:fldCharType="begin"/>
            </w:r>
            <w:r w:rsidR="00354BBC">
              <w:rPr>
                <w:noProof/>
                <w:webHidden/>
              </w:rPr>
              <w:instrText xml:space="preserve"> PAGEREF _Toc161759698 \h </w:instrText>
            </w:r>
            <w:r w:rsidR="00354BBC">
              <w:rPr>
                <w:noProof/>
                <w:webHidden/>
              </w:rPr>
            </w:r>
            <w:r w:rsidR="00354BBC">
              <w:rPr>
                <w:noProof/>
                <w:webHidden/>
              </w:rPr>
              <w:fldChar w:fldCharType="separate"/>
            </w:r>
            <w:r w:rsidR="00732473">
              <w:rPr>
                <w:noProof/>
                <w:webHidden/>
              </w:rPr>
              <w:t>48</w:t>
            </w:r>
            <w:r w:rsidR="00354BBC">
              <w:rPr>
                <w:noProof/>
                <w:webHidden/>
              </w:rPr>
              <w:fldChar w:fldCharType="end"/>
            </w:r>
          </w:hyperlink>
        </w:p>
        <w:p w14:paraId="4EF17770" w14:textId="77777777" w:rsidR="00354BBC" w:rsidRDefault="00E32F9D">
          <w:pPr>
            <w:pStyle w:val="TOC2"/>
            <w:rPr>
              <w:rFonts w:asciiTheme="minorHAnsi" w:hAnsiTheme="minorHAnsi"/>
              <w:noProof/>
              <w:szCs w:val="22"/>
              <w:lang w:eastAsia="en-AU"/>
            </w:rPr>
          </w:pPr>
          <w:hyperlink w:anchor="_Toc161759700" w:history="1">
            <w:r w:rsidR="00354BBC" w:rsidRPr="00B91C80">
              <w:rPr>
                <w:rStyle w:val="Hyperlink"/>
                <w:noProof/>
              </w:rPr>
              <w:t>4.5 Option 2: unlegislated pooled redeployment arrangements</w:t>
            </w:r>
            <w:r w:rsidR="00354BBC">
              <w:rPr>
                <w:noProof/>
                <w:webHidden/>
              </w:rPr>
              <w:tab/>
            </w:r>
            <w:r w:rsidR="00354BBC">
              <w:rPr>
                <w:noProof/>
                <w:webHidden/>
              </w:rPr>
              <w:fldChar w:fldCharType="begin"/>
            </w:r>
            <w:r w:rsidR="00354BBC">
              <w:rPr>
                <w:noProof/>
                <w:webHidden/>
              </w:rPr>
              <w:instrText xml:space="preserve"> PAGEREF _Toc161759700 \h </w:instrText>
            </w:r>
            <w:r w:rsidR="00354BBC">
              <w:rPr>
                <w:noProof/>
                <w:webHidden/>
              </w:rPr>
            </w:r>
            <w:r w:rsidR="00354BBC">
              <w:rPr>
                <w:noProof/>
                <w:webHidden/>
              </w:rPr>
              <w:fldChar w:fldCharType="separate"/>
            </w:r>
            <w:r w:rsidR="00732473">
              <w:rPr>
                <w:noProof/>
                <w:webHidden/>
              </w:rPr>
              <w:t>50</w:t>
            </w:r>
            <w:r w:rsidR="00354BBC">
              <w:rPr>
                <w:noProof/>
                <w:webHidden/>
              </w:rPr>
              <w:fldChar w:fldCharType="end"/>
            </w:r>
          </w:hyperlink>
        </w:p>
        <w:p w14:paraId="207FD92F" w14:textId="77777777" w:rsidR="00354BBC" w:rsidRDefault="00E32F9D">
          <w:pPr>
            <w:pStyle w:val="TOC2"/>
            <w:rPr>
              <w:rFonts w:asciiTheme="minorHAnsi" w:hAnsiTheme="minorHAnsi"/>
              <w:noProof/>
              <w:szCs w:val="22"/>
              <w:lang w:eastAsia="en-AU"/>
            </w:rPr>
          </w:pPr>
          <w:hyperlink w:anchor="_Toc161759704" w:history="1">
            <w:r w:rsidR="00354BBC" w:rsidRPr="00B91C80">
              <w:rPr>
                <w:rStyle w:val="Hyperlink"/>
                <w:rFonts w:eastAsia="Times New Roman"/>
                <w:noProof/>
              </w:rPr>
              <w:t>4.6 Option 3: legislated pooled redeployment arrangements</w:t>
            </w:r>
            <w:r w:rsidR="00354BBC">
              <w:rPr>
                <w:noProof/>
                <w:webHidden/>
              </w:rPr>
              <w:tab/>
            </w:r>
            <w:r w:rsidR="00354BBC">
              <w:rPr>
                <w:noProof/>
                <w:webHidden/>
              </w:rPr>
              <w:fldChar w:fldCharType="begin"/>
            </w:r>
            <w:r w:rsidR="00354BBC">
              <w:rPr>
                <w:noProof/>
                <w:webHidden/>
              </w:rPr>
              <w:instrText xml:space="preserve"> PAGEREF _Toc161759704 \h </w:instrText>
            </w:r>
            <w:r w:rsidR="00354BBC">
              <w:rPr>
                <w:noProof/>
                <w:webHidden/>
              </w:rPr>
            </w:r>
            <w:r w:rsidR="00354BBC">
              <w:rPr>
                <w:noProof/>
                <w:webHidden/>
              </w:rPr>
              <w:fldChar w:fldCharType="separate"/>
            </w:r>
            <w:r w:rsidR="00732473">
              <w:rPr>
                <w:noProof/>
                <w:webHidden/>
              </w:rPr>
              <w:t>56</w:t>
            </w:r>
            <w:r w:rsidR="00354BBC">
              <w:rPr>
                <w:noProof/>
                <w:webHidden/>
              </w:rPr>
              <w:fldChar w:fldCharType="end"/>
            </w:r>
          </w:hyperlink>
        </w:p>
        <w:p w14:paraId="63BB9D37" w14:textId="77777777" w:rsidR="00354BBC" w:rsidRDefault="00E32F9D">
          <w:pPr>
            <w:pStyle w:val="TOC2"/>
            <w:rPr>
              <w:rFonts w:asciiTheme="minorHAnsi" w:hAnsiTheme="minorHAnsi"/>
              <w:noProof/>
              <w:szCs w:val="22"/>
              <w:lang w:eastAsia="en-AU"/>
            </w:rPr>
          </w:pPr>
          <w:hyperlink w:anchor="_Toc161759708" w:history="1">
            <w:r w:rsidR="00354BBC" w:rsidRPr="00B91C80">
              <w:rPr>
                <w:rStyle w:val="Hyperlink"/>
                <w:rFonts w:eastAsia="Times New Roman"/>
                <w:noProof/>
              </w:rPr>
              <w:t>4.7 Gender impacts</w:t>
            </w:r>
            <w:r w:rsidR="00354BBC">
              <w:rPr>
                <w:noProof/>
                <w:webHidden/>
              </w:rPr>
              <w:tab/>
            </w:r>
            <w:r w:rsidR="00354BBC">
              <w:rPr>
                <w:noProof/>
                <w:webHidden/>
              </w:rPr>
              <w:fldChar w:fldCharType="begin"/>
            </w:r>
            <w:r w:rsidR="00354BBC">
              <w:rPr>
                <w:noProof/>
                <w:webHidden/>
              </w:rPr>
              <w:instrText xml:space="preserve"> PAGEREF _Toc161759708 \h </w:instrText>
            </w:r>
            <w:r w:rsidR="00354BBC">
              <w:rPr>
                <w:noProof/>
                <w:webHidden/>
              </w:rPr>
            </w:r>
            <w:r w:rsidR="00354BBC">
              <w:rPr>
                <w:noProof/>
                <w:webHidden/>
              </w:rPr>
              <w:fldChar w:fldCharType="separate"/>
            </w:r>
            <w:r w:rsidR="00732473">
              <w:rPr>
                <w:noProof/>
                <w:webHidden/>
              </w:rPr>
              <w:t>61</w:t>
            </w:r>
            <w:r w:rsidR="00354BBC">
              <w:rPr>
                <w:noProof/>
                <w:webHidden/>
              </w:rPr>
              <w:fldChar w:fldCharType="end"/>
            </w:r>
          </w:hyperlink>
        </w:p>
        <w:p w14:paraId="2F8B2936" w14:textId="77777777" w:rsidR="00354BBC" w:rsidRDefault="00E32F9D">
          <w:pPr>
            <w:pStyle w:val="TOC2"/>
            <w:rPr>
              <w:rFonts w:asciiTheme="minorHAnsi" w:hAnsiTheme="minorHAnsi"/>
              <w:noProof/>
              <w:szCs w:val="22"/>
              <w:lang w:eastAsia="en-AU"/>
            </w:rPr>
          </w:pPr>
          <w:hyperlink w:anchor="_Toc161759709" w:history="1">
            <w:r w:rsidR="00354BBC" w:rsidRPr="00B91C80">
              <w:rPr>
                <w:rStyle w:val="Hyperlink"/>
                <w:rFonts w:eastAsia="Times New Roman"/>
                <w:noProof/>
              </w:rPr>
              <w:t>4.8 Comparison of impacts of different options</w:t>
            </w:r>
            <w:r w:rsidR="00354BBC">
              <w:rPr>
                <w:noProof/>
                <w:webHidden/>
              </w:rPr>
              <w:tab/>
            </w:r>
            <w:r w:rsidR="00354BBC">
              <w:rPr>
                <w:noProof/>
                <w:webHidden/>
              </w:rPr>
              <w:fldChar w:fldCharType="begin"/>
            </w:r>
            <w:r w:rsidR="00354BBC">
              <w:rPr>
                <w:noProof/>
                <w:webHidden/>
              </w:rPr>
              <w:instrText xml:space="preserve"> PAGEREF _Toc161759709 \h </w:instrText>
            </w:r>
            <w:r w:rsidR="00354BBC">
              <w:rPr>
                <w:noProof/>
                <w:webHidden/>
              </w:rPr>
            </w:r>
            <w:r w:rsidR="00354BBC">
              <w:rPr>
                <w:noProof/>
                <w:webHidden/>
              </w:rPr>
              <w:fldChar w:fldCharType="separate"/>
            </w:r>
            <w:r w:rsidR="00732473">
              <w:rPr>
                <w:noProof/>
                <w:webHidden/>
              </w:rPr>
              <w:t>61</w:t>
            </w:r>
            <w:r w:rsidR="00354BBC">
              <w:rPr>
                <w:noProof/>
                <w:webHidden/>
              </w:rPr>
              <w:fldChar w:fldCharType="end"/>
            </w:r>
          </w:hyperlink>
        </w:p>
        <w:p w14:paraId="08B8DB7B" w14:textId="77777777" w:rsidR="00354BBC" w:rsidRDefault="00E32F9D">
          <w:pPr>
            <w:pStyle w:val="TOC2"/>
            <w:rPr>
              <w:rFonts w:asciiTheme="minorHAnsi" w:hAnsiTheme="minorHAnsi"/>
              <w:noProof/>
              <w:szCs w:val="22"/>
              <w:lang w:eastAsia="en-AU"/>
            </w:rPr>
          </w:pPr>
          <w:hyperlink w:anchor="_Toc161759710" w:history="1">
            <w:r w:rsidR="00354BBC" w:rsidRPr="00B91C80">
              <w:rPr>
                <w:rStyle w:val="Hyperlink"/>
                <w:rFonts w:eastAsia="Times New Roman"/>
                <w:noProof/>
              </w:rPr>
              <w:t>4.9 Sensitivity analysis</w:t>
            </w:r>
            <w:r w:rsidR="00354BBC">
              <w:rPr>
                <w:noProof/>
                <w:webHidden/>
              </w:rPr>
              <w:tab/>
            </w:r>
            <w:r w:rsidR="00354BBC">
              <w:rPr>
                <w:noProof/>
                <w:webHidden/>
              </w:rPr>
              <w:fldChar w:fldCharType="begin"/>
            </w:r>
            <w:r w:rsidR="00354BBC">
              <w:rPr>
                <w:noProof/>
                <w:webHidden/>
              </w:rPr>
              <w:instrText xml:space="preserve"> PAGEREF _Toc161759710 \h </w:instrText>
            </w:r>
            <w:r w:rsidR="00354BBC">
              <w:rPr>
                <w:noProof/>
                <w:webHidden/>
              </w:rPr>
            </w:r>
            <w:r w:rsidR="00354BBC">
              <w:rPr>
                <w:noProof/>
                <w:webHidden/>
              </w:rPr>
              <w:fldChar w:fldCharType="separate"/>
            </w:r>
            <w:r w:rsidR="00732473">
              <w:rPr>
                <w:noProof/>
                <w:webHidden/>
              </w:rPr>
              <w:t>63</w:t>
            </w:r>
            <w:r w:rsidR="00354BBC">
              <w:rPr>
                <w:noProof/>
                <w:webHidden/>
              </w:rPr>
              <w:fldChar w:fldCharType="end"/>
            </w:r>
          </w:hyperlink>
        </w:p>
        <w:p w14:paraId="36C8AF83" w14:textId="77777777" w:rsidR="00354BBC" w:rsidRDefault="00E32F9D">
          <w:pPr>
            <w:pStyle w:val="TOC1"/>
            <w:tabs>
              <w:tab w:val="left" w:pos="440"/>
            </w:tabs>
            <w:rPr>
              <w:rFonts w:asciiTheme="minorHAnsi" w:hAnsiTheme="minorHAnsi"/>
              <w:szCs w:val="22"/>
              <w:lang w:eastAsia="en-AU"/>
            </w:rPr>
          </w:pPr>
          <w:hyperlink w:anchor="_Toc161759712" w:history="1">
            <w:r w:rsidR="00354BBC" w:rsidRPr="006366D2">
              <w:rPr>
                <w:rFonts w:eastAsia="Times New Roman"/>
                <w:b/>
                <w:color w:val="1B375C" w:themeColor="accent1"/>
              </w:rPr>
              <w:t>5</w:t>
            </w:r>
            <w:r w:rsidR="00354BBC" w:rsidRPr="006366D2">
              <w:rPr>
                <w:rFonts w:eastAsia="Times New Roman"/>
                <w:b/>
                <w:color w:val="1B375C" w:themeColor="accent1"/>
              </w:rPr>
              <w:tab/>
              <w:t>Consultation during policy design</w:t>
            </w:r>
            <w:r w:rsidR="00354BBC">
              <w:rPr>
                <w:webHidden/>
              </w:rPr>
              <w:tab/>
            </w:r>
            <w:r w:rsidR="00354BBC">
              <w:rPr>
                <w:webHidden/>
              </w:rPr>
              <w:fldChar w:fldCharType="begin"/>
            </w:r>
            <w:r w:rsidR="00354BBC">
              <w:rPr>
                <w:webHidden/>
              </w:rPr>
              <w:instrText xml:space="preserve"> PAGEREF _Toc161759712 \h </w:instrText>
            </w:r>
            <w:r w:rsidR="00354BBC">
              <w:rPr>
                <w:webHidden/>
              </w:rPr>
            </w:r>
            <w:r w:rsidR="00354BBC">
              <w:rPr>
                <w:webHidden/>
              </w:rPr>
              <w:fldChar w:fldCharType="separate"/>
            </w:r>
            <w:r w:rsidR="00732473">
              <w:rPr>
                <w:webHidden/>
              </w:rPr>
              <w:t>65</w:t>
            </w:r>
            <w:r w:rsidR="00354BBC">
              <w:rPr>
                <w:webHidden/>
              </w:rPr>
              <w:fldChar w:fldCharType="end"/>
            </w:r>
          </w:hyperlink>
        </w:p>
        <w:p w14:paraId="4C020669" w14:textId="77777777" w:rsidR="00354BBC" w:rsidRDefault="00E32F9D" w:rsidP="00A503F3">
          <w:pPr>
            <w:pStyle w:val="TOC3"/>
            <w:rPr>
              <w:rFonts w:asciiTheme="minorHAnsi" w:hAnsiTheme="minorHAnsi"/>
              <w:noProof/>
              <w:szCs w:val="22"/>
              <w:lang w:eastAsia="en-AU"/>
            </w:rPr>
          </w:pPr>
          <w:hyperlink w:anchor="_Toc161759713" w:history="1">
            <w:r w:rsidR="00354BBC" w:rsidRPr="00B91C80">
              <w:rPr>
                <w:rStyle w:val="Hyperlink"/>
                <w:rFonts w:cstheme="majorBidi"/>
                <w:noProof/>
              </w:rPr>
              <w:t>5.1 Stakeholder feedback on policy design</w:t>
            </w:r>
            <w:r w:rsidR="00354BBC">
              <w:rPr>
                <w:noProof/>
                <w:webHidden/>
              </w:rPr>
              <w:tab/>
            </w:r>
            <w:r w:rsidR="00354BBC">
              <w:rPr>
                <w:noProof/>
                <w:webHidden/>
              </w:rPr>
              <w:fldChar w:fldCharType="begin"/>
            </w:r>
            <w:r w:rsidR="00354BBC">
              <w:rPr>
                <w:noProof/>
                <w:webHidden/>
              </w:rPr>
              <w:instrText xml:space="preserve"> PAGEREF _Toc161759713 \h </w:instrText>
            </w:r>
            <w:r w:rsidR="00354BBC">
              <w:rPr>
                <w:noProof/>
                <w:webHidden/>
              </w:rPr>
            </w:r>
            <w:r w:rsidR="00354BBC">
              <w:rPr>
                <w:noProof/>
                <w:webHidden/>
              </w:rPr>
              <w:fldChar w:fldCharType="separate"/>
            </w:r>
            <w:r w:rsidR="00732473">
              <w:rPr>
                <w:noProof/>
                <w:webHidden/>
              </w:rPr>
              <w:t>66</w:t>
            </w:r>
            <w:r w:rsidR="00354BBC">
              <w:rPr>
                <w:noProof/>
                <w:webHidden/>
              </w:rPr>
              <w:fldChar w:fldCharType="end"/>
            </w:r>
          </w:hyperlink>
        </w:p>
        <w:p w14:paraId="04BCD179" w14:textId="77777777" w:rsidR="00354BBC" w:rsidRDefault="00E32F9D">
          <w:pPr>
            <w:pStyle w:val="TOC1"/>
            <w:tabs>
              <w:tab w:val="left" w:pos="440"/>
            </w:tabs>
            <w:rPr>
              <w:rFonts w:asciiTheme="minorHAnsi" w:hAnsiTheme="minorHAnsi"/>
              <w:szCs w:val="22"/>
              <w:lang w:eastAsia="en-AU"/>
            </w:rPr>
          </w:pPr>
          <w:hyperlink w:anchor="_Toc161759715" w:history="1">
            <w:r w:rsidR="00354BBC" w:rsidRPr="006366D2">
              <w:rPr>
                <w:rFonts w:eastAsia="Times New Roman"/>
                <w:b/>
                <w:color w:val="1B375C" w:themeColor="accent1"/>
              </w:rPr>
              <w:t>6</w:t>
            </w:r>
            <w:r w:rsidR="00354BBC" w:rsidRPr="006366D2">
              <w:rPr>
                <w:rFonts w:eastAsia="Times New Roman"/>
                <w:b/>
                <w:color w:val="1B375C" w:themeColor="accent1"/>
              </w:rPr>
              <w:tab/>
              <w:t>Preferred policy design and implementation pathway</w:t>
            </w:r>
            <w:r w:rsidR="00354BBC">
              <w:rPr>
                <w:webHidden/>
              </w:rPr>
              <w:tab/>
            </w:r>
            <w:r w:rsidR="00354BBC">
              <w:rPr>
                <w:webHidden/>
              </w:rPr>
              <w:fldChar w:fldCharType="begin"/>
            </w:r>
            <w:r w:rsidR="00354BBC">
              <w:rPr>
                <w:webHidden/>
              </w:rPr>
              <w:instrText xml:space="preserve"> PAGEREF _Toc161759715 \h </w:instrText>
            </w:r>
            <w:r w:rsidR="00354BBC">
              <w:rPr>
                <w:webHidden/>
              </w:rPr>
            </w:r>
            <w:r w:rsidR="00354BBC">
              <w:rPr>
                <w:webHidden/>
              </w:rPr>
              <w:fldChar w:fldCharType="separate"/>
            </w:r>
            <w:r w:rsidR="00732473">
              <w:rPr>
                <w:webHidden/>
              </w:rPr>
              <w:t>68</w:t>
            </w:r>
            <w:r w:rsidR="00354BBC">
              <w:rPr>
                <w:webHidden/>
              </w:rPr>
              <w:fldChar w:fldCharType="end"/>
            </w:r>
          </w:hyperlink>
        </w:p>
        <w:p w14:paraId="5ABCD4F0" w14:textId="77777777" w:rsidR="00354BBC" w:rsidRDefault="00E32F9D">
          <w:pPr>
            <w:pStyle w:val="TOC2"/>
            <w:rPr>
              <w:rFonts w:asciiTheme="minorHAnsi" w:hAnsiTheme="minorHAnsi"/>
              <w:noProof/>
              <w:szCs w:val="22"/>
              <w:lang w:eastAsia="en-AU"/>
            </w:rPr>
          </w:pPr>
          <w:hyperlink w:anchor="_Toc161759716" w:history="1">
            <w:r w:rsidR="00354BBC" w:rsidRPr="00B91C80">
              <w:rPr>
                <w:rStyle w:val="Hyperlink"/>
                <w:noProof/>
              </w:rPr>
              <w:t>6.1 Recommended policy option</w:t>
            </w:r>
            <w:r w:rsidR="00354BBC">
              <w:rPr>
                <w:noProof/>
                <w:webHidden/>
              </w:rPr>
              <w:tab/>
            </w:r>
            <w:r w:rsidR="00354BBC">
              <w:rPr>
                <w:noProof/>
                <w:webHidden/>
              </w:rPr>
              <w:fldChar w:fldCharType="begin"/>
            </w:r>
            <w:r w:rsidR="00354BBC">
              <w:rPr>
                <w:noProof/>
                <w:webHidden/>
              </w:rPr>
              <w:instrText xml:space="preserve"> PAGEREF _Toc161759716 \h </w:instrText>
            </w:r>
            <w:r w:rsidR="00354BBC">
              <w:rPr>
                <w:noProof/>
                <w:webHidden/>
              </w:rPr>
            </w:r>
            <w:r w:rsidR="00354BBC">
              <w:rPr>
                <w:noProof/>
                <w:webHidden/>
              </w:rPr>
              <w:fldChar w:fldCharType="separate"/>
            </w:r>
            <w:r w:rsidR="00732473">
              <w:rPr>
                <w:noProof/>
                <w:webHidden/>
              </w:rPr>
              <w:t>68</w:t>
            </w:r>
            <w:r w:rsidR="00354BBC">
              <w:rPr>
                <w:noProof/>
                <w:webHidden/>
              </w:rPr>
              <w:fldChar w:fldCharType="end"/>
            </w:r>
          </w:hyperlink>
        </w:p>
        <w:p w14:paraId="1941EE0E" w14:textId="77777777" w:rsidR="00354BBC" w:rsidRDefault="00E32F9D">
          <w:pPr>
            <w:pStyle w:val="TOC2"/>
            <w:rPr>
              <w:rFonts w:asciiTheme="minorHAnsi" w:hAnsiTheme="minorHAnsi"/>
              <w:noProof/>
              <w:szCs w:val="22"/>
              <w:lang w:eastAsia="en-AU"/>
            </w:rPr>
          </w:pPr>
          <w:hyperlink w:anchor="_Toc161759720" w:history="1">
            <w:r w:rsidR="00354BBC" w:rsidRPr="00B91C80">
              <w:rPr>
                <w:rStyle w:val="Hyperlink"/>
                <w:noProof/>
              </w:rPr>
              <w:t>6.2 Policy implementation</w:t>
            </w:r>
            <w:r w:rsidR="00354BBC">
              <w:rPr>
                <w:noProof/>
                <w:webHidden/>
              </w:rPr>
              <w:tab/>
            </w:r>
            <w:r w:rsidR="00354BBC">
              <w:rPr>
                <w:noProof/>
                <w:webHidden/>
              </w:rPr>
              <w:fldChar w:fldCharType="begin"/>
            </w:r>
            <w:r w:rsidR="00354BBC">
              <w:rPr>
                <w:noProof/>
                <w:webHidden/>
              </w:rPr>
              <w:instrText xml:space="preserve"> PAGEREF _Toc161759720 \h </w:instrText>
            </w:r>
            <w:r w:rsidR="00354BBC">
              <w:rPr>
                <w:noProof/>
                <w:webHidden/>
              </w:rPr>
            </w:r>
            <w:r w:rsidR="00354BBC">
              <w:rPr>
                <w:noProof/>
                <w:webHidden/>
              </w:rPr>
              <w:fldChar w:fldCharType="separate"/>
            </w:r>
            <w:r w:rsidR="00732473">
              <w:rPr>
                <w:noProof/>
                <w:webHidden/>
              </w:rPr>
              <w:t>70</w:t>
            </w:r>
            <w:r w:rsidR="00354BBC">
              <w:rPr>
                <w:noProof/>
                <w:webHidden/>
              </w:rPr>
              <w:fldChar w:fldCharType="end"/>
            </w:r>
          </w:hyperlink>
        </w:p>
        <w:p w14:paraId="11565406" w14:textId="77777777" w:rsidR="00354BBC" w:rsidRDefault="00E32F9D">
          <w:pPr>
            <w:pStyle w:val="TOC1"/>
            <w:tabs>
              <w:tab w:val="left" w:pos="440"/>
            </w:tabs>
            <w:rPr>
              <w:rFonts w:asciiTheme="minorHAnsi" w:hAnsiTheme="minorHAnsi"/>
              <w:szCs w:val="22"/>
              <w:lang w:eastAsia="en-AU"/>
            </w:rPr>
          </w:pPr>
          <w:hyperlink w:anchor="_Toc161759723" w:history="1">
            <w:r w:rsidR="00354BBC" w:rsidRPr="006366D2">
              <w:rPr>
                <w:rFonts w:eastAsia="Times New Roman"/>
                <w:b/>
                <w:color w:val="1B375C" w:themeColor="accent1"/>
              </w:rPr>
              <w:t>7</w:t>
            </w:r>
            <w:r w:rsidR="00354BBC" w:rsidRPr="006366D2">
              <w:rPr>
                <w:rFonts w:eastAsia="Times New Roman"/>
                <w:b/>
                <w:color w:val="1B375C" w:themeColor="accent1"/>
              </w:rPr>
              <w:tab/>
              <w:t>Evaluation of the chosen option against success metrics</w:t>
            </w:r>
            <w:r w:rsidR="00354BBC">
              <w:rPr>
                <w:webHidden/>
              </w:rPr>
              <w:tab/>
            </w:r>
            <w:r w:rsidR="00354BBC">
              <w:rPr>
                <w:webHidden/>
              </w:rPr>
              <w:fldChar w:fldCharType="begin"/>
            </w:r>
            <w:r w:rsidR="00354BBC">
              <w:rPr>
                <w:webHidden/>
              </w:rPr>
              <w:instrText xml:space="preserve"> PAGEREF _Toc161759723 \h </w:instrText>
            </w:r>
            <w:r w:rsidR="00354BBC">
              <w:rPr>
                <w:webHidden/>
              </w:rPr>
            </w:r>
            <w:r w:rsidR="00354BBC">
              <w:rPr>
                <w:webHidden/>
              </w:rPr>
              <w:fldChar w:fldCharType="separate"/>
            </w:r>
            <w:r w:rsidR="00732473">
              <w:rPr>
                <w:webHidden/>
              </w:rPr>
              <w:t>73</w:t>
            </w:r>
            <w:r w:rsidR="00354BBC">
              <w:rPr>
                <w:webHidden/>
              </w:rPr>
              <w:fldChar w:fldCharType="end"/>
            </w:r>
          </w:hyperlink>
        </w:p>
        <w:p w14:paraId="37E221DA" w14:textId="77777777" w:rsidR="00354BBC" w:rsidRDefault="00E32F9D">
          <w:pPr>
            <w:pStyle w:val="TOC2"/>
            <w:rPr>
              <w:rFonts w:asciiTheme="minorHAnsi" w:hAnsiTheme="minorHAnsi"/>
              <w:noProof/>
              <w:szCs w:val="22"/>
              <w:lang w:eastAsia="en-AU"/>
            </w:rPr>
          </w:pPr>
          <w:hyperlink w:anchor="_Toc161759724" w:history="1">
            <w:r w:rsidR="00354BBC" w:rsidRPr="00B91C80">
              <w:rPr>
                <w:rStyle w:val="Hyperlink"/>
                <w:noProof/>
              </w:rPr>
              <w:t>7.1 Measuring the outcomes of policy responses</w:t>
            </w:r>
            <w:r w:rsidR="00354BBC">
              <w:rPr>
                <w:noProof/>
                <w:webHidden/>
              </w:rPr>
              <w:tab/>
            </w:r>
            <w:r w:rsidR="00354BBC">
              <w:rPr>
                <w:noProof/>
                <w:webHidden/>
              </w:rPr>
              <w:fldChar w:fldCharType="begin"/>
            </w:r>
            <w:r w:rsidR="00354BBC">
              <w:rPr>
                <w:noProof/>
                <w:webHidden/>
              </w:rPr>
              <w:instrText xml:space="preserve"> PAGEREF _Toc161759724 \h </w:instrText>
            </w:r>
            <w:r w:rsidR="00354BBC">
              <w:rPr>
                <w:noProof/>
                <w:webHidden/>
              </w:rPr>
            </w:r>
            <w:r w:rsidR="00354BBC">
              <w:rPr>
                <w:noProof/>
                <w:webHidden/>
              </w:rPr>
              <w:fldChar w:fldCharType="separate"/>
            </w:r>
            <w:r w:rsidR="00732473">
              <w:rPr>
                <w:noProof/>
                <w:webHidden/>
              </w:rPr>
              <w:t>73</w:t>
            </w:r>
            <w:r w:rsidR="00354BBC">
              <w:rPr>
                <w:noProof/>
                <w:webHidden/>
              </w:rPr>
              <w:fldChar w:fldCharType="end"/>
            </w:r>
          </w:hyperlink>
        </w:p>
        <w:p w14:paraId="79398075" w14:textId="77777777" w:rsidR="00354BBC" w:rsidRDefault="00E32F9D">
          <w:pPr>
            <w:pStyle w:val="TOC2"/>
            <w:rPr>
              <w:rFonts w:asciiTheme="minorHAnsi" w:hAnsiTheme="minorHAnsi"/>
              <w:noProof/>
              <w:szCs w:val="22"/>
              <w:lang w:eastAsia="en-AU"/>
            </w:rPr>
          </w:pPr>
          <w:hyperlink w:anchor="_Toc161759725" w:history="1">
            <w:r w:rsidR="00354BBC" w:rsidRPr="00B91C80">
              <w:rPr>
                <w:rStyle w:val="Hyperlink"/>
                <w:noProof/>
              </w:rPr>
              <w:t>7.2 Measuring success for pooled redeployment arrangements</w:t>
            </w:r>
            <w:r w:rsidR="00354BBC">
              <w:rPr>
                <w:noProof/>
                <w:webHidden/>
              </w:rPr>
              <w:tab/>
            </w:r>
            <w:r w:rsidR="00354BBC">
              <w:rPr>
                <w:noProof/>
                <w:webHidden/>
              </w:rPr>
              <w:fldChar w:fldCharType="begin"/>
            </w:r>
            <w:r w:rsidR="00354BBC">
              <w:rPr>
                <w:noProof/>
                <w:webHidden/>
              </w:rPr>
              <w:instrText xml:space="preserve"> PAGEREF _Toc161759725 \h </w:instrText>
            </w:r>
            <w:r w:rsidR="00354BBC">
              <w:rPr>
                <w:noProof/>
                <w:webHidden/>
              </w:rPr>
            </w:r>
            <w:r w:rsidR="00354BBC">
              <w:rPr>
                <w:noProof/>
                <w:webHidden/>
              </w:rPr>
              <w:fldChar w:fldCharType="separate"/>
            </w:r>
            <w:r w:rsidR="00732473">
              <w:rPr>
                <w:noProof/>
                <w:webHidden/>
              </w:rPr>
              <w:t>74</w:t>
            </w:r>
            <w:r w:rsidR="00354BBC">
              <w:rPr>
                <w:noProof/>
                <w:webHidden/>
              </w:rPr>
              <w:fldChar w:fldCharType="end"/>
            </w:r>
          </w:hyperlink>
        </w:p>
        <w:p w14:paraId="2E0207A9" w14:textId="77777777" w:rsidR="00354BBC" w:rsidRDefault="00E32F9D">
          <w:pPr>
            <w:pStyle w:val="TOC1"/>
            <w:rPr>
              <w:rFonts w:asciiTheme="minorHAnsi" w:hAnsiTheme="minorHAnsi"/>
              <w:szCs w:val="22"/>
              <w:lang w:eastAsia="en-AU"/>
            </w:rPr>
          </w:pPr>
          <w:hyperlink w:anchor="_Toc161759728" w:history="1">
            <w:r w:rsidR="00354BBC" w:rsidRPr="00AF6285">
              <w:rPr>
                <w:rFonts w:eastAsia="Times New Roman"/>
                <w:b/>
                <w:color w:val="1B375C" w:themeColor="accent1"/>
              </w:rPr>
              <w:t>References</w:t>
            </w:r>
            <w:r w:rsidR="00354BBC">
              <w:rPr>
                <w:webHidden/>
              </w:rPr>
              <w:tab/>
            </w:r>
            <w:r w:rsidR="00354BBC">
              <w:rPr>
                <w:webHidden/>
              </w:rPr>
              <w:fldChar w:fldCharType="begin"/>
            </w:r>
            <w:r w:rsidR="00354BBC">
              <w:rPr>
                <w:webHidden/>
              </w:rPr>
              <w:instrText xml:space="preserve"> PAGEREF _Toc161759728 \h </w:instrText>
            </w:r>
            <w:r w:rsidR="00354BBC">
              <w:rPr>
                <w:webHidden/>
              </w:rPr>
            </w:r>
            <w:r w:rsidR="00354BBC">
              <w:rPr>
                <w:webHidden/>
              </w:rPr>
              <w:fldChar w:fldCharType="separate"/>
            </w:r>
            <w:r w:rsidR="00732473">
              <w:rPr>
                <w:webHidden/>
              </w:rPr>
              <w:t>76</w:t>
            </w:r>
            <w:r w:rsidR="00354BBC">
              <w:rPr>
                <w:webHidden/>
              </w:rPr>
              <w:fldChar w:fldCharType="end"/>
            </w:r>
          </w:hyperlink>
        </w:p>
        <w:p w14:paraId="1EEC9B50" w14:textId="77777777" w:rsidR="00354BBC" w:rsidRDefault="00E32F9D">
          <w:pPr>
            <w:pStyle w:val="TOC1"/>
            <w:rPr>
              <w:rFonts w:asciiTheme="minorHAnsi" w:hAnsiTheme="minorHAnsi"/>
              <w:szCs w:val="22"/>
              <w:lang w:eastAsia="en-AU"/>
            </w:rPr>
          </w:pPr>
          <w:hyperlink w:anchor="_Toc161759729" w:history="1">
            <w:r w:rsidR="00354BBC" w:rsidRPr="00AF6285">
              <w:rPr>
                <w:rFonts w:eastAsia="Times New Roman"/>
                <w:b/>
                <w:color w:val="1B375C" w:themeColor="accent1"/>
              </w:rPr>
              <w:t>Appendix A</w:t>
            </w:r>
            <w:r w:rsidR="00354BBC">
              <w:rPr>
                <w:webHidden/>
              </w:rPr>
              <w:tab/>
            </w:r>
            <w:r w:rsidR="00354BBC">
              <w:rPr>
                <w:webHidden/>
              </w:rPr>
              <w:fldChar w:fldCharType="begin"/>
            </w:r>
            <w:r w:rsidR="00354BBC">
              <w:rPr>
                <w:webHidden/>
              </w:rPr>
              <w:instrText xml:space="preserve"> PAGEREF _Toc161759729 \h </w:instrText>
            </w:r>
            <w:r w:rsidR="00354BBC">
              <w:rPr>
                <w:webHidden/>
              </w:rPr>
            </w:r>
            <w:r w:rsidR="00354BBC">
              <w:rPr>
                <w:webHidden/>
              </w:rPr>
              <w:fldChar w:fldCharType="separate"/>
            </w:r>
            <w:r w:rsidR="00732473">
              <w:rPr>
                <w:webHidden/>
              </w:rPr>
              <w:t>79</w:t>
            </w:r>
            <w:r w:rsidR="00354BBC">
              <w:rPr>
                <w:webHidden/>
              </w:rPr>
              <w:fldChar w:fldCharType="end"/>
            </w:r>
          </w:hyperlink>
        </w:p>
        <w:p w14:paraId="760F1963" w14:textId="77777777" w:rsidR="00354BBC" w:rsidRDefault="00E32F9D">
          <w:pPr>
            <w:pStyle w:val="TOC2"/>
            <w:rPr>
              <w:rFonts w:asciiTheme="minorHAnsi" w:hAnsiTheme="minorHAnsi"/>
              <w:noProof/>
              <w:szCs w:val="22"/>
              <w:lang w:eastAsia="en-AU"/>
            </w:rPr>
          </w:pPr>
          <w:hyperlink w:anchor="_Toc161759730" w:history="1">
            <w:r w:rsidR="00354BBC" w:rsidRPr="00B91C80">
              <w:rPr>
                <w:rStyle w:val="Hyperlink"/>
                <w:noProof/>
              </w:rPr>
              <w:t>Table of coal-fired power station closures</w:t>
            </w:r>
            <w:r w:rsidR="00354BBC">
              <w:rPr>
                <w:noProof/>
                <w:webHidden/>
              </w:rPr>
              <w:tab/>
            </w:r>
            <w:r w:rsidR="00354BBC">
              <w:rPr>
                <w:noProof/>
                <w:webHidden/>
              </w:rPr>
              <w:fldChar w:fldCharType="begin"/>
            </w:r>
            <w:r w:rsidR="00354BBC">
              <w:rPr>
                <w:noProof/>
                <w:webHidden/>
              </w:rPr>
              <w:instrText xml:space="preserve"> PAGEREF _Toc161759730 \h </w:instrText>
            </w:r>
            <w:r w:rsidR="00354BBC">
              <w:rPr>
                <w:noProof/>
                <w:webHidden/>
              </w:rPr>
            </w:r>
            <w:r w:rsidR="00354BBC">
              <w:rPr>
                <w:noProof/>
                <w:webHidden/>
              </w:rPr>
              <w:fldChar w:fldCharType="separate"/>
            </w:r>
            <w:r w:rsidR="00732473">
              <w:rPr>
                <w:noProof/>
                <w:webHidden/>
              </w:rPr>
              <w:t>79</w:t>
            </w:r>
            <w:r w:rsidR="00354BBC">
              <w:rPr>
                <w:noProof/>
                <w:webHidden/>
              </w:rPr>
              <w:fldChar w:fldCharType="end"/>
            </w:r>
          </w:hyperlink>
        </w:p>
        <w:p w14:paraId="3C4DD630" w14:textId="77777777" w:rsidR="00354BBC" w:rsidRDefault="00E32F9D">
          <w:pPr>
            <w:pStyle w:val="TOC1"/>
            <w:rPr>
              <w:rFonts w:asciiTheme="minorHAnsi" w:hAnsiTheme="minorHAnsi"/>
              <w:szCs w:val="22"/>
              <w:lang w:eastAsia="en-AU"/>
            </w:rPr>
          </w:pPr>
          <w:hyperlink w:anchor="_Toc161759731" w:history="1">
            <w:r w:rsidR="00354BBC" w:rsidRPr="00AF6285">
              <w:rPr>
                <w:rFonts w:eastAsia="Times New Roman"/>
                <w:b/>
                <w:color w:val="1B375C" w:themeColor="accent1"/>
              </w:rPr>
              <w:t>Appendix B</w:t>
            </w:r>
            <w:r w:rsidR="00354BBC">
              <w:rPr>
                <w:webHidden/>
              </w:rPr>
              <w:tab/>
            </w:r>
            <w:r w:rsidR="00354BBC">
              <w:rPr>
                <w:webHidden/>
              </w:rPr>
              <w:fldChar w:fldCharType="begin"/>
            </w:r>
            <w:r w:rsidR="00354BBC">
              <w:rPr>
                <w:webHidden/>
              </w:rPr>
              <w:instrText xml:space="preserve"> PAGEREF _Toc161759731 \h </w:instrText>
            </w:r>
            <w:r w:rsidR="00354BBC">
              <w:rPr>
                <w:webHidden/>
              </w:rPr>
            </w:r>
            <w:r w:rsidR="00354BBC">
              <w:rPr>
                <w:webHidden/>
              </w:rPr>
              <w:fldChar w:fldCharType="separate"/>
            </w:r>
            <w:r w:rsidR="00732473">
              <w:rPr>
                <w:webHidden/>
              </w:rPr>
              <w:t>80</w:t>
            </w:r>
            <w:r w:rsidR="00354BBC">
              <w:rPr>
                <w:webHidden/>
              </w:rPr>
              <w:fldChar w:fldCharType="end"/>
            </w:r>
          </w:hyperlink>
        </w:p>
        <w:p w14:paraId="111EC695" w14:textId="77777777" w:rsidR="00354BBC" w:rsidRDefault="00E32F9D">
          <w:pPr>
            <w:pStyle w:val="TOC2"/>
            <w:rPr>
              <w:rFonts w:asciiTheme="minorHAnsi" w:hAnsiTheme="minorHAnsi"/>
              <w:noProof/>
              <w:szCs w:val="22"/>
              <w:lang w:eastAsia="en-AU"/>
            </w:rPr>
          </w:pPr>
          <w:hyperlink w:anchor="_Toc161759732" w:history="1">
            <w:r w:rsidR="00354BBC" w:rsidRPr="00B91C80">
              <w:rPr>
                <w:rStyle w:val="Hyperlink"/>
                <w:noProof/>
              </w:rPr>
              <w:t>Geographic regions surrounding coal-fired power stations</w:t>
            </w:r>
            <w:r w:rsidR="00354BBC">
              <w:rPr>
                <w:noProof/>
                <w:webHidden/>
              </w:rPr>
              <w:tab/>
            </w:r>
            <w:r w:rsidR="00354BBC">
              <w:rPr>
                <w:noProof/>
                <w:webHidden/>
              </w:rPr>
              <w:fldChar w:fldCharType="begin"/>
            </w:r>
            <w:r w:rsidR="00354BBC">
              <w:rPr>
                <w:noProof/>
                <w:webHidden/>
              </w:rPr>
              <w:instrText xml:space="preserve"> PAGEREF _Toc161759732 \h </w:instrText>
            </w:r>
            <w:r w:rsidR="00354BBC">
              <w:rPr>
                <w:noProof/>
                <w:webHidden/>
              </w:rPr>
            </w:r>
            <w:r w:rsidR="00354BBC">
              <w:rPr>
                <w:noProof/>
                <w:webHidden/>
              </w:rPr>
              <w:fldChar w:fldCharType="separate"/>
            </w:r>
            <w:r w:rsidR="00732473">
              <w:rPr>
                <w:noProof/>
                <w:webHidden/>
              </w:rPr>
              <w:t>80</w:t>
            </w:r>
            <w:r w:rsidR="00354BBC">
              <w:rPr>
                <w:noProof/>
                <w:webHidden/>
              </w:rPr>
              <w:fldChar w:fldCharType="end"/>
            </w:r>
          </w:hyperlink>
        </w:p>
        <w:p w14:paraId="64B4FF1E" w14:textId="77777777" w:rsidR="00354BBC" w:rsidRDefault="00E32F9D">
          <w:pPr>
            <w:pStyle w:val="TOC1"/>
            <w:rPr>
              <w:rFonts w:asciiTheme="minorHAnsi" w:hAnsiTheme="minorHAnsi"/>
              <w:szCs w:val="22"/>
              <w:lang w:eastAsia="en-AU"/>
            </w:rPr>
          </w:pPr>
          <w:hyperlink w:anchor="_Toc161759733" w:history="1">
            <w:r w:rsidR="00354BBC" w:rsidRPr="00AF6285">
              <w:rPr>
                <w:rFonts w:eastAsia="Times New Roman"/>
                <w:b/>
                <w:color w:val="1B375C" w:themeColor="accent1"/>
              </w:rPr>
              <w:t>Appendix C</w:t>
            </w:r>
            <w:r w:rsidR="00354BBC">
              <w:rPr>
                <w:webHidden/>
              </w:rPr>
              <w:tab/>
            </w:r>
            <w:r w:rsidR="00354BBC">
              <w:rPr>
                <w:webHidden/>
              </w:rPr>
              <w:fldChar w:fldCharType="begin"/>
            </w:r>
            <w:r w:rsidR="00354BBC">
              <w:rPr>
                <w:webHidden/>
              </w:rPr>
              <w:instrText xml:space="preserve"> PAGEREF _Toc161759733 \h </w:instrText>
            </w:r>
            <w:r w:rsidR="00354BBC">
              <w:rPr>
                <w:webHidden/>
              </w:rPr>
            </w:r>
            <w:r w:rsidR="00354BBC">
              <w:rPr>
                <w:webHidden/>
              </w:rPr>
              <w:fldChar w:fldCharType="separate"/>
            </w:r>
            <w:r w:rsidR="00732473">
              <w:rPr>
                <w:webHidden/>
              </w:rPr>
              <w:t>81</w:t>
            </w:r>
            <w:r w:rsidR="00354BBC">
              <w:rPr>
                <w:webHidden/>
              </w:rPr>
              <w:fldChar w:fldCharType="end"/>
            </w:r>
          </w:hyperlink>
        </w:p>
        <w:p w14:paraId="0EAC1C8F" w14:textId="77777777" w:rsidR="00354BBC" w:rsidRDefault="00E32F9D">
          <w:pPr>
            <w:pStyle w:val="TOC2"/>
            <w:rPr>
              <w:rFonts w:asciiTheme="minorHAnsi" w:hAnsiTheme="minorHAnsi"/>
              <w:noProof/>
              <w:szCs w:val="22"/>
              <w:lang w:eastAsia="en-AU"/>
            </w:rPr>
          </w:pPr>
          <w:hyperlink w:anchor="_Toc161759734" w:history="1">
            <w:r w:rsidR="00354BBC" w:rsidRPr="00B91C80">
              <w:rPr>
                <w:rStyle w:val="Hyperlink"/>
                <w:noProof/>
              </w:rPr>
              <w:t>Assumptions used to quantify the net benefit of three options</w:t>
            </w:r>
            <w:r w:rsidR="00354BBC">
              <w:rPr>
                <w:noProof/>
                <w:webHidden/>
              </w:rPr>
              <w:tab/>
            </w:r>
            <w:r w:rsidR="00354BBC">
              <w:rPr>
                <w:noProof/>
                <w:webHidden/>
              </w:rPr>
              <w:fldChar w:fldCharType="begin"/>
            </w:r>
            <w:r w:rsidR="00354BBC">
              <w:rPr>
                <w:noProof/>
                <w:webHidden/>
              </w:rPr>
              <w:instrText xml:space="preserve"> PAGEREF _Toc161759734 \h </w:instrText>
            </w:r>
            <w:r w:rsidR="00354BBC">
              <w:rPr>
                <w:noProof/>
                <w:webHidden/>
              </w:rPr>
            </w:r>
            <w:r w:rsidR="00354BBC">
              <w:rPr>
                <w:noProof/>
                <w:webHidden/>
              </w:rPr>
              <w:fldChar w:fldCharType="separate"/>
            </w:r>
            <w:r w:rsidR="00732473">
              <w:rPr>
                <w:noProof/>
                <w:webHidden/>
              </w:rPr>
              <w:t>81</w:t>
            </w:r>
            <w:r w:rsidR="00354BBC">
              <w:rPr>
                <w:noProof/>
                <w:webHidden/>
              </w:rPr>
              <w:fldChar w:fldCharType="end"/>
            </w:r>
          </w:hyperlink>
        </w:p>
        <w:p w14:paraId="7BD05AAF" w14:textId="77777777" w:rsidR="004D10DD" w:rsidRPr="004D10DD" w:rsidRDefault="004D10DD" w:rsidP="004D10DD">
          <w:pPr>
            <w:pStyle w:val="TOC1"/>
            <w:rPr>
              <w:rFonts w:asciiTheme="minorHAnsi" w:hAnsiTheme="minorHAnsi"/>
              <w:szCs w:val="22"/>
              <w:lang w:eastAsia="en-AU"/>
            </w:rPr>
          </w:pPr>
          <w:r>
            <w:rPr>
              <w:bCs/>
            </w:rPr>
            <w:fldChar w:fldCharType="end"/>
          </w:r>
        </w:p>
      </w:sdtContent>
    </w:sdt>
    <w:p w14:paraId="0333E962" w14:textId="77777777" w:rsidR="006366D2" w:rsidRDefault="006366D2">
      <w:pPr>
        <w:rPr>
          <w:rFonts w:eastAsiaTheme="majorEastAsia" w:cstheme="majorBidi"/>
          <w:color w:val="1B375C" w:themeColor="accent1"/>
          <w:sz w:val="48"/>
          <w:szCs w:val="40"/>
        </w:rPr>
      </w:pPr>
      <w:bookmarkStart w:id="5" w:name="_Toc161395942"/>
      <w:bookmarkStart w:id="6" w:name="_Toc161403478"/>
      <w:bookmarkStart w:id="7" w:name="_Toc161752207"/>
      <w:bookmarkStart w:id="8" w:name="_Toc161759644"/>
      <w:r>
        <w:br w:type="page"/>
      </w:r>
    </w:p>
    <w:p w14:paraId="798D072D" w14:textId="77777777" w:rsidR="008D7C71" w:rsidRPr="003D290F" w:rsidRDefault="006F3661" w:rsidP="001E79E2">
      <w:pPr>
        <w:pStyle w:val="Heading1"/>
        <w:ind w:left="0" w:firstLine="0"/>
      </w:pPr>
      <w:r w:rsidRPr="003D290F">
        <w:lastRenderedPageBreak/>
        <w:t>Abbreviations</w:t>
      </w:r>
      <w:bookmarkEnd w:id="5"/>
      <w:bookmarkEnd w:id="6"/>
      <w:bookmarkEnd w:id="7"/>
      <w:bookmarkEnd w:id="8"/>
    </w:p>
    <w:tbl>
      <w:tblPr>
        <w:tblStyle w:val="GridTable1Light"/>
        <w:tblW w:w="0" w:type="auto"/>
        <w:tblLook w:val="04A0" w:firstRow="1" w:lastRow="0" w:firstColumn="1" w:lastColumn="0" w:noHBand="0" w:noVBand="1"/>
      </w:tblPr>
      <w:tblGrid>
        <w:gridCol w:w="1689"/>
        <w:gridCol w:w="8505"/>
      </w:tblGrid>
      <w:tr w:rsidR="00815AFC" w:rsidRPr="003D290F" w14:paraId="589B99B9" w14:textId="77777777" w:rsidTr="00493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1B375C" w:themeFill="accent1"/>
          </w:tcPr>
          <w:p w14:paraId="32593A7E" w14:textId="77777777" w:rsidR="00815AFC" w:rsidRPr="003D290F" w:rsidRDefault="00815AFC" w:rsidP="00074B89">
            <w:pPr>
              <w:spacing w:line="276" w:lineRule="auto"/>
              <w:rPr>
                <w:sz w:val="24"/>
              </w:rPr>
            </w:pPr>
            <w:r>
              <w:rPr>
                <w:sz w:val="24"/>
              </w:rPr>
              <w:t>Abbreviation</w:t>
            </w:r>
          </w:p>
        </w:tc>
        <w:tc>
          <w:tcPr>
            <w:tcW w:w="8776" w:type="dxa"/>
            <w:shd w:val="clear" w:color="auto" w:fill="1B375C" w:themeFill="accent1"/>
          </w:tcPr>
          <w:p w14:paraId="2425C8F8" w14:textId="77777777" w:rsidR="00815AFC" w:rsidRPr="003D290F" w:rsidRDefault="00815AFC" w:rsidP="00074B89">
            <w:pPr>
              <w:spacing w:line="276" w:lineRule="auto"/>
              <w:cnfStyle w:val="100000000000" w:firstRow="1" w:lastRow="0" w:firstColumn="0" w:lastColumn="0" w:oddVBand="0" w:evenVBand="0" w:oddHBand="0" w:evenHBand="0" w:firstRowFirstColumn="0" w:firstRowLastColumn="0" w:lastRowFirstColumn="0" w:lastRowLastColumn="0"/>
              <w:rPr>
                <w:sz w:val="24"/>
              </w:rPr>
            </w:pPr>
            <w:r>
              <w:rPr>
                <w:sz w:val="24"/>
              </w:rPr>
              <w:t>Definition</w:t>
            </w:r>
          </w:p>
        </w:tc>
      </w:tr>
      <w:tr w:rsidR="00B15985" w:rsidRPr="003D290F" w14:paraId="78172DFE"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646540EC" w14:textId="77777777" w:rsidR="00B15985" w:rsidRPr="003D290F" w:rsidRDefault="00B15985" w:rsidP="00815AFC">
            <w:pPr>
              <w:spacing w:line="276" w:lineRule="auto"/>
              <w:rPr>
                <w:sz w:val="24"/>
              </w:rPr>
            </w:pPr>
            <w:r w:rsidRPr="003D290F">
              <w:rPr>
                <w:sz w:val="24"/>
              </w:rPr>
              <w:t>ABS</w:t>
            </w:r>
          </w:p>
        </w:tc>
        <w:tc>
          <w:tcPr>
            <w:tcW w:w="8776" w:type="dxa"/>
          </w:tcPr>
          <w:p w14:paraId="1B787B19" w14:textId="77777777" w:rsidR="00B15985" w:rsidRPr="003D290F" w:rsidRDefault="00B15985"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Australian Bureau of Statistics</w:t>
            </w:r>
          </w:p>
        </w:tc>
      </w:tr>
      <w:tr w:rsidR="00795826" w:rsidRPr="003D290F" w14:paraId="41319D0D"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2C4C6728" w14:textId="77777777" w:rsidR="00795826" w:rsidRPr="003D290F" w:rsidRDefault="00795826" w:rsidP="00815AFC">
            <w:pPr>
              <w:spacing w:line="276" w:lineRule="auto"/>
              <w:rPr>
                <w:sz w:val="24"/>
              </w:rPr>
            </w:pPr>
            <w:r w:rsidRPr="003D290F">
              <w:rPr>
                <w:sz w:val="24"/>
              </w:rPr>
              <w:t>AEMO</w:t>
            </w:r>
          </w:p>
        </w:tc>
        <w:tc>
          <w:tcPr>
            <w:tcW w:w="8776" w:type="dxa"/>
          </w:tcPr>
          <w:p w14:paraId="0A1E2301"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rPr>
            </w:pPr>
            <w:r w:rsidRPr="003D290F">
              <w:rPr>
                <w:sz w:val="24"/>
              </w:rPr>
              <w:t>Australian Energy Market Operator</w:t>
            </w:r>
          </w:p>
        </w:tc>
      </w:tr>
      <w:tr w:rsidR="00795826" w:rsidRPr="003D290F" w14:paraId="641918D9"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2762E4B3" w14:textId="77777777" w:rsidR="00795826" w:rsidRPr="003D290F" w:rsidDel="00795826" w:rsidRDefault="00795826" w:rsidP="00815AFC">
            <w:pPr>
              <w:spacing w:line="276" w:lineRule="auto"/>
              <w:rPr>
                <w:sz w:val="24"/>
              </w:rPr>
            </w:pPr>
            <w:r w:rsidRPr="003D290F">
              <w:rPr>
                <w:sz w:val="24"/>
              </w:rPr>
              <w:t>CBA</w:t>
            </w:r>
          </w:p>
        </w:tc>
        <w:tc>
          <w:tcPr>
            <w:tcW w:w="8776" w:type="dxa"/>
          </w:tcPr>
          <w:p w14:paraId="17EC6CDD" w14:textId="77777777" w:rsidR="00795826" w:rsidRPr="003D290F" w:rsidRDefault="00BA2A3F"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Cost B</w:t>
            </w:r>
            <w:r w:rsidR="00795826" w:rsidRPr="003D290F">
              <w:rPr>
                <w:sz w:val="24"/>
              </w:rPr>
              <w:t xml:space="preserve">enefit </w:t>
            </w:r>
            <w:r w:rsidRPr="003D290F">
              <w:rPr>
                <w:sz w:val="24"/>
              </w:rPr>
              <w:t>A</w:t>
            </w:r>
            <w:r w:rsidR="00795826" w:rsidRPr="003D290F">
              <w:rPr>
                <w:sz w:val="24"/>
              </w:rPr>
              <w:t>nalysis</w:t>
            </w:r>
          </w:p>
        </w:tc>
      </w:tr>
      <w:tr w:rsidR="00795826" w:rsidRPr="003D290F" w14:paraId="4142366B"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31DB305F" w14:textId="77777777" w:rsidR="00795826" w:rsidRPr="003D290F" w:rsidRDefault="00795826" w:rsidP="00815AFC">
            <w:pPr>
              <w:spacing w:line="276" w:lineRule="auto"/>
              <w:rPr>
                <w:sz w:val="24"/>
              </w:rPr>
            </w:pPr>
            <w:r w:rsidRPr="003D290F">
              <w:rPr>
                <w:sz w:val="24"/>
              </w:rPr>
              <w:t>CFPS</w:t>
            </w:r>
          </w:p>
        </w:tc>
        <w:tc>
          <w:tcPr>
            <w:tcW w:w="8776" w:type="dxa"/>
          </w:tcPr>
          <w:p w14:paraId="40DB89CC"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Coal-</w:t>
            </w:r>
            <w:r w:rsidR="00BA2A3F" w:rsidRPr="003D290F">
              <w:rPr>
                <w:sz w:val="24"/>
              </w:rPr>
              <w:t>F</w:t>
            </w:r>
            <w:r w:rsidRPr="003D290F">
              <w:rPr>
                <w:sz w:val="24"/>
              </w:rPr>
              <w:t xml:space="preserve">ired </w:t>
            </w:r>
            <w:r w:rsidR="00BA2A3F" w:rsidRPr="003D290F">
              <w:rPr>
                <w:sz w:val="24"/>
              </w:rPr>
              <w:t>P</w:t>
            </w:r>
            <w:r w:rsidRPr="003D290F">
              <w:rPr>
                <w:sz w:val="24"/>
              </w:rPr>
              <w:t xml:space="preserve">ower </w:t>
            </w:r>
            <w:r w:rsidR="00BA2A3F" w:rsidRPr="003D290F">
              <w:rPr>
                <w:sz w:val="24"/>
              </w:rPr>
              <w:t>S</w:t>
            </w:r>
            <w:r w:rsidRPr="003D290F">
              <w:rPr>
                <w:sz w:val="24"/>
              </w:rPr>
              <w:t>tations</w:t>
            </w:r>
          </w:p>
        </w:tc>
      </w:tr>
      <w:tr w:rsidR="00795826" w:rsidRPr="003D290F" w14:paraId="7FC1E725"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242E8283" w14:textId="77777777" w:rsidR="00795826" w:rsidRPr="003D290F" w:rsidRDefault="00795826" w:rsidP="00815AFC">
            <w:pPr>
              <w:spacing w:line="276" w:lineRule="auto"/>
              <w:rPr>
                <w:sz w:val="24"/>
              </w:rPr>
            </w:pPr>
            <w:r w:rsidRPr="003D290F">
              <w:rPr>
                <w:sz w:val="24"/>
              </w:rPr>
              <w:t>DCCEEW</w:t>
            </w:r>
          </w:p>
        </w:tc>
        <w:tc>
          <w:tcPr>
            <w:tcW w:w="8776" w:type="dxa"/>
          </w:tcPr>
          <w:p w14:paraId="275194B0"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Department of Climate Change, Energy, the Environment and Water</w:t>
            </w:r>
          </w:p>
        </w:tc>
      </w:tr>
      <w:tr w:rsidR="00795826" w:rsidRPr="003D290F" w14:paraId="7E390B3F"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4CCD7405" w14:textId="77777777" w:rsidR="00795826" w:rsidRPr="003D290F" w:rsidRDefault="00795826" w:rsidP="00815AFC">
            <w:pPr>
              <w:spacing w:line="276" w:lineRule="auto"/>
              <w:rPr>
                <w:sz w:val="24"/>
              </w:rPr>
            </w:pPr>
            <w:r w:rsidRPr="003D290F">
              <w:rPr>
                <w:sz w:val="24"/>
              </w:rPr>
              <w:t>DEWR</w:t>
            </w:r>
          </w:p>
        </w:tc>
        <w:tc>
          <w:tcPr>
            <w:tcW w:w="8776" w:type="dxa"/>
          </w:tcPr>
          <w:p w14:paraId="00E8CE25"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Department of Employment and Workplace Relations</w:t>
            </w:r>
          </w:p>
        </w:tc>
      </w:tr>
      <w:tr w:rsidR="00BA2A3F" w:rsidRPr="003D290F" w14:paraId="7F9C5E0F"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6D717DBA" w14:textId="77777777" w:rsidR="00BA2A3F" w:rsidRPr="003D290F" w:rsidRDefault="00BA2A3F" w:rsidP="00815AFC">
            <w:pPr>
              <w:spacing w:line="276" w:lineRule="auto"/>
              <w:rPr>
                <w:sz w:val="24"/>
              </w:rPr>
            </w:pPr>
            <w:r w:rsidRPr="003D290F">
              <w:rPr>
                <w:sz w:val="24"/>
              </w:rPr>
              <w:t>FWC</w:t>
            </w:r>
          </w:p>
        </w:tc>
        <w:tc>
          <w:tcPr>
            <w:tcW w:w="8776" w:type="dxa"/>
          </w:tcPr>
          <w:p w14:paraId="35F1281B" w14:textId="77777777" w:rsidR="00BA2A3F" w:rsidRPr="003D290F" w:rsidRDefault="00BA2A3F"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Fair Work Commission</w:t>
            </w:r>
          </w:p>
        </w:tc>
      </w:tr>
      <w:tr w:rsidR="00795826" w:rsidRPr="003D290F" w14:paraId="03BBA56A"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2CD165E1" w14:textId="77777777" w:rsidR="00795826" w:rsidRPr="003D290F" w:rsidRDefault="00795826" w:rsidP="00815AFC">
            <w:pPr>
              <w:spacing w:line="276" w:lineRule="auto"/>
              <w:rPr>
                <w:sz w:val="24"/>
              </w:rPr>
            </w:pPr>
            <w:r w:rsidRPr="003D290F">
              <w:rPr>
                <w:sz w:val="24"/>
              </w:rPr>
              <w:t>JSA</w:t>
            </w:r>
          </w:p>
        </w:tc>
        <w:tc>
          <w:tcPr>
            <w:tcW w:w="8776" w:type="dxa"/>
          </w:tcPr>
          <w:p w14:paraId="783E2919"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Jobs and Skills Australia</w:t>
            </w:r>
          </w:p>
        </w:tc>
      </w:tr>
      <w:tr w:rsidR="00795826" w:rsidRPr="003D290F" w14:paraId="6360FFD9"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50C57467" w14:textId="77777777" w:rsidR="00795826" w:rsidRPr="003D290F" w:rsidRDefault="00795826" w:rsidP="00815AFC">
            <w:pPr>
              <w:spacing w:line="276" w:lineRule="auto"/>
              <w:rPr>
                <w:sz w:val="24"/>
              </w:rPr>
            </w:pPr>
            <w:r w:rsidRPr="003D290F">
              <w:rPr>
                <w:sz w:val="24"/>
              </w:rPr>
              <w:t>NEM</w:t>
            </w:r>
          </w:p>
        </w:tc>
        <w:tc>
          <w:tcPr>
            <w:tcW w:w="8776" w:type="dxa"/>
          </w:tcPr>
          <w:p w14:paraId="420F634B"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sz w:val="24"/>
              </w:rPr>
              <w:t>National Energy Market</w:t>
            </w:r>
          </w:p>
        </w:tc>
      </w:tr>
      <w:tr w:rsidR="00795826" w:rsidRPr="003D290F" w14:paraId="4B922B81" w14:textId="77777777" w:rsidTr="00493933">
        <w:tc>
          <w:tcPr>
            <w:cnfStyle w:val="001000000000" w:firstRow="0" w:lastRow="0" w:firstColumn="1" w:lastColumn="0" w:oddVBand="0" w:evenVBand="0" w:oddHBand="0" w:evenHBand="0" w:firstRowFirstColumn="0" w:firstRowLastColumn="0" w:lastRowFirstColumn="0" w:lastRowLastColumn="0"/>
            <w:tcW w:w="1418" w:type="dxa"/>
          </w:tcPr>
          <w:p w14:paraId="1B440C3D" w14:textId="77777777" w:rsidR="00795826" w:rsidRPr="003D290F" w:rsidRDefault="00795826" w:rsidP="00815AFC">
            <w:pPr>
              <w:spacing w:line="276" w:lineRule="auto"/>
              <w:rPr>
                <w:sz w:val="24"/>
              </w:rPr>
            </w:pPr>
            <w:r w:rsidRPr="003D290F">
              <w:rPr>
                <w:sz w:val="24"/>
              </w:rPr>
              <w:t>NPV</w:t>
            </w:r>
          </w:p>
        </w:tc>
        <w:tc>
          <w:tcPr>
            <w:tcW w:w="8776" w:type="dxa"/>
          </w:tcPr>
          <w:p w14:paraId="1C9642EC"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rPr>
            </w:pPr>
            <w:r w:rsidRPr="003D290F">
              <w:rPr>
                <w:rFonts w:eastAsia="Times New Roman"/>
                <w:sz w:val="24"/>
              </w:rPr>
              <w:t>Net Present Value</w:t>
            </w:r>
          </w:p>
        </w:tc>
      </w:tr>
      <w:tr w:rsidR="00795826" w:rsidRPr="003D290F" w14:paraId="3BC6AB0C" w14:textId="77777777" w:rsidTr="00493933">
        <w:trPr>
          <w:trHeight w:val="26"/>
        </w:trPr>
        <w:tc>
          <w:tcPr>
            <w:cnfStyle w:val="001000000000" w:firstRow="0" w:lastRow="0" w:firstColumn="1" w:lastColumn="0" w:oddVBand="0" w:evenVBand="0" w:oddHBand="0" w:evenHBand="0" w:firstRowFirstColumn="0" w:firstRowLastColumn="0" w:lastRowFirstColumn="0" w:lastRowLastColumn="0"/>
            <w:tcW w:w="1418" w:type="dxa"/>
          </w:tcPr>
          <w:p w14:paraId="419BD08D" w14:textId="77777777" w:rsidR="00795826" w:rsidRPr="003D290F" w:rsidRDefault="00795826" w:rsidP="00815AFC">
            <w:pPr>
              <w:spacing w:line="276" w:lineRule="auto"/>
              <w:rPr>
                <w:sz w:val="24"/>
              </w:rPr>
            </w:pPr>
            <w:r w:rsidRPr="003D290F">
              <w:rPr>
                <w:sz w:val="24"/>
              </w:rPr>
              <w:t>OIA</w:t>
            </w:r>
          </w:p>
        </w:tc>
        <w:tc>
          <w:tcPr>
            <w:tcW w:w="8776" w:type="dxa"/>
          </w:tcPr>
          <w:p w14:paraId="119C7F27" w14:textId="77777777" w:rsidR="00795826" w:rsidRPr="003D290F" w:rsidRDefault="00795826" w:rsidP="00815AFC">
            <w:pPr>
              <w:spacing w:line="276" w:lineRule="auto"/>
              <w:cnfStyle w:val="000000000000" w:firstRow="0" w:lastRow="0" w:firstColumn="0" w:lastColumn="0" w:oddVBand="0" w:evenVBand="0" w:oddHBand="0" w:evenHBand="0" w:firstRowFirstColumn="0" w:firstRowLastColumn="0" w:lastRowFirstColumn="0" w:lastRowLastColumn="0"/>
              <w:rPr>
                <w:sz w:val="24"/>
              </w:rPr>
            </w:pPr>
            <w:r w:rsidRPr="003D290F">
              <w:rPr>
                <w:rFonts w:eastAsia="Times New Roman"/>
                <w:sz w:val="24"/>
              </w:rPr>
              <w:t xml:space="preserve">Office of Impact Analysis </w:t>
            </w:r>
          </w:p>
        </w:tc>
      </w:tr>
    </w:tbl>
    <w:p w14:paraId="4F9CC7D2" w14:textId="77777777" w:rsidR="008D7C71" w:rsidRPr="003D290F" w:rsidRDefault="008D7C71" w:rsidP="009824DE"/>
    <w:p w14:paraId="4CAAA2AC" w14:textId="77777777" w:rsidR="008D7C71" w:rsidRPr="003D290F" w:rsidRDefault="008D7C71" w:rsidP="00051DB6"/>
    <w:p w14:paraId="492F8317" w14:textId="77777777" w:rsidR="007F5BBE" w:rsidRPr="003D290F" w:rsidRDefault="007F5BBE" w:rsidP="00051DB6"/>
    <w:p w14:paraId="3EC4E4B2" w14:textId="77777777" w:rsidR="007F5BBE" w:rsidRPr="003D290F" w:rsidRDefault="007F5BBE" w:rsidP="00051DB6"/>
    <w:p w14:paraId="22864440" w14:textId="77777777" w:rsidR="006366D2" w:rsidRDefault="006366D2">
      <w:pPr>
        <w:rPr>
          <w:rFonts w:eastAsiaTheme="majorEastAsia" w:cstheme="majorBidi"/>
          <w:color w:val="1B375C" w:themeColor="accent1"/>
          <w:sz w:val="48"/>
          <w:szCs w:val="40"/>
        </w:rPr>
      </w:pPr>
      <w:bookmarkStart w:id="9" w:name="_Toc161395943"/>
      <w:bookmarkStart w:id="10" w:name="_Toc161403479"/>
      <w:bookmarkStart w:id="11" w:name="_Toc161752208"/>
      <w:bookmarkStart w:id="12" w:name="_Toc161759645"/>
      <w:r>
        <w:br w:type="page"/>
      </w:r>
    </w:p>
    <w:p w14:paraId="13F51EF3" w14:textId="77777777" w:rsidR="00145F3C" w:rsidRPr="003D290F" w:rsidRDefault="00145F3C" w:rsidP="00AA30B5">
      <w:pPr>
        <w:pStyle w:val="Heading1"/>
      </w:pPr>
      <w:r w:rsidRPr="003D290F">
        <w:lastRenderedPageBreak/>
        <w:t>Introduction</w:t>
      </w:r>
      <w:bookmarkEnd w:id="9"/>
      <w:bookmarkEnd w:id="10"/>
      <w:bookmarkEnd w:id="11"/>
      <w:bookmarkEnd w:id="12"/>
    </w:p>
    <w:p w14:paraId="3DB0FFA2" w14:textId="77777777" w:rsidR="00447569" w:rsidRPr="003D290F" w:rsidRDefault="00447569" w:rsidP="00317A3B">
      <w:pPr>
        <w:rPr>
          <w:rFonts w:cs="Arial"/>
          <w:szCs w:val="22"/>
        </w:rPr>
      </w:pPr>
      <w:r w:rsidRPr="003D290F">
        <w:rPr>
          <w:rFonts w:cs="Arial"/>
          <w:szCs w:val="22"/>
        </w:rPr>
        <w:t xml:space="preserve">Australia is </w:t>
      </w:r>
      <w:r w:rsidR="00F74F26" w:rsidRPr="003D290F">
        <w:rPr>
          <w:rFonts w:cs="Arial"/>
          <w:szCs w:val="22"/>
        </w:rPr>
        <w:t>responding to</w:t>
      </w:r>
      <w:r w:rsidRPr="003D290F">
        <w:rPr>
          <w:rFonts w:cs="Arial"/>
          <w:szCs w:val="22"/>
        </w:rPr>
        <w:t xml:space="preserve"> the global challenge to reduce greenhouse gas emissions, with legislated targets to reduce emission</w:t>
      </w:r>
      <w:r w:rsidR="005E4887">
        <w:rPr>
          <w:rFonts w:cs="Arial"/>
          <w:szCs w:val="22"/>
        </w:rPr>
        <w:t>s</w:t>
      </w:r>
      <w:r w:rsidRPr="003D290F">
        <w:rPr>
          <w:rFonts w:cs="Arial"/>
          <w:szCs w:val="22"/>
        </w:rPr>
        <w:t xml:space="preserve"> </w:t>
      </w:r>
      <w:r w:rsidR="002C48C3" w:rsidRPr="003D290F">
        <w:rPr>
          <w:rFonts w:cs="Arial"/>
          <w:szCs w:val="22"/>
        </w:rPr>
        <w:t>by 43</w:t>
      </w:r>
      <w:r w:rsidR="00F86755" w:rsidRPr="003D290F">
        <w:rPr>
          <w:rFonts w:cs="Arial"/>
          <w:szCs w:val="22"/>
        </w:rPr>
        <w:t xml:space="preserve"> per cent</w:t>
      </w:r>
      <w:r w:rsidR="002C48C3" w:rsidRPr="003D290F">
        <w:rPr>
          <w:rFonts w:cs="Arial"/>
          <w:szCs w:val="22"/>
        </w:rPr>
        <w:t xml:space="preserve"> from 2005 levels by 2030</w:t>
      </w:r>
      <w:r w:rsidRPr="003D290F">
        <w:rPr>
          <w:rFonts w:cs="Arial"/>
          <w:szCs w:val="22"/>
        </w:rPr>
        <w:t>,</w:t>
      </w:r>
      <w:r w:rsidR="002C48C3" w:rsidRPr="003D290F">
        <w:rPr>
          <w:rFonts w:cs="Arial"/>
          <w:szCs w:val="22"/>
        </w:rPr>
        <w:t xml:space="preserve"> and net zero by 2050. </w:t>
      </w:r>
      <w:r w:rsidR="009F212B" w:rsidRPr="003D290F">
        <w:rPr>
          <w:rFonts w:cs="Arial"/>
          <w:szCs w:val="22"/>
        </w:rPr>
        <w:t>Around the world, g</w:t>
      </w:r>
      <w:r w:rsidR="00233B60" w:rsidRPr="003D290F">
        <w:t>overnments, businesses and investors are taking decisions to increase investment in renewable energy sources and emerging clean industries</w:t>
      </w:r>
      <w:r w:rsidR="00240F49">
        <w:t>.</w:t>
      </w:r>
      <w:r w:rsidR="00233B60" w:rsidRPr="003D290F">
        <w:t xml:space="preserve"> </w:t>
      </w:r>
    </w:p>
    <w:p w14:paraId="4A4BBBE6" w14:textId="77777777" w:rsidR="00320F4E" w:rsidRPr="003D290F" w:rsidRDefault="00233B60" w:rsidP="00317A3B">
      <w:pPr>
        <w:rPr>
          <w:rFonts w:cs="Arial"/>
          <w:szCs w:val="22"/>
        </w:rPr>
      </w:pPr>
      <w:r w:rsidRPr="003D290F">
        <w:rPr>
          <w:rFonts w:cs="Arial"/>
          <w:szCs w:val="22"/>
        </w:rPr>
        <w:t>Th</w:t>
      </w:r>
      <w:r w:rsidR="009F212B" w:rsidRPr="003D290F">
        <w:rPr>
          <w:rFonts w:cs="Arial"/>
          <w:szCs w:val="22"/>
        </w:rPr>
        <w:t>is</w:t>
      </w:r>
      <w:r w:rsidRPr="003D290F">
        <w:rPr>
          <w:rFonts w:cs="Arial"/>
          <w:szCs w:val="22"/>
        </w:rPr>
        <w:t xml:space="preserve"> transition to a net zero future</w:t>
      </w:r>
      <w:r w:rsidR="002C48C3" w:rsidRPr="003D290F">
        <w:rPr>
          <w:rFonts w:cs="Arial"/>
          <w:szCs w:val="22"/>
        </w:rPr>
        <w:t xml:space="preserve"> offers a significant source of economic opportunity for </w:t>
      </w:r>
      <w:r w:rsidRPr="003D290F">
        <w:rPr>
          <w:rFonts w:cs="Arial"/>
          <w:szCs w:val="22"/>
        </w:rPr>
        <w:t xml:space="preserve">Australia’s </w:t>
      </w:r>
      <w:r w:rsidR="002C48C3" w:rsidRPr="003D290F">
        <w:rPr>
          <w:rFonts w:cs="Arial"/>
          <w:szCs w:val="22"/>
        </w:rPr>
        <w:t>industries, regions and workers</w:t>
      </w:r>
      <w:r w:rsidR="00D16852" w:rsidRPr="003D290F">
        <w:rPr>
          <w:rFonts w:cs="Arial"/>
          <w:szCs w:val="22"/>
        </w:rPr>
        <w:t>, but also carries risk as existing emissions-intensive industries transform or phase out.</w:t>
      </w:r>
      <w:r w:rsidR="002C48C3" w:rsidRPr="003D290F">
        <w:rPr>
          <w:rFonts w:cs="Arial"/>
        </w:rPr>
        <w:t xml:space="preserve"> </w:t>
      </w:r>
      <w:r w:rsidRPr="003D290F">
        <w:rPr>
          <w:rFonts w:cs="Arial"/>
          <w:szCs w:val="22"/>
        </w:rPr>
        <w:t>The shift to net zero emissions by 2050 must happen fair</w:t>
      </w:r>
      <w:r w:rsidR="00976390" w:rsidRPr="003D290F">
        <w:rPr>
          <w:rFonts w:cs="Arial"/>
          <w:szCs w:val="22"/>
        </w:rPr>
        <w:t>ly for Australians in emissions</w:t>
      </w:r>
      <w:r w:rsidR="00976390" w:rsidRPr="003D290F">
        <w:rPr>
          <w:rFonts w:cs="Arial"/>
          <w:szCs w:val="22"/>
        </w:rPr>
        <w:noBreakHyphen/>
      </w:r>
      <w:r w:rsidRPr="003D290F">
        <w:rPr>
          <w:rFonts w:cs="Arial"/>
          <w:szCs w:val="22"/>
        </w:rPr>
        <w:t>intensive industries and the communities they live and work in</w:t>
      </w:r>
      <w:r w:rsidR="007977D7">
        <w:rPr>
          <w:rFonts w:cs="Arial"/>
          <w:szCs w:val="22"/>
        </w:rPr>
        <w:t xml:space="preserve"> to help minimise the social impacts of this economic transformation</w:t>
      </w:r>
      <w:r w:rsidRPr="003D290F">
        <w:rPr>
          <w:rFonts w:cs="Arial"/>
          <w:szCs w:val="22"/>
        </w:rPr>
        <w:t>.</w:t>
      </w:r>
    </w:p>
    <w:p w14:paraId="56743C6C" w14:textId="77777777" w:rsidR="002C48C3" w:rsidRPr="003D290F" w:rsidRDefault="002C48C3" w:rsidP="00803A5D">
      <w:pPr>
        <w:pStyle w:val="Heading3"/>
      </w:pPr>
      <w:bookmarkStart w:id="13" w:name="_Toc161395944"/>
      <w:bookmarkStart w:id="14" w:name="_Toc161403480"/>
      <w:bookmarkStart w:id="15" w:name="_Toc161694754"/>
      <w:bookmarkStart w:id="16" w:name="_Toc161752209"/>
      <w:bookmarkStart w:id="17" w:name="_Toc161759646"/>
      <w:r w:rsidRPr="003D290F">
        <w:t>Net Zero Economy Agency</w:t>
      </w:r>
      <w:bookmarkEnd w:id="13"/>
      <w:bookmarkEnd w:id="14"/>
      <w:bookmarkEnd w:id="15"/>
      <w:bookmarkEnd w:id="16"/>
      <w:bookmarkEnd w:id="17"/>
    </w:p>
    <w:p w14:paraId="443EDB38" w14:textId="77777777" w:rsidR="00916924" w:rsidRPr="003D290F" w:rsidRDefault="002C48C3" w:rsidP="00317A3B">
      <w:pPr>
        <w:rPr>
          <w:rFonts w:cs="Arial"/>
        </w:rPr>
      </w:pPr>
      <w:r w:rsidRPr="003D290F">
        <w:rPr>
          <w:rFonts w:cs="Arial"/>
        </w:rPr>
        <w:t xml:space="preserve">The Net Zero Economy Agency </w:t>
      </w:r>
      <w:r w:rsidR="00951BBC" w:rsidRPr="003D290F">
        <w:rPr>
          <w:rFonts w:cs="Arial"/>
        </w:rPr>
        <w:t xml:space="preserve">(the Agency) </w:t>
      </w:r>
      <w:r w:rsidR="00F7471F" w:rsidRPr="003D290F">
        <w:rPr>
          <w:rFonts w:cs="Arial"/>
        </w:rPr>
        <w:t xml:space="preserve">was established </w:t>
      </w:r>
      <w:r w:rsidRPr="003D290F">
        <w:rPr>
          <w:rFonts w:cs="Arial"/>
        </w:rPr>
        <w:t>on 1 July 2023.</w:t>
      </w:r>
      <w:r w:rsidR="00F7471F" w:rsidRPr="003D290F">
        <w:rPr>
          <w:rFonts w:cs="Arial"/>
        </w:rPr>
        <w:t xml:space="preserve"> Its role </w:t>
      </w:r>
      <w:r w:rsidRPr="003D290F">
        <w:rPr>
          <w:rFonts w:cs="Arial"/>
        </w:rPr>
        <w:t xml:space="preserve">is to promote orderly and positive economic transformation </w:t>
      </w:r>
      <w:r w:rsidR="00916924" w:rsidRPr="003D290F">
        <w:rPr>
          <w:rFonts w:cs="Arial"/>
        </w:rPr>
        <w:t>as the world decarbonises, to ensure Australia, its regions and workers realise and share the benefits of the net zero economy.</w:t>
      </w:r>
    </w:p>
    <w:p w14:paraId="3A6CC0F8" w14:textId="77777777" w:rsidR="002C48C3" w:rsidRPr="003D290F" w:rsidRDefault="002C48C3" w:rsidP="00317A3B">
      <w:pPr>
        <w:rPr>
          <w:rFonts w:cs="Arial"/>
        </w:rPr>
      </w:pPr>
      <w:r w:rsidRPr="003D290F">
        <w:rPr>
          <w:rFonts w:cs="Arial"/>
        </w:rPr>
        <w:t xml:space="preserve">The work of the Agency </w:t>
      </w:r>
      <w:r w:rsidR="00AE7BBF" w:rsidRPr="003D290F">
        <w:rPr>
          <w:rFonts w:cs="Arial"/>
        </w:rPr>
        <w:t>precede</w:t>
      </w:r>
      <w:r w:rsidR="00916924" w:rsidRPr="003D290F">
        <w:rPr>
          <w:rFonts w:cs="Arial"/>
        </w:rPr>
        <w:t>s</w:t>
      </w:r>
      <w:r w:rsidRPr="003D290F">
        <w:rPr>
          <w:rFonts w:cs="Arial"/>
        </w:rPr>
        <w:t xml:space="preserve"> the establishment of a legislated Net Zero </w:t>
      </w:r>
      <w:r w:rsidR="00EB693A" w:rsidRPr="003D290F">
        <w:rPr>
          <w:rFonts w:cs="Arial"/>
        </w:rPr>
        <w:t xml:space="preserve">Economy </w:t>
      </w:r>
      <w:r w:rsidRPr="003D290F">
        <w:rPr>
          <w:rFonts w:cs="Arial"/>
        </w:rPr>
        <w:t>Authority</w:t>
      </w:r>
      <w:r w:rsidR="001F753D" w:rsidRPr="003D290F">
        <w:rPr>
          <w:rFonts w:cs="Arial"/>
        </w:rPr>
        <w:t>,</w:t>
      </w:r>
      <w:r w:rsidRPr="003D290F">
        <w:rPr>
          <w:rFonts w:cs="Arial"/>
        </w:rPr>
        <w:t xml:space="preserve"> </w:t>
      </w:r>
      <w:r w:rsidR="001F753D" w:rsidRPr="003D290F">
        <w:rPr>
          <w:rFonts w:cs="Arial"/>
        </w:rPr>
        <w:t>which</w:t>
      </w:r>
      <w:r w:rsidRPr="003D290F">
        <w:rPr>
          <w:rFonts w:cs="Arial"/>
        </w:rPr>
        <w:t xml:space="preserve"> will occur following </w:t>
      </w:r>
      <w:r w:rsidR="00ED45E1" w:rsidRPr="003D290F">
        <w:rPr>
          <w:rFonts w:cs="Arial"/>
        </w:rPr>
        <w:t xml:space="preserve">the passage of legislation through established </w:t>
      </w:r>
      <w:r w:rsidRPr="003D290F">
        <w:rPr>
          <w:rFonts w:cs="Arial"/>
        </w:rPr>
        <w:t>Parliamentary processes.</w:t>
      </w:r>
      <w:r w:rsidR="001F753D" w:rsidRPr="003D290F">
        <w:rPr>
          <w:rFonts w:cs="Arial"/>
        </w:rPr>
        <w:t xml:space="preserve"> </w:t>
      </w:r>
      <w:r w:rsidRPr="003D290F">
        <w:rPr>
          <w:rFonts w:cs="Arial"/>
        </w:rPr>
        <w:t xml:space="preserve">The Agency will kick-start the work of the </w:t>
      </w:r>
      <w:r w:rsidR="001F753D" w:rsidRPr="003D290F">
        <w:rPr>
          <w:rFonts w:cs="Arial"/>
        </w:rPr>
        <w:t>legislated Authority</w:t>
      </w:r>
      <w:r w:rsidRPr="003D290F">
        <w:rPr>
          <w:rFonts w:cs="Arial"/>
        </w:rPr>
        <w:t xml:space="preserve"> by:</w:t>
      </w:r>
    </w:p>
    <w:p w14:paraId="7933CAD3" w14:textId="77777777" w:rsidR="00A6345F" w:rsidRDefault="00A6345F" w:rsidP="00B82A86">
      <w:pPr>
        <w:pStyle w:val="BulletedList-Level1"/>
        <w:numPr>
          <w:ilvl w:val="0"/>
          <w:numId w:val="22"/>
        </w:numPr>
        <w:spacing w:line="276" w:lineRule="auto"/>
      </w:pPr>
      <w:r>
        <w:t>facilitating public and private sector participation and investment in greenhouse gas emissions reduction and net zero transformation initiatives in Australia</w:t>
      </w:r>
      <w:r w:rsidR="00513DDC">
        <w:t>;</w:t>
      </w:r>
    </w:p>
    <w:p w14:paraId="52F8ED99" w14:textId="77777777" w:rsidR="00A6345F" w:rsidRDefault="00A6345F" w:rsidP="00B82A86">
      <w:pPr>
        <w:pStyle w:val="BulletedList-Level1"/>
        <w:numPr>
          <w:ilvl w:val="0"/>
          <w:numId w:val="22"/>
        </w:numPr>
        <w:spacing w:line="276" w:lineRule="auto"/>
      </w:pPr>
      <w:r>
        <w:t>supporting workers impacted by the net zero transformation to transition to new opportunities</w:t>
      </w:r>
      <w:r w:rsidR="00513DDC">
        <w:t>;</w:t>
      </w:r>
    </w:p>
    <w:p w14:paraId="32BFE49E" w14:textId="77777777" w:rsidR="00A6345F" w:rsidRDefault="00A6345F" w:rsidP="00B82A86">
      <w:pPr>
        <w:pStyle w:val="BulletedList-Level1"/>
        <w:numPr>
          <w:ilvl w:val="0"/>
          <w:numId w:val="22"/>
        </w:numPr>
        <w:spacing w:line="276" w:lineRule="auto"/>
      </w:pPr>
      <w:r>
        <w:t>coordinating net zero efforts across government and key stakeholders to facilitate the achievement of Australia’s greenhouse gas emissions reduction targets and support Australia’s transition to a net zero emissions economy</w:t>
      </w:r>
      <w:r w:rsidR="00513DDC">
        <w:t>;</w:t>
      </w:r>
      <w:r w:rsidR="00853F72">
        <w:t xml:space="preserve"> and</w:t>
      </w:r>
    </w:p>
    <w:p w14:paraId="06B259AB" w14:textId="77777777" w:rsidR="00A6345F" w:rsidRDefault="00A6345F" w:rsidP="00B82A86">
      <w:pPr>
        <w:pStyle w:val="BulletedList-Level1"/>
        <w:numPr>
          <w:ilvl w:val="0"/>
          <w:numId w:val="22"/>
        </w:numPr>
        <w:spacing w:line="276" w:lineRule="auto"/>
      </w:pPr>
      <w:r>
        <w:t>building community understanding, confidence and engagement with the net zero transformation.</w:t>
      </w:r>
    </w:p>
    <w:p w14:paraId="0326A78D" w14:textId="77777777" w:rsidR="006B687D" w:rsidRPr="003D290F" w:rsidRDefault="002C48C3" w:rsidP="0017616E">
      <w:pPr>
        <w:spacing w:before="240"/>
        <w:rPr>
          <w:rFonts w:cs="Arial"/>
        </w:rPr>
      </w:pPr>
      <w:r w:rsidRPr="003D290F">
        <w:rPr>
          <w:rFonts w:cs="Arial"/>
        </w:rPr>
        <w:t xml:space="preserve">More information can be found at </w:t>
      </w:r>
      <w:hyperlink r:id="rId10" w:history="1">
        <w:r w:rsidRPr="003D290F">
          <w:rPr>
            <w:rStyle w:val="Hyperlink"/>
            <w:rFonts w:cs="Arial"/>
          </w:rPr>
          <w:t>https://www.pmc.gov.au/netzero</w:t>
        </w:r>
      </w:hyperlink>
      <w:r w:rsidRPr="003D290F">
        <w:rPr>
          <w:rFonts w:cs="Arial"/>
        </w:rPr>
        <w:t>.</w:t>
      </w:r>
      <w:r w:rsidR="006B687D" w:rsidRPr="003D290F">
        <w:rPr>
          <w:rFonts w:cs="Arial"/>
        </w:rPr>
        <w:t xml:space="preserve"> </w:t>
      </w:r>
    </w:p>
    <w:p w14:paraId="7CF68910" w14:textId="77777777" w:rsidR="00ED45E1" w:rsidRPr="003D290F" w:rsidRDefault="00ED45E1" w:rsidP="00317A3B">
      <w:pPr>
        <w:rPr>
          <w:rFonts w:cs="Arial"/>
        </w:rPr>
      </w:pPr>
      <w:r w:rsidRPr="003D290F">
        <w:rPr>
          <w:rFonts w:cs="Arial"/>
        </w:rPr>
        <w:t>This document refers to the Net Zero Economy Agency</w:t>
      </w:r>
      <w:r w:rsidR="00525EED" w:rsidRPr="003D290F">
        <w:rPr>
          <w:rFonts w:cs="Arial"/>
        </w:rPr>
        <w:t xml:space="preserve"> </w:t>
      </w:r>
      <w:r w:rsidRPr="003D290F">
        <w:rPr>
          <w:rFonts w:cs="Arial"/>
        </w:rPr>
        <w:t xml:space="preserve">when discussing actions currently undertaken by the Agency. </w:t>
      </w:r>
      <w:r w:rsidR="00525EED" w:rsidRPr="003D290F">
        <w:rPr>
          <w:rFonts w:cs="Arial"/>
        </w:rPr>
        <w:t xml:space="preserve">The title Net Zero </w:t>
      </w:r>
      <w:r w:rsidR="00EB693A" w:rsidRPr="003D290F">
        <w:rPr>
          <w:rFonts w:cs="Arial"/>
        </w:rPr>
        <w:t xml:space="preserve">Economy </w:t>
      </w:r>
      <w:r w:rsidR="00525EED" w:rsidRPr="003D290F">
        <w:rPr>
          <w:rFonts w:cs="Arial"/>
        </w:rPr>
        <w:t>Authority (the Authority) is used w</w:t>
      </w:r>
      <w:r w:rsidRPr="003D290F">
        <w:rPr>
          <w:rFonts w:cs="Arial"/>
        </w:rPr>
        <w:t xml:space="preserve">hen referring to actions to be undertaken by a legislated Net Zero </w:t>
      </w:r>
      <w:r w:rsidR="00EB693A" w:rsidRPr="003D290F">
        <w:rPr>
          <w:rFonts w:cs="Arial"/>
        </w:rPr>
        <w:t xml:space="preserve">Economy </w:t>
      </w:r>
      <w:r w:rsidRPr="003D290F">
        <w:rPr>
          <w:rFonts w:cs="Arial"/>
        </w:rPr>
        <w:t>Authority.</w:t>
      </w:r>
    </w:p>
    <w:p w14:paraId="18F5178A" w14:textId="77777777" w:rsidR="00681BD9" w:rsidRPr="00F92D0C" w:rsidRDefault="00F92D0C" w:rsidP="00ED7D02">
      <w:pPr>
        <w:pStyle w:val="Heading1"/>
      </w:pPr>
      <w:r>
        <w:br w:type="page"/>
      </w:r>
      <w:bookmarkStart w:id="18" w:name="_Toc161752210"/>
      <w:bookmarkStart w:id="19" w:name="_Toc161759647"/>
      <w:r w:rsidR="00681BD9" w:rsidRPr="00F92D0C">
        <w:lastRenderedPageBreak/>
        <w:t>Executive Summary</w:t>
      </w:r>
      <w:bookmarkEnd w:id="18"/>
      <w:bookmarkEnd w:id="19"/>
    </w:p>
    <w:p w14:paraId="0D94C2C2" w14:textId="77777777" w:rsidR="00583D89" w:rsidRDefault="00583D89" w:rsidP="00D23026">
      <w:r w:rsidRPr="002B6523">
        <w:t xml:space="preserve">The </w:t>
      </w:r>
      <w:r w:rsidR="006F590E">
        <w:t xml:space="preserve">Australian </w:t>
      </w:r>
      <w:r w:rsidR="001C0C15">
        <w:t xml:space="preserve">Government </w:t>
      </w:r>
      <w:r w:rsidR="00A16D23">
        <w:t xml:space="preserve">has </w:t>
      </w:r>
      <w:r w:rsidR="001C0C15">
        <w:t xml:space="preserve">tasked the </w:t>
      </w:r>
      <w:r>
        <w:t xml:space="preserve">Net Zero Economy Agency </w:t>
      </w:r>
      <w:r w:rsidR="001C0C15">
        <w:t>to explore options to support workers impacted by the net zero transition</w:t>
      </w:r>
      <w:r w:rsidR="00A16D23">
        <w:t xml:space="preserve"> to access new employment, skills and opportunities</w:t>
      </w:r>
      <w:r w:rsidR="001C0C15">
        <w:t>.</w:t>
      </w:r>
    </w:p>
    <w:p w14:paraId="1F0033BE" w14:textId="77777777" w:rsidR="001810DE" w:rsidRDefault="00D23026" w:rsidP="00D23026">
      <w:r w:rsidRPr="002B6523">
        <w:t>This</w:t>
      </w:r>
      <w:r w:rsidRPr="003D290F">
        <w:t xml:space="preserve"> Impact Analysis has been prepared by the Agency on </w:t>
      </w:r>
      <w:r w:rsidR="001C0C15">
        <w:t xml:space="preserve">policy </w:t>
      </w:r>
      <w:r w:rsidRPr="003D290F">
        <w:t>options to support workers at coal-fired power stations</w:t>
      </w:r>
      <w:r>
        <w:t xml:space="preserve">, </w:t>
      </w:r>
      <w:r w:rsidRPr="00FE0A9E">
        <w:t>gas-fired power stations</w:t>
      </w:r>
      <w:r w:rsidRPr="003D290F">
        <w:t xml:space="preserve"> and dependent suppliers to access new employment as these stations progressively retire.</w:t>
      </w:r>
      <w:r w:rsidR="00A16D23">
        <w:t xml:space="preserve"> </w:t>
      </w:r>
    </w:p>
    <w:p w14:paraId="65CDBA64" w14:textId="77777777" w:rsidR="00CE761D" w:rsidRDefault="00843F13" w:rsidP="00CE761D">
      <w:r>
        <w:t>T</w:t>
      </w:r>
      <w:r w:rsidRPr="003D290F">
        <w:t xml:space="preserve">he policy options considered in this analysis </w:t>
      </w:r>
      <w:r>
        <w:t>are targeted specifically to workers associated with closing coal-</w:t>
      </w:r>
      <w:r w:rsidR="00964230">
        <w:t>fired</w:t>
      </w:r>
      <w:r>
        <w:t xml:space="preserve"> and gas-fired generators</w:t>
      </w:r>
      <w:r w:rsidRPr="003D290F">
        <w:t xml:space="preserve">. </w:t>
      </w:r>
      <w:r w:rsidRPr="003D290F" w:rsidDel="001F6D3D">
        <w:t>Consideration of broader transition initiatives</w:t>
      </w:r>
      <w:r w:rsidRPr="003D290F">
        <w:t>, such as</w:t>
      </w:r>
      <w:r w:rsidRPr="003D290F" w:rsidDel="001F6D3D">
        <w:t xml:space="preserve"> additional supports for workers at other emissions-intensive facilities that face transformation as the world decarbonises</w:t>
      </w:r>
      <w:r w:rsidRPr="003D290F">
        <w:t>,</w:t>
      </w:r>
      <w:r w:rsidRPr="003D290F" w:rsidDel="001F6D3D">
        <w:t xml:space="preserve"> are beyond the scope of this analysis. </w:t>
      </w:r>
      <w:r w:rsidRPr="003D290F" w:rsidDel="006B30ED">
        <w:t xml:space="preserve">These issues will continue to be </w:t>
      </w:r>
      <w:r>
        <w:t>considered</w:t>
      </w:r>
      <w:r w:rsidRPr="003D290F" w:rsidDel="006B30ED">
        <w:t xml:space="preserve"> by the </w:t>
      </w:r>
      <w:r w:rsidDel="006B30ED">
        <w:t>G</w:t>
      </w:r>
      <w:r w:rsidRPr="003D290F" w:rsidDel="006B30ED">
        <w:t>overnment to ensure workers and communities are supported holistically as the net zero transition continues</w:t>
      </w:r>
      <w:r w:rsidDel="006B30ED">
        <w:t>.</w:t>
      </w:r>
      <w:r w:rsidR="00CE761D" w:rsidRPr="00CE761D">
        <w:t xml:space="preserve"> </w:t>
      </w:r>
    </w:p>
    <w:p w14:paraId="20747B47" w14:textId="77777777" w:rsidR="00CE761D" w:rsidRPr="00F76445" w:rsidRDefault="006911A5" w:rsidP="00F76445">
      <w:pPr>
        <w:rPr>
          <w:rFonts w:eastAsia="Times New Roman"/>
          <w:b/>
          <w:color w:val="1B375C" w:themeColor="accent1"/>
        </w:rPr>
      </w:pPr>
      <w:r w:rsidRPr="00F76445">
        <w:rPr>
          <w:rFonts w:eastAsia="Times New Roman"/>
          <w:b/>
          <w:color w:val="1B375C" w:themeColor="accent1"/>
        </w:rPr>
        <w:t>Policy objectives</w:t>
      </w:r>
    </w:p>
    <w:p w14:paraId="2FAA0A51" w14:textId="77777777" w:rsidR="00843F13" w:rsidRDefault="00CE761D" w:rsidP="00D23026">
      <w:r>
        <w:t>The overarching goal of policy options</w:t>
      </w:r>
      <w:r w:rsidR="004C3A84">
        <w:t xml:space="preserve"> considered in this analysis</w:t>
      </w:r>
      <w:r>
        <w:t xml:space="preserve"> is to minimise </w:t>
      </w:r>
      <w:r w:rsidRPr="00A16D23">
        <w:t xml:space="preserve">the potential negative economic and social impacts of </w:t>
      </w:r>
      <w:r>
        <w:t xml:space="preserve">these </w:t>
      </w:r>
      <w:r w:rsidRPr="00A16D23">
        <w:t xml:space="preserve">facility closures. Where these facilities represent major local or regional employers, it </w:t>
      </w:r>
      <w:r>
        <w:t>will be</w:t>
      </w:r>
      <w:r w:rsidRPr="00A16D23">
        <w:t xml:space="preserve"> important to implement policy responses that mitigate local unemployment impacts in the immediate period following a closure</w:t>
      </w:r>
      <w:r>
        <w:t xml:space="preserve"> – noting that power stations are concentrated in a handful of regions around Australia. </w:t>
      </w:r>
    </w:p>
    <w:p w14:paraId="295A8FC2" w14:textId="77777777" w:rsidR="00CE761D" w:rsidRPr="003D290F" w:rsidRDefault="00CE761D" w:rsidP="00ED7D02">
      <w:pPr>
        <w:spacing w:after="0"/>
      </w:pPr>
      <w:r>
        <w:t xml:space="preserve">Specific </w:t>
      </w:r>
      <w:r w:rsidR="004C3A84">
        <w:t xml:space="preserve">policy </w:t>
      </w:r>
      <w:r>
        <w:t xml:space="preserve">objectives identified </w:t>
      </w:r>
      <w:r w:rsidR="004C3A84">
        <w:t>in</w:t>
      </w:r>
      <w:r>
        <w:t xml:space="preserve"> this analysis for</w:t>
      </w:r>
      <w:r w:rsidRPr="003D290F">
        <w:t xml:space="preserve"> </w:t>
      </w:r>
      <w:r>
        <w:t xml:space="preserve">policy </w:t>
      </w:r>
      <w:r w:rsidRPr="003D290F">
        <w:t xml:space="preserve">responses </w:t>
      </w:r>
      <w:r w:rsidR="004C3A84">
        <w:t>that</w:t>
      </w:r>
      <w:r w:rsidRPr="003D290F">
        <w:t xml:space="preserve"> support workers at closing facilities </w:t>
      </w:r>
      <w:r>
        <w:t>are</w:t>
      </w:r>
      <w:r w:rsidRPr="003D290F">
        <w:t>:</w:t>
      </w:r>
    </w:p>
    <w:p w14:paraId="1249C026" w14:textId="77777777" w:rsidR="00CE761D" w:rsidRPr="003D290F" w:rsidRDefault="00CE761D" w:rsidP="00CE761D">
      <w:pPr>
        <w:pStyle w:val="BulletedList-Level1"/>
        <w:numPr>
          <w:ilvl w:val="0"/>
          <w:numId w:val="10"/>
        </w:numPr>
        <w:spacing w:line="276" w:lineRule="auto"/>
      </w:pPr>
      <w:r w:rsidRPr="003D290F">
        <w:t>minimising involuntary unemployment when facilities close</w:t>
      </w:r>
      <w:r w:rsidR="00186104">
        <w:t>;</w:t>
      </w:r>
    </w:p>
    <w:p w14:paraId="325D2DE6" w14:textId="77777777" w:rsidR="00CE761D" w:rsidRPr="003D290F" w:rsidRDefault="00CE761D" w:rsidP="00CE761D">
      <w:pPr>
        <w:pStyle w:val="BulletedList-Level1"/>
        <w:numPr>
          <w:ilvl w:val="0"/>
          <w:numId w:val="10"/>
        </w:numPr>
        <w:spacing w:line="276" w:lineRule="auto"/>
      </w:pPr>
      <w:r w:rsidRPr="003D290F">
        <w:t>maximising opportunities to transition into similar employment</w:t>
      </w:r>
      <w:r w:rsidR="00186104">
        <w:t>;</w:t>
      </w:r>
    </w:p>
    <w:p w14:paraId="3BB69DF5" w14:textId="77777777" w:rsidR="00CE761D" w:rsidRDefault="00CE761D" w:rsidP="00CE761D">
      <w:pPr>
        <w:pStyle w:val="BulletedList-Level1"/>
        <w:numPr>
          <w:ilvl w:val="0"/>
          <w:numId w:val="10"/>
        </w:numPr>
        <w:spacing w:line="276" w:lineRule="auto"/>
      </w:pPr>
      <w:r w:rsidRPr="003D290F">
        <w:t>providing appropriate supports, training and skills to impacted employees</w:t>
      </w:r>
      <w:r w:rsidR="00186104">
        <w:t>;</w:t>
      </w:r>
      <w:r w:rsidRPr="003D290F">
        <w:t xml:space="preserve"> and</w:t>
      </w:r>
    </w:p>
    <w:p w14:paraId="67D68BD4" w14:textId="77777777" w:rsidR="00CE761D" w:rsidRDefault="00CE761D" w:rsidP="00ED7D02">
      <w:pPr>
        <w:pStyle w:val="BulletedList-Level1"/>
        <w:numPr>
          <w:ilvl w:val="0"/>
          <w:numId w:val="10"/>
        </w:numPr>
        <w:spacing w:after="200" w:line="276" w:lineRule="auto"/>
        <w:ind w:left="357" w:hanging="357"/>
      </w:pPr>
      <w:r>
        <w:t>using</w:t>
      </w:r>
      <w:r w:rsidRPr="003D290F">
        <w:t xml:space="preserve"> to the best extent the skills and experience of employees</w:t>
      </w:r>
      <w:r>
        <w:t>.</w:t>
      </w:r>
    </w:p>
    <w:p w14:paraId="2CBF3D53" w14:textId="77777777" w:rsidR="00843F13" w:rsidRPr="00F76445" w:rsidRDefault="00843F13" w:rsidP="00F76445">
      <w:pPr>
        <w:rPr>
          <w:rFonts w:eastAsia="Times New Roman"/>
          <w:b/>
          <w:color w:val="1B375C" w:themeColor="accent1"/>
        </w:rPr>
      </w:pPr>
      <w:r w:rsidRPr="00F76445">
        <w:rPr>
          <w:rFonts w:eastAsia="Times New Roman"/>
          <w:b/>
          <w:color w:val="1B375C" w:themeColor="accent1"/>
        </w:rPr>
        <w:t>Policy options considered</w:t>
      </w:r>
      <w:r w:rsidR="00DD2257" w:rsidRPr="00F76445">
        <w:rPr>
          <w:rFonts w:eastAsia="Times New Roman"/>
          <w:b/>
          <w:color w:val="1B375C" w:themeColor="accent1"/>
        </w:rPr>
        <w:t xml:space="preserve"> in the analysis</w:t>
      </w:r>
      <w:r w:rsidRPr="00F76445">
        <w:rPr>
          <w:rFonts w:eastAsia="Times New Roman"/>
          <w:b/>
          <w:color w:val="1B375C" w:themeColor="accent1"/>
        </w:rPr>
        <w:tab/>
      </w:r>
    </w:p>
    <w:p w14:paraId="3FA075EA" w14:textId="77777777" w:rsidR="00A16D23" w:rsidRPr="003D290F" w:rsidRDefault="001810DE" w:rsidP="00A16D23">
      <w:r>
        <w:t xml:space="preserve">This Impact Analysis focusses on power stations with sizeable workforces and announced closure dates, which are predominantly coal-fired power stations. The analysis </w:t>
      </w:r>
      <w:r w:rsidR="00D23026" w:rsidRPr="003D290F">
        <w:t>considers the potential impact of three different policy options on employers, workers, governments and communities</w:t>
      </w:r>
      <w:r w:rsidR="00CE4C01">
        <w:t>. The</w:t>
      </w:r>
      <w:r w:rsidR="00D23026" w:rsidRPr="003D290F">
        <w:t xml:space="preserve"> net benefits of two policy options through to 2035</w:t>
      </w:r>
      <w:r w:rsidR="00CE4C01">
        <w:t xml:space="preserve"> have been estimated</w:t>
      </w:r>
      <w:r w:rsidR="00D23026" w:rsidRPr="003D290F">
        <w:t xml:space="preserve"> using </w:t>
      </w:r>
      <w:r w:rsidR="00CE4C01" w:rsidRPr="003D290F">
        <w:rPr>
          <w:rFonts w:eastAsia="Times New Roman"/>
        </w:rPr>
        <w:t>an abridged cost benefit analysis (CBA)</w:t>
      </w:r>
      <w:r w:rsidR="00CE4C01">
        <w:rPr>
          <w:rFonts w:eastAsia="Times New Roman"/>
        </w:rPr>
        <w:t xml:space="preserve"> framework and </w:t>
      </w:r>
      <w:r w:rsidR="00D23026" w:rsidRPr="003D290F">
        <w:t xml:space="preserve">a combination of quantitative and qualitative </w:t>
      </w:r>
      <w:r w:rsidR="00526537">
        <w:t>analysis</w:t>
      </w:r>
      <w:r w:rsidR="00D23026">
        <w:t>.</w:t>
      </w:r>
      <w:r w:rsidR="00A16D23">
        <w:t xml:space="preserve"> </w:t>
      </w:r>
      <w:r w:rsidR="00A16D23" w:rsidRPr="003D290F">
        <w:t>The three policy options are:</w:t>
      </w:r>
    </w:p>
    <w:p w14:paraId="09D866E8" w14:textId="77777777" w:rsidR="00A16D23" w:rsidRPr="003D290F" w:rsidRDefault="00A16D23" w:rsidP="00B82A86">
      <w:pPr>
        <w:pStyle w:val="BulletedList-Level1"/>
        <w:numPr>
          <w:ilvl w:val="0"/>
          <w:numId w:val="20"/>
        </w:numPr>
        <w:spacing w:line="276" w:lineRule="auto"/>
      </w:pPr>
      <w:r w:rsidRPr="00F76445">
        <w:rPr>
          <w:rFonts w:eastAsia="Times New Roman"/>
          <w:b/>
          <w:color w:val="1B375C" w:themeColor="accent1"/>
        </w:rPr>
        <w:t>Option 1:</w:t>
      </w:r>
      <w:r>
        <w:t xml:space="preserve"> </w:t>
      </w:r>
      <w:r w:rsidRPr="003D290F">
        <w:t>a ‘status quo’ option, in which existing supports for workers are relied on, with no further intervention from the</w:t>
      </w:r>
      <w:r w:rsidR="006F590E">
        <w:t xml:space="preserve"> Australian</w:t>
      </w:r>
      <w:r w:rsidRPr="003D290F">
        <w:t xml:space="preserve"> </w:t>
      </w:r>
      <w:r w:rsidR="006F590E">
        <w:t>G</w:t>
      </w:r>
      <w:r w:rsidRPr="003D290F">
        <w:t>overnment</w:t>
      </w:r>
    </w:p>
    <w:p w14:paraId="4DF07E0A" w14:textId="77777777" w:rsidR="00A16D23" w:rsidRPr="003D290F" w:rsidRDefault="00A16D23" w:rsidP="00B82A86">
      <w:pPr>
        <w:pStyle w:val="BulletedList-Level1"/>
        <w:numPr>
          <w:ilvl w:val="0"/>
          <w:numId w:val="20"/>
        </w:numPr>
        <w:spacing w:line="276" w:lineRule="auto"/>
      </w:pPr>
      <w:r w:rsidRPr="00F76445">
        <w:rPr>
          <w:rFonts w:eastAsia="Times New Roman"/>
          <w:b/>
          <w:color w:val="1B375C" w:themeColor="accent1"/>
        </w:rPr>
        <w:lastRenderedPageBreak/>
        <w:t>Option 2:</w:t>
      </w:r>
      <w:r>
        <w:t xml:space="preserve"> </w:t>
      </w:r>
      <w:r w:rsidRPr="003D290F">
        <w:t>implementing a pooled redeployment policy for workers at closing coal-fired power stations</w:t>
      </w:r>
      <w:r>
        <w:t>, some gas-fired power stations and</w:t>
      </w:r>
      <w:r w:rsidRPr="003D290F">
        <w:t xml:space="preserve"> dependent suppliers, with all partie</w:t>
      </w:r>
      <w:r w:rsidR="00853F72">
        <w:t>s participating voluntarily</w:t>
      </w:r>
    </w:p>
    <w:p w14:paraId="1E202279" w14:textId="77777777" w:rsidR="00A16D23" w:rsidRDefault="00A16D23" w:rsidP="00B82A86">
      <w:pPr>
        <w:pStyle w:val="BulletedList-Level1"/>
        <w:numPr>
          <w:ilvl w:val="0"/>
          <w:numId w:val="20"/>
        </w:numPr>
        <w:spacing w:line="276" w:lineRule="auto"/>
      </w:pPr>
      <w:r w:rsidRPr="00F76445">
        <w:rPr>
          <w:rFonts w:eastAsia="Times New Roman"/>
          <w:b/>
          <w:color w:val="1B375C" w:themeColor="accent1"/>
        </w:rPr>
        <w:t>Option 3:</w:t>
      </w:r>
      <w:r>
        <w:t xml:space="preserve"> </w:t>
      </w:r>
      <w:r w:rsidRPr="003D290F">
        <w:t>implementing a pooled redeployment policy for workers at closing coal-fired power stations</w:t>
      </w:r>
      <w:r>
        <w:t>, some gas-fired power stations</w:t>
      </w:r>
      <w:r w:rsidRPr="003D290F">
        <w:t xml:space="preserve"> and dependent suppliers, underpinned by a legislative framework that</w:t>
      </w:r>
      <w:r>
        <w:t>:</w:t>
      </w:r>
      <w:r w:rsidRPr="003D290F">
        <w:t xml:space="preserve"> </w:t>
      </w:r>
    </w:p>
    <w:p w14:paraId="51D73174" w14:textId="77777777" w:rsidR="00A16D23" w:rsidRDefault="00A16D23" w:rsidP="00B82A86">
      <w:pPr>
        <w:pStyle w:val="BulletedList-Level1"/>
        <w:numPr>
          <w:ilvl w:val="1"/>
          <w:numId w:val="20"/>
        </w:numPr>
        <w:spacing w:line="276" w:lineRule="auto"/>
      </w:pPr>
      <w:r w:rsidRPr="003D290F">
        <w:t xml:space="preserve">includes the ability to require </w:t>
      </w:r>
      <w:r>
        <w:t>closing power station operators and their dependent suppliers</w:t>
      </w:r>
      <w:r w:rsidRPr="003D290F">
        <w:t xml:space="preserve"> to participate</w:t>
      </w:r>
      <w:r>
        <w:t xml:space="preserve"> in pooled redeployment arrangements</w:t>
      </w:r>
      <w:r w:rsidR="00867890">
        <w:t>;</w:t>
      </w:r>
      <w:r w:rsidRPr="003D290F">
        <w:t xml:space="preserve"> and</w:t>
      </w:r>
    </w:p>
    <w:p w14:paraId="47912381" w14:textId="77777777" w:rsidR="00A16D23" w:rsidRPr="003D290F" w:rsidRDefault="00A16D23" w:rsidP="00B82A86">
      <w:pPr>
        <w:pStyle w:val="BulletedList-Level1"/>
        <w:numPr>
          <w:ilvl w:val="1"/>
          <w:numId w:val="20"/>
        </w:numPr>
        <w:spacing w:line="276" w:lineRule="auto"/>
      </w:pPr>
      <w:r w:rsidRPr="003D290F">
        <w:t xml:space="preserve">requires </w:t>
      </w:r>
      <w:r>
        <w:t xml:space="preserve">participating closing employers and dependent suppliers to take actions </w:t>
      </w:r>
      <w:r w:rsidRPr="003D290F">
        <w:t xml:space="preserve">to support employees to achieve </w:t>
      </w:r>
      <w:r>
        <w:t>employment outcomes including participation in the redeployment pool, subject to their operational requirements</w:t>
      </w:r>
      <w:r w:rsidRPr="003D290F">
        <w:t>.</w:t>
      </w:r>
    </w:p>
    <w:p w14:paraId="260BE913" w14:textId="77777777" w:rsidR="0054502F" w:rsidRDefault="006A2A78" w:rsidP="00ED7D02">
      <w:pPr>
        <w:spacing w:after="120"/>
      </w:pPr>
      <w:r>
        <w:t>Under Options 2 and 3, w</w:t>
      </w:r>
      <w:r w:rsidR="0054502F">
        <w:t>hether a pooled redeployment plan is implemented in relation to a particular power station closure would be assessed with regard to factors including:</w:t>
      </w:r>
    </w:p>
    <w:p w14:paraId="31F9563E" w14:textId="77777777" w:rsidR="0054502F" w:rsidRDefault="0054502F" w:rsidP="0054502F">
      <w:pPr>
        <w:pStyle w:val="ListParagraph"/>
        <w:numPr>
          <w:ilvl w:val="0"/>
          <w:numId w:val="24"/>
        </w:numPr>
      </w:pPr>
      <w:r>
        <w:t>the existing supports that are available to assist employees to find other employment</w:t>
      </w:r>
      <w:r w:rsidR="00186104">
        <w:t>;</w:t>
      </w:r>
      <w:r>
        <w:t xml:space="preserve"> </w:t>
      </w:r>
    </w:p>
    <w:p w14:paraId="456E6848" w14:textId="77777777" w:rsidR="0054502F" w:rsidRDefault="0054502F" w:rsidP="0054502F">
      <w:pPr>
        <w:pStyle w:val="ListParagraph"/>
        <w:numPr>
          <w:ilvl w:val="0"/>
          <w:numId w:val="24"/>
        </w:numPr>
      </w:pPr>
      <w:r>
        <w:t>the number of employees involved</w:t>
      </w:r>
      <w:r w:rsidR="00186104">
        <w:t>;</w:t>
      </w:r>
    </w:p>
    <w:p w14:paraId="37A3713E" w14:textId="77777777" w:rsidR="0054502F" w:rsidRDefault="0054502F" w:rsidP="0054502F">
      <w:pPr>
        <w:pStyle w:val="ListParagraph"/>
        <w:numPr>
          <w:ilvl w:val="0"/>
          <w:numId w:val="24"/>
        </w:numPr>
      </w:pPr>
      <w:r>
        <w:t>the capacity of closing employers to redeploy their employees in other business operations</w:t>
      </w:r>
      <w:r w:rsidR="00186104">
        <w:t xml:space="preserve">; </w:t>
      </w:r>
      <w:r>
        <w:t>and</w:t>
      </w:r>
    </w:p>
    <w:p w14:paraId="143C1E42" w14:textId="77777777" w:rsidR="0054502F" w:rsidRDefault="0054502F" w:rsidP="00ED7D02">
      <w:pPr>
        <w:pStyle w:val="ListParagraph"/>
        <w:numPr>
          <w:ilvl w:val="0"/>
          <w:numId w:val="24"/>
        </w:numPr>
      </w:pPr>
      <w:r>
        <w:t>the capacity of the local labour market to absorb those workers in the absence of a pooled redeployment plan.</w:t>
      </w:r>
      <w:r w:rsidR="00223EA5">
        <w:rPr>
          <w:rStyle w:val="FootnoteReference"/>
        </w:rPr>
        <w:footnoteReference w:id="2"/>
      </w:r>
    </w:p>
    <w:p w14:paraId="048DF6B7" w14:textId="77777777" w:rsidR="0060330D" w:rsidRDefault="0060330D" w:rsidP="00D23026">
      <w:r>
        <w:t xml:space="preserve">The final policy design for </w:t>
      </w:r>
      <w:r w:rsidRPr="0060330D">
        <w:t>Options</w:t>
      </w:r>
      <w:r>
        <w:t xml:space="preserve"> 2 and 3 has taken into account feedback from stakeholder consultations held by the Agency and the Department of Employment and Workplace Relations in late 2023 and early 2024</w:t>
      </w:r>
      <w:r w:rsidR="00853F72">
        <w:t>. These consultations were</w:t>
      </w:r>
      <w:r>
        <w:t xml:space="preserve"> with electricity generators, other industry employers, industry peak bodies and unions. </w:t>
      </w:r>
    </w:p>
    <w:p w14:paraId="553E7F9B" w14:textId="77777777" w:rsidR="00DD2257" w:rsidRPr="00F76445" w:rsidRDefault="00DD2257" w:rsidP="00D23026">
      <w:pPr>
        <w:rPr>
          <w:rFonts w:eastAsia="Times New Roman"/>
          <w:b/>
          <w:color w:val="1B375C" w:themeColor="accent1"/>
        </w:rPr>
      </w:pPr>
      <w:r w:rsidRPr="00F76445">
        <w:rPr>
          <w:rFonts w:eastAsia="Times New Roman"/>
          <w:b/>
          <w:color w:val="1B375C" w:themeColor="accent1"/>
        </w:rPr>
        <w:t xml:space="preserve">Outcomes of the analysis </w:t>
      </w:r>
    </w:p>
    <w:p w14:paraId="59B22ED4" w14:textId="77777777" w:rsidR="00B1350E" w:rsidRDefault="00E75BA6" w:rsidP="00B1350E">
      <w:pPr>
        <w:rPr>
          <w:rFonts w:eastAsia="Times New Roman"/>
        </w:rPr>
      </w:pPr>
      <w:r>
        <w:t>The</w:t>
      </w:r>
      <w:r w:rsidR="000D4C82">
        <w:t xml:space="preserve"> </w:t>
      </w:r>
      <w:r w:rsidRPr="00E75BA6">
        <w:t xml:space="preserve">costs and benefits of </w:t>
      </w:r>
      <w:r w:rsidR="00E74B37">
        <w:t>Options 2 and 3,</w:t>
      </w:r>
      <w:r w:rsidRPr="00E75BA6">
        <w:t xml:space="preserve"> relative to </w:t>
      </w:r>
      <w:r w:rsidR="005A1317">
        <w:t xml:space="preserve">the </w:t>
      </w:r>
      <w:r w:rsidRPr="00E75BA6">
        <w:t>status quo</w:t>
      </w:r>
      <w:r w:rsidR="00E74B37">
        <w:t>,</w:t>
      </w:r>
      <w:r w:rsidRPr="003B71FE">
        <w:t xml:space="preserve"> </w:t>
      </w:r>
      <w:r>
        <w:t xml:space="preserve">are summarised in </w:t>
      </w:r>
      <w:r w:rsidRPr="001E79E2">
        <w:rPr>
          <w:rFonts w:eastAsia="Times New Roman"/>
          <w:b/>
          <w:color w:val="1B375C" w:themeColor="accent1"/>
        </w:rPr>
        <w:t>Table 0.1</w:t>
      </w:r>
      <w:r>
        <w:t xml:space="preserve"> below.</w:t>
      </w:r>
      <w:r w:rsidR="000D4C82" w:rsidRPr="000D4C82">
        <w:rPr>
          <w:rFonts w:eastAsia="Times New Roman"/>
        </w:rPr>
        <w:t xml:space="preserve"> </w:t>
      </w:r>
      <w:r w:rsidR="00723EF8" w:rsidRPr="00EA57CC">
        <w:rPr>
          <w:rFonts w:eastAsia="Times New Roman" w:cs="Segoe UI"/>
        </w:rPr>
        <w:t>While overall quantified net present values (NPVs) of Options 2 and 3 are negative, the overall NPVs of Option 2 and Option 3 are expected to be positive when unquantified impacts are taken into account</w:t>
      </w:r>
      <w:r w:rsidR="00B1350E">
        <w:rPr>
          <w:rFonts w:eastAsia="Times New Roman"/>
        </w:rPr>
        <w:t>.</w:t>
      </w:r>
    </w:p>
    <w:p w14:paraId="23BB6CD5" w14:textId="77777777" w:rsidR="00A40BB4" w:rsidRDefault="000D4C82">
      <w:pPr>
        <w:rPr>
          <w:rFonts w:eastAsia="Times New Roman"/>
        </w:rPr>
      </w:pPr>
      <w:r w:rsidRPr="003D290F">
        <w:rPr>
          <w:rFonts w:eastAsia="Times New Roman"/>
        </w:rPr>
        <w:t xml:space="preserve">The </w:t>
      </w:r>
      <w:r>
        <w:rPr>
          <w:rFonts w:eastAsia="Times New Roman"/>
        </w:rPr>
        <w:t>policies under Option 2 and 3</w:t>
      </w:r>
      <w:r w:rsidRPr="003D290F">
        <w:rPr>
          <w:rFonts w:eastAsia="Times New Roman"/>
        </w:rPr>
        <w:t xml:space="preserve"> have a range of impacts that could not be quantified</w:t>
      </w:r>
      <w:r w:rsidR="00A40BB4">
        <w:rPr>
          <w:rFonts w:eastAsia="Times New Roman"/>
        </w:rPr>
        <w:t xml:space="preserve"> for the purpose of this analysis</w:t>
      </w:r>
      <w:r w:rsidRPr="003D290F">
        <w:rPr>
          <w:rFonts w:eastAsia="Times New Roman"/>
        </w:rPr>
        <w:t xml:space="preserve">. The unquantified impacts of the plan are largely </w:t>
      </w:r>
      <w:r w:rsidR="00F80639">
        <w:rPr>
          <w:rFonts w:eastAsia="Times New Roman"/>
        </w:rPr>
        <w:t xml:space="preserve">significant </w:t>
      </w:r>
      <w:r w:rsidRPr="003D290F">
        <w:rPr>
          <w:rFonts w:eastAsia="Times New Roman"/>
        </w:rPr>
        <w:t xml:space="preserve">benefits </w:t>
      </w:r>
      <w:r w:rsidR="00F80639">
        <w:rPr>
          <w:rFonts w:eastAsia="Times New Roman"/>
        </w:rPr>
        <w:t xml:space="preserve">that </w:t>
      </w:r>
      <w:r w:rsidRPr="003D290F">
        <w:rPr>
          <w:rFonts w:eastAsia="Times New Roman"/>
        </w:rPr>
        <w:t xml:space="preserve">affect almost all stakeholders. These </w:t>
      </w:r>
      <w:r w:rsidR="00A40BB4">
        <w:rPr>
          <w:rFonts w:eastAsia="Times New Roman"/>
        </w:rPr>
        <w:t>benefits</w:t>
      </w:r>
      <w:r w:rsidRPr="003D290F">
        <w:rPr>
          <w:rFonts w:eastAsia="Times New Roman"/>
        </w:rPr>
        <w:t xml:space="preserve"> include</w:t>
      </w:r>
      <w:r w:rsidR="005A1317">
        <w:rPr>
          <w:rFonts w:eastAsia="Times New Roman"/>
        </w:rPr>
        <w:t>:</w:t>
      </w:r>
      <w:r w:rsidRPr="003D290F">
        <w:rPr>
          <w:rFonts w:eastAsia="Times New Roman"/>
        </w:rPr>
        <w:t xml:space="preserve"> </w:t>
      </w:r>
    </w:p>
    <w:p w14:paraId="684AFDD8" w14:textId="77777777" w:rsidR="00A40BB4" w:rsidRDefault="000D4C82" w:rsidP="00723EF8">
      <w:pPr>
        <w:pStyle w:val="ListParagraph"/>
        <w:numPr>
          <w:ilvl w:val="0"/>
          <w:numId w:val="27"/>
        </w:numPr>
        <w:rPr>
          <w:rFonts w:eastAsia="Times New Roman"/>
        </w:rPr>
      </w:pPr>
      <w:r w:rsidRPr="00A40BB4">
        <w:rPr>
          <w:rFonts w:eastAsia="Times New Roman"/>
        </w:rPr>
        <w:t xml:space="preserve">the benefit to </w:t>
      </w:r>
      <w:r w:rsidR="00994306">
        <w:rPr>
          <w:rFonts w:eastAsia="Times New Roman"/>
        </w:rPr>
        <w:t>closing power station</w:t>
      </w:r>
      <w:r w:rsidR="00723EF8">
        <w:rPr>
          <w:rFonts w:eastAsia="Times New Roman"/>
        </w:rPr>
        <w:t>s and dependent</w:t>
      </w:r>
      <w:r w:rsidR="00994306">
        <w:rPr>
          <w:rFonts w:eastAsia="Times New Roman"/>
        </w:rPr>
        <w:t xml:space="preserve"> </w:t>
      </w:r>
      <w:r w:rsidRPr="00A40BB4">
        <w:rPr>
          <w:rFonts w:eastAsia="Times New Roman"/>
        </w:rPr>
        <w:t>employers of greater certainty around their workforces in the lead-up to facility closures</w:t>
      </w:r>
      <w:r w:rsidR="00994306">
        <w:rPr>
          <w:rFonts w:eastAsia="Times New Roman"/>
        </w:rPr>
        <w:t>, and government assistance in finding job opportunities for their workers</w:t>
      </w:r>
      <w:r w:rsidRPr="00A40BB4">
        <w:rPr>
          <w:rFonts w:eastAsia="Times New Roman"/>
        </w:rPr>
        <w:t xml:space="preserve">; </w:t>
      </w:r>
    </w:p>
    <w:p w14:paraId="1FF938D6" w14:textId="77777777" w:rsidR="00994306" w:rsidRDefault="00994306" w:rsidP="00723EF8">
      <w:pPr>
        <w:pStyle w:val="ListParagraph"/>
        <w:numPr>
          <w:ilvl w:val="0"/>
          <w:numId w:val="27"/>
        </w:numPr>
        <w:rPr>
          <w:rFonts w:eastAsia="Times New Roman"/>
        </w:rPr>
      </w:pPr>
      <w:r>
        <w:rPr>
          <w:rFonts w:eastAsia="Times New Roman"/>
        </w:rPr>
        <w:t xml:space="preserve">the benefit to receiving employers of access to a pool of skilled workers; </w:t>
      </w:r>
    </w:p>
    <w:p w14:paraId="37063CC3" w14:textId="77777777" w:rsidR="00A40BB4" w:rsidRDefault="000D4C82" w:rsidP="00723EF8">
      <w:pPr>
        <w:pStyle w:val="ListParagraph"/>
        <w:numPr>
          <w:ilvl w:val="0"/>
          <w:numId w:val="27"/>
        </w:numPr>
        <w:rPr>
          <w:rFonts w:eastAsia="Times New Roman"/>
        </w:rPr>
      </w:pPr>
      <w:r w:rsidRPr="00A40BB4">
        <w:rPr>
          <w:rFonts w:eastAsia="Times New Roman"/>
        </w:rPr>
        <w:t>the social</w:t>
      </w:r>
      <w:r w:rsidR="00A40BB4">
        <w:rPr>
          <w:rFonts w:eastAsia="Times New Roman"/>
        </w:rPr>
        <w:t>, health and welfare</w:t>
      </w:r>
      <w:r w:rsidRPr="00A40BB4">
        <w:rPr>
          <w:rFonts w:eastAsia="Times New Roman"/>
        </w:rPr>
        <w:t xml:space="preserve"> benefits for workers, families and communities of maintaining ongoing employment</w:t>
      </w:r>
      <w:r w:rsidR="00A40BB4">
        <w:rPr>
          <w:rFonts w:eastAsia="Times New Roman"/>
        </w:rPr>
        <w:t>, including reduced labour market scarring over time</w:t>
      </w:r>
      <w:r w:rsidRPr="00A40BB4">
        <w:rPr>
          <w:rFonts w:eastAsia="Times New Roman"/>
        </w:rPr>
        <w:t>;</w:t>
      </w:r>
      <w:r w:rsidR="00A40BB4">
        <w:rPr>
          <w:rFonts w:eastAsia="Times New Roman"/>
        </w:rPr>
        <w:t xml:space="preserve"> and</w:t>
      </w:r>
    </w:p>
    <w:p w14:paraId="0555E893" w14:textId="77777777" w:rsidR="00A40BB4" w:rsidRDefault="00A40BB4" w:rsidP="00723EF8">
      <w:pPr>
        <w:pStyle w:val="ListParagraph"/>
        <w:rPr>
          <w:rFonts w:eastAsia="Times New Roman"/>
        </w:rPr>
      </w:pPr>
    </w:p>
    <w:p w14:paraId="4BC7F9D0" w14:textId="77777777" w:rsidR="00F80639" w:rsidRPr="00A40BB4" w:rsidRDefault="000D4C82" w:rsidP="00723EF8">
      <w:pPr>
        <w:pStyle w:val="ListParagraph"/>
        <w:numPr>
          <w:ilvl w:val="0"/>
          <w:numId w:val="27"/>
        </w:numPr>
        <w:rPr>
          <w:rFonts w:eastAsia="Times New Roman"/>
        </w:rPr>
      </w:pPr>
      <w:r w:rsidRPr="00A40BB4">
        <w:rPr>
          <w:rFonts w:eastAsia="Times New Roman"/>
        </w:rPr>
        <w:lastRenderedPageBreak/>
        <w:t xml:space="preserve">the benefits to regions of maintaining their </w:t>
      </w:r>
      <w:r w:rsidR="00A40BB4">
        <w:rPr>
          <w:rFonts w:eastAsia="Times New Roman"/>
        </w:rPr>
        <w:t xml:space="preserve">social cohesion, </w:t>
      </w:r>
      <w:r w:rsidRPr="00A40BB4">
        <w:rPr>
          <w:rFonts w:eastAsia="Times New Roman"/>
        </w:rPr>
        <w:t xml:space="preserve">employment and identity. </w:t>
      </w:r>
    </w:p>
    <w:p w14:paraId="51C7730F" w14:textId="77777777" w:rsidR="002B1691" w:rsidRDefault="00C76EF7">
      <w:r>
        <w:rPr>
          <w:rFonts w:eastAsia="Times New Roman" w:cs="Segoe UI"/>
        </w:rPr>
        <w:t xml:space="preserve">The </w:t>
      </w:r>
      <w:r w:rsidR="00F80639">
        <w:rPr>
          <w:rFonts w:eastAsia="Times New Roman" w:cs="Segoe UI"/>
        </w:rPr>
        <w:t xml:space="preserve">scale of the </w:t>
      </w:r>
      <w:r>
        <w:rPr>
          <w:rFonts w:eastAsia="Times New Roman" w:cs="Segoe UI"/>
        </w:rPr>
        <w:t xml:space="preserve">unquantified benefits of the plan </w:t>
      </w:r>
      <w:r w:rsidR="00F80639">
        <w:rPr>
          <w:rFonts w:eastAsia="Times New Roman" w:cs="Segoe UI"/>
        </w:rPr>
        <w:t>is</w:t>
      </w:r>
      <w:r>
        <w:rPr>
          <w:rFonts w:eastAsia="Times New Roman" w:cs="Segoe UI"/>
        </w:rPr>
        <w:t xml:space="preserve"> driven by the number of workers that are transferred </w:t>
      </w:r>
      <w:r w:rsidR="00A40BB4">
        <w:rPr>
          <w:rFonts w:eastAsia="Times New Roman" w:cs="Segoe UI"/>
        </w:rPr>
        <w:t>to new jobs through pooled redeployment arrangements</w:t>
      </w:r>
      <w:r>
        <w:rPr>
          <w:rFonts w:eastAsia="Times New Roman" w:cs="Segoe UI"/>
        </w:rPr>
        <w:t>.</w:t>
      </w:r>
      <w:r w:rsidR="00F80639">
        <w:rPr>
          <w:rFonts w:eastAsia="Times New Roman" w:cs="Segoe UI"/>
        </w:rPr>
        <w:t xml:space="preserve"> M</w:t>
      </w:r>
      <w:r w:rsidR="00F80639">
        <w:rPr>
          <w:rFonts w:eastAsia="Times New Roman"/>
        </w:rPr>
        <w:t>ore than two and a half times as many workers are successfully transferred under Option 3 than under Option 2, providing unquantified benefits to more than offset</w:t>
      </w:r>
      <w:r w:rsidR="00F80639">
        <w:t xml:space="preserve"> </w:t>
      </w:r>
      <w:r w:rsidR="00A40BB4">
        <w:t>other quantified costs</w:t>
      </w:r>
      <w:r w:rsidR="00460DF0">
        <w:rPr>
          <w:rFonts w:eastAsia="Times New Roman"/>
        </w:rPr>
        <w:t xml:space="preserve">. </w:t>
      </w:r>
    </w:p>
    <w:p w14:paraId="6B95DFC3" w14:textId="77777777" w:rsidR="003262F2" w:rsidRPr="00ED7D02" w:rsidRDefault="00F80639">
      <w:pPr>
        <w:rPr>
          <w:rFonts w:eastAsia="Times New Roman"/>
        </w:rPr>
      </w:pPr>
      <w:r>
        <w:rPr>
          <w:rFonts w:eastAsia="Times New Roman"/>
        </w:rPr>
        <w:t>Additionally, w</w:t>
      </w:r>
      <w:r w:rsidR="003262F2" w:rsidRPr="00ED7D02">
        <w:rPr>
          <w:rFonts w:eastAsia="Times New Roman"/>
        </w:rPr>
        <w:t xml:space="preserve">ithout the legislated framework included in Option 3, closing power station operators could choose not to engage with the pooled redeployment </w:t>
      </w:r>
      <w:r w:rsidR="00020765" w:rsidRPr="00ED7D02">
        <w:rPr>
          <w:rFonts w:eastAsia="Times New Roman"/>
        </w:rPr>
        <w:t>policy at all, risking the overall success of the policy and leading to poorer outcomes for workers.</w:t>
      </w:r>
    </w:p>
    <w:p w14:paraId="6FB62975" w14:textId="77777777" w:rsidR="00E74B37" w:rsidRDefault="003D6A94">
      <w:r>
        <w:t xml:space="preserve">The </w:t>
      </w:r>
      <w:r w:rsidR="005A1317">
        <w:t>Authority</w:t>
      </w:r>
      <w:r>
        <w:t xml:space="preserve"> will measure and monitor the success of the preferred policy option. </w:t>
      </w:r>
      <w:r w:rsidR="005A1317">
        <w:t>It</w:t>
      </w:r>
      <w:r>
        <w:t xml:space="preserve"> will collect data and information on key measures</w:t>
      </w:r>
      <w:r w:rsidDel="005A1317">
        <w:t xml:space="preserve"> </w:t>
      </w:r>
      <w:r>
        <w:t>and use this to monitor progress towards the objectives of the policy. Reviews and evaluations will</w:t>
      </w:r>
      <w:r w:rsidR="005A1317">
        <w:t xml:space="preserve"> also</w:t>
      </w:r>
      <w:r>
        <w:t xml:space="preserve"> be undertaken to inform ongoing</w:t>
      </w:r>
      <w:r w:rsidDel="005A1317">
        <w:t xml:space="preserve"> </w:t>
      </w:r>
      <w:r>
        <w:t>implementation.</w:t>
      </w:r>
    </w:p>
    <w:p w14:paraId="3A6163D1" w14:textId="77777777" w:rsidR="001810DE" w:rsidRDefault="001810DE">
      <w:pPr>
        <w:rPr>
          <w:rFonts w:eastAsia="Times New Roman" w:cs="Segoe UI"/>
          <w:b/>
          <w:sz w:val="24"/>
        </w:rPr>
      </w:pPr>
    </w:p>
    <w:p w14:paraId="7A0947F8" w14:textId="77777777" w:rsidR="00E74B37" w:rsidRDefault="00E74B37">
      <w:pPr>
        <w:rPr>
          <w:rFonts w:eastAsia="Times New Roman" w:cs="Segoe UI"/>
          <w:b/>
          <w:sz w:val="24"/>
        </w:rPr>
        <w:sectPr w:rsidR="00E74B37" w:rsidSect="00F92D0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851" w:bottom="1134" w:left="851" w:header="709" w:footer="709" w:gutter="0"/>
          <w:cols w:space="708"/>
          <w:docGrid w:linePitch="360"/>
        </w:sectPr>
      </w:pPr>
    </w:p>
    <w:p w14:paraId="511AE483" w14:textId="77777777" w:rsidR="00C05144" w:rsidRPr="006E7677" w:rsidRDefault="008A1DFC" w:rsidP="00ED7D02">
      <w:pPr>
        <w:spacing w:after="0"/>
        <w:rPr>
          <w:b/>
          <w:sz w:val="24"/>
        </w:rPr>
      </w:pPr>
      <w:r>
        <w:rPr>
          <w:rFonts w:eastAsia="Times New Roman" w:cs="Segoe UI"/>
          <w:b/>
          <w:sz w:val="24"/>
        </w:rPr>
        <w:lastRenderedPageBreak/>
        <w:t>TABLE 0.</w:t>
      </w:r>
      <w:r w:rsidR="00E41342">
        <w:rPr>
          <w:rFonts w:eastAsia="Times New Roman" w:cs="Segoe UI"/>
          <w:b/>
          <w:sz w:val="24"/>
        </w:rPr>
        <w:t>1</w:t>
      </w:r>
      <w:r w:rsidRPr="003D290F">
        <w:rPr>
          <w:rFonts w:eastAsia="Times New Roman" w:cs="Segoe UI"/>
          <w:b/>
          <w:sz w:val="24"/>
        </w:rPr>
        <w:t xml:space="preserve"> </w:t>
      </w:r>
      <w:r w:rsidRPr="003D290F">
        <w:rPr>
          <w:b/>
          <w:sz w:val="24"/>
        </w:rPr>
        <w:t xml:space="preserve">COSTS AND BENEFITS OF </w:t>
      </w:r>
      <w:r>
        <w:rPr>
          <w:b/>
          <w:sz w:val="24"/>
        </w:rPr>
        <w:t>REDEPLOYMENT PLANS</w:t>
      </w:r>
      <w:r w:rsidRPr="008A1DFC">
        <w:rPr>
          <w:b/>
          <w:sz w:val="24"/>
        </w:rPr>
        <w:t xml:space="preserve"> </w:t>
      </w:r>
      <w:r w:rsidRPr="003D290F">
        <w:rPr>
          <w:b/>
          <w:sz w:val="24"/>
        </w:rPr>
        <w:t>RELATIVE TO STATUS QUO</w:t>
      </w:r>
    </w:p>
    <w:p w14:paraId="0FBD5354" w14:textId="77777777" w:rsidR="00B915B6" w:rsidRPr="00934D51" w:rsidRDefault="00DE26AB" w:rsidP="00934D51">
      <w:pPr>
        <w:spacing w:after="0"/>
        <w:rPr>
          <w:b/>
          <w:i/>
          <w:sz w:val="20"/>
        </w:rPr>
      </w:pPr>
      <w:r w:rsidRPr="009C74E5">
        <w:rPr>
          <w:b/>
          <w:i/>
          <w:sz w:val="20"/>
        </w:rPr>
        <w:t>Please n</w:t>
      </w:r>
      <w:r w:rsidR="00B915B6" w:rsidRPr="009C74E5">
        <w:rPr>
          <w:b/>
          <w:i/>
          <w:sz w:val="20"/>
        </w:rPr>
        <w:t xml:space="preserve">ote that </w:t>
      </w:r>
      <w:r w:rsidR="006E7677" w:rsidRPr="009C74E5">
        <w:rPr>
          <w:b/>
          <w:i/>
          <w:sz w:val="20"/>
        </w:rPr>
        <w:t>the overall net present values of Option 2 and Option 3 are</w:t>
      </w:r>
      <w:r w:rsidRPr="009C74E5">
        <w:rPr>
          <w:b/>
          <w:i/>
          <w:sz w:val="20"/>
        </w:rPr>
        <w:t xml:space="preserve"> expected</w:t>
      </w:r>
      <w:r w:rsidR="006E7677" w:rsidRPr="009C74E5">
        <w:rPr>
          <w:b/>
          <w:i/>
          <w:sz w:val="20"/>
        </w:rPr>
        <w:t xml:space="preserve"> to be positive when unquantified impacts are taken into account.</w:t>
      </w:r>
    </w:p>
    <w:tbl>
      <w:tblPr>
        <w:tblW w:w="15309" w:type="dxa"/>
        <w:tblInd w:w="-10" w:type="dxa"/>
        <w:tblLook w:val="04A0" w:firstRow="1" w:lastRow="0" w:firstColumn="1" w:lastColumn="0" w:noHBand="0" w:noVBand="1"/>
      </w:tblPr>
      <w:tblGrid>
        <w:gridCol w:w="2438"/>
        <w:gridCol w:w="1106"/>
        <w:gridCol w:w="67"/>
        <w:gridCol w:w="4609"/>
        <w:gridCol w:w="16"/>
        <w:gridCol w:w="1413"/>
        <w:gridCol w:w="1724"/>
        <w:gridCol w:w="1969"/>
        <w:gridCol w:w="1967"/>
      </w:tblGrid>
      <w:tr w:rsidR="00AF0B9B" w:rsidRPr="00C05144" w14:paraId="27E7E30A" w14:textId="77777777" w:rsidTr="006C2CFB">
        <w:trPr>
          <w:trHeight w:val="139"/>
        </w:trPr>
        <w:tc>
          <w:tcPr>
            <w:tcW w:w="2438" w:type="dxa"/>
            <w:tcBorders>
              <w:top w:val="single" w:sz="8" w:space="0" w:color="FFFFFF"/>
              <w:left w:val="single" w:sz="8" w:space="0" w:color="FFFFFF"/>
              <w:bottom w:val="single" w:sz="8" w:space="0" w:color="FFFFFF"/>
              <w:right w:val="single" w:sz="8" w:space="0" w:color="FFFFFF"/>
            </w:tcBorders>
            <w:shd w:val="clear" w:color="000000" w:fill="1B375C"/>
            <w:vAlign w:val="center"/>
            <w:hideMark/>
          </w:tcPr>
          <w:p w14:paraId="6D3279E8" w14:textId="77777777" w:rsidR="00AF0B9B" w:rsidRPr="00ED7D02" w:rsidRDefault="00AF0B9B" w:rsidP="00AF0B9B">
            <w:pPr>
              <w:spacing w:after="0" w:line="240" w:lineRule="auto"/>
              <w:rPr>
                <w:rFonts w:eastAsia="Times New Roman" w:cs="Segoe UI"/>
                <w:b/>
                <w:color w:val="FFFFFF"/>
                <w:sz w:val="18"/>
                <w:szCs w:val="20"/>
                <w:lang w:eastAsia="en-AU"/>
              </w:rPr>
            </w:pPr>
            <w:r w:rsidRPr="00ED7D02">
              <w:rPr>
                <w:rFonts w:eastAsia="Times New Roman" w:cs="Segoe UI"/>
                <w:b/>
                <w:color w:val="FFFFFF"/>
                <w:sz w:val="18"/>
                <w:szCs w:val="20"/>
                <w:lang w:eastAsia="en-AU"/>
              </w:rPr>
              <w:t>STAKEHOLDER</w:t>
            </w:r>
          </w:p>
        </w:tc>
        <w:tc>
          <w:tcPr>
            <w:tcW w:w="1106" w:type="dxa"/>
            <w:tcBorders>
              <w:top w:val="single" w:sz="8" w:space="0" w:color="FFFFFF"/>
              <w:left w:val="nil"/>
              <w:bottom w:val="single" w:sz="8" w:space="0" w:color="FFFFFF"/>
              <w:right w:val="single" w:sz="8" w:space="0" w:color="FFFFFF"/>
            </w:tcBorders>
            <w:shd w:val="clear" w:color="000000" w:fill="1B375C"/>
            <w:vAlign w:val="center"/>
            <w:hideMark/>
          </w:tcPr>
          <w:p w14:paraId="447BA28E" w14:textId="77777777" w:rsidR="00AF0B9B" w:rsidRPr="00ED7D02" w:rsidRDefault="00AF0B9B" w:rsidP="00AF0B9B">
            <w:pPr>
              <w:spacing w:after="0" w:line="240" w:lineRule="auto"/>
              <w:rPr>
                <w:rFonts w:eastAsia="Times New Roman" w:cs="Segoe UI"/>
                <w:b/>
                <w:color w:val="FFFFFF"/>
                <w:sz w:val="18"/>
                <w:szCs w:val="20"/>
                <w:lang w:eastAsia="en-AU"/>
              </w:rPr>
            </w:pPr>
            <w:r w:rsidRPr="00ED7D02">
              <w:rPr>
                <w:rFonts w:eastAsia="Times New Roman" w:cs="Segoe UI"/>
                <w:b/>
                <w:color w:val="FFFFFF"/>
                <w:sz w:val="18"/>
                <w:szCs w:val="20"/>
                <w:lang w:eastAsia="en-AU"/>
              </w:rPr>
              <w:t>IMPACT</w:t>
            </w:r>
          </w:p>
        </w:tc>
        <w:tc>
          <w:tcPr>
            <w:tcW w:w="4676" w:type="dxa"/>
            <w:gridSpan w:val="2"/>
            <w:tcBorders>
              <w:top w:val="single" w:sz="8" w:space="0" w:color="FFFFFF"/>
              <w:left w:val="nil"/>
              <w:bottom w:val="single" w:sz="8" w:space="0" w:color="FFFFFF"/>
              <w:right w:val="single" w:sz="8" w:space="0" w:color="FFFFFF"/>
            </w:tcBorders>
            <w:shd w:val="clear" w:color="000000" w:fill="1B375C"/>
            <w:vAlign w:val="center"/>
            <w:hideMark/>
          </w:tcPr>
          <w:p w14:paraId="5618035E" w14:textId="77777777" w:rsidR="00AF0B9B" w:rsidRPr="00ED7D02" w:rsidRDefault="00AF0B9B" w:rsidP="00AF0B9B">
            <w:pPr>
              <w:spacing w:after="0" w:line="240" w:lineRule="auto"/>
              <w:rPr>
                <w:rFonts w:eastAsia="Times New Roman" w:cs="Segoe UI"/>
                <w:b/>
                <w:color w:val="FFFFFF"/>
                <w:sz w:val="18"/>
                <w:szCs w:val="20"/>
                <w:lang w:eastAsia="en-AU"/>
              </w:rPr>
            </w:pPr>
            <w:r w:rsidRPr="00ED7D02">
              <w:rPr>
                <w:rFonts w:eastAsia="Times New Roman" w:cs="Segoe UI"/>
                <w:b/>
                <w:color w:val="FFFFFF"/>
                <w:sz w:val="18"/>
                <w:szCs w:val="20"/>
                <w:lang w:eastAsia="en-AU"/>
              </w:rPr>
              <w:t>DESCRIPTION</w:t>
            </w:r>
          </w:p>
        </w:tc>
        <w:tc>
          <w:tcPr>
            <w:tcW w:w="1429" w:type="dxa"/>
            <w:gridSpan w:val="2"/>
            <w:tcBorders>
              <w:top w:val="single" w:sz="8" w:space="0" w:color="FFFFFF"/>
              <w:left w:val="nil"/>
              <w:bottom w:val="single" w:sz="8" w:space="0" w:color="FFFFFF"/>
              <w:right w:val="single" w:sz="8" w:space="0" w:color="FFFFFF"/>
            </w:tcBorders>
            <w:shd w:val="clear" w:color="000000" w:fill="1B375C"/>
            <w:vAlign w:val="center"/>
            <w:hideMark/>
          </w:tcPr>
          <w:p w14:paraId="7246088F" w14:textId="77777777" w:rsidR="00AF0B9B" w:rsidRPr="00ED7D02" w:rsidRDefault="00AF0B9B" w:rsidP="00AF0B9B">
            <w:pPr>
              <w:spacing w:after="0" w:line="240" w:lineRule="auto"/>
              <w:jc w:val="right"/>
              <w:rPr>
                <w:rFonts w:eastAsia="Times New Roman" w:cs="Segoe UI"/>
                <w:b/>
                <w:color w:val="FFFFFF"/>
                <w:sz w:val="18"/>
                <w:szCs w:val="20"/>
                <w:lang w:eastAsia="en-AU"/>
              </w:rPr>
            </w:pPr>
            <w:r w:rsidRPr="00ED7D02">
              <w:rPr>
                <w:rFonts w:eastAsia="Times New Roman" w:cs="Segoe UI"/>
                <w:b/>
                <w:color w:val="FFFFFF"/>
                <w:sz w:val="18"/>
                <w:szCs w:val="20"/>
                <w:lang w:eastAsia="en-AU"/>
              </w:rPr>
              <w:t>QUANTIFIED</w:t>
            </w:r>
          </w:p>
        </w:tc>
        <w:tc>
          <w:tcPr>
            <w:tcW w:w="1724" w:type="dxa"/>
            <w:tcBorders>
              <w:top w:val="single" w:sz="8" w:space="0" w:color="FFFFFF"/>
              <w:left w:val="nil"/>
              <w:bottom w:val="single" w:sz="8" w:space="0" w:color="FFFFFF"/>
              <w:right w:val="single" w:sz="8" w:space="0" w:color="FFFFFF"/>
            </w:tcBorders>
            <w:shd w:val="clear" w:color="000000" w:fill="1B375C"/>
            <w:vAlign w:val="center"/>
            <w:hideMark/>
          </w:tcPr>
          <w:p w14:paraId="03C346DF" w14:textId="77777777" w:rsidR="00AF0B9B" w:rsidRPr="00ED7D02" w:rsidRDefault="00AF0B9B" w:rsidP="00AF0B9B">
            <w:pPr>
              <w:spacing w:after="0" w:line="240" w:lineRule="auto"/>
              <w:jc w:val="center"/>
              <w:rPr>
                <w:rFonts w:eastAsia="Times New Roman" w:cs="Segoe UI"/>
                <w:b/>
                <w:color w:val="FFFFFF"/>
                <w:sz w:val="18"/>
                <w:szCs w:val="20"/>
                <w:lang w:eastAsia="en-AU"/>
              </w:rPr>
            </w:pPr>
            <w:r w:rsidRPr="00ED7D02">
              <w:rPr>
                <w:rFonts w:eastAsia="Times New Roman" w:cs="Segoe UI"/>
                <w:b/>
                <w:color w:val="FFFFFF"/>
                <w:sz w:val="18"/>
                <w:szCs w:val="20"/>
                <w:lang w:eastAsia="en-AU"/>
              </w:rPr>
              <w:t>UNQUANTIFIED</w:t>
            </w:r>
          </w:p>
        </w:tc>
        <w:tc>
          <w:tcPr>
            <w:tcW w:w="1969" w:type="dxa"/>
            <w:tcBorders>
              <w:top w:val="single" w:sz="8" w:space="0" w:color="FFFFFF"/>
              <w:left w:val="nil"/>
              <w:bottom w:val="nil"/>
              <w:right w:val="single" w:sz="8" w:space="0" w:color="FFFFFF"/>
            </w:tcBorders>
            <w:shd w:val="clear" w:color="000000" w:fill="1B375C"/>
            <w:vAlign w:val="center"/>
            <w:hideMark/>
          </w:tcPr>
          <w:p w14:paraId="7582824B" w14:textId="77777777" w:rsidR="00AF0B9B" w:rsidRPr="00ED7D02" w:rsidRDefault="00AF0B9B" w:rsidP="00AF0B9B">
            <w:pPr>
              <w:spacing w:after="0" w:line="240" w:lineRule="auto"/>
              <w:jc w:val="center"/>
              <w:rPr>
                <w:rFonts w:eastAsia="Times New Roman" w:cs="Segoe UI"/>
                <w:b/>
                <w:color w:val="FFFFFF"/>
                <w:sz w:val="18"/>
                <w:szCs w:val="20"/>
                <w:lang w:eastAsia="en-AU"/>
              </w:rPr>
            </w:pPr>
            <w:r w:rsidRPr="00ED7D02">
              <w:rPr>
                <w:rFonts w:eastAsia="Times New Roman" w:cs="Segoe UI"/>
                <w:b/>
                <w:color w:val="FFFFFF"/>
                <w:sz w:val="18"/>
                <w:szCs w:val="20"/>
                <w:lang w:eastAsia="en-AU"/>
              </w:rPr>
              <w:t>OPTION 2 QUANTIFIED NPV</w:t>
            </w:r>
          </w:p>
        </w:tc>
        <w:tc>
          <w:tcPr>
            <w:tcW w:w="1967" w:type="dxa"/>
            <w:tcBorders>
              <w:top w:val="single" w:sz="8" w:space="0" w:color="FFFFFF"/>
              <w:left w:val="nil"/>
              <w:bottom w:val="nil"/>
              <w:right w:val="single" w:sz="8" w:space="0" w:color="FFFFFF"/>
            </w:tcBorders>
            <w:shd w:val="clear" w:color="000000" w:fill="1B375C"/>
            <w:vAlign w:val="center"/>
            <w:hideMark/>
          </w:tcPr>
          <w:p w14:paraId="2ACD7AAC" w14:textId="77777777" w:rsidR="00AF0B9B" w:rsidRPr="00ED7D02" w:rsidRDefault="00AF0B9B" w:rsidP="00AF0B9B">
            <w:pPr>
              <w:spacing w:after="0" w:line="240" w:lineRule="auto"/>
              <w:jc w:val="center"/>
              <w:rPr>
                <w:rFonts w:eastAsia="Times New Roman" w:cs="Segoe UI"/>
                <w:b/>
                <w:color w:val="FFFFFF"/>
                <w:sz w:val="18"/>
                <w:szCs w:val="20"/>
                <w:lang w:eastAsia="en-AU"/>
              </w:rPr>
            </w:pPr>
            <w:r w:rsidRPr="00ED7D02">
              <w:rPr>
                <w:rFonts w:eastAsia="Times New Roman" w:cs="Segoe UI"/>
                <w:b/>
                <w:color w:val="FFFFFF"/>
                <w:sz w:val="18"/>
                <w:szCs w:val="20"/>
                <w:lang w:eastAsia="en-AU"/>
              </w:rPr>
              <w:t>OPTION 3 QUANTIFIED NPV</w:t>
            </w:r>
          </w:p>
        </w:tc>
      </w:tr>
      <w:tr w:rsidR="00AF0B9B" w:rsidRPr="00C05144" w14:paraId="78895E5D" w14:textId="77777777" w:rsidTr="006C2CFB">
        <w:trPr>
          <w:trHeight w:val="60"/>
        </w:trPr>
        <w:tc>
          <w:tcPr>
            <w:tcW w:w="2438" w:type="dxa"/>
            <w:vMerge w:val="restart"/>
            <w:tcBorders>
              <w:top w:val="nil"/>
              <w:left w:val="single" w:sz="8" w:space="0" w:color="FFFFFF"/>
              <w:bottom w:val="single" w:sz="8" w:space="0" w:color="1B375C"/>
              <w:right w:val="single" w:sz="8" w:space="0" w:color="FFFFFF"/>
            </w:tcBorders>
            <w:shd w:val="clear" w:color="000000" w:fill="E0E8F2"/>
            <w:vAlign w:val="center"/>
            <w:hideMark/>
          </w:tcPr>
          <w:p w14:paraId="05FDC636" w14:textId="77777777" w:rsidR="00AF0B9B" w:rsidRPr="00ED7D02" w:rsidRDefault="00AF0B9B" w:rsidP="00AF0B9B">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Closing employers (power stations and dependent suppliers)</w:t>
            </w:r>
          </w:p>
        </w:tc>
        <w:tc>
          <w:tcPr>
            <w:tcW w:w="1173" w:type="dxa"/>
            <w:gridSpan w:val="2"/>
            <w:vMerge w:val="restart"/>
            <w:tcBorders>
              <w:top w:val="nil"/>
              <w:left w:val="nil"/>
              <w:bottom w:val="single" w:sz="8" w:space="0" w:color="FFFFFF"/>
              <w:right w:val="single" w:sz="8" w:space="0" w:color="FFFFFF"/>
            </w:tcBorders>
            <w:shd w:val="clear" w:color="000000" w:fill="E0E8F2"/>
            <w:vAlign w:val="center"/>
            <w:hideMark/>
          </w:tcPr>
          <w:p w14:paraId="73A9B558"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Costs</w:t>
            </w:r>
          </w:p>
          <w:p w14:paraId="509EE5DB"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single" w:sz="8" w:space="0" w:color="FFFFFF"/>
              <w:right w:val="single" w:sz="8" w:space="0" w:color="FFFFFF"/>
            </w:tcBorders>
            <w:shd w:val="clear" w:color="000000" w:fill="E0E8F2"/>
            <w:vAlign w:val="center"/>
            <w:hideMark/>
          </w:tcPr>
          <w:p w14:paraId="7AE4EA2E"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Administrative costs of participating</w:t>
            </w:r>
          </w:p>
        </w:tc>
        <w:tc>
          <w:tcPr>
            <w:tcW w:w="1413" w:type="dxa"/>
            <w:tcBorders>
              <w:top w:val="nil"/>
              <w:left w:val="nil"/>
              <w:bottom w:val="single" w:sz="8" w:space="0" w:color="FFFFFF"/>
              <w:right w:val="single" w:sz="8" w:space="0" w:color="FFFFFF"/>
            </w:tcBorders>
            <w:shd w:val="clear" w:color="000000" w:fill="E0E8F2"/>
            <w:vAlign w:val="center"/>
            <w:hideMark/>
          </w:tcPr>
          <w:p w14:paraId="3AF8EEEE"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single" w:sz="8" w:space="0" w:color="FFFFFF"/>
              <w:right w:val="nil"/>
            </w:tcBorders>
            <w:shd w:val="clear" w:color="000000" w:fill="E0E8F2"/>
            <w:vAlign w:val="center"/>
            <w:hideMark/>
          </w:tcPr>
          <w:p w14:paraId="7AF302FD"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969" w:type="dxa"/>
            <w:vMerge w:val="restart"/>
            <w:tcBorders>
              <w:top w:val="single" w:sz="4" w:space="0" w:color="auto"/>
              <w:left w:val="single" w:sz="4" w:space="0" w:color="auto"/>
              <w:bottom w:val="single" w:sz="8" w:space="0" w:color="000000"/>
              <w:right w:val="single" w:sz="4" w:space="0" w:color="auto"/>
            </w:tcBorders>
            <w:shd w:val="clear" w:color="000000" w:fill="E0E8F2"/>
            <w:vAlign w:val="center"/>
            <w:hideMark/>
          </w:tcPr>
          <w:p w14:paraId="57C69EA4"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-$3.6 million</w:t>
            </w:r>
          </w:p>
        </w:tc>
        <w:tc>
          <w:tcPr>
            <w:tcW w:w="1967" w:type="dxa"/>
            <w:vMerge w:val="restart"/>
            <w:tcBorders>
              <w:top w:val="single" w:sz="4" w:space="0" w:color="auto"/>
              <w:left w:val="single" w:sz="4" w:space="0" w:color="auto"/>
              <w:bottom w:val="single" w:sz="8" w:space="0" w:color="000000"/>
              <w:right w:val="single" w:sz="4" w:space="0" w:color="auto"/>
            </w:tcBorders>
            <w:shd w:val="clear" w:color="000000" w:fill="E0E8F2"/>
            <w:vAlign w:val="center"/>
            <w:hideMark/>
          </w:tcPr>
          <w:p w14:paraId="79C0E7CB"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-$22.8 million</w:t>
            </w:r>
          </w:p>
        </w:tc>
      </w:tr>
      <w:tr w:rsidR="00AF0B9B" w:rsidRPr="00C05144" w14:paraId="4263733C" w14:textId="77777777" w:rsidTr="006C2CFB">
        <w:trPr>
          <w:trHeight w:val="60"/>
        </w:trPr>
        <w:tc>
          <w:tcPr>
            <w:tcW w:w="2438" w:type="dxa"/>
            <w:vMerge/>
            <w:tcBorders>
              <w:top w:val="nil"/>
              <w:left w:val="single" w:sz="8" w:space="0" w:color="FFFFFF"/>
              <w:bottom w:val="single" w:sz="8" w:space="0" w:color="1B375C"/>
              <w:right w:val="single" w:sz="8" w:space="0" w:color="FFFFFF"/>
            </w:tcBorders>
            <w:shd w:val="clear" w:color="000000" w:fill="E0E8F2"/>
            <w:vAlign w:val="center"/>
          </w:tcPr>
          <w:p w14:paraId="48F60D4C"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left w:val="nil"/>
              <w:bottom w:val="single" w:sz="8" w:space="0" w:color="FFFFFF"/>
              <w:right w:val="single" w:sz="8" w:space="0" w:color="FFFFFF"/>
            </w:tcBorders>
            <w:shd w:val="clear" w:color="000000" w:fill="E0E8F2"/>
            <w:vAlign w:val="center"/>
          </w:tcPr>
          <w:p w14:paraId="2268EBA9"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single" w:sz="8" w:space="0" w:color="FFFFFF"/>
              <w:right w:val="single" w:sz="8" w:space="0" w:color="FFFFFF"/>
            </w:tcBorders>
            <w:shd w:val="clear" w:color="000000" w:fill="E0E8F2"/>
            <w:vAlign w:val="center"/>
          </w:tcPr>
          <w:p w14:paraId="2E257E13"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Training costs (only for Option 3)</w:t>
            </w:r>
          </w:p>
        </w:tc>
        <w:tc>
          <w:tcPr>
            <w:tcW w:w="1413" w:type="dxa"/>
            <w:tcBorders>
              <w:top w:val="nil"/>
              <w:left w:val="nil"/>
              <w:bottom w:val="single" w:sz="8" w:space="0" w:color="FFFFFF"/>
              <w:right w:val="single" w:sz="8" w:space="0" w:color="FFFFFF"/>
            </w:tcBorders>
            <w:shd w:val="clear" w:color="000000" w:fill="E0E8F2"/>
            <w:vAlign w:val="center"/>
          </w:tcPr>
          <w:p w14:paraId="6F6263E9"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single" w:sz="8" w:space="0" w:color="FFFFFF"/>
              <w:right w:val="nil"/>
            </w:tcBorders>
            <w:shd w:val="clear" w:color="000000" w:fill="E0E8F2"/>
            <w:vAlign w:val="center"/>
          </w:tcPr>
          <w:p w14:paraId="2C9FC6A6" w14:textId="77777777" w:rsidR="00AF0B9B" w:rsidRPr="00ED7D02" w:rsidRDefault="00AF0B9B" w:rsidP="00AF0B9B">
            <w:pPr>
              <w:spacing w:after="0" w:line="240" w:lineRule="auto"/>
              <w:jc w:val="center"/>
              <w:rPr>
                <w:rFonts w:eastAsia="Times New Roman" w:cs="Segoe UI"/>
                <w:b/>
                <w:color w:val="000000"/>
                <w:szCs w:val="25"/>
                <w:lang w:eastAsia="en-AU"/>
              </w:rPr>
            </w:pPr>
          </w:p>
        </w:tc>
        <w:tc>
          <w:tcPr>
            <w:tcW w:w="1969" w:type="dxa"/>
            <w:vMerge/>
            <w:tcBorders>
              <w:top w:val="single" w:sz="4" w:space="0" w:color="auto"/>
              <w:left w:val="single" w:sz="4" w:space="0" w:color="auto"/>
              <w:bottom w:val="single" w:sz="8" w:space="0" w:color="000000"/>
              <w:right w:val="single" w:sz="4" w:space="0" w:color="auto"/>
            </w:tcBorders>
            <w:shd w:val="clear" w:color="000000" w:fill="E0E8F2"/>
            <w:vAlign w:val="center"/>
          </w:tcPr>
          <w:p w14:paraId="0894A274" w14:textId="77777777" w:rsidR="00AF0B9B" w:rsidRPr="00ED7D02" w:rsidRDefault="00AF0B9B" w:rsidP="00AF0B9B">
            <w:pPr>
              <w:spacing w:after="0" w:line="240" w:lineRule="auto"/>
              <w:jc w:val="center"/>
              <w:rPr>
                <w:rFonts w:eastAsia="Times New Roman" w:cs="Segoe UI"/>
                <w:color w:val="000000"/>
                <w:sz w:val="18"/>
                <w:szCs w:val="20"/>
                <w:lang w:eastAsia="en-AU"/>
              </w:rPr>
            </w:pPr>
          </w:p>
        </w:tc>
        <w:tc>
          <w:tcPr>
            <w:tcW w:w="1967" w:type="dxa"/>
            <w:vMerge/>
            <w:tcBorders>
              <w:top w:val="single" w:sz="4" w:space="0" w:color="auto"/>
              <w:left w:val="single" w:sz="4" w:space="0" w:color="auto"/>
              <w:bottom w:val="single" w:sz="8" w:space="0" w:color="000000"/>
              <w:right w:val="single" w:sz="4" w:space="0" w:color="auto"/>
            </w:tcBorders>
            <w:shd w:val="clear" w:color="000000" w:fill="E0E8F2"/>
            <w:vAlign w:val="center"/>
          </w:tcPr>
          <w:p w14:paraId="4928EEF1" w14:textId="77777777" w:rsidR="00AF0B9B" w:rsidRPr="00ED7D02" w:rsidRDefault="00AF0B9B" w:rsidP="00AF0B9B">
            <w:pPr>
              <w:spacing w:after="0" w:line="240" w:lineRule="auto"/>
              <w:jc w:val="center"/>
              <w:rPr>
                <w:rFonts w:eastAsia="Times New Roman" w:cs="Segoe UI"/>
                <w:color w:val="000000"/>
                <w:sz w:val="18"/>
                <w:szCs w:val="20"/>
                <w:lang w:eastAsia="en-AU"/>
              </w:rPr>
            </w:pPr>
          </w:p>
        </w:tc>
      </w:tr>
      <w:tr w:rsidR="00AF0B9B" w:rsidRPr="00C05144" w14:paraId="6B573786" w14:textId="77777777" w:rsidTr="006C2CFB">
        <w:trPr>
          <w:trHeight w:val="78"/>
        </w:trPr>
        <w:tc>
          <w:tcPr>
            <w:tcW w:w="2438" w:type="dxa"/>
            <w:vMerge/>
            <w:tcBorders>
              <w:top w:val="nil"/>
              <w:left w:val="single" w:sz="8" w:space="0" w:color="FFFFFF"/>
              <w:bottom w:val="single" w:sz="8" w:space="0" w:color="1B375C"/>
              <w:right w:val="single" w:sz="8" w:space="0" w:color="FFFFFF"/>
            </w:tcBorders>
            <w:vAlign w:val="center"/>
            <w:hideMark/>
          </w:tcPr>
          <w:p w14:paraId="7C489CE9"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tcBorders>
              <w:top w:val="nil"/>
              <w:left w:val="nil"/>
              <w:bottom w:val="single" w:sz="8" w:space="0" w:color="1B375C"/>
              <w:right w:val="single" w:sz="8" w:space="0" w:color="FFFFFF"/>
            </w:tcBorders>
            <w:shd w:val="clear" w:color="000000" w:fill="E0E8F2"/>
            <w:vAlign w:val="center"/>
            <w:hideMark/>
          </w:tcPr>
          <w:p w14:paraId="08B887DD"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Benefits</w:t>
            </w:r>
          </w:p>
        </w:tc>
        <w:tc>
          <w:tcPr>
            <w:tcW w:w="4625" w:type="dxa"/>
            <w:gridSpan w:val="2"/>
            <w:tcBorders>
              <w:top w:val="nil"/>
              <w:left w:val="nil"/>
              <w:bottom w:val="single" w:sz="8" w:space="0" w:color="1B375C"/>
              <w:right w:val="single" w:sz="8" w:space="0" w:color="FFFFFF"/>
            </w:tcBorders>
            <w:shd w:val="clear" w:color="auto" w:fill="auto"/>
            <w:vAlign w:val="center"/>
            <w:hideMark/>
          </w:tcPr>
          <w:p w14:paraId="2A40EE72"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Greater certainty around workforce retention</w:t>
            </w:r>
          </w:p>
        </w:tc>
        <w:tc>
          <w:tcPr>
            <w:tcW w:w="1413" w:type="dxa"/>
            <w:tcBorders>
              <w:top w:val="nil"/>
              <w:left w:val="nil"/>
              <w:bottom w:val="single" w:sz="8" w:space="0" w:color="1B375C"/>
              <w:right w:val="single" w:sz="8" w:space="0" w:color="FFFFFF"/>
            </w:tcBorders>
            <w:shd w:val="clear" w:color="auto" w:fill="auto"/>
            <w:vAlign w:val="center"/>
            <w:hideMark/>
          </w:tcPr>
          <w:p w14:paraId="180857FE"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724" w:type="dxa"/>
            <w:tcBorders>
              <w:top w:val="nil"/>
              <w:left w:val="nil"/>
              <w:bottom w:val="single" w:sz="8" w:space="0" w:color="1B375C"/>
              <w:right w:val="nil"/>
            </w:tcBorders>
            <w:shd w:val="clear" w:color="auto" w:fill="auto"/>
            <w:vAlign w:val="center"/>
            <w:hideMark/>
          </w:tcPr>
          <w:p w14:paraId="1324772E"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tcBorders>
              <w:top w:val="single" w:sz="4" w:space="0" w:color="auto"/>
              <w:left w:val="single" w:sz="4" w:space="0" w:color="auto"/>
              <w:bottom w:val="single" w:sz="8" w:space="0" w:color="000000"/>
              <w:right w:val="single" w:sz="4" w:space="0" w:color="auto"/>
            </w:tcBorders>
            <w:vAlign w:val="center"/>
            <w:hideMark/>
          </w:tcPr>
          <w:p w14:paraId="78FCD342"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single" w:sz="4" w:space="0" w:color="auto"/>
              <w:left w:val="single" w:sz="4" w:space="0" w:color="auto"/>
              <w:bottom w:val="single" w:sz="8" w:space="0" w:color="000000"/>
              <w:right w:val="single" w:sz="4" w:space="0" w:color="auto"/>
            </w:tcBorders>
            <w:vAlign w:val="center"/>
            <w:hideMark/>
          </w:tcPr>
          <w:p w14:paraId="164189FC"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630638A3" w14:textId="77777777" w:rsidTr="006C2CFB">
        <w:trPr>
          <w:trHeight w:val="292"/>
        </w:trPr>
        <w:tc>
          <w:tcPr>
            <w:tcW w:w="2438" w:type="dxa"/>
            <w:vMerge w:val="restart"/>
            <w:tcBorders>
              <w:top w:val="nil"/>
              <w:left w:val="single" w:sz="8" w:space="0" w:color="FFFFFF"/>
              <w:bottom w:val="single" w:sz="8" w:space="0" w:color="1B375C"/>
              <w:right w:val="single" w:sz="8" w:space="0" w:color="FFFFFF"/>
            </w:tcBorders>
            <w:shd w:val="clear" w:color="000000" w:fill="E0E8F2"/>
            <w:hideMark/>
          </w:tcPr>
          <w:p w14:paraId="0BFA0B9D" w14:textId="77777777" w:rsidR="00AF0B9B" w:rsidRPr="00ED7D02" w:rsidRDefault="00AF0B9B" w:rsidP="00AF0B9B">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Receiving employers</w:t>
            </w:r>
          </w:p>
        </w:tc>
        <w:tc>
          <w:tcPr>
            <w:tcW w:w="1173" w:type="dxa"/>
            <w:gridSpan w:val="2"/>
            <w:vMerge w:val="restart"/>
            <w:tcBorders>
              <w:top w:val="nil"/>
              <w:left w:val="single" w:sz="8" w:space="0" w:color="FFFFFF"/>
              <w:bottom w:val="single" w:sz="8" w:space="0" w:color="FFFFFF"/>
              <w:right w:val="single" w:sz="8" w:space="0" w:color="FFFFFF"/>
            </w:tcBorders>
            <w:shd w:val="clear" w:color="000000" w:fill="E0E8F2"/>
            <w:vAlign w:val="center"/>
            <w:hideMark/>
          </w:tcPr>
          <w:p w14:paraId="129C4A4C"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Costs</w:t>
            </w:r>
          </w:p>
        </w:tc>
        <w:tc>
          <w:tcPr>
            <w:tcW w:w="4625" w:type="dxa"/>
            <w:gridSpan w:val="2"/>
            <w:tcBorders>
              <w:top w:val="nil"/>
              <w:left w:val="nil"/>
              <w:bottom w:val="nil"/>
              <w:right w:val="single" w:sz="8" w:space="0" w:color="FFFFFF"/>
            </w:tcBorders>
            <w:shd w:val="clear" w:color="000000" w:fill="E0E8F2"/>
            <w:vAlign w:val="center"/>
            <w:hideMark/>
          </w:tcPr>
          <w:p w14:paraId="10DB0B4C"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Training costs (only for Option 2)</w:t>
            </w:r>
          </w:p>
        </w:tc>
        <w:tc>
          <w:tcPr>
            <w:tcW w:w="1413" w:type="dxa"/>
            <w:tcBorders>
              <w:top w:val="nil"/>
              <w:left w:val="nil"/>
              <w:bottom w:val="nil"/>
              <w:right w:val="single" w:sz="8" w:space="0" w:color="FFFFFF"/>
            </w:tcBorders>
            <w:shd w:val="clear" w:color="000000" w:fill="E0E8F2"/>
            <w:vAlign w:val="center"/>
            <w:hideMark/>
          </w:tcPr>
          <w:p w14:paraId="3E4D133D" w14:textId="77777777" w:rsidR="00AF0B9B" w:rsidRPr="00ED7D02" w:rsidRDefault="00AF0B9B" w:rsidP="00AF0B9B">
            <w:pPr>
              <w:spacing w:after="0" w:line="240" w:lineRule="auto"/>
              <w:rPr>
                <w:rFonts w:eastAsia="Times New Roman" w:cs="Segoe UI"/>
                <w:b/>
                <w:color w:val="000000"/>
                <w:szCs w:val="25"/>
                <w:lang w:eastAsia="en-AU"/>
              </w:rPr>
            </w:pPr>
            <w:r w:rsidRPr="00ED7D02">
              <w:rPr>
                <w:rFonts w:eastAsia="Times New Roman" w:cs="Segoe UI"/>
                <w:b/>
                <w:color w:val="000000"/>
                <w:szCs w:val="25"/>
                <w:lang w:eastAsia="en-AU"/>
              </w:rPr>
              <w:t> </w:t>
            </w:r>
          </w:p>
        </w:tc>
        <w:tc>
          <w:tcPr>
            <w:tcW w:w="1724" w:type="dxa"/>
            <w:tcBorders>
              <w:top w:val="nil"/>
              <w:left w:val="nil"/>
              <w:bottom w:val="nil"/>
              <w:right w:val="nil"/>
            </w:tcBorders>
            <w:shd w:val="clear" w:color="000000" w:fill="E0E8F2"/>
            <w:vAlign w:val="center"/>
            <w:hideMark/>
          </w:tcPr>
          <w:p w14:paraId="2DE7E094"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tcBorders>
              <w:top w:val="single" w:sz="4" w:space="0" w:color="auto"/>
              <w:left w:val="single" w:sz="4" w:space="0" w:color="auto"/>
              <w:bottom w:val="single" w:sz="8" w:space="0" w:color="000000"/>
              <w:right w:val="single" w:sz="4" w:space="0" w:color="auto"/>
            </w:tcBorders>
            <w:vAlign w:val="center"/>
            <w:hideMark/>
          </w:tcPr>
          <w:p w14:paraId="339F6A4E"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single" w:sz="4" w:space="0" w:color="auto"/>
              <w:left w:val="single" w:sz="4" w:space="0" w:color="auto"/>
              <w:bottom w:val="single" w:sz="8" w:space="0" w:color="000000"/>
              <w:right w:val="single" w:sz="4" w:space="0" w:color="auto"/>
            </w:tcBorders>
            <w:vAlign w:val="center"/>
            <w:hideMark/>
          </w:tcPr>
          <w:p w14:paraId="05BDF254"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6EEB5CD3" w14:textId="77777777" w:rsidTr="006C2CFB">
        <w:trPr>
          <w:trHeight w:val="378"/>
        </w:trPr>
        <w:tc>
          <w:tcPr>
            <w:tcW w:w="2438" w:type="dxa"/>
            <w:vMerge/>
            <w:tcBorders>
              <w:top w:val="nil"/>
              <w:left w:val="single" w:sz="8" w:space="0" w:color="FFFFFF"/>
              <w:bottom w:val="single" w:sz="8" w:space="0" w:color="1B375C"/>
              <w:right w:val="single" w:sz="8" w:space="0" w:color="FFFFFF"/>
            </w:tcBorders>
            <w:vAlign w:val="center"/>
            <w:hideMark/>
          </w:tcPr>
          <w:p w14:paraId="00B7A0EE"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8" w:space="0" w:color="FFFFFF"/>
              <w:right w:val="single" w:sz="8" w:space="0" w:color="FFFFFF"/>
            </w:tcBorders>
            <w:vAlign w:val="center"/>
            <w:hideMark/>
          </w:tcPr>
          <w:p w14:paraId="1FA58A87"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single" w:sz="8" w:space="0" w:color="FFFFFF"/>
              <w:right w:val="single" w:sz="8" w:space="0" w:color="FFFFFF"/>
            </w:tcBorders>
            <w:shd w:val="clear" w:color="auto" w:fill="auto"/>
            <w:vAlign w:val="center"/>
            <w:hideMark/>
          </w:tcPr>
          <w:p w14:paraId="2CC01C23"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Administrative costs of participating</w:t>
            </w:r>
          </w:p>
        </w:tc>
        <w:tc>
          <w:tcPr>
            <w:tcW w:w="1413" w:type="dxa"/>
            <w:tcBorders>
              <w:top w:val="nil"/>
              <w:left w:val="nil"/>
              <w:bottom w:val="single" w:sz="8" w:space="0" w:color="FFFFFF"/>
              <w:right w:val="single" w:sz="8" w:space="0" w:color="FFFFFF"/>
            </w:tcBorders>
            <w:shd w:val="clear" w:color="auto" w:fill="auto"/>
            <w:vAlign w:val="center"/>
            <w:hideMark/>
          </w:tcPr>
          <w:p w14:paraId="61042771"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single" w:sz="8" w:space="0" w:color="FFFFFF"/>
              <w:right w:val="nil"/>
            </w:tcBorders>
            <w:shd w:val="clear" w:color="auto" w:fill="auto"/>
            <w:vAlign w:val="center"/>
            <w:hideMark/>
          </w:tcPr>
          <w:p w14:paraId="776A0F7F"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969" w:type="dxa"/>
            <w:vMerge/>
            <w:tcBorders>
              <w:top w:val="single" w:sz="4" w:space="0" w:color="auto"/>
              <w:left w:val="single" w:sz="4" w:space="0" w:color="auto"/>
              <w:bottom w:val="single" w:sz="8" w:space="0" w:color="000000"/>
              <w:right w:val="single" w:sz="4" w:space="0" w:color="auto"/>
            </w:tcBorders>
            <w:vAlign w:val="center"/>
            <w:hideMark/>
          </w:tcPr>
          <w:p w14:paraId="3AE183CE"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single" w:sz="4" w:space="0" w:color="auto"/>
              <w:left w:val="single" w:sz="4" w:space="0" w:color="auto"/>
              <w:bottom w:val="single" w:sz="8" w:space="0" w:color="000000"/>
              <w:right w:val="single" w:sz="4" w:space="0" w:color="auto"/>
            </w:tcBorders>
            <w:vAlign w:val="center"/>
            <w:hideMark/>
          </w:tcPr>
          <w:p w14:paraId="788A5BA9"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56B8DA5D" w14:textId="77777777" w:rsidTr="006C2CFB">
        <w:trPr>
          <w:trHeight w:val="378"/>
        </w:trPr>
        <w:tc>
          <w:tcPr>
            <w:tcW w:w="2438" w:type="dxa"/>
            <w:vMerge/>
            <w:tcBorders>
              <w:top w:val="nil"/>
              <w:left w:val="single" w:sz="8" w:space="0" w:color="FFFFFF"/>
              <w:bottom w:val="single" w:sz="8" w:space="0" w:color="1B375C"/>
              <w:right w:val="single" w:sz="8" w:space="0" w:color="FFFFFF"/>
            </w:tcBorders>
            <w:vAlign w:val="center"/>
            <w:hideMark/>
          </w:tcPr>
          <w:p w14:paraId="5655035C"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tcBorders>
              <w:top w:val="nil"/>
              <w:left w:val="nil"/>
              <w:bottom w:val="single" w:sz="8" w:space="0" w:color="1B375C"/>
              <w:right w:val="single" w:sz="8" w:space="0" w:color="FFFFFF"/>
            </w:tcBorders>
            <w:shd w:val="clear" w:color="000000" w:fill="E0E8F2"/>
            <w:vAlign w:val="center"/>
            <w:hideMark/>
          </w:tcPr>
          <w:p w14:paraId="166ED23E"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Benefits</w:t>
            </w:r>
          </w:p>
        </w:tc>
        <w:tc>
          <w:tcPr>
            <w:tcW w:w="4625" w:type="dxa"/>
            <w:gridSpan w:val="2"/>
            <w:tcBorders>
              <w:top w:val="nil"/>
              <w:left w:val="nil"/>
              <w:bottom w:val="single" w:sz="8" w:space="0" w:color="1B375C"/>
              <w:right w:val="single" w:sz="8" w:space="0" w:color="FFFFFF"/>
            </w:tcBorders>
            <w:shd w:val="clear" w:color="000000" w:fill="E0E8F2"/>
            <w:vAlign w:val="center"/>
            <w:hideMark/>
          </w:tcPr>
          <w:p w14:paraId="348444A1"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lang w:eastAsia="en-AU"/>
              </w:rPr>
              <w:t>Lower search costs to fill vacancies</w:t>
            </w:r>
          </w:p>
        </w:tc>
        <w:tc>
          <w:tcPr>
            <w:tcW w:w="1413" w:type="dxa"/>
            <w:tcBorders>
              <w:top w:val="nil"/>
              <w:left w:val="nil"/>
              <w:bottom w:val="single" w:sz="8" w:space="0" w:color="1B375C"/>
              <w:right w:val="single" w:sz="8" w:space="0" w:color="FFFFFF"/>
            </w:tcBorders>
            <w:shd w:val="clear" w:color="000000" w:fill="E0E8F2"/>
            <w:vAlign w:val="center"/>
            <w:hideMark/>
          </w:tcPr>
          <w:p w14:paraId="51499F7E"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724" w:type="dxa"/>
            <w:tcBorders>
              <w:top w:val="nil"/>
              <w:left w:val="nil"/>
              <w:bottom w:val="single" w:sz="8" w:space="0" w:color="1B375C"/>
              <w:right w:val="nil"/>
            </w:tcBorders>
            <w:shd w:val="clear" w:color="000000" w:fill="E0E8F2"/>
            <w:vAlign w:val="center"/>
            <w:hideMark/>
          </w:tcPr>
          <w:p w14:paraId="107877CC"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tcBorders>
              <w:top w:val="single" w:sz="4" w:space="0" w:color="auto"/>
              <w:left w:val="single" w:sz="4" w:space="0" w:color="auto"/>
              <w:bottom w:val="single" w:sz="8" w:space="0" w:color="000000"/>
              <w:right w:val="single" w:sz="4" w:space="0" w:color="auto"/>
            </w:tcBorders>
            <w:vAlign w:val="center"/>
            <w:hideMark/>
          </w:tcPr>
          <w:p w14:paraId="78988A79"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single" w:sz="4" w:space="0" w:color="auto"/>
              <w:left w:val="single" w:sz="4" w:space="0" w:color="auto"/>
              <w:bottom w:val="single" w:sz="8" w:space="0" w:color="000000"/>
              <w:right w:val="single" w:sz="4" w:space="0" w:color="auto"/>
            </w:tcBorders>
            <w:vAlign w:val="center"/>
            <w:hideMark/>
          </w:tcPr>
          <w:p w14:paraId="0F053B19"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0F821AC5" w14:textId="77777777" w:rsidTr="006C2CFB">
        <w:trPr>
          <w:trHeight w:val="67"/>
        </w:trPr>
        <w:tc>
          <w:tcPr>
            <w:tcW w:w="2438" w:type="dxa"/>
            <w:vMerge w:val="restart"/>
            <w:tcBorders>
              <w:top w:val="nil"/>
              <w:left w:val="single" w:sz="8" w:space="0" w:color="FFFFFF"/>
              <w:bottom w:val="single" w:sz="8" w:space="0" w:color="1B375C"/>
              <w:right w:val="single" w:sz="8" w:space="0" w:color="FFFFFF"/>
            </w:tcBorders>
            <w:shd w:val="clear" w:color="000000" w:fill="E0E8F2"/>
            <w:hideMark/>
          </w:tcPr>
          <w:p w14:paraId="0C9E090A" w14:textId="77777777" w:rsidR="00AF0B9B" w:rsidRPr="00ED7D02" w:rsidRDefault="00AF0B9B" w:rsidP="00AF0B9B">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Closing employer employees</w:t>
            </w:r>
          </w:p>
        </w:tc>
        <w:tc>
          <w:tcPr>
            <w:tcW w:w="1173" w:type="dxa"/>
            <w:gridSpan w:val="2"/>
            <w:tcBorders>
              <w:top w:val="nil"/>
              <w:left w:val="nil"/>
              <w:bottom w:val="single" w:sz="8" w:space="0" w:color="FFFFFF"/>
              <w:right w:val="single" w:sz="8" w:space="0" w:color="FFFFFF"/>
            </w:tcBorders>
            <w:shd w:val="clear" w:color="000000" w:fill="E0E8F2"/>
            <w:vAlign w:val="center"/>
            <w:hideMark/>
          </w:tcPr>
          <w:p w14:paraId="25CD83A6"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Costs</w:t>
            </w:r>
          </w:p>
        </w:tc>
        <w:tc>
          <w:tcPr>
            <w:tcW w:w="4625" w:type="dxa"/>
            <w:gridSpan w:val="2"/>
            <w:tcBorders>
              <w:top w:val="nil"/>
              <w:left w:val="nil"/>
              <w:bottom w:val="single" w:sz="8" w:space="0" w:color="FFFFFF"/>
              <w:right w:val="single" w:sz="8" w:space="0" w:color="FFFFFF"/>
            </w:tcBorders>
            <w:shd w:val="clear" w:color="auto" w:fill="auto"/>
            <w:vAlign w:val="center"/>
            <w:hideMark/>
          </w:tcPr>
          <w:p w14:paraId="584047ED"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Income support payment impacts</w:t>
            </w:r>
          </w:p>
        </w:tc>
        <w:tc>
          <w:tcPr>
            <w:tcW w:w="1413" w:type="dxa"/>
            <w:tcBorders>
              <w:top w:val="nil"/>
              <w:left w:val="nil"/>
              <w:bottom w:val="single" w:sz="8" w:space="0" w:color="FFFFFF"/>
              <w:right w:val="single" w:sz="8" w:space="0" w:color="FFFFFF"/>
            </w:tcBorders>
            <w:shd w:val="clear" w:color="auto" w:fill="auto"/>
            <w:vAlign w:val="center"/>
            <w:hideMark/>
          </w:tcPr>
          <w:p w14:paraId="35143A05"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single" w:sz="8" w:space="0" w:color="FFFFFF"/>
              <w:right w:val="nil"/>
            </w:tcBorders>
            <w:shd w:val="clear" w:color="auto" w:fill="auto"/>
            <w:vAlign w:val="center"/>
            <w:hideMark/>
          </w:tcPr>
          <w:p w14:paraId="6402B35F"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969" w:type="dxa"/>
            <w:vMerge w:val="restart"/>
            <w:tcBorders>
              <w:top w:val="nil"/>
              <w:left w:val="single" w:sz="4" w:space="0" w:color="auto"/>
              <w:bottom w:val="single" w:sz="8" w:space="0" w:color="000000"/>
              <w:right w:val="single" w:sz="4" w:space="0" w:color="auto"/>
            </w:tcBorders>
            <w:shd w:val="clear" w:color="000000" w:fill="E0E8F2"/>
            <w:vAlign w:val="center"/>
            <w:hideMark/>
          </w:tcPr>
          <w:p w14:paraId="56A83062"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+$40.5 million</w:t>
            </w:r>
          </w:p>
        </w:tc>
        <w:tc>
          <w:tcPr>
            <w:tcW w:w="1967" w:type="dxa"/>
            <w:vMerge w:val="restart"/>
            <w:tcBorders>
              <w:top w:val="nil"/>
              <w:left w:val="single" w:sz="4" w:space="0" w:color="auto"/>
              <w:bottom w:val="single" w:sz="8" w:space="0" w:color="000000"/>
              <w:right w:val="single" w:sz="4" w:space="0" w:color="auto"/>
            </w:tcBorders>
            <w:shd w:val="clear" w:color="000000" w:fill="E0E8F2"/>
            <w:vAlign w:val="center"/>
            <w:hideMark/>
          </w:tcPr>
          <w:p w14:paraId="0D54F686"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+$119.4 million</w:t>
            </w:r>
          </w:p>
        </w:tc>
      </w:tr>
      <w:tr w:rsidR="00AF0B9B" w:rsidRPr="00C05144" w14:paraId="23D61250" w14:textId="77777777" w:rsidTr="006C2CFB">
        <w:trPr>
          <w:trHeight w:val="67"/>
        </w:trPr>
        <w:tc>
          <w:tcPr>
            <w:tcW w:w="2438" w:type="dxa"/>
            <w:vMerge/>
            <w:tcBorders>
              <w:top w:val="nil"/>
              <w:left w:val="single" w:sz="8" w:space="0" w:color="FFFFFF"/>
              <w:bottom w:val="single" w:sz="8" w:space="0" w:color="1B375C"/>
              <w:right w:val="single" w:sz="8" w:space="0" w:color="FFFFFF"/>
            </w:tcBorders>
            <w:vAlign w:val="center"/>
            <w:hideMark/>
          </w:tcPr>
          <w:p w14:paraId="0D49B1DD"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val="restart"/>
            <w:tcBorders>
              <w:top w:val="nil"/>
              <w:left w:val="single" w:sz="8" w:space="0" w:color="FFFFFF"/>
              <w:bottom w:val="single" w:sz="8" w:space="0" w:color="1B375C"/>
              <w:right w:val="single" w:sz="8" w:space="0" w:color="FFFFFF"/>
            </w:tcBorders>
            <w:shd w:val="clear" w:color="000000" w:fill="E0E8F2"/>
            <w:vAlign w:val="center"/>
            <w:hideMark/>
          </w:tcPr>
          <w:p w14:paraId="5F392AE6"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Benefits</w:t>
            </w:r>
          </w:p>
        </w:tc>
        <w:tc>
          <w:tcPr>
            <w:tcW w:w="4625" w:type="dxa"/>
            <w:gridSpan w:val="2"/>
            <w:tcBorders>
              <w:top w:val="nil"/>
              <w:left w:val="nil"/>
              <w:bottom w:val="nil"/>
              <w:right w:val="single" w:sz="8" w:space="0" w:color="FFFFFF"/>
            </w:tcBorders>
            <w:shd w:val="clear" w:color="000000" w:fill="E0E8F2"/>
            <w:vAlign w:val="center"/>
            <w:hideMark/>
          </w:tcPr>
          <w:p w14:paraId="2F2F9B90"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Employment income impacts</w:t>
            </w:r>
          </w:p>
        </w:tc>
        <w:tc>
          <w:tcPr>
            <w:tcW w:w="1413" w:type="dxa"/>
            <w:tcBorders>
              <w:top w:val="nil"/>
              <w:left w:val="nil"/>
              <w:bottom w:val="nil"/>
              <w:right w:val="single" w:sz="8" w:space="0" w:color="FFFFFF"/>
            </w:tcBorders>
            <w:shd w:val="clear" w:color="000000" w:fill="E0E8F2"/>
            <w:vAlign w:val="center"/>
            <w:hideMark/>
          </w:tcPr>
          <w:p w14:paraId="506FAD44"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nil"/>
              <w:right w:val="nil"/>
            </w:tcBorders>
            <w:shd w:val="clear" w:color="000000" w:fill="E0E8F2"/>
            <w:vAlign w:val="center"/>
            <w:hideMark/>
          </w:tcPr>
          <w:p w14:paraId="6756EE41"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969" w:type="dxa"/>
            <w:vMerge/>
            <w:tcBorders>
              <w:top w:val="nil"/>
              <w:left w:val="single" w:sz="4" w:space="0" w:color="auto"/>
              <w:bottom w:val="single" w:sz="8" w:space="0" w:color="000000"/>
              <w:right w:val="single" w:sz="4" w:space="0" w:color="auto"/>
            </w:tcBorders>
            <w:vAlign w:val="center"/>
            <w:hideMark/>
          </w:tcPr>
          <w:p w14:paraId="0CFF2AAE"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3414FA60"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6C1E83CF" w14:textId="77777777" w:rsidTr="006C2CFB">
        <w:trPr>
          <w:trHeight w:val="369"/>
        </w:trPr>
        <w:tc>
          <w:tcPr>
            <w:tcW w:w="2438" w:type="dxa"/>
            <w:vMerge/>
            <w:tcBorders>
              <w:top w:val="nil"/>
              <w:left w:val="single" w:sz="8" w:space="0" w:color="FFFFFF"/>
              <w:bottom w:val="single" w:sz="8" w:space="0" w:color="1B375C"/>
              <w:right w:val="single" w:sz="8" w:space="0" w:color="FFFFFF"/>
            </w:tcBorders>
            <w:vAlign w:val="center"/>
            <w:hideMark/>
          </w:tcPr>
          <w:p w14:paraId="66894DF1"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8" w:space="0" w:color="1B375C"/>
              <w:right w:val="single" w:sz="8" w:space="0" w:color="FFFFFF"/>
            </w:tcBorders>
            <w:vAlign w:val="center"/>
            <w:hideMark/>
          </w:tcPr>
          <w:p w14:paraId="3C80104F"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nil"/>
              <w:right w:val="nil"/>
            </w:tcBorders>
            <w:shd w:val="clear" w:color="auto" w:fill="auto"/>
            <w:vAlign w:val="center"/>
            <w:hideMark/>
          </w:tcPr>
          <w:p w14:paraId="17FE86E9"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Health, welfare, and social impacts</w:t>
            </w:r>
            <w:r w:rsidR="00561CB5">
              <w:rPr>
                <w:rFonts w:eastAsia="Times New Roman" w:cs="Segoe UI"/>
                <w:color w:val="000000"/>
                <w:sz w:val="18"/>
                <w:szCs w:val="20"/>
                <w:lang w:eastAsia="en-AU"/>
              </w:rPr>
              <w:t>, including reduced labour market scarring impacts</w:t>
            </w:r>
          </w:p>
        </w:tc>
        <w:tc>
          <w:tcPr>
            <w:tcW w:w="1413" w:type="dxa"/>
            <w:tcBorders>
              <w:top w:val="nil"/>
              <w:left w:val="nil"/>
              <w:bottom w:val="nil"/>
              <w:right w:val="nil"/>
            </w:tcBorders>
            <w:shd w:val="clear" w:color="auto" w:fill="auto"/>
            <w:vAlign w:val="center"/>
            <w:hideMark/>
          </w:tcPr>
          <w:p w14:paraId="1A8A54D1" w14:textId="77777777" w:rsidR="00AF0B9B" w:rsidRPr="00ED7D02" w:rsidRDefault="00AF0B9B" w:rsidP="00AF0B9B">
            <w:pPr>
              <w:spacing w:after="0" w:line="240" w:lineRule="auto"/>
              <w:rPr>
                <w:rFonts w:eastAsia="Times New Roman" w:cs="Segoe UI"/>
                <w:color w:val="000000"/>
                <w:szCs w:val="25"/>
                <w:lang w:eastAsia="en-AU"/>
              </w:rPr>
            </w:pPr>
          </w:p>
        </w:tc>
        <w:tc>
          <w:tcPr>
            <w:tcW w:w="1724" w:type="dxa"/>
            <w:tcBorders>
              <w:top w:val="nil"/>
              <w:left w:val="nil"/>
              <w:bottom w:val="nil"/>
              <w:right w:val="single" w:sz="4" w:space="0" w:color="auto"/>
            </w:tcBorders>
            <w:shd w:val="clear" w:color="auto" w:fill="auto"/>
            <w:vAlign w:val="center"/>
            <w:hideMark/>
          </w:tcPr>
          <w:p w14:paraId="47E483EE"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tcBorders>
              <w:top w:val="nil"/>
              <w:left w:val="single" w:sz="4" w:space="0" w:color="auto"/>
              <w:bottom w:val="single" w:sz="8" w:space="0" w:color="000000"/>
              <w:right w:val="single" w:sz="4" w:space="0" w:color="auto"/>
            </w:tcBorders>
            <w:vAlign w:val="center"/>
            <w:hideMark/>
          </w:tcPr>
          <w:p w14:paraId="24A62F88"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167A47BB"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611C8F72" w14:textId="77777777" w:rsidTr="006C2CFB">
        <w:trPr>
          <w:trHeight w:val="378"/>
        </w:trPr>
        <w:tc>
          <w:tcPr>
            <w:tcW w:w="2438" w:type="dxa"/>
            <w:vMerge/>
            <w:tcBorders>
              <w:top w:val="nil"/>
              <w:left w:val="single" w:sz="8" w:space="0" w:color="FFFFFF"/>
              <w:bottom w:val="single" w:sz="8" w:space="0" w:color="1B375C"/>
              <w:right w:val="single" w:sz="8" w:space="0" w:color="FFFFFF"/>
            </w:tcBorders>
            <w:vAlign w:val="center"/>
            <w:hideMark/>
          </w:tcPr>
          <w:p w14:paraId="69B382D9"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8" w:space="0" w:color="1B375C"/>
              <w:right w:val="single" w:sz="8" w:space="0" w:color="FFFFFF"/>
            </w:tcBorders>
            <w:vAlign w:val="center"/>
            <w:hideMark/>
          </w:tcPr>
          <w:p w14:paraId="26AFB957"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single" w:sz="8" w:space="0" w:color="1B375C"/>
              <w:right w:val="single" w:sz="8" w:space="0" w:color="FFFFFF"/>
            </w:tcBorders>
            <w:shd w:val="clear" w:color="000000" w:fill="E0E8F2"/>
            <w:vAlign w:val="center"/>
            <w:hideMark/>
          </w:tcPr>
          <w:p w14:paraId="3E6617C5"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 xml:space="preserve">Training benefits </w:t>
            </w:r>
          </w:p>
        </w:tc>
        <w:tc>
          <w:tcPr>
            <w:tcW w:w="3137" w:type="dxa"/>
            <w:gridSpan w:val="2"/>
            <w:tcBorders>
              <w:top w:val="nil"/>
              <w:left w:val="nil"/>
              <w:bottom w:val="single" w:sz="8" w:space="0" w:color="1B375C"/>
              <w:right w:val="nil"/>
            </w:tcBorders>
            <w:shd w:val="clear" w:color="000000" w:fill="E0E8F2"/>
            <w:vAlign w:val="center"/>
            <w:hideMark/>
          </w:tcPr>
          <w:p w14:paraId="6DAAC03F" w14:textId="77777777" w:rsidR="00AF0B9B" w:rsidRPr="00ED7D02" w:rsidRDefault="00AF0B9B" w:rsidP="00AF0B9B">
            <w:pPr>
              <w:spacing w:after="0" w:line="240" w:lineRule="auto"/>
              <w:jc w:val="center"/>
              <w:rPr>
                <w:rFonts w:ascii="Wingdings" w:eastAsia="Times New Roman" w:hAnsi="Wingdings" w:cs="Calibri"/>
                <w:color w:val="000000"/>
                <w:sz w:val="18"/>
                <w:szCs w:val="30"/>
                <w:lang w:eastAsia="en-AU"/>
              </w:rPr>
            </w:pPr>
            <w:r w:rsidRPr="00ED7D02">
              <w:rPr>
                <w:rFonts w:eastAsia="Times New Roman" w:cs="Segoe UI"/>
                <w:color w:val="000000"/>
                <w:sz w:val="18"/>
                <w:szCs w:val="20"/>
                <w:lang w:eastAsia="en-AU"/>
              </w:rPr>
              <w:t>Unquantified for Option 2; quantified for Option 3</w:t>
            </w:r>
          </w:p>
        </w:tc>
        <w:tc>
          <w:tcPr>
            <w:tcW w:w="1969" w:type="dxa"/>
            <w:vMerge/>
            <w:tcBorders>
              <w:top w:val="nil"/>
              <w:left w:val="single" w:sz="4" w:space="0" w:color="auto"/>
              <w:bottom w:val="single" w:sz="8" w:space="0" w:color="000000"/>
              <w:right w:val="single" w:sz="4" w:space="0" w:color="auto"/>
            </w:tcBorders>
            <w:vAlign w:val="center"/>
            <w:hideMark/>
          </w:tcPr>
          <w:p w14:paraId="4A9E2F5E"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318BF401"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37CA1A80" w14:textId="77777777" w:rsidTr="006C2CFB">
        <w:trPr>
          <w:trHeight w:val="67"/>
        </w:trPr>
        <w:tc>
          <w:tcPr>
            <w:tcW w:w="2438" w:type="dxa"/>
            <w:vMerge w:val="restart"/>
            <w:tcBorders>
              <w:top w:val="nil"/>
              <w:left w:val="single" w:sz="8" w:space="0" w:color="FFFFFF"/>
              <w:bottom w:val="single" w:sz="8" w:space="0" w:color="1B375C"/>
              <w:right w:val="single" w:sz="8" w:space="0" w:color="FFFFFF"/>
            </w:tcBorders>
            <w:shd w:val="clear" w:color="000000" w:fill="E0E8F2"/>
            <w:hideMark/>
          </w:tcPr>
          <w:p w14:paraId="1FB7F463" w14:textId="77777777" w:rsidR="00AF0B9B" w:rsidRPr="00ED7D02" w:rsidRDefault="00AF0B9B" w:rsidP="00AF0B9B">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Receiving employer employees</w:t>
            </w:r>
          </w:p>
        </w:tc>
        <w:tc>
          <w:tcPr>
            <w:tcW w:w="1173" w:type="dxa"/>
            <w:gridSpan w:val="2"/>
            <w:tcBorders>
              <w:top w:val="single" w:sz="8" w:space="0" w:color="1B375C"/>
              <w:left w:val="nil"/>
              <w:bottom w:val="single" w:sz="4" w:space="0" w:color="FFFFFF" w:themeColor="background1"/>
              <w:right w:val="single" w:sz="8" w:space="0" w:color="FFFFFF"/>
            </w:tcBorders>
            <w:shd w:val="clear" w:color="000000" w:fill="E0E8F2"/>
            <w:vAlign w:val="center"/>
            <w:hideMark/>
          </w:tcPr>
          <w:p w14:paraId="6F2749FC"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Costs</w:t>
            </w:r>
          </w:p>
        </w:tc>
        <w:tc>
          <w:tcPr>
            <w:tcW w:w="4625" w:type="dxa"/>
            <w:gridSpan w:val="2"/>
            <w:tcBorders>
              <w:top w:val="nil"/>
              <w:left w:val="nil"/>
              <w:bottom w:val="nil"/>
              <w:right w:val="nil"/>
            </w:tcBorders>
            <w:shd w:val="clear" w:color="auto" w:fill="auto"/>
            <w:vAlign w:val="center"/>
            <w:hideMark/>
          </w:tcPr>
          <w:p w14:paraId="514E4873"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lang w:eastAsia="en-AU"/>
              </w:rPr>
              <w:t>Employment income impacts</w:t>
            </w:r>
          </w:p>
        </w:tc>
        <w:tc>
          <w:tcPr>
            <w:tcW w:w="1413" w:type="dxa"/>
            <w:tcBorders>
              <w:top w:val="nil"/>
              <w:left w:val="nil"/>
              <w:bottom w:val="single" w:sz="8" w:space="0" w:color="FFFFFF"/>
              <w:right w:val="single" w:sz="8" w:space="0" w:color="FFFFFF"/>
            </w:tcBorders>
            <w:shd w:val="clear" w:color="auto" w:fill="auto"/>
            <w:vAlign w:val="center"/>
            <w:hideMark/>
          </w:tcPr>
          <w:p w14:paraId="433E4004"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nil"/>
              <w:right w:val="single" w:sz="4" w:space="0" w:color="auto"/>
            </w:tcBorders>
            <w:shd w:val="clear" w:color="auto" w:fill="auto"/>
            <w:vAlign w:val="center"/>
          </w:tcPr>
          <w:p w14:paraId="462AA3EF"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p>
        </w:tc>
        <w:tc>
          <w:tcPr>
            <w:tcW w:w="1969" w:type="dxa"/>
            <w:vMerge/>
            <w:tcBorders>
              <w:top w:val="nil"/>
              <w:left w:val="single" w:sz="4" w:space="0" w:color="auto"/>
              <w:bottom w:val="single" w:sz="8" w:space="0" w:color="000000"/>
              <w:right w:val="single" w:sz="4" w:space="0" w:color="auto"/>
            </w:tcBorders>
            <w:vAlign w:val="center"/>
            <w:hideMark/>
          </w:tcPr>
          <w:p w14:paraId="6CDFD06D"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614BE62C"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527C2018" w14:textId="77777777" w:rsidTr="006C2CFB">
        <w:trPr>
          <w:trHeight w:val="67"/>
        </w:trPr>
        <w:tc>
          <w:tcPr>
            <w:tcW w:w="2438" w:type="dxa"/>
            <w:vMerge/>
            <w:tcBorders>
              <w:top w:val="nil"/>
              <w:left w:val="single" w:sz="8" w:space="0" w:color="FFFFFF"/>
              <w:bottom w:val="single" w:sz="8" w:space="0" w:color="1B375C"/>
              <w:right w:val="single" w:sz="8" w:space="0" w:color="FFFFFF"/>
            </w:tcBorders>
            <w:vAlign w:val="center"/>
            <w:hideMark/>
          </w:tcPr>
          <w:p w14:paraId="5F676548"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tcBorders>
              <w:top w:val="single" w:sz="4" w:space="0" w:color="FFFFFF" w:themeColor="background1"/>
              <w:left w:val="nil"/>
              <w:bottom w:val="single" w:sz="8" w:space="0" w:color="1B375C"/>
              <w:right w:val="single" w:sz="8" w:space="0" w:color="FFFFFF"/>
            </w:tcBorders>
            <w:shd w:val="clear" w:color="000000" w:fill="E0E8F2"/>
            <w:vAlign w:val="center"/>
            <w:hideMark/>
          </w:tcPr>
          <w:p w14:paraId="1CA5719F"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Benefits</w:t>
            </w:r>
          </w:p>
        </w:tc>
        <w:tc>
          <w:tcPr>
            <w:tcW w:w="4625" w:type="dxa"/>
            <w:gridSpan w:val="2"/>
            <w:tcBorders>
              <w:top w:val="nil"/>
              <w:left w:val="nil"/>
              <w:bottom w:val="single" w:sz="8" w:space="0" w:color="1B375C"/>
              <w:right w:val="single" w:sz="8" w:space="0" w:color="FFFFFF"/>
            </w:tcBorders>
            <w:shd w:val="clear" w:color="000000" w:fill="E0E8F2"/>
            <w:vAlign w:val="center"/>
            <w:hideMark/>
          </w:tcPr>
          <w:p w14:paraId="12049AE9"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lang w:eastAsia="en-AU"/>
              </w:rPr>
              <w:t>Retirement subsidy payment impacts</w:t>
            </w:r>
          </w:p>
        </w:tc>
        <w:tc>
          <w:tcPr>
            <w:tcW w:w="1413" w:type="dxa"/>
            <w:tcBorders>
              <w:top w:val="nil"/>
              <w:left w:val="nil"/>
              <w:bottom w:val="single" w:sz="8" w:space="0" w:color="auto"/>
              <w:right w:val="single" w:sz="8" w:space="0" w:color="FFFFFF"/>
            </w:tcBorders>
            <w:shd w:val="clear" w:color="000000" w:fill="E0E8F2"/>
            <w:vAlign w:val="center"/>
            <w:hideMark/>
          </w:tcPr>
          <w:p w14:paraId="55B78E52"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single" w:sz="8" w:space="0" w:color="1B375C"/>
              <w:right w:val="nil"/>
            </w:tcBorders>
            <w:shd w:val="clear" w:color="000000" w:fill="E0E8F2"/>
            <w:vAlign w:val="center"/>
          </w:tcPr>
          <w:p w14:paraId="7DDBCA09"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p>
        </w:tc>
        <w:tc>
          <w:tcPr>
            <w:tcW w:w="1969" w:type="dxa"/>
            <w:vMerge/>
            <w:tcBorders>
              <w:top w:val="nil"/>
              <w:left w:val="single" w:sz="4" w:space="0" w:color="auto"/>
              <w:bottom w:val="single" w:sz="8" w:space="0" w:color="000000"/>
              <w:right w:val="single" w:sz="4" w:space="0" w:color="auto"/>
            </w:tcBorders>
            <w:vAlign w:val="center"/>
            <w:hideMark/>
          </w:tcPr>
          <w:p w14:paraId="73E2AAD6"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59C0BF6A"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7185D047" w14:textId="77777777" w:rsidTr="006C2CFB">
        <w:trPr>
          <w:trHeight w:val="67"/>
        </w:trPr>
        <w:tc>
          <w:tcPr>
            <w:tcW w:w="2438" w:type="dxa"/>
            <w:vMerge w:val="restart"/>
            <w:tcBorders>
              <w:top w:val="nil"/>
              <w:left w:val="single" w:sz="8" w:space="0" w:color="FFFFFF"/>
              <w:bottom w:val="single" w:sz="8" w:space="0" w:color="1B375C"/>
              <w:right w:val="single" w:sz="8" w:space="0" w:color="FFFFFF"/>
            </w:tcBorders>
            <w:shd w:val="clear" w:color="000000" w:fill="E0E8F2"/>
            <w:hideMark/>
          </w:tcPr>
          <w:p w14:paraId="7EE829B5" w14:textId="77777777" w:rsidR="00AF0B9B" w:rsidRPr="00ED7D02" w:rsidRDefault="00AF0B9B" w:rsidP="00AF0B9B">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Government</w:t>
            </w:r>
          </w:p>
        </w:tc>
        <w:tc>
          <w:tcPr>
            <w:tcW w:w="1173" w:type="dxa"/>
            <w:gridSpan w:val="2"/>
            <w:vMerge w:val="restart"/>
            <w:tcBorders>
              <w:top w:val="nil"/>
              <w:left w:val="single" w:sz="8" w:space="0" w:color="FFFFFF"/>
              <w:bottom w:val="single" w:sz="8" w:space="0" w:color="FFFFFF"/>
              <w:right w:val="single" w:sz="8" w:space="0" w:color="FFFFFF"/>
            </w:tcBorders>
            <w:shd w:val="clear" w:color="000000" w:fill="E0E8F2"/>
            <w:vAlign w:val="center"/>
            <w:hideMark/>
          </w:tcPr>
          <w:p w14:paraId="2B9501A9"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Costs</w:t>
            </w:r>
          </w:p>
        </w:tc>
        <w:tc>
          <w:tcPr>
            <w:tcW w:w="4625" w:type="dxa"/>
            <w:gridSpan w:val="2"/>
            <w:tcBorders>
              <w:top w:val="nil"/>
              <w:left w:val="nil"/>
              <w:bottom w:val="nil"/>
              <w:right w:val="nil"/>
            </w:tcBorders>
            <w:shd w:val="clear" w:color="auto" w:fill="auto"/>
            <w:vAlign w:val="center"/>
            <w:hideMark/>
          </w:tcPr>
          <w:p w14:paraId="0E6D8272"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Commonwealth early retirement subsidies</w:t>
            </w:r>
          </w:p>
        </w:tc>
        <w:tc>
          <w:tcPr>
            <w:tcW w:w="1413" w:type="dxa"/>
            <w:tcBorders>
              <w:top w:val="nil"/>
              <w:left w:val="nil"/>
              <w:bottom w:val="single" w:sz="8" w:space="0" w:color="FFFFFF"/>
              <w:right w:val="single" w:sz="8" w:space="0" w:color="FFFFFF"/>
            </w:tcBorders>
            <w:shd w:val="clear" w:color="auto" w:fill="auto"/>
            <w:vAlign w:val="center"/>
            <w:hideMark/>
          </w:tcPr>
          <w:p w14:paraId="1A31FEEC"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nil"/>
              <w:right w:val="single" w:sz="4" w:space="0" w:color="auto"/>
            </w:tcBorders>
            <w:shd w:val="clear" w:color="auto" w:fill="auto"/>
            <w:vAlign w:val="center"/>
          </w:tcPr>
          <w:p w14:paraId="0B0D5D5C"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p>
        </w:tc>
        <w:tc>
          <w:tcPr>
            <w:tcW w:w="1969" w:type="dxa"/>
            <w:vMerge w:val="restart"/>
            <w:tcBorders>
              <w:top w:val="nil"/>
              <w:left w:val="single" w:sz="4" w:space="0" w:color="auto"/>
              <w:bottom w:val="single" w:sz="8" w:space="0" w:color="000000"/>
              <w:right w:val="single" w:sz="4" w:space="0" w:color="auto"/>
            </w:tcBorders>
            <w:shd w:val="clear" w:color="000000" w:fill="E0E8F2"/>
            <w:vAlign w:val="center"/>
            <w:hideMark/>
          </w:tcPr>
          <w:p w14:paraId="1AC339B0"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-$53.2 million</w:t>
            </w:r>
          </w:p>
        </w:tc>
        <w:tc>
          <w:tcPr>
            <w:tcW w:w="1967" w:type="dxa"/>
            <w:vMerge w:val="restart"/>
            <w:tcBorders>
              <w:top w:val="nil"/>
              <w:left w:val="single" w:sz="4" w:space="0" w:color="auto"/>
              <w:bottom w:val="single" w:sz="8" w:space="0" w:color="000000"/>
              <w:right w:val="single" w:sz="4" w:space="0" w:color="auto"/>
            </w:tcBorders>
            <w:shd w:val="clear" w:color="000000" w:fill="E0E8F2"/>
            <w:vAlign w:val="center"/>
            <w:hideMark/>
          </w:tcPr>
          <w:p w14:paraId="4E88CF4E"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-$129.7 million</w:t>
            </w:r>
          </w:p>
        </w:tc>
      </w:tr>
      <w:tr w:rsidR="00AF0B9B" w:rsidRPr="00C05144" w14:paraId="22075C54" w14:textId="77777777" w:rsidTr="006C2CFB">
        <w:trPr>
          <w:trHeight w:val="67"/>
        </w:trPr>
        <w:tc>
          <w:tcPr>
            <w:tcW w:w="2438" w:type="dxa"/>
            <w:vMerge/>
            <w:tcBorders>
              <w:top w:val="nil"/>
              <w:left w:val="single" w:sz="8" w:space="0" w:color="FFFFFF"/>
              <w:bottom w:val="single" w:sz="8" w:space="0" w:color="1B375C"/>
              <w:right w:val="single" w:sz="8" w:space="0" w:color="FFFFFF"/>
            </w:tcBorders>
            <w:vAlign w:val="center"/>
            <w:hideMark/>
          </w:tcPr>
          <w:p w14:paraId="3594380B"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8" w:space="0" w:color="FFFFFF"/>
              <w:right w:val="single" w:sz="8" w:space="0" w:color="FFFFFF"/>
            </w:tcBorders>
            <w:vAlign w:val="center"/>
            <w:hideMark/>
          </w:tcPr>
          <w:p w14:paraId="1236C867"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nil"/>
              <w:right w:val="single" w:sz="8" w:space="0" w:color="FFFFFF"/>
            </w:tcBorders>
            <w:shd w:val="clear" w:color="000000" w:fill="E0E8F2"/>
            <w:vAlign w:val="center"/>
            <w:hideMark/>
          </w:tcPr>
          <w:p w14:paraId="5AB2D90E"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Government administration costs</w:t>
            </w:r>
          </w:p>
        </w:tc>
        <w:tc>
          <w:tcPr>
            <w:tcW w:w="1413" w:type="dxa"/>
            <w:tcBorders>
              <w:top w:val="nil"/>
              <w:left w:val="nil"/>
              <w:bottom w:val="nil"/>
              <w:right w:val="single" w:sz="8" w:space="0" w:color="FFFFFF"/>
            </w:tcBorders>
            <w:shd w:val="clear" w:color="000000" w:fill="E0E8F2"/>
            <w:vAlign w:val="center"/>
            <w:hideMark/>
          </w:tcPr>
          <w:p w14:paraId="1A3DCC6C"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nil"/>
              <w:right w:val="nil"/>
            </w:tcBorders>
            <w:shd w:val="clear" w:color="000000" w:fill="E0E8F2"/>
            <w:vAlign w:val="center"/>
          </w:tcPr>
          <w:p w14:paraId="4FD81902" w14:textId="77777777" w:rsidR="00AF0B9B" w:rsidRPr="00ED7D02" w:rsidRDefault="00AF0B9B" w:rsidP="00AF0B9B">
            <w:pPr>
              <w:spacing w:after="0" w:line="240" w:lineRule="auto"/>
              <w:jc w:val="center"/>
              <w:rPr>
                <w:rFonts w:eastAsia="Times New Roman" w:cs="Segoe UI"/>
                <w:b/>
                <w:color w:val="000000"/>
                <w:szCs w:val="25"/>
                <w:lang w:eastAsia="en-AU"/>
              </w:rPr>
            </w:pPr>
          </w:p>
        </w:tc>
        <w:tc>
          <w:tcPr>
            <w:tcW w:w="1969" w:type="dxa"/>
            <w:vMerge/>
            <w:tcBorders>
              <w:top w:val="nil"/>
              <w:left w:val="single" w:sz="4" w:space="0" w:color="auto"/>
              <w:bottom w:val="single" w:sz="8" w:space="0" w:color="000000"/>
              <w:right w:val="single" w:sz="4" w:space="0" w:color="auto"/>
            </w:tcBorders>
            <w:vAlign w:val="center"/>
            <w:hideMark/>
          </w:tcPr>
          <w:p w14:paraId="30445066"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47CD1765"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756A5015" w14:textId="77777777" w:rsidTr="006C2CFB">
        <w:trPr>
          <w:trHeight w:val="67"/>
        </w:trPr>
        <w:tc>
          <w:tcPr>
            <w:tcW w:w="2438" w:type="dxa"/>
            <w:vMerge/>
            <w:tcBorders>
              <w:top w:val="nil"/>
              <w:left w:val="single" w:sz="8" w:space="0" w:color="FFFFFF"/>
              <w:bottom w:val="single" w:sz="8" w:space="0" w:color="1B375C"/>
              <w:right w:val="single" w:sz="8" w:space="0" w:color="FFFFFF"/>
            </w:tcBorders>
            <w:vAlign w:val="center"/>
            <w:hideMark/>
          </w:tcPr>
          <w:p w14:paraId="0F6DC5CE"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8" w:space="0" w:color="FFFFFF"/>
              <w:right w:val="single" w:sz="8" w:space="0" w:color="FFFFFF"/>
            </w:tcBorders>
            <w:vAlign w:val="center"/>
            <w:hideMark/>
          </w:tcPr>
          <w:p w14:paraId="014A27A9"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nil"/>
              <w:right w:val="nil"/>
            </w:tcBorders>
            <w:shd w:val="clear" w:color="auto" w:fill="auto"/>
            <w:vAlign w:val="center"/>
            <w:hideMark/>
          </w:tcPr>
          <w:p w14:paraId="14E03E3D"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Tax revenue impacts</w:t>
            </w:r>
          </w:p>
        </w:tc>
        <w:tc>
          <w:tcPr>
            <w:tcW w:w="1413" w:type="dxa"/>
            <w:tcBorders>
              <w:top w:val="nil"/>
              <w:left w:val="nil"/>
              <w:bottom w:val="single" w:sz="8" w:space="0" w:color="FFFFFF"/>
              <w:right w:val="single" w:sz="8" w:space="0" w:color="FFFFFF"/>
            </w:tcBorders>
            <w:shd w:val="clear" w:color="auto" w:fill="auto"/>
            <w:vAlign w:val="center"/>
            <w:hideMark/>
          </w:tcPr>
          <w:p w14:paraId="79C05458"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nil"/>
              <w:right w:val="single" w:sz="4" w:space="0" w:color="auto"/>
            </w:tcBorders>
            <w:shd w:val="clear" w:color="auto" w:fill="auto"/>
            <w:vAlign w:val="center"/>
          </w:tcPr>
          <w:p w14:paraId="6270A36C"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p>
        </w:tc>
        <w:tc>
          <w:tcPr>
            <w:tcW w:w="1969" w:type="dxa"/>
            <w:vMerge/>
            <w:tcBorders>
              <w:top w:val="nil"/>
              <w:left w:val="single" w:sz="4" w:space="0" w:color="auto"/>
              <w:bottom w:val="single" w:sz="8" w:space="0" w:color="000000"/>
              <w:right w:val="single" w:sz="4" w:space="0" w:color="auto"/>
            </w:tcBorders>
            <w:vAlign w:val="center"/>
            <w:hideMark/>
          </w:tcPr>
          <w:p w14:paraId="163A5A9A"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57B27CCB"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10CC301E" w14:textId="77777777" w:rsidTr="006C2CFB">
        <w:trPr>
          <w:trHeight w:val="50"/>
        </w:trPr>
        <w:tc>
          <w:tcPr>
            <w:tcW w:w="2438" w:type="dxa"/>
            <w:vMerge/>
            <w:tcBorders>
              <w:top w:val="nil"/>
              <w:left w:val="single" w:sz="8" w:space="0" w:color="FFFFFF"/>
              <w:bottom w:val="single" w:sz="8" w:space="0" w:color="1B375C"/>
              <w:right w:val="single" w:sz="8" w:space="0" w:color="FFFFFF"/>
            </w:tcBorders>
            <w:vAlign w:val="center"/>
            <w:hideMark/>
          </w:tcPr>
          <w:p w14:paraId="0A8F3BC1"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val="restart"/>
            <w:tcBorders>
              <w:top w:val="nil"/>
              <w:left w:val="single" w:sz="8" w:space="0" w:color="FFFFFF"/>
              <w:bottom w:val="single" w:sz="8" w:space="0" w:color="1B375C"/>
              <w:right w:val="single" w:sz="8" w:space="0" w:color="FFFFFF"/>
            </w:tcBorders>
            <w:shd w:val="clear" w:color="000000" w:fill="E0E8F2"/>
            <w:vAlign w:val="center"/>
            <w:hideMark/>
          </w:tcPr>
          <w:p w14:paraId="33F413FC"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Benefits</w:t>
            </w:r>
          </w:p>
        </w:tc>
        <w:tc>
          <w:tcPr>
            <w:tcW w:w="4625" w:type="dxa"/>
            <w:gridSpan w:val="2"/>
            <w:tcBorders>
              <w:top w:val="nil"/>
              <w:left w:val="nil"/>
              <w:bottom w:val="nil"/>
              <w:right w:val="single" w:sz="8" w:space="0" w:color="FFFFFF"/>
            </w:tcBorders>
            <w:shd w:val="clear" w:color="000000" w:fill="E0E8F2"/>
            <w:vAlign w:val="center"/>
            <w:hideMark/>
          </w:tcPr>
          <w:p w14:paraId="35AF7F38"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Welfare expenditure</w:t>
            </w:r>
          </w:p>
        </w:tc>
        <w:tc>
          <w:tcPr>
            <w:tcW w:w="1413" w:type="dxa"/>
            <w:tcBorders>
              <w:top w:val="nil"/>
              <w:left w:val="nil"/>
              <w:bottom w:val="nil"/>
              <w:right w:val="single" w:sz="8" w:space="0" w:color="FFFFFF"/>
            </w:tcBorders>
            <w:shd w:val="clear" w:color="000000" w:fill="E0E8F2"/>
            <w:vAlign w:val="center"/>
            <w:hideMark/>
          </w:tcPr>
          <w:p w14:paraId="28B04490"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724" w:type="dxa"/>
            <w:tcBorders>
              <w:top w:val="nil"/>
              <w:left w:val="nil"/>
              <w:bottom w:val="nil"/>
              <w:right w:val="nil"/>
            </w:tcBorders>
            <w:shd w:val="clear" w:color="000000" w:fill="E0E8F2"/>
            <w:vAlign w:val="center"/>
            <w:hideMark/>
          </w:tcPr>
          <w:p w14:paraId="0D430B27"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969" w:type="dxa"/>
            <w:vMerge/>
            <w:tcBorders>
              <w:top w:val="nil"/>
              <w:left w:val="single" w:sz="4" w:space="0" w:color="auto"/>
              <w:bottom w:val="single" w:sz="8" w:space="0" w:color="000000"/>
              <w:right w:val="single" w:sz="4" w:space="0" w:color="auto"/>
            </w:tcBorders>
            <w:vAlign w:val="center"/>
            <w:hideMark/>
          </w:tcPr>
          <w:p w14:paraId="600F8B8B"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4F692C10"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1EFDF397" w14:textId="77777777" w:rsidTr="006C2CFB">
        <w:trPr>
          <w:trHeight w:val="50"/>
        </w:trPr>
        <w:tc>
          <w:tcPr>
            <w:tcW w:w="2438" w:type="dxa"/>
            <w:vMerge/>
            <w:tcBorders>
              <w:top w:val="nil"/>
              <w:left w:val="single" w:sz="8" w:space="0" w:color="FFFFFF"/>
              <w:bottom w:val="single" w:sz="8" w:space="0" w:color="1B375C"/>
              <w:right w:val="single" w:sz="8" w:space="0" w:color="FFFFFF"/>
            </w:tcBorders>
            <w:vAlign w:val="center"/>
            <w:hideMark/>
          </w:tcPr>
          <w:p w14:paraId="045E9B43" w14:textId="77777777" w:rsidR="00AF0B9B" w:rsidRPr="00ED7D02" w:rsidRDefault="00AF0B9B" w:rsidP="00AF0B9B">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8" w:space="0" w:color="1B375C"/>
              <w:right w:val="single" w:sz="8" w:space="0" w:color="FFFFFF"/>
            </w:tcBorders>
            <w:vAlign w:val="center"/>
            <w:hideMark/>
          </w:tcPr>
          <w:p w14:paraId="3C76FAD5" w14:textId="77777777" w:rsidR="00AF0B9B" w:rsidRPr="00ED7D02" w:rsidRDefault="00AF0B9B" w:rsidP="00AF0B9B">
            <w:pPr>
              <w:spacing w:after="0" w:line="240" w:lineRule="auto"/>
              <w:rPr>
                <w:rFonts w:eastAsia="Times New Roman" w:cs="Segoe UI"/>
                <w:color w:val="000000"/>
                <w:sz w:val="18"/>
                <w:szCs w:val="20"/>
                <w:lang w:eastAsia="en-AU"/>
              </w:rPr>
            </w:pPr>
          </w:p>
        </w:tc>
        <w:tc>
          <w:tcPr>
            <w:tcW w:w="4625" w:type="dxa"/>
            <w:gridSpan w:val="2"/>
            <w:tcBorders>
              <w:top w:val="nil"/>
              <w:left w:val="nil"/>
              <w:bottom w:val="single" w:sz="8" w:space="0" w:color="auto"/>
              <w:right w:val="nil"/>
            </w:tcBorders>
            <w:shd w:val="clear" w:color="auto" w:fill="auto"/>
            <w:vAlign w:val="center"/>
            <w:hideMark/>
          </w:tcPr>
          <w:p w14:paraId="3B819EA3"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Reputational impacts</w:t>
            </w:r>
          </w:p>
        </w:tc>
        <w:tc>
          <w:tcPr>
            <w:tcW w:w="1413" w:type="dxa"/>
            <w:tcBorders>
              <w:top w:val="nil"/>
              <w:left w:val="nil"/>
              <w:bottom w:val="single" w:sz="8" w:space="0" w:color="auto"/>
              <w:right w:val="nil"/>
            </w:tcBorders>
            <w:shd w:val="clear" w:color="auto" w:fill="auto"/>
            <w:vAlign w:val="center"/>
            <w:hideMark/>
          </w:tcPr>
          <w:p w14:paraId="76AFA436" w14:textId="77777777" w:rsidR="00AF0B9B" w:rsidRPr="00ED7D02" w:rsidRDefault="00AF0B9B" w:rsidP="00AF0B9B">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724" w:type="dxa"/>
            <w:tcBorders>
              <w:top w:val="nil"/>
              <w:left w:val="nil"/>
              <w:bottom w:val="single" w:sz="8" w:space="0" w:color="auto"/>
              <w:right w:val="single" w:sz="4" w:space="0" w:color="auto"/>
            </w:tcBorders>
            <w:shd w:val="clear" w:color="auto" w:fill="auto"/>
            <w:vAlign w:val="center"/>
            <w:hideMark/>
          </w:tcPr>
          <w:p w14:paraId="4B3B9305"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tcBorders>
              <w:top w:val="nil"/>
              <w:left w:val="single" w:sz="4" w:space="0" w:color="auto"/>
              <w:bottom w:val="single" w:sz="8" w:space="0" w:color="000000"/>
              <w:right w:val="single" w:sz="4" w:space="0" w:color="auto"/>
            </w:tcBorders>
            <w:vAlign w:val="center"/>
            <w:hideMark/>
          </w:tcPr>
          <w:p w14:paraId="4783F3C5" w14:textId="77777777" w:rsidR="00AF0B9B" w:rsidRPr="00ED7D02" w:rsidRDefault="00AF0B9B" w:rsidP="00AF0B9B">
            <w:pPr>
              <w:spacing w:after="0" w:line="240" w:lineRule="auto"/>
              <w:rPr>
                <w:rFonts w:eastAsia="Times New Roman" w:cs="Segoe UI"/>
                <w:color w:val="000000"/>
                <w:sz w:val="18"/>
                <w:szCs w:val="20"/>
                <w:lang w:eastAsia="en-AU"/>
              </w:rPr>
            </w:pPr>
          </w:p>
        </w:tc>
        <w:tc>
          <w:tcPr>
            <w:tcW w:w="1967" w:type="dxa"/>
            <w:vMerge/>
            <w:tcBorders>
              <w:top w:val="nil"/>
              <w:left w:val="single" w:sz="4" w:space="0" w:color="auto"/>
              <w:bottom w:val="single" w:sz="8" w:space="0" w:color="000000"/>
              <w:right w:val="single" w:sz="4" w:space="0" w:color="auto"/>
            </w:tcBorders>
            <w:vAlign w:val="center"/>
            <w:hideMark/>
          </w:tcPr>
          <w:p w14:paraId="2C2B94F3" w14:textId="77777777" w:rsidR="00AF0B9B" w:rsidRPr="00ED7D02" w:rsidRDefault="00AF0B9B" w:rsidP="00AF0B9B">
            <w:pPr>
              <w:spacing w:after="0" w:line="240" w:lineRule="auto"/>
              <w:rPr>
                <w:rFonts w:eastAsia="Times New Roman" w:cs="Segoe UI"/>
                <w:color w:val="000000"/>
                <w:sz w:val="18"/>
                <w:szCs w:val="20"/>
                <w:lang w:eastAsia="en-AU"/>
              </w:rPr>
            </w:pPr>
          </w:p>
        </w:tc>
      </w:tr>
      <w:tr w:rsidR="00AF0B9B" w:rsidRPr="00C05144" w14:paraId="1539F4C8" w14:textId="77777777" w:rsidTr="006C2CFB">
        <w:trPr>
          <w:trHeight w:val="369"/>
        </w:trPr>
        <w:tc>
          <w:tcPr>
            <w:tcW w:w="2438" w:type="dxa"/>
            <w:vMerge w:val="restart"/>
            <w:tcBorders>
              <w:top w:val="nil"/>
              <w:left w:val="single" w:sz="8" w:space="0" w:color="FFFFFF"/>
              <w:bottom w:val="single" w:sz="8" w:space="0" w:color="1B375C"/>
              <w:right w:val="single" w:sz="8" w:space="0" w:color="FFFFFF"/>
            </w:tcBorders>
            <w:shd w:val="clear" w:color="000000" w:fill="E0E8F2"/>
            <w:hideMark/>
          </w:tcPr>
          <w:p w14:paraId="0F769C02" w14:textId="77777777" w:rsidR="00AF0B9B" w:rsidRPr="00ED7D02" w:rsidRDefault="00AF0B9B" w:rsidP="00AF0B9B">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Community</w:t>
            </w:r>
          </w:p>
        </w:tc>
        <w:tc>
          <w:tcPr>
            <w:tcW w:w="1173" w:type="dxa"/>
            <w:gridSpan w:val="2"/>
            <w:vMerge w:val="restart"/>
            <w:tcBorders>
              <w:top w:val="nil"/>
              <w:left w:val="single" w:sz="8" w:space="0" w:color="FFFFFF"/>
              <w:bottom w:val="single" w:sz="8" w:space="0" w:color="1B375C"/>
              <w:right w:val="single" w:sz="8" w:space="0" w:color="FFFFFF"/>
            </w:tcBorders>
            <w:shd w:val="clear" w:color="000000" w:fill="E0E8F2"/>
            <w:vAlign w:val="center"/>
            <w:hideMark/>
          </w:tcPr>
          <w:p w14:paraId="544BBC63"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Benefits</w:t>
            </w:r>
          </w:p>
        </w:tc>
        <w:tc>
          <w:tcPr>
            <w:tcW w:w="4625" w:type="dxa"/>
            <w:gridSpan w:val="2"/>
            <w:tcBorders>
              <w:top w:val="nil"/>
              <w:left w:val="nil"/>
              <w:bottom w:val="nil"/>
              <w:right w:val="single" w:sz="8" w:space="0" w:color="FFFFFF"/>
            </w:tcBorders>
            <w:shd w:val="clear" w:color="000000" w:fill="E0E8F2"/>
            <w:vAlign w:val="center"/>
            <w:hideMark/>
          </w:tcPr>
          <w:p w14:paraId="7886FCA0" w14:textId="77777777" w:rsidR="00AF0B9B" w:rsidRPr="00ED7D02" w:rsidRDefault="00AF0B9B" w:rsidP="00AF0B9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Regional economic prospects</w:t>
            </w:r>
            <w:r w:rsidR="00561CB5">
              <w:rPr>
                <w:rFonts w:eastAsia="Times New Roman" w:cs="Segoe UI"/>
                <w:color w:val="000000"/>
                <w:sz w:val="18"/>
                <w:szCs w:val="20"/>
                <w:lang w:eastAsia="en-AU"/>
              </w:rPr>
              <w:t>, including reduced labour market scarring impacts</w:t>
            </w:r>
          </w:p>
        </w:tc>
        <w:tc>
          <w:tcPr>
            <w:tcW w:w="1413" w:type="dxa"/>
            <w:tcBorders>
              <w:top w:val="nil"/>
              <w:left w:val="nil"/>
              <w:bottom w:val="nil"/>
              <w:right w:val="single" w:sz="8" w:space="0" w:color="FFFFFF"/>
            </w:tcBorders>
            <w:shd w:val="clear" w:color="000000" w:fill="E0E8F2"/>
            <w:vAlign w:val="center"/>
            <w:hideMark/>
          </w:tcPr>
          <w:p w14:paraId="6D967E15"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p>
        </w:tc>
        <w:tc>
          <w:tcPr>
            <w:tcW w:w="1724" w:type="dxa"/>
            <w:tcBorders>
              <w:top w:val="nil"/>
              <w:left w:val="nil"/>
              <w:bottom w:val="nil"/>
              <w:right w:val="single" w:sz="4" w:space="0" w:color="auto"/>
            </w:tcBorders>
            <w:shd w:val="clear" w:color="000000" w:fill="E0E8F2"/>
            <w:vAlign w:val="center"/>
            <w:hideMark/>
          </w:tcPr>
          <w:p w14:paraId="416FE47D" w14:textId="77777777" w:rsidR="00AF0B9B" w:rsidRPr="00ED7D02" w:rsidRDefault="00AF0B9B" w:rsidP="00AF0B9B">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val="restart"/>
            <w:tcBorders>
              <w:top w:val="nil"/>
              <w:left w:val="single" w:sz="4" w:space="0" w:color="auto"/>
              <w:bottom w:val="single" w:sz="8" w:space="0" w:color="000000"/>
              <w:right w:val="single" w:sz="4" w:space="0" w:color="auto"/>
            </w:tcBorders>
            <w:shd w:val="clear" w:color="000000" w:fill="E0E8F2"/>
            <w:vAlign w:val="center"/>
            <w:hideMark/>
          </w:tcPr>
          <w:p w14:paraId="7C9D68CC"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Unquantified</w:t>
            </w:r>
          </w:p>
        </w:tc>
        <w:tc>
          <w:tcPr>
            <w:tcW w:w="1967" w:type="dxa"/>
            <w:vMerge w:val="restart"/>
            <w:tcBorders>
              <w:top w:val="nil"/>
              <w:left w:val="nil"/>
              <w:bottom w:val="single" w:sz="8" w:space="0" w:color="000000"/>
              <w:right w:val="single" w:sz="4" w:space="0" w:color="auto"/>
            </w:tcBorders>
            <w:shd w:val="clear" w:color="000000" w:fill="E0E8F2"/>
            <w:vAlign w:val="center"/>
            <w:hideMark/>
          </w:tcPr>
          <w:p w14:paraId="3DCA4EB3" w14:textId="77777777" w:rsidR="00AF0B9B" w:rsidRPr="00ED7D02" w:rsidRDefault="00AF0B9B" w:rsidP="00AF0B9B">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Unquantified</w:t>
            </w:r>
          </w:p>
        </w:tc>
      </w:tr>
      <w:tr w:rsidR="00AF0B9B" w:rsidRPr="00C05144" w14:paraId="7F4D62F4" w14:textId="77777777" w:rsidTr="006C2CFB">
        <w:trPr>
          <w:trHeight w:val="50"/>
        </w:trPr>
        <w:tc>
          <w:tcPr>
            <w:tcW w:w="2438" w:type="dxa"/>
            <w:vMerge/>
            <w:tcBorders>
              <w:top w:val="nil"/>
              <w:left w:val="single" w:sz="8" w:space="0" w:color="FFFFFF"/>
              <w:bottom w:val="single" w:sz="4" w:space="0" w:color="auto"/>
              <w:right w:val="single" w:sz="8" w:space="0" w:color="FFFFFF"/>
            </w:tcBorders>
            <w:vAlign w:val="center"/>
            <w:hideMark/>
          </w:tcPr>
          <w:p w14:paraId="6B7068A2" w14:textId="77777777" w:rsidR="00AF0B9B" w:rsidRPr="00ED7D02" w:rsidRDefault="00AF0B9B" w:rsidP="00C05144">
            <w:pPr>
              <w:spacing w:after="0" w:line="240" w:lineRule="auto"/>
              <w:rPr>
                <w:rFonts w:eastAsia="Times New Roman" w:cs="Segoe UI"/>
                <w:b/>
                <w:color w:val="000000"/>
                <w:sz w:val="18"/>
                <w:szCs w:val="20"/>
                <w:lang w:eastAsia="en-AU"/>
              </w:rPr>
            </w:pPr>
          </w:p>
        </w:tc>
        <w:tc>
          <w:tcPr>
            <w:tcW w:w="1173" w:type="dxa"/>
            <w:gridSpan w:val="2"/>
            <w:vMerge/>
            <w:tcBorders>
              <w:top w:val="nil"/>
              <w:left w:val="single" w:sz="8" w:space="0" w:color="FFFFFF"/>
              <w:bottom w:val="single" w:sz="4" w:space="0" w:color="auto"/>
              <w:right w:val="single" w:sz="8" w:space="0" w:color="FFFFFF"/>
            </w:tcBorders>
            <w:vAlign w:val="center"/>
            <w:hideMark/>
          </w:tcPr>
          <w:p w14:paraId="526AEFBC" w14:textId="77777777" w:rsidR="00AF0B9B" w:rsidRPr="00ED7D02" w:rsidRDefault="00AF0B9B" w:rsidP="00C05144">
            <w:pPr>
              <w:spacing w:after="0" w:line="240" w:lineRule="auto"/>
              <w:rPr>
                <w:rFonts w:eastAsia="Times New Roman" w:cs="Segoe UI"/>
                <w:color w:val="000000"/>
                <w:sz w:val="18"/>
                <w:szCs w:val="20"/>
                <w:lang w:eastAsia="en-AU"/>
              </w:rPr>
            </w:pPr>
          </w:p>
        </w:tc>
        <w:tc>
          <w:tcPr>
            <w:tcW w:w="4625" w:type="dxa"/>
            <w:gridSpan w:val="2"/>
            <w:tcBorders>
              <w:top w:val="nil"/>
              <w:left w:val="nil"/>
              <w:bottom w:val="single" w:sz="4" w:space="0" w:color="auto"/>
              <w:right w:val="nil"/>
            </w:tcBorders>
            <w:shd w:val="clear" w:color="auto" w:fill="auto"/>
            <w:vAlign w:val="center"/>
            <w:hideMark/>
          </w:tcPr>
          <w:p w14:paraId="6B7BD3E3" w14:textId="77777777" w:rsidR="00AF0B9B" w:rsidRPr="00ED7D02" w:rsidRDefault="00AF0B9B" w:rsidP="00C05144">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Regional social cohesion</w:t>
            </w:r>
          </w:p>
        </w:tc>
        <w:tc>
          <w:tcPr>
            <w:tcW w:w="1413" w:type="dxa"/>
            <w:tcBorders>
              <w:top w:val="nil"/>
              <w:left w:val="nil"/>
              <w:bottom w:val="single" w:sz="4" w:space="0" w:color="auto"/>
              <w:right w:val="nil"/>
            </w:tcBorders>
            <w:shd w:val="clear" w:color="auto" w:fill="auto"/>
            <w:vAlign w:val="center"/>
            <w:hideMark/>
          </w:tcPr>
          <w:p w14:paraId="087CAE71" w14:textId="77777777" w:rsidR="00AF0B9B" w:rsidRPr="00ED7D02" w:rsidRDefault="00AF0B9B" w:rsidP="00C05144">
            <w:pPr>
              <w:spacing w:after="0" w:line="240" w:lineRule="auto"/>
              <w:jc w:val="center"/>
              <w:rPr>
                <w:rFonts w:eastAsia="Times New Roman" w:cs="Segoe UI"/>
                <w:b/>
                <w:color w:val="000000"/>
                <w:szCs w:val="25"/>
                <w:lang w:eastAsia="en-AU"/>
              </w:rPr>
            </w:pPr>
            <w:r w:rsidRPr="00ED7D02">
              <w:rPr>
                <w:rFonts w:eastAsia="Times New Roman" w:cs="Segoe UI"/>
                <w:b/>
                <w:color w:val="000000"/>
                <w:szCs w:val="25"/>
                <w:lang w:eastAsia="en-AU"/>
              </w:rPr>
              <w:t> </w:t>
            </w:r>
          </w:p>
        </w:tc>
        <w:tc>
          <w:tcPr>
            <w:tcW w:w="1724" w:type="dxa"/>
            <w:tcBorders>
              <w:top w:val="nil"/>
              <w:left w:val="nil"/>
              <w:bottom w:val="single" w:sz="4" w:space="0" w:color="auto"/>
              <w:right w:val="single" w:sz="4" w:space="0" w:color="auto"/>
            </w:tcBorders>
            <w:shd w:val="clear" w:color="auto" w:fill="auto"/>
            <w:vAlign w:val="center"/>
            <w:hideMark/>
          </w:tcPr>
          <w:p w14:paraId="323CEC02" w14:textId="77777777" w:rsidR="00AF0B9B" w:rsidRPr="00ED7D02" w:rsidRDefault="00AF0B9B" w:rsidP="00C05144">
            <w:pPr>
              <w:spacing w:after="0" w:line="240" w:lineRule="auto"/>
              <w:jc w:val="center"/>
              <w:rPr>
                <w:rFonts w:ascii="Wingdings" w:eastAsia="Times New Roman" w:hAnsi="Wingdings" w:cs="Calibri"/>
                <w:color w:val="000000"/>
                <w:szCs w:val="25"/>
                <w:lang w:eastAsia="en-AU"/>
              </w:rPr>
            </w:pPr>
            <w:r w:rsidRPr="00ED7D02">
              <w:rPr>
                <w:rFonts w:ascii="Wingdings" w:eastAsia="Times New Roman" w:hAnsi="Wingdings" w:cs="Calibri"/>
                <w:color w:val="000000"/>
                <w:szCs w:val="25"/>
                <w:lang w:eastAsia="en-AU"/>
              </w:rPr>
              <w:sym w:font="Wingdings" w:char="F0FE"/>
            </w:r>
          </w:p>
        </w:tc>
        <w:tc>
          <w:tcPr>
            <w:tcW w:w="1969" w:type="dxa"/>
            <w:vMerge/>
            <w:tcBorders>
              <w:top w:val="nil"/>
              <w:left w:val="single" w:sz="4" w:space="0" w:color="auto"/>
              <w:bottom w:val="single" w:sz="4" w:space="0" w:color="auto"/>
              <w:right w:val="single" w:sz="4" w:space="0" w:color="auto"/>
            </w:tcBorders>
            <w:vAlign w:val="center"/>
            <w:hideMark/>
          </w:tcPr>
          <w:p w14:paraId="6636E317" w14:textId="77777777" w:rsidR="00AF0B9B" w:rsidRPr="00ED7D02" w:rsidRDefault="00AF0B9B" w:rsidP="00C05144">
            <w:pPr>
              <w:spacing w:after="0" w:line="240" w:lineRule="auto"/>
              <w:rPr>
                <w:rFonts w:eastAsia="Times New Roman" w:cs="Segoe UI"/>
                <w:color w:val="000000"/>
                <w:sz w:val="18"/>
                <w:szCs w:val="20"/>
                <w:lang w:eastAsia="en-AU"/>
              </w:rPr>
            </w:pPr>
          </w:p>
        </w:tc>
        <w:tc>
          <w:tcPr>
            <w:tcW w:w="1967" w:type="dxa"/>
            <w:vMerge/>
            <w:tcBorders>
              <w:top w:val="nil"/>
              <w:left w:val="nil"/>
              <w:bottom w:val="single" w:sz="4" w:space="0" w:color="auto"/>
              <w:right w:val="single" w:sz="4" w:space="0" w:color="auto"/>
            </w:tcBorders>
            <w:vAlign w:val="center"/>
            <w:hideMark/>
          </w:tcPr>
          <w:p w14:paraId="62B2C571" w14:textId="77777777" w:rsidR="00AF0B9B" w:rsidRPr="00ED7D02" w:rsidRDefault="00AF0B9B" w:rsidP="00C05144">
            <w:pPr>
              <w:spacing w:after="0" w:line="240" w:lineRule="auto"/>
              <w:rPr>
                <w:rFonts w:eastAsia="Times New Roman" w:cs="Segoe UI"/>
                <w:color w:val="000000"/>
                <w:sz w:val="18"/>
                <w:szCs w:val="20"/>
                <w:lang w:eastAsia="en-AU"/>
              </w:rPr>
            </w:pPr>
          </w:p>
        </w:tc>
      </w:tr>
      <w:tr w:rsidR="00460DF0" w:rsidRPr="00757876" w14:paraId="4C71A361" w14:textId="77777777" w:rsidTr="00BB19A6">
        <w:trPr>
          <w:trHeight w:val="67"/>
        </w:trPr>
        <w:tc>
          <w:tcPr>
            <w:tcW w:w="11373" w:type="dxa"/>
            <w:gridSpan w:val="7"/>
            <w:tcBorders>
              <w:top w:val="nil"/>
              <w:left w:val="single" w:sz="8" w:space="0" w:color="FFFFFF"/>
              <w:bottom w:val="single" w:sz="4" w:space="0" w:color="auto"/>
              <w:right w:val="single" w:sz="4" w:space="0" w:color="auto"/>
            </w:tcBorders>
            <w:shd w:val="clear" w:color="auto" w:fill="E0E8F2" w:themeFill="background2"/>
            <w:vAlign w:val="center"/>
          </w:tcPr>
          <w:p w14:paraId="56DA21DA" w14:textId="77777777" w:rsidR="00460DF0" w:rsidRPr="00ED7D02" w:rsidRDefault="00460DF0" w:rsidP="00ED7D02">
            <w:pPr>
              <w:spacing w:after="0" w:line="240" w:lineRule="auto"/>
              <w:rPr>
                <w:rFonts w:ascii="Wingdings" w:eastAsia="Times New Roman" w:hAnsi="Wingdings" w:cs="Calibri"/>
                <w:color w:val="000000"/>
                <w:sz w:val="18"/>
                <w:szCs w:val="25"/>
                <w:lang w:eastAsia="en-AU"/>
              </w:rPr>
            </w:pPr>
            <w:r w:rsidRPr="00ED7D02">
              <w:rPr>
                <w:rFonts w:eastAsia="Times New Roman" w:cs="Segoe UI"/>
                <w:b/>
                <w:color w:val="000000"/>
                <w:sz w:val="18"/>
                <w:szCs w:val="20"/>
                <w:lang w:eastAsia="en-AU"/>
              </w:rPr>
              <w:t>Total</w:t>
            </w:r>
            <w:r w:rsidRPr="00DE73E1">
              <w:rPr>
                <w:rFonts w:eastAsia="Times New Roman" w:cs="Segoe UI"/>
                <w:b/>
                <w:color w:val="000000"/>
                <w:sz w:val="18"/>
                <w:szCs w:val="20"/>
                <w:lang w:eastAsia="en-AU"/>
              </w:rPr>
              <w:t xml:space="preserve"> </w:t>
            </w:r>
            <w:r w:rsidR="007E60CD">
              <w:rPr>
                <w:rFonts w:eastAsia="Times New Roman" w:cs="Segoe UI"/>
                <w:b/>
                <w:bCs/>
                <w:color w:val="000000"/>
                <w:sz w:val="18"/>
                <w:szCs w:val="20"/>
                <w:lang w:eastAsia="en-AU"/>
              </w:rPr>
              <w:t>quantified</w:t>
            </w:r>
            <w:r w:rsidRPr="00ED7D02">
              <w:rPr>
                <w:rFonts w:eastAsia="Times New Roman" w:cs="Segoe UI"/>
                <w:b/>
                <w:bCs/>
                <w:color w:val="000000"/>
                <w:sz w:val="18"/>
                <w:szCs w:val="20"/>
                <w:lang w:eastAsia="en-AU"/>
              </w:rPr>
              <w:t xml:space="preserve"> </w:t>
            </w:r>
            <w:r w:rsidRPr="00ED7D02">
              <w:rPr>
                <w:rFonts w:eastAsia="Times New Roman" w:cs="Segoe UI"/>
                <w:b/>
                <w:color w:val="000000"/>
                <w:sz w:val="18"/>
                <w:szCs w:val="20"/>
                <w:lang w:eastAsia="en-AU"/>
              </w:rPr>
              <w:t>net present value</w:t>
            </w:r>
          </w:p>
        </w:tc>
        <w:tc>
          <w:tcPr>
            <w:tcW w:w="1969" w:type="dxa"/>
            <w:tcBorders>
              <w:top w:val="nil"/>
              <w:left w:val="single" w:sz="4" w:space="0" w:color="auto"/>
              <w:bottom w:val="single" w:sz="4" w:space="0" w:color="auto"/>
              <w:right w:val="single" w:sz="4" w:space="0" w:color="auto"/>
            </w:tcBorders>
            <w:shd w:val="clear" w:color="auto" w:fill="E0E8F2" w:themeFill="background2"/>
            <w:vAlign w:val="center"/>
          </w:tcPr>
          <w:p w14:paraId="095181BD" w14:textId="77777777" w:rsidR="00460DF0" w:rsidRPr="00ED7D02" w:rsidRDefault="00460DF0" w:rsidP="00ED7D02">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-$16.3 million</w:t>
            </w:r>
          </w:p>
        </w:tc>
        <w:tc>
          <w:tcPr>
            <w:tcW w:w="1967" w:type="dxa"/>
            <w:tcBorders>
              <w:top w:val="nil"/>
              <w:left w:val="nil"/>
              <w:bottom w:val="single" w:sz="4" w:space="0" w:color="auto"/>
              <w:right w:val="single" w:sz="4" w:space="0" w:color="auto"/>
            </w:tcBorders>
            <w:shd w:val="clear" w:color="auto" w:fill="E0E8F2" w:themeFill="background2"/>
            <w:vAlign w:val="center"/>
          </w:tcPr>
          <w:p w14:paraId="16EAE576" w14:textId="77777777" w:rsidR="00460DF0" w:rsidRPr="00ED7D02" w:rsidRDefault="00460DF0" w:rsidP="00ED7D02">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-$33.1 million</w:t>
            </w:r>
          </w:p>
        </w:tc>
      </w:tr>
      <w:tr w:rsidR="00AF0B9B" w:rsidRPr="00C05144" w14:paraId="7AB28CE4" w14:textId="77777777" w:rsidTr="00297317">
        <w:trPr>
          <w:trHeight w:val="70"/>
        </w:trPr>
        <w:tc>
          <w:tcPr>
            <w:tcW w:w="3544" w:type="dxa"/>
            <w:gridSpan w:val="2"/>
            <w:tcBorders>
              <w:top w:val="single" w:sz="4" w:space="0" w:color="auto"/>
              <w:left w:val="single" w:sz="8" w:space="0" w:color="FFFFFF"/>
              <w:bottom w:val="single" w:sz="4" w:space="0" w:color="auto"/>
              <w:right w:val="single" w:sz="4" w:space="0" w:color="auto"/>
            </w:tcBorders>
            <w:vAlign w:val="center"/>
          </w:tcPr>
          <w:p w14:paraId="3E958CF7" w14:textId="77777777" w:rsidR="00AF0B9B" w:rsidRPr="00ED7D02" w:rsidRDefault="009F403E" w:rsidP="009F403E">
            <w:pPr>
              <w:spacing w:after="0" w:line="240" w:lineRule="auto"/>
              <w:rPr>
                <w:rFonts w:ascii="Wingdings" w:eastAsia="Times New Roman" w:hAnsi="Wingdings" w:cs="Calibri"/>
                <w:color w:val="000000"/>
                <w:sz w:val="18"/>
                <w:szCs w:val="30"/>
                <w:lang w:eastAsia="en-AU"/>
              </w:rPr>
            </w:pPr>
            <w:r>
              <w:rPr>
                <w:rFonts w:eastAsia="Times New Roman" w:cs="Segoe UI"/>
                <w:b/>
                <w:color w:val="000000"/>
                <w:sz w:val="18"/>
                <w:szCs w:val="20"/>
                <w:lang w:eastAsia="en-AU"/>
              </w:rPr>
              <w:t>Worker partici</w:t>
            </w:r>
            <w:r w:rsidR="00011533" w:rsidRPr="00ED7D02">
              <w:rPr>
                <w:rFonts w:eastAsia="Times New Roman" w:cs="Segoe UI"/>
                <w:b/>
                <w:color w:val="000000"/>
                <w:sz w:val="18"/>
                <w:szCs w:val="20"/>
                <w:lang w:eastAsia="en-AU"/>
              </w:rPr>
              <w:t xml:space="preserve">pation </w:t>
            </w:r>
            <w:r w:rsidR="00AF0B9B" w:rsidRPr="00ED7D02">
              <w:rPr>
                <w:rFonts w:eastAsia="Times New Roman" w:cs="Segoe UI"/>
                <w:b/>
                <w:color w:val="000000"/>
                <w:sz w:val="18"/>
                <w:szCs w:val="20"/>
                <w:lang w:eastAsia="en-AU"/>
              </w:rPr>
              <w:t>rate</w:t>
            </w:r>
            <w:bookmarkStart w:id="20" w:name="_Ref161735600"/>
            <w:r w:rsidR="0082582D" w:rsidRPr="00ED7D02">
              <w:rPr>
                <w:rStyle w:val="FootnoteReference"/>
                <w:rFonts w:eastAsia="Times New Roman" w:cs="Segoe UI"/>
                <w:color w:val="000000"/>
                <w:sz w:val="18"/>
                <w:szCs w:val="20"/>
                <w:lang w:eastAsia="en-AU"/>
              </w:rPr>
              <w:footnoteReference w:id="3"/>
            </w:r>
            <w:bookmarkEnd w:id="20"/>
          </w:p>
        </w:tc>
        <w:tc>
          <w:tcPr>
            <w:tcW w:w="7829" w:type="dxa"/>
            <w:gridSpan w:val="5"/>
            <w:tcBorders>
              <w:top w:val="single" w:sz="4" w:space="0" w:color="auto"/>
              <w:left w:val="single" w:sz="8" w:space="0" w:color="FFFFFF"/>
              <w:bottom w:val="single" w:sz="4" w:space="0" w:color="auto"/>
              <w:right w:val="single" w:sz="4" w:space="0" w:color="auto"/>
            </w:tcBorders>
            <w:vAlign w:val="center"/>
          </w:tcPr>
          <w:p w14:paraId="62D4E7B6" w14:textId="77777777" w:rsidR="00AF0B9B" w:rsidRPr="00ED7D02" w:rsidRDefault="009F403E" w:rsidP="009F403E">
            <w:pPr>
              <w:spacing w:after="0" w:line="240" w:lineRule="auto"/>
              <w:rPr>
                <w:rFonts w:ascii="Wingdings" w:eastAsia="Times New Roman" w:hAnsi="Wingdings" w:cs="Calibri"/>
                <w:color w:val="000000"/>
                <w:sz w:val="18"/>
                <w:szCs w:val="30"/>
                <w:lang w:eastAsia="en-AU"/>
              </w:rPr>
            </w:pPr>
            <w:r>
              <w:rPr>
                <w:rFonts w:eastAsia="Times New Roman" w:cs="Segoe UI"/>
                <w:color w:val="000000"/>
                <w:sz w:val="18"/>
                <w:szCs w:val="20"/>
                <w:lang w:eastAsia="en-AU"/>
              </w:rPr>
              <w:t>P</w:t>
            </w:r>
            <w:r w:rsidR="006111BB" w:rsidRPr="00ED7D02">
              <w:rPr>
                <w:rFonts w:eastAsia="Times New Roman" w:cs="Segoe UI"/>
                <w:color w:val="000000"/>
                <w:sz w:val="18"/>
                <w:szCs w:val="20"/>
                <w:lang w:eastAsia="en-AU"/>
              </w:rPr>
              <w:t>er</w:t>
            </w:r>
            <w:r>
              <w:rPr>
                <w:rFonts w:eastAsia="Times New Roman" w:cs="Segoe UI"/>
                <w:color w:val="000000"/>
                <w:sz w:val="18"/>
                <w:szCs w:val="20"/>
                <w:lang w:eastAsia="en-AU"/>
              </w:rPr>
              <w:t>centage</w:t>
            </w:r>
            <w:r w:rsidRPr="00A62F2E">
              <w:rPr>
                <w:rFonts w:eastAsia="Times New Roman" w:cs="Segoe UI"/>
                <w:color w:val="000000"/>
                <w:sz w:val="18"/>
                <w:szCs w:val="20"/>
                <w:lang w:eastAsia="en-AU"/>
              </w:rPr>
              <w:t xml:space="preserve"> </w:t>
            </w:r>
            <w:r>
              <w:rPr>
                <w:rFonts w:eastAsia="Times New Roman" w:cs="Segoe UI"/>
                <w:color w:val="000000"/>
                <w:sz w:val="18"/>
                <w:szCs w:val="20"/>
                <w:lang w:eastAsia="en-AU"/>
              </w:rPr>
              <w:t>of total closing employer workforce that</w:t>
            </w:r>
            <w:r w:rsidR="006111BB" w:rsidRPr="00ED7D02">
              <w:rPr>
                <w:rFonts w:eastAsia="Times New Roman" w:cs="Segoe UI"/>
                <w:color w:val="000000"/>
                <w:sz w:val="18"/>
                <w:szCs w:val="20"/>
                <w:lang w:eastAsia="en-AU"/>
              </w:rPr>
              <w:t xml:space="preserve"> </w:t>
            </w:r>
            <w:r>
              <w:rPr>
                <w:rFonts w:eastAsia="Times New Roman" w:cs="Segoe UI"/>
                <w:color w:val="000000"/>
                <w:sz w:val="18"/>
                <w:szCs w:val="20"/>
                <w:lang w:eastAsia="en-AU"/>
              </w:rPr>
              <w:t xml:space="preserve">seek to </w:t>
            </w:r>
            <w:r w:rsidR="00A66397" w:rsidRPr="00ED7D02">
              <w:rPr>
                <w:rFonts w:eastAsia="Times New Roman" w:cs="Segoe UI"/>
                <w:color w:val="000000"/>
                <w:sz w:val="18"/>
                <w:szCs w:val="20"/>
                <w:lang w:eastAsia="en-AU"/>
              </w:rPr>
              <w:t>participate</w:t>
            </w:r>
            <w:r w:rsidRPr="00A62F2E">
              <w:rPr>
                <w:rFonts w:eastAsia="Times New Roman" w:cs="Segoe UI"/>
                <w:color w:val="000000"/>
                <w:sz w:val="18"/>
                <w:szCs w:val="20"/>
                <w:lang w:eastAsia="en-AU"/>
              </w:rPr>
              <w:t xml:space="preserve"> in </w:t>
            </w:r>
            <w:r>
              <w:rPr>
                <w:rFonts w:eastAsia="Times New Roman" w:cs="Segoe UI"/>
                <w:color w:val="000000"/>
                <w:sz w:val="18"/>
                <w:szCs w:val="20"/>
                <w:lang w:eastAsia="en-AU"/>
              </w:rPr>
              <w:t>pooled redeployment</w:t>
            </w:r>
          </w:p>
        </w:tc>
        <w:tc>
          <w:tcPr>
            <w:tcW w:w="1969" w:type="dxa"/>
            <w:tcBorders>
              <w:top w:val="single" w:sz="4" w:space="0" w:color="auto"/>
              <w:left w:val="single" w:sz="4" w:space="0" w:color="auto"/>
              <w:bottom w:val="single" w:sz="4" w:space="0" w:color="auto"/>
              <w:right w:val="single" w:sz="4" w:space="0" w:color="auto"/>
            </w:tcBorders>
            <w:vAlign w:val="center"/>
          </w:tcPr>
          <w:p w14:paraId="1CCA0A82" w14:textId="77777777" w:rsidR="00AF0B9B" w:rsidRPr="00ED7D02" w:rsidRDefault="00011533">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51</w:t>
            </w:r>
            <w:r w:rsidR="00AF0B9B" w:rsidRPr="00ED7D02">
              <w:rPr>
                <w:rFonts w:eastAsia="Times New Roman" w:cs="Segoe UI"/>
                <w:color w:val="000000"/>
                <w:sz w:val="18"/>
                <w:szCs w:val="20"/>
                <w:lang w:eastAsia="en-AU"/>
              </w:rPr>
              <w:t>%</w:t>
            </w:r>
          </w:p>
        </w:tc>
        <w:tc>
          <w:tcPr>
            <w:tcW w:w="1967" w:type="dxa"/>
            <w:tcBorders>
              <w:top w:val="single" w:sz="4" w:space="0" w:color="auto"/>
              <w:left w:val="nil"/>
              <w:bottom w:val="single" w:sz="4" w:space="0" w:color="auto"/>
              <w:right w:val="single" w:sz="4" w:space="0" w:color="auto"/>
            </w:tcBorders>
            <w:vAlign w:val="center"/>
          </w:tcPr>
          <w:p w14:paraId="0E01EB74" w14:textId="77777777" w:rsidR="00AF0B9B" w:rsidRPr="00ED7D02" w:rsidRDefault="00011533">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60</w:t>
            </w:r>
            <w:r w:rsidR="00AF0B9B" w:rsidRPr="00ED7D02">
              <w:rPr>
                <w:rFonts w:eastAsia="Times New Roman" w:cs="Segoe UI"/>
                <w:color w:val="000000"/>
                <w:sz w:val="18"/>
                <w:szCs w:val="20"/>
                <w:lang w:eastAsia="en-AU"/>
              </w:rPr>
              <w:t>%</w:t>
            </w:r>
          </w:p>
        </w:tc>
      </w:tr>
      <w:tr w:rsidR="00011533" w:rsidRPr="00C05144" w14:paraId="0B9F4160" w14:textId="77777777" w:rsidTr="00ED7D02">
        <w:trPr>
          <w:trHeight w:val="70"/>
        </w:trPr>
        <w:tc>
          <w:tcPr>
            <w:tcW w:w="3544" w:type="dxa"/>
            <w:gridSpan w:val="2"/>
            <w:tcBorders>
              <w:top w:val="single" w:sz="4" w:space="0" w:color="auto"/>
              <w:left w:val="single" w:sz="8" w:space="0" w:color="FFFFFF"/>
              <w:bottom w:val="single" w:sz="4" w:space="0" w:color="auto"/>
              <w:right w:val="single" w:sz="4" w:space="0" w:color="auto"/>
            </w:tcBorders>
            <w:vAlign w:val="center"/>
          </w:tcPr>
          <w:p w14:paraId="2ED3F92C" w14:textId="77777777" w:rsidR="00011533" w:rsidRPr="00ED7D02" w:rsidRDefault="006111BB" w:rsidP="003278B7">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P</w:t>
            </w:r>
            <w:r w:rsidR="009F403E">
              <w:rPr>
                <w:rFonts w:eastAsia="Times New Roman" w:cs="Segoe UI"/>
                <w:b/>
                <w:color w:val="000000"/>
                <w:sz w:val="18"/>
                <w:szCs w:val="20"/>
                <w:lang w:eastAsia="en-AU"/>
              </w:rPr>
              <w:t>articipant</w:t>
            </w:r>
            <w:r w:rsidRPr="00ED7D02">
              <w:rPr>
                <w:rFonts w:eastAsia="Times New Roman" w:cs="Segoe UI"/>
                <w:b/>
                <w:color w:val="000000"/>
                <w:sz w:val="18"/>
                <w:szCs w:val="20"/>
                <w:lang w:eastAsia="en-AU"/>
              </w:rPr>
              <w:t xml:space="preserve"> s</w:t>
            </w:r>
            <w:r w:rsidR="00011533" w:rsidRPr="00ED7D02">
              <w:rPr>
                <w:rFonts w:eastAsia="Times New Roman" w:cs="Segoe UI"/>
                <w:b/>
                <w:color w:val="000000"/>
                <w:sz w:val="18"/>
                <w:szCs w:val="20"/>
                <w:lang w:eastAsia="en-AU"/>
              </w:rPr>
              <w:t>uccess rate</w:t>
            </w:r>
            <w:r w:rsidR="00993442" w:rsidRPr="00ED7D02" w:rsidDel="003278B7">
              <w:rPr>
                <w:rFonts w:eastAsia="Times New Roman" w:cs="Segoe UI"/>
                <w:color w:val="000000"/>
                <w:sz w:val="18"/>
                <w:szCs w:val="20"/>
                <w:vertAlign w:val="superscript"/>
                <w:lang w:eastAsia="en-AU"/>
              </w:rPr>
              <w:fldChar w:fldCharType="begin"/>
            </w:r>
            <w:r w:rsidR="00993442" w:rsidRPr="00B24799" w:rsidDel="003278B7">
              <w:rPr>
                <w:rFonts w:eastAsia="Times New Roman" w:cs="Segoe UI"/>
                <w:color w:val="000000"/>
                <w:sz w:val="18"/>
                <w:szCs w:val="20"/>
                <w:vertAlign w:val="superscript"/>
                <w:lang w:eastAsia="en-AU"/>
              </w:rPr>
              <w:instrText xml:space="preserve"> NOTEREF _Ref161735600 \h  \* MERGEFORMAT </w:instrText>
            </w:r>
            <w:r w:rsidR="00993442" w:rsidRPr="00ED7D02" w:rsidDel="003278B7">
              <w:rPr>
                <w:rFonts w:eastAsia="Times New Roman" w:cs="Segoe UI"/>
                <w:color w:val="000000"/>
                <w:sz w:val="18"/>
                <w:szCs w:val="20"/>
                <w:vertAlign w:val="superscript"/>
                <w:lang w:eastAsia="en-AU"/>
              </w:rPr>
            </w:r>
            <w:r w:rsidR="00993442" w:rsidRPr="00ED7D02" w:rsidDel="003278B7">
              <w:rPr>
                <w:rFonts w:eastAsia="Times New Roman" w:cs="Segoe UI"/>
                <w:color w:val="000000"/>
                <w:sz w:val="18"/>
                <w:szCs w:val="20"/>
                <w:vertAlign w:val="superscript"/>
                <w:lang w:eastAsia="en-AU"/>
              </w:rPr>
              <w:fldChar w:fldCharType="separate"/>
            </w:r>
            <w:r w:rsidR="00964230">
              <w:rPr>
                <w:rFonts w:eastAsia="Times New Roman" w:cs="Segoe UI"/>
                <w:color w:val="000000"/>
                <w:sz w:val="18"/>
                <w:szCs w:val="20"/>
                <w:vertAlign w:val="superscript"/>
                <w:lang w:eastAsia="en-AU"/>
              </w:rPr>
              <w:t>2</w:t>
            </w:r>
            <w:r w:rsidR="00993442" w:rsidRPr="00ED7D02" w:rsidDel="003278B7">
              <w:rPr>
                <w:rFonts w:eastAsia="Times New Roman" w:cs="Segoe UI"/>
                <w:color w:val="000000"/>
                <w:sz w:val="18"/>
                <w:szCs w:val="20"/>
                <w:vertAlign w:val="superscript"/>
                <w:lang w:eastAsia="en-AU"/>
              </w:rPr>
              <w:fldChar w:fldCharType="end"/>
            </w:r>
          </w:p>
        </w:tc>
        <w:tc>
          <w:tcPr>
            <w:tcW w:w="7829" w:type="dxa"/>
            <w:gridSpan w:val="5"/>
            <w:tcBorders>
              <w:top w:val="single" w:sz="4" w:space="0" w:color="auto"/>
              <w:left w:val="single" w:sz="8" w:space="0" w:color="FFFFFF"/>
              <w:bottom w:val="single" w:sz="4" w:space="0" w:color="auto"/>
              <w:right w:val="single" w:sz="4" w:space="0" w:color="auto"/>
            </w:tcBorders>
            <w:vAlign w:val="center"/>
          </w:tcPr>
          <w:p w14:paraId="150AC7A8" w14:textId="77777777" w:rsidR="00011533" w:rsidRPr="00ED7D02" w:rsidRDefault="006111BB">
            <w:pPr>
              <w:spacing w:after="0" w:line="240" w:lineRule="auto"/>
              <w:rPr>
                <w:rFonts w:eastAsia="Times New Roman" w:cs="Segoe UI"/>
                <w:color w:val="000000"/>
                <w:sz w:val="18"/>
                <w:szCs w:val="20"/>
                <w:lang w:eastAsia="en-AU"/>
              </w:rPr>
            </w:pPr>
            <w:r w:rsidRPr="00ED7D02">
              <w:rPr>
                <w:rFonts w:eastAsia="Times New Roman" w:cs="Segoe UI"/>
                <w:color w:val="000000"/>
                <w:sz w:val="18"/>
                <w:szCs w:val="20"/>
                <w:lang w:eastAsia="en-AU"/>
              </w:rPr>
              <w:t xml:space="preserve">Of those who participate, </w:t>
            </w:r>
            <w:r w:rsidR="00011533" w:rsidRPr="00ED7D02">
              <w:rPr>
                <w:rFonts w:eastAsia="Times New Roman" w:cs="Segoe UI"/>
                <w:color w:val="000000"/>
                <w:sz w:val="18"/>
                <w:szCs w:val="20"/>
                <w:lang w:eastAsia="en-AU"/>
              </w:rPr>
              <w:t>percent</w:t>
            </w:r>
            <w:r w:rsidR="00280F6B">
              <w:rPr>
                <w:rFonts w:eastAsia="Times New Roman" w:cs="Segoe UI"/>
                <w:color w:val="000000"/>
                <w:sz w:val="18"/>
                <w:szCs w:val="20"/>
                <w:lang w:eastAsia="en-AU"/>
              </w:rPr>
              <w:t>age of workers</w:t>
            </w:r>
            <w:r w:rsidR="00011533" w:rsidRPr="00ED7D02">
              <w:rPr>
                <w:rFonts w:eastAsia="Times New Roman" w:cs="Segoe UI"/>
                <w:color w:val="000000"/>
                <w:sz w:val="18"/>
                <w:szCs w:val="20"/>
                <w:lang w:eastAsia="en-AU"/>
              </w:rPr>
              <w:t xml:space="preserve"> transferred </w:t>
            </w:r>
            <w:r w:rsidRPr="00ED7D02">
              <w:rPr>
                <w:rFonts w:eastAsia="Times New Roman" w:cs="Segoe UI"/>
                <w:color w:val="000000"/>
                <w:sz w:val="18"/>
                <w:szCs w:val="20"/>
                <w:lang w:eastAsia="en-AU"/>
              </w:rPr>
              <w:t>to new job through plan</w:t>
            </w:r>
          </w:p>
        </w:tc>
        <w:tc>
          <w:tcPr>
            <w:tcW w:w="1969" w:type="dxa"/>
            <w:tcBorders>
              <w:top w:val="single" w:sz="4" w:space="0" w:color="auto"/>
              <w:left w:val="single" w:sz="4" w:space="0" w:color="auto"/>
              <w:bottom w:val="single" w:sz="4" w:space="0" w:color="auto"/>
              <w:right w:val="single" w:sz="4" w:space="0" w:color="auto"/>
            </w:tcBorders>
            <w:vAlign w:val="center"/>
          </w:tcPr>
          <w:p w14:paraId="599A341F" w14:textId="77777777" w:rsidR="00011533" w:rsidRPr="00ED7D02" w:rsidRDefault="00011533" w:rsidP="00011533">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39%</w:t>
            </w:r>
          </w:p>
        </w:tc>
        <w:tc>
          <w:tcPr>
            <w:tcW w:w="1967" w:type="dxa"/>
            <w:tcBorders>
              <w:top w:val="single" w:sz="4" w:space="0" w:color="auto"/>
              <w:left w:val="nil"/>
              <w:bottom w:val="single" w:sz="4" w:space="0" w:color="auto"/>
              <w:right w:val="single" w:sz="4" w:space="0" w:color="auto"/>
            </w:tcBorders>
            <w:vAlign w:val="center"/>
          </w:tcPr>
          <w:p w14:paraId="0BCE7D08" w14:textId="77777777" w:rsidR="00011533" w:rsidRPr="00ED7D02" w:rsidRDefault="00011533">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85%</w:t>
            </w:r>
          </w:p>
        </w:tc>
      </w:tr>
      <w:tr w:rsidR="00FF7782" w:rsidRPr="00C05144" w14:paraId="6E9A5F01" w14:textId="77777777" w:rsidTr="00011533">
        <w:trPr>
          <w:trHeight w:val="70"/>
        </w:trPr>
        <w:tc>
          <w:tcPr>
            <w:tcW w:w="3544" w:type="dxa"/>
            <w:gridSpan w:val="2"/>
            <w:tcBorders>
              <w:top w:val="single" w:sz="4" w:space="0" w:color="auto"/>
              <w:left w:val="single" w:sz="8" w:space="0" w:color="FFFFFF"/>
              <w:bottom w:val="single" w:sz="8" w:space="0" w:color="1B375C"/>
              <w:right w:val="single" w:sz="4" w:space="0" w:color="auto"/>
            </w:tcBorders>
            <w:vAlign w:val="center"/>
          </w:tcPr>
          <w:p w14:paraId="779BAC74" w14:textId="77777777" w:rsidR="00FF7782" w:rsidRPr="00DE73E1" w:rsidRDefault="00FF7782" w:rsidP="003278B7">
            <w:pPr>
              <w:spacing w:after="0" w:line="240" w:lineRule="auto"/>
              <w:rPr>
                <w:rFonts w:eastAsia="Times New Roman" w:cs="Segoe UI"/>
                <w:b/>
                <w:color w:val="000000"/>
                <w:sz w:val="18"/>
                <w:szCs w:val="20"/>
                <w:lang w:eastAsia="en-AU"/>
              </w:rPr>
            </w:pPr>
            <w:r w:rsidRPr="00ED7D02">
              <w:rPr>
                <w:rFonts w:eastAsia="Times New Roman" w:cs="Segoe UI"/>
                <w:b/>
                <w:color w:val="000000"/>
                <w:sz w:val="18"/>
                <w:szCs w:val="20"/>
                <w:lang w:eastAsia="en-AU"/>
              </w:rPr>
              <w:t xml:space="preserve">Overall </w:t>
            </w:r>
            <w:r w:rsidR="009F403E">
              <w:rPr>
                <w:rFonts w:eastAsia="Times New Roman" w:cs="Segoe UI"/>
                <w:b/>
                <w:color w:val="000000"/>
                <w:sz w:val="18"/>
                <w:szCs w:val="20"/>
                <w:lang w:eastAsia="en-AU"/>
              </w:rPr>
              <w:t xml:space="preserve">worker </w:t>
            </w:r>
            <w:r w:rsidRPr="00ED7D02">
              <w:rPr>
                <w:rFonts w:eastAsia="Times New Roman" w:cs="Segoe UI"/>
                <w:b/>
                <w:color w:val="000000"/>
                <w:sz w:val="18"/>
                <w:szCs w:val="20"/>
                <w:lang w:eastAsia="en-AU"/>
              </w:rPr>
              <w:t>transfer rate</w:t>
            </w:r>
            <w:r w:rsidR="001B18B6" w:rsidRPr="00ED7D02">
              <w:rPr>
                <w:rFonts w:eastAsia="Times New Roman" w:cs="Segoe UI"/>
                <w:color w:val="000000"/>
                <w:sz w:val="18"/>
                <w:szCs w:val="20"/>
                <w:vertAlign w:val="superscript"/>
                <w:lang w:eastAsia="en-AU"/>
              </w:rPr>
              <w:fldChar w:fldCharType="begin"/>
            </w:r>
            <w:r w:rsidR="001B18B6" w:rsidRPr="00ED7D02">
              <w:rPr>
                <w:rFonts w:eastAsia="Times New Roman" w:cs="Segoe UI"/>
                <w:color w:val="000000"/>
                <w:sz w:val="18"/>
                <w:szCs w:val="20"/>
                <w:vertAlign w:val="superscript"/>
                <w:lang w:eastAsia="en-AU"/>
              </w:rPr>
              <w:instrText xml:space="preserve"> NOTEREF _Ref161735600 \h </w:instrText>
            </w:r>
            <w:r w:rsidR="001B18B6" w:rsidRPr="00ED7D02">
              <w:rPr>
                <w:rFonts w:eastAsia="Times New Roman" w:cs="Segoe UI"/>
                <w:color w:val="000000"/>
                <w:sz w:val="18"/>
                <w:szCs w:val="20"/>
                <w:vertAlign w:val="superscript"/>
                <w:lang w:eastAsia="en-AU"/>
              </w:rPr>
            </w:r>
            <w:r w:rsidR="001B18B6" w:rsidRPr="00ED7D02">
              <w:rPr>
                <w:rFonts w:eastAsia="Times New Roman" w:cs="Segoe UI"/>
                <w:color w:val="000000"/>
                <w:sz w:val="18"/>
                <w:szCs w:val="20"/>
                <w:vertAlign w:val="superscript"/>
                <w:lang w:eastAsia="en-AU"/>
              </w:rPr>
              <w:fldChar w:fldCharType="separate"/>
            </w:r>
            <w:r w:rsidR="00964230">
              <w:rPr>
                <w:rFonts w:eastAsia="Times New Roman" w:cs="Segoe UI"/>
                <w:color w:val="000000"/>
                <w:sz w:val="18"/>
                <w:szCs w:val="20"/>
                <w:vertAlign w:val="superscript"/>
                <w:lang w:eastAsia="en-AU"/>
              </w:rPr>
              <w:t>2</w:t>
            </w:r>
            <w:r w:rsidR="001B18B6" w:rsidRPr="00ED7D02">
              <w:rPr>
                <w:rFonts w:eastAsia="Times New Roman" w:cs="Segoe UI"/>
                <w:color w:val="000000"/>
                <w:sz w:val="18"/>
                <w:szCs w:val="20"/>
                <w:vertAlign w:val="superscript"/>
                <w:lang w:eastAsia="en-AU"/>
              </w:rPr>
              <w:fldChar w:fldCharType="end"/>
            </w:r>
          </w:p>
        </w:tc>
        <w:tc>
          <w:tcPr>
            <w:tcW w:w="7829" w:type="dxa"/>
            <w:gridSpan w:val="5"/>
            <w:tcBorders>
              <w:top w:val="single" w:sz="4" w:space="0" w:color="auto"/>
              <w:left w:val="single" w:sz="8" w:space="0" w:color="FFFFFF"/>
              <w:bottom w:val="single" w:sz="8" w:space="0" w:color="1B375C"/>
              <w:right w:val="single" w:sz="4" w:space="0" w:color="auto"/>
            </w:tcBorders>
            <w:vAlign w:val="center"/>
          </w:tcPr>
          <w:p w14:paraId="2A33E144" w14:textId="77777777" w:rsidR="00FF7782" w:rsidRPr="00ED7D02" w:rsidRDefault="006111BB">
            <w:pPr>
              <w:spacing w:after="0" w:line="240" w:lineRule="auto"/>
              <w:rPr>
                <w:rFonts w:eastAsia="Times New Roman" w:cs="Segoe UI"/>
                <w:color w:val="000000"/>
                <w:sz w:val="18"/>
                <w:szCs w:val="20"/>
                <w:lang w:eastAsia="en-AU"/>
              </w:rPr>
            </w:pPr>
            <w:r w:rsidRPr="00DE73E1">
              <w:rPr>
                <w:rFonts w:eastAsia="Times New Roman" w:cs="Segoe UI"/>
                <w:color w:val="000000"/>
                <w:sz w:val="18"/>
                <w:szCs w:val="20"/>
                <w:lang w:eastAsia="en-AU"/>
              </w:rPr>
              <w:t xml:space="preserve">Of the </w:t>
            </w:r>
            <w:r w:rsidR="009F403E">
              <w:rPr>
                <w:rFonts w:eastAsia="Times New Roman" w:cs="Segoe UI"/>
                <w:color w:val="000000"/>
                <w:sz w:val="18"/>
                <w:szCs w:val="20"/>
                <w:lang w:eastAsia="en-AU"/>
              </w:rPr>
              <w:t>total closing employer</w:t>
            </w:r>
            <w:r w:rsidR="009F403E" w:rsidRPr="00A62F2E">
              <w:rPr>
                <w:rFonts w:eastAsia="Times New Roman" w:cs="Segoe UI"/>
                <w:color w:val="000000"/>
                <w:sz w:val="18"/>
                <w:szCs w:val="20"/>
                <w:lang w:eastAsia="en-AU"/>
              </w:rPr>
              <w:t xml:space="preserve"> </w:t>
            </w:r>
            <w:r w:rsidRPr="00ED7D02">
              <w:rPr>
                <w:rFonts w:eastAsia="Times New Roman" w:cs="Segoe UI"/>
                <w:color w:val="000000"/>
                <w:sz w:val="18"/>
                <w:szCs w:val="20"/>
                <w:lang w:eastAsia="en-AU"/>
              </w:rPr>
              <w:t>workforce, percent</w:t>
            </w:r>
            <w:r w:rsidR="00CE451F">
              <w:rPr>
                <w:rFonts w:eastAsia="Times New Roman" w:cs="Segoe UI"/>
                <w:color w:val="000000"/>
                <w:sz w:val="18"/>
                <w:szCs w:val="20"/>
                <w:lang w:eastAsia="en-AU"/>
              </w:rPr>
              <w:t>age</w:t>
            </w:r>
            <w:r w:rsidRPr="00ED7D02">
              <w:rPr>
                <w:rFonts w:eastAsia="Times New Roman" w:cs="Segoe UI"/>
                <w:color w:val="000000"/>
                <w:sz w:val="18"/>
                <w:szCs w:val="20"/>
                <w:lang w:eastAsia="en-AU"/>
              </w:rPr>
              <w:t xml:space="preserve"> transferred to new job through plan</w:t>
            </w:r>
          </w:p>
        </w:tc>
        <w:tc>
          <w:tcPr>
            <w:tcW w:w="1969" w:type="dxa"/>
            <w:tcBorders>
              <w:top w:val="single" w:sz="4" w:space="0" w:color="auto"/>
              <w:left w:val="single" w:sz="4" w:space="0" w:color="auto"/>
              <w:bottom w:val="single" w:sz="8" w:space="0" w:color="000000"/>
              <w:right w:val="single" w:sz="4" w:space="0" w:color="auto"/>
            </w:tcBorders>
            <w:vAlign w:val="center"/>
          </w:tcPr>
          <w:p w14:paraId="2355C2C0" w14:textId="77777777" w:rsidR="00FF7782" w:rsidRPr="00ED7D02" w:rsidRDefault="006111BB" w:rsidP="00011533">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20%</w:t>
            </w:r>
          </w:p>
        </w:tc>
        <w:tc>
          <w:tcPr>
            <w:tcW w:w="1967" w:type="dxa"/>
            <w:tcBorders>
              <w:top w:val="single" w:sz="4" w:space="0" w:color="auto"/>
              <w:left w:val="nil"/>
              <w:bottom w:val="single" w:sz="8" w:space="0" w:color="000000"/>
              <w:right w:val="single" w:sz="4" w:space="0" w:color="auto"/>
            </w:tcBorders>
            <w:vAlign w:val="center"/>
          </w:tcPr>
          <w:p w14:paraId="2C1CF972" w14:textId="77777777" w:rsidR="00FF7782" w:rsidRPr="00ED7D02" w:rsidRDefault="006111BB" w:rsidP="00011533">
            <w:pPr>
              <w:spacing w:after="0" w:line="240" w:lineRule="auto"/>
              <w:jc w:val="center"/>
              <w:rPr>
                <w:rFonts w:eastAsia="Times New Roman" w:cs="Segoe UI"/>
                <w:color w:val="000000"/>
                <w:sz w:val="18"/>
                <w:szCs w:val="20"/>
                <w:lang w:eastAsia="en-AU"/>
              </w:rPr>
            </w:pPr>
            <w:r w:rsidRPr="00ED7D02">
              <w:rPr>
                <w:rFonts w:eastAsia="Times New Roman" w:cs="Segoe UI"/>
                <w:color w:val="000000"/>
                <w:sz w:val="18"/>
                <w:szCs w:val="20"/>
                <w:lang w:eastAsia="en-AU"/>
              </w:rPr>
              <w:t>51%</w:t>
            </w:r>
          </w:p>
        </w:tc>
      </w:tr>
    </w:tbl>
    <w:p w14:paraId="333BAC57" w14:textId="77777777" w:rsidR="00C05144" w:rsidRDefault="00C05144" w:rsidP="00C05144">
      <w:pPr>
        <w:sectPr w:rsidR="00C05144" w:rsidSect="00F92D0C">
          <w:pgSz w:w="16838" w:h="11906" w:orient="landscape"/>
          <w:pgMar w:top="851" w:right="1134" w:bottom="851" w:left="1134" w:header="709" w:footer="709" w:gutter="0"/>
          <w:cols w:space="708"/>
          <w:docGrid w:linePitch="360"/>
        </w:sectPr>
      </w:pPr>
    </w:p>
    <w:p w14:paraId="134F4C91" w14:textId="77777777" w:rsidR="0014151F" w:rsidRPr="00F92D0C" w:rsidRDefault="00006EE7" w:rsidP="00ED7D02">
      <w:pPr>
        <w:pStyle w:val="Heading1"/>
      </w:pPr>
      <w:bookmarkStart w:id="21" w:name="_Toc161752211"/>
      <w:bookmarkStart w:id="22" w:name="_Toc161759648"/>
      <w:r w:rsidRPr="00F92D0C">
        <w:lastRenderedPageBreak/>
        <w:t>1</w:t>
      </w:r>
      <w:r w:rsidR="008354E1" w:rsidRPr="00F92D0C">
        <w:tab/>
      </w:r>
      <w:r w:rsidR="006C5162" w:rsidRPr="00F92D0C">
        <w:t xml:space="preserve"> </w:t>
      </w:r>
      <w:r w:rsidR="004B0B74" w:rsidRPr="00F92D0C">
        <w:t>Defining the</w:t>
      </w:r>
      <w:r w:rsidR="008354E1" w:rsidRPr="00F92D0C">
        <w:t xml:space="preserve"> </w:t>
      </w:r>
      <w:r w:rsidR="004C77C5" w:rsidRPr="00F92D0C">
        <w:t xml:space="preserve">policy </w:t>
      </w:r>
      <w:r w:rsidR="0014151F" w:rsidRPr="00F92D0C">
        <w:t>problem</w:t>
      </w:r>
      <w:bookmarkEnd w:id="21"/>
      <w:bookmarkEnd w:id="22"/>
    </w:p>
    <w:p w14:paraId="64390AAD" w14:textId="77777777" w:rsidR="00DE10E7" w:rsidRPr="003D290F" w:rsidRDefault="006B687D" w:rsidP="001E79E2">
      <w:pPr>
        <w:keepNext/>
        <w:spacing w:line="276" w:lineRule="auto"/>
      </w:pPr>
      <w:r w:rsidRPr="003D290F">
        <w:t>Coal mines</w:t>
      </w:r>
      <w:r w:rsidR="0025128A">
        <w:t>,</w:t>
      </w:r>
      <w:r w:rsidRPr="003D290F">
        <w:t xml:space="preserve"> coal-fired power stations </w:t>
      </w:r>
      <w:r w:rsidR="0025128A">
        <w:t>and gas-</w:t>
      </w:r>
      <w:r w:rsidR="00D864D3">
        <w:t>fired power stations</w:t>
      </w:r>
      <w:r w:rsidR="0025128A">
        <w:t xml:space="preserve"> </w:t>
      </w:r>
      <w:r w:rsidRPr="003D290F">
        <w:t xml:space="preserve">provide secure, well paid employment across </w:t>
      </w:r>
      <w:r w:rsidR="00310132" w:rsidRPr="003D290F">
        <w:t>Australia</w:t>
      </w:r>
      <w:r w:rsidRPr="003D290F">
        <w:t>. Coal</w:t>
      </w:r>
      <w:r w:rsidR="00D864D3">
        <w:t>-</w:t>
      </w:r>
      <w:r w:rsidR="006F0F4F">
        <w:t>fired</w:t>
      </w:r>
      <w:r w:rsidR="0025128A">
        <w:t xml:space="preserve"> and gas</w:t>
      </w:r>
      <w:r w:rsidR="00976390" w:rsidRPr="003D290F">
        <w:noBreakHyphen/>
      </w:r>
      <w:r w:rsidR="00F1355F" w:rsidRPr="003D290F">
        <w:t xml:space="preserve">fired electricity generation </w:t>
      </w:r>
      <w:r w:rsidRPr="003D290F">
        <w:t>ha</w:t>
      </w:r>
      <w:r w:rsidR="001D3280">
        <w:t>ve</w:t>
      </w:r>
      <w:r w:rsidRPr="003D290F">
        <w:t xml:space="preserve"> powered Australian homes and businesses</w:t>
      </w:r>
      <w:r w:rsidR="000218F6" w:rsidRPr="003D290F">
        <w:t xml:space="preserve"> for decades</w:t>
      </w:r>
      <w:r w:rsidRPr="003D290F">
        <w:t>, and revenues from coal mining contribute to our national wellbeing and prosperity.</w:t>
      </w:r>
      <w:r w:rsidR="00882195" w:rsidRPr="003D290F">
        <w:t xml:space="preserve"> </w:t>
      </w:r>
      <w:r w:rsidR="009B4F84" w:rsidRPr="003D290F">
        <w:t xml:space="preserve">Coal </w:t>
      </w:r>
      <w:r w:rsidR="0025128A">
        <w:t xml:space="preserve">and gas </w:t>
      </w:r>
      <w:r w:rsidR="00F1355F" w:rsidRPr="003D290F">
        <w:t xml:space="preserve">still </w:t>
      </w:r>
      <w:r w:rsidR="009B4F84" w:rsidRPr="003D290F">
        <w:t xml:space="preserve">play a large role in Australia’s domestic </w:t>
      </w:r>
      <w:r w:rsidR="009E2903">
        <w:t>electricity</w:t>
      </w:r>
      <w:r w:rsidR="009E2903" w:rsidRPr="003D290F">
        <w:t xml:space="preserve"> </w:t>
      </w:r>
      <w:r w:rsidR="009B4F84" w:rsidRPr="003D290F">
        <w:t xml:space="preserve">system, </w:t>
      </w:r>
      <w:r w:rsidR="001D3280">
        <w:t xml:space="preserve">representing almost two thirds of </w:t>
      </w:r>
      <w:r w:rsidR="009E2903">
        <w:t xml:space="preserve">electricity </w:t>
      </w:r>
      <w:r w:rsidR="001D3280">
        <w:t>supplied to the National E</w:t>
      </w:r>
      <w:r w:rsidR="009E2903">
        <w:t>lectricity</w:t>
      </w:r>
      <w:r w:rsidR="001D3280">
        <w:t xml:space="preserve"> Market </w:t>
      </w:r>
      <w:r w:rsidR="00AD4388">
        <w:t xml:space="preserve">(NEM) </w:t>
      </w:r>
      <w:r w:rsidR="00A60FC9">
        <w:t>in financial year 2022</w:t>
      </w:r>
      <w:r w:rsidR="00A60FC9">
        <w:noBreakHyphen/>
      </w:r>
      <w:r w:rsidR="001D3280">
        <w:t>23.</w:t>
      </w:r>
      <w:r w:rsidR="001D3280">
        <w:rPr>
          <w:rStyle w:val="FootnoteReference"/>
        </w:rPr>
        <w:footnoteReference w:id="4"/>
      </w:r>
      <w:r w:rsidR="000705C5" w:rsidRPr="003D290F">
        <w:t xml:space="preserve"> </w:t>
      </w:r>
    </w:p>
    <w:p w14:paraId="7D2235BA" w14:textId="77777777" w:rsidR="00BF5C1D" w:rsidRPr="003D290F" w:rsidRDefault="0063251A" w:rsidP="00BF5C1D">
      <w:r w:rsidRPr="003D290F">
        <w:t>Governments, businesses and i</w:t>
      </w:r>
      <w:r w:rsidR="006B687D" w:rsidRPr="003D290F">
        <w:t xml:space="preserve">nvestors around the world are taking decisions to transition away from </w:t>
      </w:r>
      <w:r w:rsidR="001D3280">
        <w:t xml:space="preserve">fossil fuel </w:t>
      </w:r>
      <w:r w:rsidR="00CE2037">
        <w:t>electricity</w:t>
      </w:r>
      <w:r w:rsidR="001D3280">
        <w:t xml:space="preserve"> generation </w:t>
      </w:r>
      <w:r w:rsidR="006B687D" w:rsidRPr="003D290F">
        <w:t>and towards renewable energy sources.</w:t>
      </w:r>
      <w:r w:rsidR="005E33B7" w:rsidRPr="003D290F">
        <w:t xml:space="preserve"> </w:t>
      </w:r>
      <w:r w:rsidR="0062540E" w:rsidRPr="003D290F">
        <w:t xml:space="preserve">As global action accelerates, countries are </w:t>
      </w:r>
      <w:r w:rsidR="00247C7B" w:rsidRPr="003D290F">
        <w:t>carefully planning</w:t>
      </w:r>
      <w:r w:rsidR="0062540E" w:rsidRPr="003D290F">
        <w:t xml:space="preserve"> for their local and regional economies, workers and communities. </w:t>
      </w:r>
    </w:p>
    <w:p w14:paraId="247417C9" w14:textId="77777777" w:rsidR="0025128A" w:rsidRDefault="009B34A1" w:rsidP="005804D9">
      <w:r w:rsidRPr="003D290F">
        <w:t>Th</w:t>
      </w:r>
      <w:r w:rsidR="001D3280">
        <w:t>e energy</w:t>
      </w:r>
      <w:r w:rsidRPr="003D290F">
        <w:t xml:space="preserve"> transition is underway in Australia. </w:t>
      </w:r>
      <w:r w:rsidR="005804D9" w:rsidRPr="003D290F">
        <w:t xml:space="preserve">Power generation companies have announced future closures of </w:t>
      </w:r>
      <w:r w:rsidR="00D434EF" w:rsidRPr="003D290F">
        <w:t xml:space="preserve">most </w:t>
      </w:r>
      <w:r w:rsidR="005804D9" w:rsidRPr="003D290F">
        <w:t xml:space="preserve">coal-fired power stations </w:t>
      </w:r>
      <w:r w:rsidR="005E33B7" w:rsidRPr="003D290F">
        <w:t>in Australia</w:t>
      </w:r>
      <w:r w:rsidR="001D3280">
        <w:t xml:space="preserve"> and some gas-fired power stations</w:t>
      </w:r>
      <w:r w:rsidR="00882195" w:rsidRPr="003D290F">
        <w:t>.</w:t>
      </w:r>
      <w:r w:rsidR="005E33B7" w:rsidRPr="003D290F">
        <w:t xml:space="preserve"> </w:t>
      </w:r>
      <w:r w:rsidR="00882195" w:rsidRPr="003D290F">
        <w:t>T</w:t>
      </w:r>
      <w:r w:rsidR="005804D9" w:rsidRPr="003D290F">
        <w:t xml:space="preserve">his </w:t>
      </w:r>
      <w:r w:rsidR="000F71B9" w:rsidRPr="003D290F">
        <w:t>trend may</w:t>
      </w:r>
      <w:r w:rsidR="005804D9" w:rsidRPr="003D290F">
        <w:t xml:space="preserve"> </w:t>
      </w:r>
      <w:r w:rsidR="005E33B7" w:rsidRPr="003D290F">
        <w:t>accelerate in coming years</w:t>
      </w:r>
      <w:r w:rsidR="00882195" w:rsidRPr="003D290F">
        <w:t>,</w:t>
      </w:r>
      <w:r w:rsidR="005E33B7" w:rsidRPr="003D290F">
        <w:t xml:space="preserve"> due to</w:t>
      </w:r>
      <w:r w:rsidR="00882195" w:rsidRPr="003D290F">
        <w:t xml:space="preserve"> </w:t>
      </w:r>
      <w:r w:rsidR="005E33B7" w:rsidRPr="003D290F">
        <w:t>market conditions</w:t>
      </w:r>
      <w:r w:rsidR="001D3280">
        <w:t xml:space="preserve"> and</w:t>
      </w:r>
      <w:r w:rsidR="00882195" w:rsidRPr="003D290F">
        <w:t xml:space="preserve"> the age </w:t>
      </w:r>
      <w:r w:rsidR="00F21487" w:rsidRPr="003D290F">
        <w:t xml:space="preserve">and reliability </w:t>
      </w:r>
      <w:r w:rsidR="00882195" w:rsidRPr="003D290F">
        <w:t>of some generators</w:t>
      </w:r>
      <w:r w:rsidR="00247C7B" w:rsidRPr="003D290F">
        <w:t>.</w:t>
      </w:r>
    </w:p>
    <w:p w14:paraId="14C12D33" w14:textId="77777777" w:rsidR="00BF5C1D" w:rsidRPr="003D290F" w:rsidRDefault="00BF5C1D" w:rsidP="00BF5C1D">
      <w:r w:rsidRPr="003D290F">
        <w:t xml:space="preserve">The </w:t>
      </w:r>
      <w:r w:rsidR="00187EA7" w:rsidRPr="003D290F">
        <w:t>g</w:t>
      </w:r>
      <w:r w:rsidRPr="003D290F">
        <w:t xml:space="preserve">overnment’s </w:t>
      </w:r>
      <w:hyperlink r:id="rId17" w:history="1">
        <w:r w:rsidR="00D66DE6" w:rsidRPr="00D66DE6">
          <w:rPr>
            <w:rStyle w:val="Hyperlink"/>
          </w:rPr>
          <w:t xml:space="preserve">2023 </w:t>
        </w:r>
        <w:r w:rsidRPr="00D66DE6">
          <w:rPr>
            <w:rStyle w:val="Hyperlink"/>
          </w:rPr>
          <w:t>Employment White Paper</w:t>
        </w:r>
      </w:hyperlink>
      <w:r w:rsidRPr="003D290F">
        <w:t xml:space="preserve"> identified climate change and the net zero transformation as one of five forces that will shape Australia’s economy and labour market in the coming decades</w:t>
      </w:r>
      <w:r w:rsidR="00AE7BBF" w:rsidRPr="003D290F">
        <w:t xml:space="preserve"> </w:t>
      </w:r>
      <w:r w:rsidRPr="003D290F">
        <w:t>—</w:t>
      </w:r>
      <w:r w:rsidR="00AE7BBF" w:rsidRPr="003D290F">
        <w:t xml:space="preserve"> </w:t>
      </w:r>
      <w:r w:rsidRPr="003D290F">
        <w:t>changing the composition of our industries, workforce needs, and the nature of work itself.</w:t>
      </w:r>
      <w:r w:rsidRPr="003D290F">
        <w:rPr>
          <w:rStyle w:val="FootnoteReference"/>
        </w:rPr>
        <w:footnoteReference w:id="5"/>
      </w:r>
    </w:p>
    <w:p w14:paraId="73BF6106" w14:textId="77777777" w:rsidR="00976390" w:rsidRDefault="00695A8B">
      <w:r w:rsidRPr="003D290F">
        <w:t>As part of this shift, t</w:t>
      </w:r>
      <w:r w:rsidR="00882195" w:rsidRPr="003D290F">
        <w:t>he retirement of coal</w:t>
      </w:r>
      <w:r w:rsidR="009E2903">
        <w:t>-</w:t>
      </w:r>
      <w:r w:rsidR="00600EB9">
        <w:t>fired</w:t>
      </w:r>
      <w:r w:rsidR="00D66DE6">
        <w:t xml:space="preserve"> and gas</w:t>
      </w:r>
      <w:r w:rsidR="00882195" w:rsidRPr="003D290F">
        <w:t>-fired power stations will affect</w:t>
      </w:r>
      <w:r w:rsidR="007E776E" w:rsidRPr="003D290F">
        <w:t xml:space="preserve"> workers in</w:t>
      </w:r>
      <w:r w:rsidR="006C7287">
        <w:t xml:space="preserve"> </w:t>
      </w:r>
      <w:r w:rsidR="00D66DE6">
        <w:t xml:space="preserve">surrounding </w:t>
      </w:r>
      <w:r w:rsidR="00882195" w:rsidRPr="003D290F">
        <w:t xml:space="preserve">communities. </w:t>
      </w:r>
      <w:r w:rsidR="00D66DE6">
        <w:t>J</w:t>
      </w:r>
      <w:r w:rsidR="00E247B6" w:rsidRPr="003D290F">
        <w:t xml:space="preserve">ob losses </w:t>
      </w:r>
      <w:r w:rsidR="00D66DE6">
        <w:t xml:space="preserve">will likely arise </w:t>
      </w:r>
      <w:r w:rsidR="00E247B6" w:rsidRPr="003D290F">
        <w:t>as stations close</w:t>
      </w:r>
      <w:r w:rsidR="009E2903">
        <w:t>,</w:t>
      </w:r>
      <w:r w:rsidR="00D66DE6">
        <w:t xml:space="preserve"> </w:t>
      </w:r>
      <w:r w:rsidR="00E61BC4">
        <w:t>both at the facilities themselves and in companies providing supplies and services to the</w:t>
      </w:r>
      <w:r w:rsidR="009E2903">
        <w:t>m</w:t>
      </w:r>
      <w:r w:rsidR="00E61BC4">
        <w:t>.</w:t>
      </w:r>
      <w:r w:rsidR="000B2C13" w:rsidRPr="003D290F">
        <w:t xml:space="preserve"> </w:t>
      </w:r>
      <w:r w:rsidR="00E61BC4">
        <w:t>C</w:t>
      </w:r>
      <w:r w:rsidR="000B2C13" w:rsidRPr="003D290F">
        <w:t>ommunities</w:t>
      </w:r>
      <w:r w:rsidR="00E247B6" w:rsidRPr="003D290F">
        <w:t xml:space="preserve"> </w:t>
      </w:r>
      <w:r w:rsidR="00D66DE6">
        <w:t xml:space="preserve">are </w:t>
      </w:r>
      <w:r w:rsidR="00E247B6" w:rsidRPr="003D290F">
        <w:t>concern</w:t>
      </w:r>
      <w:r w:rsidR="00310132" w:rsidRPr="003D290F">
        <w:t>ed</w:t>
      </w:r>
      <w:r w:rsidR="00E247B6" w:rsidRPr="003D290F">
        <w:t xml:space="preserve"> there will be </w:t>
      </w:r>
      <w:r w:rsidR="00D66DE6">
        <w:t>in</w:t>
      </w:r>
      <w:r w:rsidR="00E247B6" w:rsidRPr="003D290F">
        <w:t xml:space="preserve">sufficient </w:t>
      </w:r>
      <w:r w:rsidR="009A16F8" w:rsidRPr="003D290F">
        <w:t xml:space="preserve">job </w:t>
      </w:r>
      <w:r w:rsidR="00E247B6" w:rsidRPr="003D290F">
        <w:t xml:space="preserve">opportunities available for </w:t>
      </w:r>
      <w:r w:rsidR="00D66DE6">
        <w:t xml:space="preserve">retrenched </w:t>
      </w:r>
      <w:r w:rsidR="00E247B6" w:rsidRPr="003D290F">
        <w:t>workers</w:t>
      </w:r>
      <w:r w:rsidR="00D047E2">
        <w:t xml:space="preserve"> based on previous closure events</w:t>
      </w:r>
      <w:r w:rsidR="00E247B6" w:rsidRPr="003D290F">
        <w:t>.</w:t>
      </w:r>
      <w:r w:rsidR="00DE10E7" w:rsidRPr="003D290F">
        <w:t xml:space="preserve"> </w:t>
      </w:r>
      <w:r w:rsidR="00D66DE6">
        <w:t>Careful</w:t>
      </w:r>
      <w:r w:rsidR="00D66DE6" w:rsidRPr="003D290F">
        <w:t xml:space="preserve"> </w:t>
      </w:r>
      <w:r w:rsidR="00426DD3" w:rsidRPr="003D290F">
        <w:t xml:space="preserve">consideration is required to </w:t>
      </w:r>
      <w:r w:rsidR="00AD4388">
        <w:t>mitigate</w:t>
      </w:r>
      <w:r w:rsidR="00AD4388" w:rsidRPr="003D290F">
        <w:t xml:space="preserve"> </w:t>
      </w:r>
      <w:r w:rsidR="00426DD3" w:rsidRPr="003D290F">
        <w:t>the risks of poor social and economic outcomes associated with long</w:t>
      </w:r>
      <w:r w:rsidR="009E2903">
        <w:t>-</w:t>
      </w:r>
      <w:r w:rsidR="00426DD3" w:rsidRPr="003D290F">
        <w:t xml:space="preserve">term unemployment in regional communities </w:t>
      </w:r>
      <w:r w:rsidR="00D66DE6">
        <w:t xml:space="preserve">that may result </w:t>
      </w:r>
      <w:r w:rsidR="00426DD3" w:rsidRPr="003D290F">
        <w:t xml:space="preserve">from facility closures. </w:t>
      </w:r>
    </w:p>
    <w:p w14:paraId="0FFA1646" w14:textId="77777777" w:rsidR="001B6D01" w:rsidRPr="003D290F" w:rsidRDefault="00663C5A">
      <w:r w:rsidRPr="003D290F">
        <w:t>Governments</w:t>
      </w:r>
      <w:r w:rsidR="00310132" w:rsidRPr="003D290F">
        <w:t xml:space="preserve"> and</w:t>
      </w:r>
      <w:r w:rsidRPr="003D290F">
        <w:t xml:space="preserve"> businesses </w:t>
      </w:r>
      <w:r w:rsidR="00460B68" w:rsidRPr="003D290F">
        <w:t xml:space="preserve">need to </w:t>
      </w:r>
      <w:r w:rsidR="001B6D01" w:rsidRPr="003D290F">
        <w:t xml:space="preserve">work cooperatively </w:t>
      </w:r>
      <w:r w:rsidR="000B2C13" w:rsidRPr="003D290F">
        <w:t xml:space="preserve">with workers </w:t>
      </w:r>
      <w:r w:rsidR="001B6D01" w:rsidRPr="003D290F">
        <w:t xml:space="preserve">to </w:t>
      </w:r>
      <w:r w:rsidR="00DE10E7" w:rsidRPr="003D290F">
        <w:t xml:space="preserve">support </w:t>
      </w:r>
      <w:r w:rsidR="007C1F0D" w:rsidRPr="003D290F">
        <w:t>the c</w:t>
      </w:r>
      <w:r w:rsidR="00DE10E7" w:rsidRPr="003D290F">
        <w:t xml:space="preserve">apacity </w:t>
      </w:r>
      <w:r w:rsidR="007C1F0D" w:rsidRPr="003D290F">
        <w:t xml:space="preserve">of regions </w:t>
      </w:r>
      <w:r w:rsidR="00DE10E7" w:rsidRPr="003D290F">
        <w:t xml:space="preserve">to </w:t>
      </w:r>
      <w:r w:rsidR="00E247B6" w:rsidRPr="003D290F">
        <w:t xml:space="preserve">thrive through the energy </w:t>
      </w:r>
      <w:r w:rsidR="00DE10E7" w:rsidRPr="003D290F">
        <w:t>transition.</w:t>
      </w:r>
    </w:p>
    <w:p w14:paraId="08352EE9" w14:textId="77777777" w:rsidR="007E776E" w:rsidRPr="003D290F" w:rsidRDefault="00006EE7" w:rsidP="00B66BE0">
      <w:pPr>
        <w:pStyle w:val="Heading2"/>
      </w:pPr>
      <w:bookmarkStart w:id="23" w:name="_Toc161395945"/>
      <w:bookmarkStart w:id="24" w:name="_Toc161403481"/>
      <w:bookmarkStart w:id="25" w:name="_Toc161752212"/>
      <w:bookmarkStart w:id="26" w:name="_Toc161759649"/>
      <w:r w:rsidRPr="003D290F">
        <w:t xml:space="preserve">1.1 </w:t>
      </w:r>
      <w:r w:rsidR="00C42C3F" w:rsidRPr="003D290F">
        <w:t>Affected energy workers and workforce</w:t>
      </w:r>
      <w:bookmarkEnd w:id="23"/>
      <w:bookmarkEnd w:id="24"/>
      <w:bookmarkEnd w:id="25"/>
      <w:bookmarkEnd w:id="26"/>
    </w:p>
    <w:p w14:paraId="7B554BF3" w14:textId="77777777" w:rsidR="00A41BA4" w:rsidRPr="00CE2015" w:rsidRDefault="001E79E2" w:rsidP="00CE2015">
      <w:pPr>
        <w:pStyle w:val="Heading3"/>
      </w:pPr>
      <w:bookmarkStart w:id="27" w:name="_Toc161694758"/>
      <w:bookmarkStart w:id="28" w:name="_Toc161752213"/>
      <w:bookmarkStart w:id="29" w:name="_Toc161759650"/>
      <w:r w:rsidRPr="00CE2015">
        <w:t xml:space="preserve">1.1.1 </w:t>
      </w:r>
      <w:r w:rsidR="00A41BA4" w:rsidRPr="00CE2015">
        <w:t>Coal-fired power stations</w:t>
      </w:r>
      <w:bookmarkEnd w:id="27"/>
      <w:bookmarkEnd w:id="28"/>
      <w:bookmarkEnd w:id="29"/>
    </w:p>
    <w:p w14:paraId="124FA908" w14:textId="77777777" w:rsidR="00925CFF" w:rsidRPr="003D290F" w:rsidRDefault="00924177" w:rsidP="00C42C3F">
      <w:r w:rsidRPr="003D290F">
        <w:t xml:space="preserve">A significant proportion of Australia’s coal-fired power station fleet has retired in the last 15 years, with </w:t>
      </w:r>
      <w:r w:rsidR="00A543CD" w:rsidRPr="003D290F">
        <w:t>11</w:t>
      </w:r>
      <w:r w:rsidRPr="003D290F">
        <w:t xml:space="preserve"> stations ceasing operations since 2010. </w:t>
      </w:r>
      <w:r w:rsidR="007E776E" w:rsidRPr="003D290F">
        <w:t xml:space="preserve">As of </w:t>
      </w:r>
      <w:r w:rsidR="00D434EF" w:rsidRPr="003D290F">
        <w:t>December</w:t>
      </w:r>
      <w:r w:rsidR="00C03D00" w:rsidRPr="003D290F">
        <w:t xml:space="preserve"> </w:t>
      </w:r>
      <w:r w:rsidR="007E776E" w:rsidRPr="003D290F">
        <w:t>2023, Australia has 1</w:t>
      </w:r>
      <w:r w:rsidR="00E247B6" w:rsidRPr="003D290F">
        <w:t>9</w:t>
      </w:r>
      <w:r w:rsidR="007E776E" w:rsidRPr="003D290F">
        <w:t xml:space="preserve"> coal-fired power </w:t>
      </w:r>
      <w:r w:rsidR="007E776E" w:rsidRPr="003D290F">
        <w:lastRenderedPageBreak/>
        <w:t>stations in operation</w:t>
      </w:r>
      <w:r w:rsidR="00611E0C" w:rsidRPr="003D290F">
        <w:t xml:space="preserve"> (</w:t>
      </w:r>
      <w:r w:rsidR="007E776E" w:rsidRPr="003D290F">
        <w:t xml:space="preserve">listed in </w:t>
      </w:r>
      <w:r w:rsidR="007E776E" w:rsidRPr="003D290F">
        <w:rPr>
          <w:rFonts w:eastAsia="Times New Roman" w:cs="Segoe UI"/>
          <w:b/>
          <w:color w:val="1B375C"/>
        </w:rPr>
        <w:t xml:space="preserve">Appendix </w:t>
      </w:r>
      <w:r w:rsidR="00B777DF" w:rsidRPr="003D290F">
        <w:rPr>
          <w:rFonts w:eastAsia="Times New Roman" w:cs="Segoe UI"/>
          <w:b/>
          <w:color w:val="1B375C"/>
        </w:rPr>
        <w:t>A</w:t>
      </w:r>
      <w:r w:rsidR="00611E0C" w:rsidRPr="003D290F">
        <w:rPr>
          <w:rFonts w:eastAsia="Times New Roman" w:cs="Segoe UI"/>
        </w:rPr>
        <w:t>)</w:t>
      </w:r>
      <w:r w:rsidR="00097772" w:rsidRPr="003D290F">
        <w:t>.</w:t>
      </w:r>
      <w:r w:rsidR="00CD649F" w:rsidRPr="003D290F">
        <w:t xml:space="preserve"> </w:t>
      </w:r>
      <w:r w:rsidR="00826439" w:rsidRPr="003D290F">
        <w:t>17</w:t>
      </w:r>
      <w:r w:rsidR="00A543CD" w:rsidRPr="003D290F">
        <w:t xml:space="preserve"> p</w:t>
      </w:r>
      <w:r w:rsidR="00404527" w:rsidRPr="003D290F">
        <w:t xml:space="preserve">ower </w:t>
      </w:r>
      <w:r w:rsidR="00F21487" w:rsidRPr="003D290F">
        <w:t xml:space="preserve">station owners </w:t>
      </w:r>
      <w:r w:rsidR="00404527" w:rsidRPr="003D290F">
        <w:t xml:space="preserve">have </w:t>
      </w:r>
      <w:r w:rsidR="00A543CD" w:rsidRPr="003D290F">
        <w:t xml:space="preserve">reported expected </w:t>
      </w:r>
      <w:r w:rsidR="00543A0D" w:rsidRPr="003D290F">
        <w:t xml:space="preserve">closure dates </w:t>
      </w:r>
      <w:r w:rsidR="00A543CD" w:rsidRPr="003D290F">
        <w:t xml:space="preserve">over the next </w:t>
      </w:r>
      <w:r w:rsidR="00611E0C" w:rsidRPr="003D290F">
        <w:t xml:space="preserve">30 </w:t>
      </w:r>
      <w:r w:rsidR="00A543CD" w:rsidRPr="003D290F">
        <w:t>years</w:t>
      </w:r>
      <w:r w:rsidR="00543A0D" w:rsidRPr="003D290F">
        <w:t xml:space="preserve">, with </w:t>
      </w:r>
      <w:r w:rsidR="00611E0C" w:rsidRPr="003D290F">
        <w:t xml:space="preserve">10 </w:t>
      </w:r>
      <w:r w:rsidR="00A543CD" w:rsidRPr="003D290F">
        <w:t xml:space="preserve">expected to close </w:t>
      </w:r>
      <w:r w:rsidR="00543A0D" w:rsidRPr="003D290F">
        <w:t xml:space="preserve">before the end of </w:t>
      </w:r>
      <w:r w:rsidR="00FE3DEC" w:rsidRPr="003D290F">
        <w:t>2035</w:t>
      </w:r>
      <w:r w:rsidR="00CD649F" w:rsidRPr="003D290F">
        <w:t>.</w:t>
      </w:r>
      <w:r w:rsidR="00925CFF" w:rsidRPr="003D290F">
        <w:rPr>
          <w:rStyle w:val="FootnoteReference"/>
        </w:rPr>
        <w:footnoteReference w:id="6"/>
      </w:r>
      <w:r w:rsidR="00543A0D" w:rsidRPr="003D290F">
        <w:t xml:space="preserve"> </w:t>
      </w:r>
    </w:p>
    <w:p w14:paraId="4AA1D1F9" w14:textId="77777777" w:rsidR="00273AAD" w:rsidRPr="003D290F" w:rsidRDefault="00870CC2" w:rsidP="00C42C3F">
      <w:r w:rsidRPr="003D290F">
        <w:t>U</w:t>
      </w:r>
      <w:r w:rsidR="00DB5641" w:rsidRPr="003D290F">
        <w:t>sing</w:t>
      </w:r>
      <w:r w:rsidRPr="003D290F">
        <w:t xml:space="preserve"> current coal-fired power station employment numbers, i</w:t>
      </w:r>
      <w:r w:rsidR="007B7F33" w:rsidRPr="003D290F">
        <w:t xml:space="preserve">t is estimated </w:t>
      </w:r>
      <w:r w:rsidRPr="003D290F">
        <w:t xml:space="preserve">that </w:t>
      </w:r>
      <w:r w:rsidR="007B7F33" w:rsidRPr="003D290F">
        <w:t xml:space="preserve">over </w:t>
      </w:r>
      <w:r w:rsidR="00263493" w:rsidRPr="003D290F">
        <w:t>3</w:t>
      </w:r>
      <w:r w:rsidR="007B7F33" w:rsidRPr="003D290F">
        <w:t xml:space="preserve">,000 </w:t>
      </w:r>
      <w:r w:rsidR="00263493" w:rsidRPr="003D290F">
        <w:t xml:space="preserve">coal-fired </w:t>
      </w:r>
      <w:r w:rsidR="00680479" w:rsidRPr="003D290F">
        <w:t xml:space="preserve">power </w:t>
      </w:r>
      <w:r w:rsidR="00263493" w:rsidRPr="003D290F">
        <w:t>station</w:t>
      </w:r>
      <w:r w:rsidR="007B7F33" w:rsidRPr="003D290F">
        <w:t xml:space="preserve"> workers will experience disruption</w:t>
      </w:r>
      <w:r w:rsidR="00F21487" w:rsidRPr="003D290F">
        <w:t xml:space="preserve"> to their employment</w:t>
      </w:r>
      <w:r w:rsidR="007B7F33" w:rsidRPr="003D290F">
        <w:t xml:space="preserve"> </w:t>
      </w:r>
      <w:r w:rsidR="007B7F33" w:rsidRPr="003D290F" w:rsidDel="00BA67A7">
        <w:t xml:space="preserve">due </w:t>
      </w:r>
      <w:r w:rsidR="008935D9" w:rsidRPr="003D290F">
        <w:t xml:space="preserve">to </w:t>
      </w:r>
      <w:r w:rsidR="00BA67A7" w:rsidRPr="003D290F">
        <w:t xml:space="preserve">announced </w:t>
      </w:r>
      <w:r w:rsidR="007B7F33" w:rsidRPr="003D290F">
        <w:t>closures</w:t>
      </w:r>
      <w:r w:rsidR="00925CFF" w:rsidRPr="003D290F">
        <w:t xml:space="preserve"> </w:t>
      </w:r>
      <w:r w:rsidR="00263493" w:rsidRPr="003D290F">
        <w:t xml:space="preserve">over </w:t>
      </w:r>
      <w:r w:rsidR="00925CFF" w:rsidRPr="003D290F">
        <w:t xml:space="preserve">the next </w:t>
      </w:r>
      <w:r w:rsidR="00263493" w:rsidRPr="003D290F">
        <w:t xml:space="preserve">12 </w:t>
      </w:r>
      <w:r w:rsidR="00925CFF" w:rsidRPr="003D290F">
        <w:t>years</w:t>
      </w:r>
      <w:r w:rsidR="00263493" w:rsidRPr="003D290F">
        <w:t xml:space="preserve"> (see </w:t>
      </w:r>
      <w:r w:rsidR="00263493" w:rsidRPr="003D290F">
        <w:rPr>
          <w:b/>
          <w:color w:val="1B375C" w:themeColor="accent1"/>
        </w:rPr>
        <w:t>Figure 1.1</w:t>
      </w:r>
      <w:r w:rsidR="00924177" w:rsidRPr="003D290F">
        <w:t>)</w:t>
      </w:r>
      <w:r w:rsidR="007B7F33" w:rsidRPr="003D290F">
        <w:t>.</w:t>
      </w:r>
      <w:r w:rsidR="00BE0F34" w:rsidRPr="003D290F">
        <w:t xml:space="preserve"> Evidence from NSW,</w:t>
      </w:r>
      <w:r w:rsidR="007C7CCE" w:rsidRPr="003D290F">
        <w:rPr>
          <w:rStyle w:val="FootnoteReference"/>
        </w:rPr>
        <w:footnoteReference w:id="7"/>
      </w:r>
      <w:r w:rsidR="00BE0F34" w:rsidRPr="003D290F">
        <w:t xml:space="preserve"> Hazelwood</w:t>
      </w:r>
      <w:r w:rsidR="007C7CCE" w:rsidRPr="003D290F">
        <w:t xml:space="preserve"> Power Station in</w:t>
      </w:r>
      <w:r w:rsidR="00BE0F34" w:rsidRPr="003D290F">
        <w:t xml:space="preserve"> Victoria</w:t>
      </w:r>
      <w:r w:rsidR="007C7CCE" w:rsidRPr="003D290F">
        <w:t xml:space="preserve"> (now c</w:t>
      </w:r>
      <w:r w:rsidR="006F72FA">
        <w:t>losed)</w:t>
      </w:r>
      <w:r w:rsidR="007C7CCE" w:rsidRPr="003D290F">
        <w:rPr>
          <w:rStyle w:val="FootnoteReference"/>
        </w:rPr>
        <w:footnoteReference w:id="8"/>
      </w:r>
      <w:r w:rsidR="006F72FA">
        <w:t>,</w:t>
      </w:r>
      <w:r w:rsidR="00BE0F34" w:rsidRPr="003D290F">
        <w:t xml:space="preserve"> and the United States</w:t>
      </w:r>
      <w:r w:rsidR="007C7CCE" w:rsidRPr="003D290F">
        <w:rPr>
          <w:rStyle w:val="FootnoteReference"/>
        </w:rPr>
        <w:footnoteReference w:id="9"/>
      </w:r>
      <w:r w:rsidR="00BE0F34" w:rsidRPr="003D290F">
        <w:t xml:space="preserve"> suggests contractors comprise </w:t>
      </w:r>
      <w:r w:rsidR="001037B1">
        <w:t>another</w:t>
      </w:r>
      <w:r w:rsidR="001037B1" w:rsidRPr="003D290F">
        <w:t xml:space="preserve"> </w:t>
      </w:r>
      <w:r w:rsidR="00BE0F34" w:rsidRPr="003D290F">
        <w:t>30 per cent of the workforce in coal industries</w:t>
      </w:r>
      <w:r w:rsidR="00682067" w:rsidRPr="003D290F">
        <w:t xml:space="preserve"> (assumed throughout this analysis)</w:t>
      </w:r>
      <w:r w:rsidR="00BE0F34" w:rsidRPr="003D290F">
        <w:t>.</w:t>
      </w:r>
      <w:r w:rsidR="007C7CCE" w:rsidRPr="003D290F">
        <w:t xml:space="preserve"> </w:t>
      </w:r>
      <w:r w:rsidR="00855D1F" w:rsidRPr="003D290F">
        <w:t>Analysis</w:t>
      </w:r>
      <w:r w:rsidR="006F72FA">
        <w:t xml:space="preserve"> of past closures</w:t>
      </w:r>
      <w:r w:rsidR="00855D1F" w:rsidRPr="003D290F">
        <w:t xml:space="preserve"> from e61 Institute indicates that e</w:t>
      </w:r>
      <w:r w:rsidR="00F23208" w:rsidRPr="003D290F">
        <w:t xml:space="preserve">arnings loss following redundancy is </w:t>
      </w:r>
      <w:r w:rsidR="00855D1F" w:rsidRPr="003D290F">
        <w:t xml:space="preserve">significantly </w:t>
      </w:r>
      <w:r w:rsidR="00F23208" w:rsidRPr="003D290F">
        <w:t>higher for work</w:t>
      </w:r>
      <w:r w:rsidR="00855D1F" w:rsidRPr="003D290F">
        <w:t>er</w:t>
      </w:r>
      <w:r w:rsidR="00F23208" w:rsidRPr="003D290F">
        <w:t>s in coal-fired power stations than other sectors</w:t>
      </w:r>
      <w:r w:rsidR="00855D1F" w:rsidRPr="003D290F">
        <w:t>, with these relative losses persisting over time</w:t>
      </w:r>
      <w:r w:rsidR="00F23208" w:rsidRPr="003D290F">
        <w:t>.</w:t>
      </w:r>
      <w:r w:rsidR="000B2CB9" w:rsidRPr="003D290F">
        <w:rPr>
          <w:rStyle w:val="FootnoteReference"/>
        </w:rPr>
        <w:footnoteReference w:id="10"/>
      </w:r>
    </w:p>
    <w:p w14:paraId="18FF9BFC" w14:textId="77777777" w:rsidR="00E50FD1" w:rsidRPr="003D290F" w:rsidRDefault="00C75AF9" w:rsidP="007B11F8">
      <w:pPr>
        <w:rPr>
          <w:rFonts w:eastAsia="Times New Roman" w:cs="Segoe UI"/>
          <w:b/>
          <w:sz w:val="28"/>
        </w:rPr>
      </w:pPr>
      <w:r w:rsidRPr="003D290F">
        <w:rPr>
          <w:rFonts w:eastAsia="Times New Roman" w:cs="Segoe UI"/>
          <w:b/>
          <w:sz w:val="28"/>
        </w:rPr>
        <w:t>F</w:t>
      </w:r>
      <w:r w:rsidR="00E01E64" w:rsidRPr="003D290F">
        <w:rPr>
          <w:rFonts w:eastAsia="Times New Roman" w:cs="Segoe UI"/>
          <w:b/>
          <w:sz w:val="28"/>
        </w:rPr>
        <w:t>IGURE 1.1 EXPECTED COAL-FIRE</w:t>
      </w:r>
      <w:r w:rsidR="00C04DFA" w:rsidRPr="003D290F">
        <w:rPr>
          <w:rFonts w:eastAsia="Times New Roman" w:cs="Segoe UI"/>
          <w:b/>
          <w:sz w:val="28"/>
        </w:rPr>
        <w:t>D</w:t>
      </w:r>
      <w:r w:rsidR="00E01E64" w:rsidRPr="003D290F">
        <w:rPr>
          <w:rFonts w:eastAsia="Times New Roman" w:cs="Segoe UI"/>
          <w:b/>
          <w:sz w:val="28"/>
        </w:rPr>
        <w:t xml:space="preserve"> POWER STATION </w:t>
      </w:r>
      <w:r w:rsidR="00C04DFA" w:rsidRPr="003D290F">
        <w:rPr>
          <w:rFonts w:eastAsia="Times New Roman" w:cs="Segoe UI"/>
          <w:b/>
          <w:sz w:val="28"/>
        </w:rPr>
        <w:t>WORKFORCE</w:t>
      </w:r>
      <w:r w:rsidR="00E01E64" w:rsidRPr="003D290F">
        <w:rPr>
          <w:rFonts w:eastAsia="Times New Roman" w:cs="Segoe UI"/>
          <w:b/>
          <w:sz w:val="28"/>
        </w:rPr>
        <w:t xml:space="preserve"> TO 2035</w:t>
      </w:r>
    </w:p>
    <w:p w14:paraId="210FD6CF" w14:textId="3CACB988" w:rsidR="001C0660" w:rsidRPr="003D290F" w:rsidRDefault="00392DAF" w:rsidP="00164F8A">
      <w:pPr>
        <w:spacing w:after="0"/>
      </w:pPr>
      <w:r>
        <w:rPr>
          <w:noProof/>
          <w:lang w:eastAsia="en-AU"/>
        </w:rPr>
        <w:drawing>
          <wp:inline distT="0" distB="0" distL="0" distR="0" wp14:anchorId="56F47A49" wp14:editId="4956641B">
            <wp:extent cx="6477000" cy="435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351020"/>
                    </a:xfrm>
                    <a:prstGeom prst="rect">
                      <a:avLst/>
                    </a:prstGeom>
                    <a:noFill/>
                  </pic:spPr>
                </pic:pic>
              </a:graphicData>
            </a:graphic>
          </wp:inline>
        </w:drawing>
      </w:r>
    </w:p>
    <w:p w14:paraId="77B088E1" w14:textId="77777777" w:rsidR="00EB0224" w:rsidRPr="003D290F" w:rsidRDefault="002D4A2A" w:rsidP="00A41BA4">
      <w:pPr>
        <w:pStyle w:val="FootnoteText"/>
        <w:spacing w:after="200"/>
        <w:rPr>
          <w:sz w:val="18"/>
          <w:szCs w:val="18"/>
        </w:rPr>
      </w:pPr>
      <w:r>
        <w:rPr>
          <w:b/>
          <w:sz w:val="18"/>
          <w:szCs w:val="18"/>
        </w:rPr>
        <w:t>Source</w:t>
      </w:r>
      <w:r w:rsidR="00870CC2" w:rsidRPr="003D290F">
        <w:rPr>
          <w:b/>
          <w:sz w:val="18"/>
          <w:szCs w:val="18"/>
        </w:rPr>
        <w:t xml:space="preserve">: </w:t>
      </w:r>
      <w:r w:rsidR="006F72FA">
        <w:rPr>
          <w:sz w:val="18"/>
          <w:szCs w:val="18"/>
        </w:rPr>
        <w:t>F</w:t>
      </w:r>
      <w:r w:rsidR="00870CC2" w:rsidRPr="003D290F">
        <w:rPr>
          <w:sz w:val="18"/>
          <w:szCs w:val="18"/>
        </w:rPr>
        <w:t>igures are derived from coal-fired power station ongoing worker numbers</w:t>
      </w:r>
      <w:r w:rsidR="00CD649F" w:rsidRPr="003D290F">
        <w:rPr>
          <w:rFonts w:cs="Segoe UI"/>
          <w:sz w:val="18"/>
          <w:szCs w:val="18"/>
        </w:rPr>
        <w:t xml:space="preserve"> </w:t>
      </w:r>
      <w:r>
        <w:rPr>
          <w:sz w:val="18"/>
          <w:szCs w:val="18"/>
        </w:rPr>
        <w:t>using the</w:t>
      </w:r>
      <w:r w:rsidR="00CD649F" w:rsidRPr="003D290F">
        <w:rPr>
          <w:rFonts w:cs="Segoe UI"/>
          <w:sz w:val="18"/>
          <w:szCs w:val="18"/>
        </w:rPr>
        <w:t xml:space="preserve"> </w:t>
      </w:r>
      <w:r w:rsidR="00164F8A" w:rsidRPr="003D290F">
        <w:rPr>
          <w:rFonts w:cs="Segoe UI"/>
          <w:sz w:val="18"/>
          <w:szCs w:val="18"/>
        </w:rPr>
        <w:t xml:space="preserve">Department of Climate Change, Energy, the </w:t>
      </w:r>
      <w:r w:rsidR="006F72FA">
        <w:rPr>
          <w:rFonts w:cs="Segoe UI"/>
          <w:sz w:val="18"/>
          <w:szCs w:val="18"/>
        </w:rPr>
        <w:t xml:space="preserve">Environment and Water’s </w:t>
      </w:r>
      <w:hyperlink r:id="rId19" w:history="1">
        <w:r w:rsidR="00164F8A" w:rsidRPr="003D290F">
          <w:rPr>
            <w:rStyle w:val="Hyperlink"/>
            <w:rFonts w:cs="Segoe UI"/>
            <w:sz w:val="18"/>
            <w:szCs w:val="18"/>
          </w:rPr>
          <w:t>National Pollutant Inventory</w:t>
        </w:r>
      </w:hyperlink>
      <w:r w:rsidR="006F72FA">
        <w:rPr>
          <w:rStyle w:val="Hyperlink"/>
          <w:rFonts w:cs="Segoe UI"/>
          <w:sz w:val="18"/>
          <w:szCs w:val="18"/>
        </w:rPr>
        <w:t xml:space="preserve"> </w:t>
      </w:r>
      <w:r w:rsidR="006F72FA">
        <w:rPr>
          <w:rFonts w:cs="Segoe UI"/>
          <w:sz w:val="18"/>
          <w:szCs w:val="18"/>
        </w:rPr>
        <w:t>(FY21-22)</w:t>
      </w:r>
    </w:p>
    <w:p w14:paraId="4A801D18" w14:textId="77777777" w:rsidR="009142FD" w:rsidRPr="003D290F" w:rsidRDefault="009142FD" w:rsidP="000B2CB9">
      <w:pPr>
        <w:spacing w:before="240"/>
      </w:pPr>
      <w:r w:rsidRPr="003D290F">
        <w:lastRenderedPageBreak/>
        <w:t xml:space="preserve">Past experience suggests </w:t>
      </w:r>
      <w:r w:rsidRPr="003D290F">
        <w:rPr>
          <w:rFonts w:eastAsia="Times New Roman" w:cs="Segoe UI"/>
        </w:rPr>
        <w:t xml:space="preserve">the unemployed cohort one year after a facility closure could be as large as one third of affected workers, </w:t>
      </w:r>
      <w:r w:rsidRPr="003D290F">
        <w:rPr>
          <w:rFonts w:cs="Segoe UI"/>
        </w:rPr>
        <w:t>meeting the definition of long-term unemployment by the Reserve Bank of Australia</w:t>
      </w:r>
      <w:r w:rsidRPr="003D290F">
        <w:t>.</w:t>
      </w:r>
      <w:r w:rsidR="000B2CB9" w:rsidRPr="003D290F">
        <w:rPr>
          <w:rStyle w:val="FootnoteReference"/>
        </w:rPr>
        <w:footnoteReference w:id="11"/>
      </w:r>
      <w:r w:rsidRPr="003D290F">
        <w:t xml:space="preserve"> Long-term unemployment can lead to worse economic and social outcomes,</w:t>
      </w:r>
      <w:r w:rsidR="000B2CB9" w:rsidRPr="003D290F">
        <w:rPr>
          <w:rStyle w:val="FootnoteReference"/>
        </w:rPr>
        <w:footnoteReference w:id="12"/>
      </w:r>
      <w:r w:rsidRPr="003D290F">
        <w:t xml:space="preserve"> including lower quality of life, financial hardship, and poor physical and mental health</w:t>
      </w:r>
      <w:r w:rsidR="004C3F65">
        <w:t xml:space="preserve">. Long-term unemployment can also </w:t>
      </w:r>
      <w:r w:rsidRPr="003D290F">
        <w:t>become a self-reinforcing cycle, as long-term unemployed individuals face greater difficulty finding work, due to skill depreciation, loss of motivation, and labour market discrimination.</w:t>
      </w:r>
      <w:r w:rsidR="000B2CB9" w:rsidRPr="003D290F">
        <w:rPr>
          <w:rStyle w:val="FootnoteReference"/>
        </w:rPr>
        <w:footnoteReference w:id="13"/>
      </w:r>
      <w:r w:rsidR="00C80C07" w:rsidRPr="003D290F">
        <w:t xml:space="preserve"> </w:t>
      </w:r>
    </w:p>
    <w:p w14:paraId="15D4B1A3" w14:textId="77777777" w:rsidR="00A41BA4" w:rsidRPr="00CE2015" w:rsidRDefault="001E79E2" w:rsidP="00CE2015">
      <w:pPr>
        <w:pStyle w:val="Heading3"/>
      </w:pPr>
      <w:bookmarkStart w:id="30" w:name="_Toc161694759"/>
      <w:bookmarkStart w:id="31" w:name="_Toc161752214"/>
      <w:bookmarkStart w:id="32" w:name="_Toc161759651"/>
      <w:r>
        <w:t xml:space="preserve">1.1.2 </w:t>
      </w:r>
      <w:r w:rsidR="00A41BA4" w:rsidRPr="00CE2015">
        <w:t>Gas-fired power stations</w:t>
      </w:r>
      <w:bookmarkEnd w:id="30"/>
      <w:bookmarkEnd w:id="31"/>
      <w:bookmarkEnd w:id="32"/>
    </w:p>
    <w:p w14:paraId="1BAF6C32" w14:textId="77777777" w:rsidR="00A41BA4" w:rsidRDefault="00A41BA4" w:rsidP="000B2CB9">
      <w:pPr>
        <w:spacing w:before="240"/>
      </w:pPr>
      <w:r>
        <w:t>Employment dynamics around scaling down coal</w:t>
      </w:r>
      <w:r w:rsidR="004C3F65">
        <w:t>-</w:t>
      </w:r>
      <w:r w:rsidR="00165E6C">
        <w:t>fired</w:t>
      </w:r>
      <w:r>
        <w:t xml:space="preserve"> and gas-fired power generation will vary. Coal</w:t>
      </w:r>
      <w:r w:rsidDel="004C3F65">
        <w:t xml:space="preserve"> </w:t>
      </w:r>
      <w:r w:rsidR="004C3F65">
        <w:t xml:space="preserve">electricity </w:t>
      </w:r>
      <w:r>
        <w:t>generation (58 per cent of NEM supply)</w:t>
      </w:r>
      <w:r>
        <w:rPr>
          <w:rStyle w:val="FootnoteReference"/>
        </w:rPr>
        <w:footnoteReference w:id="14"/>
      </w:r>
      <w:r>
        <w:t xml:space="preserve"> is more certain, with 17 of Australia’s 19 coal-fired power stations scheduled to close over the next </w:t>
      </w:r>
      <w:r w:rsidR="004C3F65">
        <w:t xml:space="preserve">30 </w:t>
      </w:r>
      <w:r>
        <w:t>years.</w:t>
      </w:r>
      <w:r>
        <w:rPr>
          <w:rStyle w:val="FootnoteReference"/>
        </w:rPr>
        <w:footnoteReference w:id="15"/>
      </w:r>
      <w:r>
        <w:t xml:space="preserve"> Gas</w:t>
      </w:r>
      <w:r w:rsidR="004C3F65">
        <w:t>-fired</w:t>
      </w:r>
      <w:r>
        <w:t xml:space="preserve"> power generation comprises a far smaller portion of NEM supply (5.5 per cent)</w:t>
      </w:r>
      <w:r>
        <w:rPr>
          <w:rStyle w:val="FootnoteReference"/>
        </w:rPr>
        <w:footnoteReference w:id="16"/>
      </w:r>
      <w:r w:rsidR="004C3F65">
        <w:t>,</w:t>
      </w:r>
      <w:r>
        <w:t xml:space="preserve"> employs less workers, and is </w:t>
      </w:r>
      <w:r w:rsidR="000E527B">
        <w:t>likely</w:t>
      </w:r>
      <w:r>
        <w:t xml:space="preserve"> to play a greater role in</w:t>
      </w:r>
      <w:r w:rsidDel="008F0EAA">
        <w:t xml:space="preserve"> </w:t>
      </w:r>
      <w:r w:rsidR="000E527B">
        <w:t xml:space="preserve">supporting reliability in </w:t>
      </w:r>
      <w:r>
        <w:t>the NEM as coal-fired power stations retire before receding.</w:t>
      </w:r>
      <w:r w:rsidR="00B53F42">
        <w:t xml:space="preserve"> The Australian Energy Market Operator (AEMO) expects gas-fired generation, with pumped hydro and battery storage, will be </w:t>
      </w:r>
      <w:r w:rsidR="00234832">
        <w:t xml:space="preserve">critical </w:t>
      </w:r>
      <w:r w:rsidR="00B53F42">
        <w:t>to maintain</w:t>
      </w:r>
      <w:r w:rsidR="00234832">
        <w:t>ing</w:t>
      </w:r>
      <w:r w:rsidR="00B53F42">
        <w:t xml:space="preserve"> grid security and stability, particularly following unexpected outages or earlier than expected coal generation withdrawal.</w:t>
      </w:r>
      <w:r w:rsidR="00B53F42">
        <w:rPr>
          <w:rStyle w:val="FootnoteReference"/>
        </w:rPr>
        <w:footnoteReference w:id="17"/>
      </w:r>
    </w:p>
    <w:p w14:paraId="2AA343BE" w14:textId="77777777" w:rsidR="005E01C5" w:rsidRDefault="00A41BA4" w:rsidP="000B2CB9">
      <w:pPr>
        <w:spacing w:before="240"/>
      </w:pPr>
      <w:r>
        <w:t>There are more than 70 grid-connected gas power plants in Australia, but only four have a workforce above 40 workers.</w:t>
      </w:r>
      <w:r>
        <w:rPr>
          <w:rStyle w:val="FootnoteReference"/>
        </w:rPr>
        <w:footnoteReference w:id="18"/>
      </w:r>
      <w:r>
        <w:t xml:space="preserve"> </w:t>
      </w:r>
      <w:r w:rsidR="00E65992">
        <w:t>Of those four, just one power plant has announced a</w:t>
      </w:r>
      <w:r w:rsidR="0021395E">
        <w:t>n expected</w:t>
      </w:r>
      <w:r w:rsidR="00E65992">
        <w:t xml:space="preserve"> closure date (Torrens Island Power Station B in 2026). As such, </w:t>
      </w:r>
      <w:r>
        <w:t>the overall employment impacts of gas</w:t>
      </w:r>
      <w:r w:rsidR="004C3F65">
        <w:t>-fired</w:t>
      </w:r>
      <w:r>
        <w:t xml:space="preserve"> power </w:t>
      </w:r>
      <w:r w:rsidR="004C3F65">
        <w:t xml:space="preserve">station </w:t>
      </w:r>
      <w:r>
        <w:t>closures are expected to be smaller than coal-fired power station cl</w:t>
      </w:r>
      <w:r w:rsidR="00E65992">
        <w:t>osures.</w:t>
      </w:r>
    </w:p>
    <w:p w14:paraId="167A0935" w14:textId="77777777" w:rsidR="00A41BA4" w:rsidRPr="003D290F" w:rsidRDefault="005E01C5" w:rsidP="000B2CB9">
      <w:pPr>
        <w:spacing w:before="240"/>
      </w:pPr>
      <w:r>
        <w:t xml:space="preserve">Given this, the Impact Analysis focusses on power stations with sizeable workforces and announced closure dates, which are predominantly coal-fired power stations. </w:t>
      </w:r>
    </w:p>
    <w:p w14:paraId="62BFF890" w14:textId="77777777" w:rsidR="00A41BA4" w:rsidRPr="00CE2015" w:rsidRDefault="001E79E2" w:rsidP="00CE2015">
      <w:pPr>
        <w:pStyle w:val="Heading3"/>
      </w:pPr>
      <w:bookmarkStart w:id="33" w:name="_Toc161694760"/>
      <w:bookmarkStart w:id="34" w:name="_Toc161752215"/>
      <w:bookmarkStart w:id="35" w:name="_Toc161759652"/>
      <w:r>
        <w:t xml:space="preserve">1.1.3 </w:t>
      </w:r>
      <w:r w:rsidR="00A41BA4" w:rsidRPr="00CE2015">
        <w:t>Indirect worker impacts</w:t>
      </w:r>
      <w:bookmarkEnd w:id="33"/>
      <w:bookmarkEnd w:id="34"/>
      <w:bookmarkEnd w:id="35"/>
    </w:p>
    <w:p w14:paraId="79AFA2FF" w14:textId="77777777" w:rsidR="0074429C" w:rsidRPr="003D290F" w:rsidRDefault="00145F3C" w:rsidP="00C42C3F">
      <w:r w:rsidRPr="003D290F">
        <w:t>In addition to direct job losses f</w:t>
      </w:r>
      <w:r w:rsidR="00F21487" w:rsidRPr="003D290F">
        <w:t>or workers at</w:t>
      </w:r>
      <w:r w:rsidRPr="003D290F">
        <w:t xml:space="preserve"> a power station, indirect job losses </w:t>
      </w:r>
      <w:r w:rsidR="00543A0D" w:rsidRPr="003D290F">
        <w:t>may</w:t>
      </w:r>
      <w:r w:rsidR="00F21487" w:rsidRPr="003D290F">
        <w:t xml:space="preserve"> </w:t>
      </w:r>
      <w:r w:rsidRPr="003D290F">
        <w:t xml:space="preserve">also be </w:t>
      </w:r>
      <w:r w:rsidR="00543A0D" w:rsidRPr="003D290F">
        <w:t>anticipated</w:t>
      </w:r>
      <w:r w:rsidR="00F21487" w:rsidRPr="003D290F">
        <w:t xml:space="preserve"> when a facility closes</w:t>
      </w:r>
      <w:r w:rsidRPr="003D290F">
        <w:t xml:space="preserve">. </w:t>
      </w:r>
      <w:r w:rsidR="00F21487" w:rsidRPr="003D290F">
        <w:t xml:space="preserve">Job losses </w:t>
      </w:r>
      <w:r w:rsidRPr="003D290F">
        <w:t xml:space="preserve">are likely </w:t>
      </w:r>
      <w:r w:rsidR="00F21487" w:rsidRPr="003D290F">
        <w:t>at dependent suppliers</w:t>
      </w:r>
      <w:r w:rsidR="0090674C">
        <w:t xml:space="preserve"> </w:t>
      </w:r>
      <w:r w:rsidR="00F21487" w:rsidRPr="003D290F">
        <w:t>—</w:t>
      </w:r>
      <w:r w:rsidR="0090674C">
        <w:t xml:space="preserve"> </w:t>
      </w:r>
      <w:r w:rsidR="00F21487" w:rsidRPr="003D290F">
        <w:t xml:space="preserve">that is, businesses that rely on providing their products </w:t>
      </w:r>
      <w:r w:rsidR="00870CC2" w:rsidRPr="003D290F">
        <w:t xml:space="preserve">and services </w:t>
      </w:r>
      <w:r w:rsidR="00F21487" w:rsidRPr="003D290F">
        <w:t xml:space="preserve">exclusively or predominantly to a closing power station, and that are unable to pivot to service other customers. </w:t>
      </w:r>
      <w:r w:rsidR="00663C5A" w:rsidRPr="003D290F">
        <w:t>Thermal c</w:t>
      </w:r>
      <w:r w:rsidR="00F21487" w:rsidRPr="003D290F">
        <w:t xml:space="preserve">oal mines that exclusively </w:t>
      </w:r>
      <w:r w:rsidR="00663C5A" w:rsidRPr="003D290F">
        <w:t>service</w:t>
      </w:r>
      <w:r w:rsidR="00F21487" w:rsidRPr="003D290F">
        <w:t xml:space="preserve"> </w:t>
      </w:r>
      <w:r w:rsidR="00663C5A" w:rsidRPr="003D290F">
        <w:t>a nearby power station are the clearest example of a dependent supplier that may be expected to close or significantly reduce output and workforce in response to the closure of that power station.</w:t>
      </w:r>
      <w:r w:rsidR="00C03D00" w:rsidRPr="003D290F" w:rsidDel="00F21487">
        <w:t xml:space="preserve"> </w:t>
      </w:r>
      <w:r w:rsidR="00D075B9">
        <w:t xml:space="preserve">Other </w:t>
      </w:r>
      <w:r w:rsidR="00D075B9">
        <w:lastRenderedPageBreak/>
        <w:t xml:space="preserve">dependent suppliers may include specialist contractors who provide services to a generator or mine, </w:t>
      </w:r>
      <w:r w:rsidR="00065C83">
        <w:t>particularly</w:t>
      </w:r>
      <w:r w:rsidR="00D075B9">
        <w:t xml:space="preserve"> during regular maintenance cycles.</w:t>
      </w:r>
    </w:p>
    <w:p w14:paraId="620D060C" w14:textId="77777777" w:rsidR="007E776E" w:rsidRPr="003D290F" w:rsidRDefault="00006EE7" w:rsidP="00B66BE0">
      <w:pPr>
        <w:pStyle w:val="Heading2"/>
      </w:pPr>
      <w:bookmarkStart w:id="36" w:name="_Toc161395946"/>
      <w:bookmarkStart w:id="37" w:name="_Toc161403482"/>
      <w:bookmarkStart w:id="38" w:name="_Toc161752216"/>
      <w:bookmarkStart w:id="39" w:name="_Toc161759653"/>
      <w:r w:rsidRPr="003D290F">
        <w:t xml:space="preserve">1.2 </w:t>
      </w:r>
      <w:r w:rsidR="00B840A1" w:rsidRPr="003D290F">
        <w:t>I</w:t>
      </w:r>
      <w:r w:rsidR="00C42C3F" w:rsidRPr="003D290F">
        <w:t xml:space="preserve">mpacts </w:t>
      </w:r>
      <w:r w:rsidR="00B840A1" w:rsidRPr="003D290F">
        <w:t>of closures on</w:t>
      </w:r>
      <w:r w:rsidR="00C42C3F" w:rsidRPr="003D290F">
        <w:t xml:space="preserve"> communities and regions</w:t>
      </w:r>
      <w:bookmarkEnd w:id="36"/>
      <w:bookmarkEnd w:id="37"/>
      <w:bookmarkEnd w:id="38"/>
      <w:bookmarkEnd w:id="39"/>
    </w:p>
    <w:p w14:paraId="28ADEC7A" w14:textId="77777777" w:rsidR="005B3E72" w:rsidRPr="003D290F" w:rsidRDefault="005B3E72" w:rsidP="005B3E72">
      <w:r w:rsidRPr="003D290F">
        <w:t>Coal-fired power stations and associated coal mines are located in six regions around Australia</w:t>
      </w:r>
      <w:r w:rsidR="00CD649F" w:rsidRPr="003D290F">
        <w:t>:</w:t>
      </w:r>
      <w:r w:rsidRPr="003D290F">
        <w:t xml:space="preserve"> Collie (WA), Latrobe Valley (VIC), Hunter Valley (NSW), Lithgow (NSW), Darling Downs (QLD), and Gladstone and Central QLD. </w:t>
      </w:r>
      <w:r w:rsidR="000D76AC" w:rsidRPr="003D290F">
        <w:t xml:space="preserve">The geographic boundaries of these regions for </w:t>
      </w:r>
      <w:r w:rsidR="005E01C5">
        <w:t xml:space="preserve">the </w:t>
      </w:r>
      <w:r w:rsidR="000D76AC" w:rsidRPr="003D290F">
        <w:t xml:space="preserve">purposes of this analysis are defined in </w:t>
      </w:r>
      <w:r w:rsidR="000D76AC" w:rsidRPr="003D290F">
        <w:rPr>
          <w:b/>
          <w:color w:val="1B375C" w:themeColor="accent1"/>
        </w:rPr>
        <w:t xml:space="preserve">Appendix </w:t>
      </w:r>
      <w:r w:rsidR="00B777DF" w:rsidRPr="003D290F">
        <w:rPr>
          <w:b/>
          <w:color w:val="1B375C" w:themeColor="accent1"/>
        </w:rPr>
        <w:t>B</w:t>
      </w:r>
      <w:r w:rsidR="000D76AC" w:rsidRPr="003D290F">
        <w:t xml:space="preserve">. </w:t>
      </w:r>
      <w:r w:rsidRPr="003D290F">
        <w:t xml:space="preserve">Each region has </w:t>
      </w:r>
      <w:r w:rsidR="00D82957" w:rsidRPr="003D290F">
        <w:t xml:space="preserve">a </w:t>
      </w:r>
      <w:r w:rsidRPr="003D290F">
        <w:t xml:space="preserve">different exposure to </w:t>
      </w:r>
      <w:r w:rsidR="00D82957" w:rsidRPr="003D290F">
        <w:t>the impacts of coal-fired power station closures</w:t>
      </w:r>
      <w:r w:rsidRPr="003D290F">
        <w:t>, as measured by t</w:t>
      </w:r>
      <w:r w:rsidRPr="003D290F">
        <w:rPr>
          <w:noProof/>
          <w:lang w:eastAsia="en-AU"/>
        </w:rPr>
        <w:t>he percent of employment in coal mining</w:t>
      </w:r>
      <w:r w:rsidR="00D82957" w:rsidRPr="003D290F">
        <w:rPr>
          <w:noProof/>
          <w:lang w:eastAsia="en-AU"/>
        </w:rPr>
        <w:t xml:space="preserve"> and fossil fuel electricity generation</w:t>
      </w:r>
      <w:r w:rsidR="00E65D91" w:rsidRPr="003D290F">
        <w:t xml:space="preserve"> (see </w:t>
      </w:r>
      <w:r w:rsidRPr="003D290F">
        <w:rPr>
          <w:b/>
          <w:color w:val="1B375C" w:themeColor="accent1"/>
        </w:rPr>
        <w:t>Figure</w:t>
      </w:r>
      <w:r w:rsidR="00B840A1" w:rsidRPr="003D290F">
        <w:rPr>
          <w:b/>
          <w:color w:val="1B375C" w:themeColor="accent1"/>
        </w:rPr>
        <w:t> </w:t>
      </w:r>
      <w:r w:rsidRPr="003D290F">
        <w:rPr>
          <w:b/>
          <w:color w:val="1B375C" w:themeColor="accent1"/>
        </w:rPr>
        <w:t>1.2</w:t>
      </w:r>
      <w:r w:rsidRPr="003D290F">
        <w:t>).</w:t>
      </w:r>
      <w:r w:rsidR="00D82957" w:rsidRPr="003D290F">
        <w:t xml:space="preserve"> </w:t>
      </w:r>
      <w:r w:rsidR="00E33E75" w:rsidRPr="003D290F">
        <w:t>The economic prospects of relevant regions, informed by employment, educational attainment, economic diversity, and income, vary greatly and diverge from national averages (see </w:t>
      </w:r>
      <w:r w:rsidR="00E33E75" w:rsidRPr="003D290F">
        <w:rPr>
          <w:b/>
          <w:color w:val="1B375C" w:themeColor="accent1"/>
        </w:rPr>
        <w:t>Box</w:t>
      </w:r>
      <w:r w:rsidR="00D434EF" w:rsidRPr="003D290F">
        <w:rPr>
          <w:b/>
          <w:color w:val="1B375C" w:themeColor="accent1"/>
        </w:rPr>
        <w:t> </w:t>
      </w:r>
      <w:r w:rsidR="00E33E75" w:rsidRPr="003D290F">
        <w:rPr>
          <w:b/>
          <w:color w:val="1B375C" w:themeColor="accent1"/>
        </w:rPr>
        <w:t xml:space="preserve">1.1 </w:t>
      </w:r>
      <w:r w:rsidR="00E33E75" w:rsidRPr="003D290F">
        <w:t>overleaf).</w:t>
      </w:r>
    </w:p>
    <w:p w14:paraId="3355D04C" w14:textId="77777777" w:rsidR="00550093" w:rsidRPr="003D290F" w:rsidRDefault="00550093" w:rsidP="00C80C07">
      <w:pPr>
        <w:keepNext/>
        <w:spacing w:after="0" w:line="240" w:lineRule="auto"/>
        <w:rPr>
          <w:rFonts w:eastAsia="Times New Roman" w:cs="Segoe UI"/>
          <w:b/>
          <w:sz w:val="28"/>
        </w:rPr>
      </w:pPr>
      <w:r w:rsidRPr="003D290F">
        <w:rPr>
          <w:rFonts w:eastAsia="Times New Roman" w:cs="Segoe UI"/>
          <w:b/>
          <w:sz w:val="28"/>
        </w:rPr>
        <w:t>FIGURE 1.2 COAL-FIRED POWER STATION REGIONS</w:t>
      </w:r>
    </w:p>
    <w:p w14:paraId="7E24D47D" w14:textId="77777777" w:rsidR="00550093" w:rsidRPr="003D290F" w:rsidRDefault="00550093" w:rsidP="00550093">
      <w:pPr>
        <w:spacing w:after="0" w:line="240" w:lineRule="auto"/>
        <w:jc w:val="center"/>
      </w:pPr>
      <w:r w:rsidRPr="003D290F">
        <w:rPr>
          <w:noProof/>
          <w:lang w:eastAsia="en-AU"/>
        </w:rPr>
        <w:drawing>
          <wp:inline distT="0" distB="0" distL="0" distR="0" wp14:anchorId="1A31F9EF" wp14:editId="0A4DF329">
            <wp:extent cx="6444000" cy="407600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4000" cy="4076001"/>
                    </a:xfrm>
                    <a:prstGeom prst="rect">
                      <a:avLst/>
                    </a:prstGeom>
                    <a:noFill/>
                  </pic:spPr>
                </pic:pic>
              </a:graphicData>
            </a:graphic>
          </wp:inline>
        </w:drawing>
      </w:r>
    </w:p>
    <w:p w14:paraId="65F8BA4A" w14:textId="77777777" w:rsidR="00550093" w:rsidRPr="003D290F" w:rsidRDefault="00550093" w:rsidP="00550093">
      <w:pPr>
        <w:spacing w:before="40" w:after="120" w:line="240" w:lineRule="auto"/>
        <w:rPr>
          <w:rFonts w:eastAsia="Times New Roman" w:cs="Segoe UI"/>
          <w:sz w:val="18"/>
        </w:rPr>
      </w:pPr>
      <w:r w:rsidRPr="003D290F">
        <w:rPr>
          <w:rFonts w:eastAsia="Times New Roman" w:cs="Segoe UI"/>
          <w:b/>
          <w:sz w:val="18"/>
        </w:rPr>
        <w:t>Source:</w:t>
      </w:r>
      <w:r w:rsidRPr="003D290F">
        <w:rPr>
          <w:rFonts w:eastAsia="Times New Roman" w:cs="Segoe UI"/>
          <w:sz w:val="18"/>
        </w:rPr>
        <w:t xml:space="preserve"> </w:t>
      </w:r>
      <w:r w:rsidRPr="003D290F">
        <w:rPr>
          <w:sz w:val="18"/>
          <w:szCs w:val="18"/>
        </w:rPr>
        <w:t>Australian Bureau of Statistics</w:t>
      </w:r>
      <w:r w:rsidRPr="003D290F">
        <w:rPr>
          <w:rFonts w:cs="Segoe UI"/>
          <w:sz w:val="18"/>
          <w:szCs w:val="18"/>
        </w:rPr>
        <w:t xml:space="preserve"> (2021), </w:t>
      </w:r>
      <w:hyperlink r:id="rId21" w:history="1">
        <w:r w:rsidRPr="003D290F">
          <w:rPr>
            <w:rStyle w:val="Hyperlink"/>
            <w:rFonts w:cs="Segoe UI"/>
            <w:sz w:val="18"/>
            <w:szCs w:val="18"/>
          </w:rPr>
          <w:t>Population and Housing Census</w:t>
        </w:r>
      </w:hyperlink>
      <w:r w:rsidRPr="003D290F">
        <w:rPr>
          <w:rStyle w:val="Hyperlink"/>
          <w:rFonts w:cs="Segoe UI"/>
          <w:sz w:val="18"/>
          <w:szCs w:val="18"/>
        </w:rPr>
        <w:t xml:space="preserve">; </w:t>
      </w:r>
      <w:r w:rsidRPr="003D290F">
        <w:rPr>
          <w:rFonts w:eastAsia="Times New Roman" w:cs="Segoe UI"/>
          <w:sz w:val="18"/>
        </w:rPr>
        <w:t xml:space="preserve">Australian Energy Market Operator (13 July 2023), </w:t>
      </w:r>
      <w:hyperlink r:id="rId22" w:history="1">
        <w:r w:rsidRPr="003D290F">
          <w:rPr>
            <w:rFonts w:eastAsia="Times New Roman" w:cs="Segoe UI"/>
            <w:color w:val="0563C6"/>
            <w:sz w:val="18"/>
            <w:u w:val="single"/>
          </w:rPr>
          <w:t>Generation information</w:t>
        </w:r>
      </w:hyperlink>
      <w:r w:rsidRPr="003D290F">
        <w:rPr>
          <w:rFonts w:eastAsia="Times New Roman" w:cs="Segoe UI"/>
          <w:sz w:val="18"/>
        </w:rPr>
        <w:t xml:space="preserve">; Geoscience Australia (2022), </w:t>
      </w:r>
      <w:hyperlink r:id="rId23" w:anchor="/metadata/147694" w:history="1">
        <w:r w:rsidRPr="003D290F">
          <w:rPr>
            <w:rStyle w:val="Hyperlink"/>
            <w:rFonts w:eastAsia="Times New Roman" w:cs="Segoe UI"/>
            <w:sz w:val="18"/>
          </w:rPr>
          <w:t>Australian Operating Mines Map 2022</w:t>
        </w:r>
      </w:hyperlink>
    </w:p>
    <w:p w14:paraId="120FA4E4" w14:textId="77777777" w:rsidR="00C03D00" w:rsidRPr="003D290F" w:rsidRDefault="00680479" w:rsidP="0074786D">
      <w:pPr>
        <w:spacing w:before="240"/>
      </w:pPr>
      <w:r w:rsidRPr="003D290F">
        <w:t xml:space="preserve">Studies indicate that the </w:t>
      </w:r>
      <w:r w:rsidR="00927009" w:rsidRPr="003D290F">
        <w:t xml:space="preserve">most significant social impacts felt by communities </w:t>
      </w:r>
      <w:r w:rsidR="00C73787">
        <w:t>experiencing closure of coal</w:t>
      </w:r>
      <w:r w:rsidR="00C73787">
        <w:noBreakHyphen/>
      </w:r>
      <w:r w:rsidR="001C4FEE" w:rsidRPr="003D290F">
        <w:t>fired power stations</w:t>
      </w:r>
      <w:r w:rsidR="00927009" w:rsidRPr="003D290F">
        <w:t xml:space="preserve"> are linked to </w:t>
      </w:r>
      <w:r w:rsidR="00BA67A7" w:rsidRPr="003D290F">
        <w:t xml:space="preserve">the prospect of </w:t>
      </w:r>
      <w:r w:rsidR="00927009" w:rsidRPr="003D290F">
        <w:t>unemployment and economic downturn</w:t>
      </w:r>
      <w:r w:rsidR="001C4FEE" w:rsidRPr="003D290F">
        <w:t>, with the potential for negative effects on people’s livelihoods, identity, health, and quality of life.</w:t>
      </w:r>
      <w:r w:rsidRPr="003D290F">
        <w:rPr>
          <w:rStyle w:val="FootnoteReference"/>
        </w:rPr>
        <w:footnoteReference w:id="19"/>
      </w:r>
      <w:r w:rsidR="008A3F5D" w:rsidRPr="003D290F">
        <w:t xml:space="preserve"> </w:t>
      </w:r>
      <w:r w:rsidR="00C03D00" w:rsidRPr="003D290F">
        <w:t xml:space="preserve">The concentration of coal-fired power stations in particular regional areas means that the employment and </w:t>
      </w:r>
      <w:r w:rsidR="00C03D00" w:rsidRPr="003D290F">
        <w:lastRenderedPageBreak/>
        <w:t xml:space="preserve">social impacts of power station closures can be heightened, compared to the impacts of similarly-sized employer closures in larger metropolitan areas.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E8F2" w:themeFill="background2"/>
        <w:tblLayout w:type="fixed"/>
        <w:tblCellMar>
          <w:left w:w="227" w:type="dxa"/>
          <w:right w:w="227" w:type="dxa"/>
        </w:tblCellMar>
        <w:tblLook w:val="04A0" w:firstRow="1" w:lastRow="0" w:firstColumn="1" w:lastColumn="0" w:noHBand="0" w:noVBand="1"/>
      </w:tblPr>
      <w:tblGrid>
        <w:gridCol w:w="4820"/>
        <w:gridCol w:w="5384"/>
      </w:tblGrid>
      <w:tr w:rsidR="00E33E75" w:rsidRPr="003D290F" w14:paraId="569CB9C1" w14:textId="77777777" w:rsidTr="00E33E75">
        <w:tc>
          <w:tcPr>
            <w:tcW w:w="10204" w:type="dxa"/>
            <w:gridSpan w:val="2"/>
            <w:shd w:val="clear" w:color="auto" w:fill="E0E8F2" w:themeFill="background2"/>
          </w:tcPr>
          <w:p w14:paraId="09F86346" w14:textId="77777777" w:rsidR="00E33E75" w:rsidRPr="003D290F" w:rsidRDefault="00E33E75" w:rsidP="00E33E75">
            <w:pPr>
              <w:spacing w:before="120"/>
              <w:rPr>
                <w:b/>
                <w:sz w:val="24"/>
              </w:rPr>
            </w:pPr>
            <w:r w:rsidRPr="003D290F">
              <w:rPr>
                <w:b/>
                <w:sz w:val="24"/>
                <w:szCs w:val="24"/>
              </w:rPr>
              <w:t xml:space="preserve">BOX 1.1 </w:t>
            </w:r>
            <w:r w:rsidRPr="003D290F">
              <w:rPr>
                <w:rFonts w:eastAsia="Times New Roman"/>
                <w:b/>
                <w:sz w:val="24"/>
                <w:szCs w:val="24"/>
              </w:rPr>
              <w:t>ECONOMIC</w:t>
            </w:r>
            <w:r w:rsidRPr="003D290F">
              <w:rPr>
                <w:rFonts w:eastAsia="Times New Roman"/>
                <w:b/>
                <w:sz w:val="24"/>
              </w:rPr>
              <w:t xml:space="preserve"> INDICATORS FOR COAL-FIRED POWER STATION REGIONS</w:t>
            </w:r>
          </w:p>
          <w:p w14:paraId="19052DC1" w14:textId="77777777" w:rsidR="00E33E75" w:rsidRPr="003D290F" w:rsidRDefault="00011D28" w:rsidP="00E33E75">
            <w:pPr>
              <w:spacing w:before="120"/>
              <w:rPr>
                <w:sz w:val="20"/>
                <w:szCs w:val="20"/>
              </w:rPr>
            </w:pPr>
            <w:r w:rsidRPr="003D290F">
              <w:rPr>
                <w:sz w:val="20"/>
                <w:szCs w:val="20"/>
              </w:rPr>
              <w:t xml:space="preserve">Evidence suggests worker outcomes are closely linked to a region’s local economic conditions and capacity to adapt to economic shocks. </w:t>
            </w:r>
            <w:r w:rsidR="00E33E75" w:rsidRPr="003D290F">
              <w:rPr>
                <w:sz w:val="20"/>
                <w:szCs w:val="20"/>
              </w:rPr>
              <w:t xml:space="preserve">Coal-fired power station regions </w:t>
            </w:r>
            <w:r w:rsidR="00922D6E" w:rsidRPr="003D290F">
              <w:rPr>
                <w:sz w:val="20"/>
                <w:szCs w:val="20"/>
              </w:rPr>
              <w:t xml:space="preserve">tend to </w:t>
            </w:r>
            <w:r w:rsidR="00E33E75" w:rsidRPr="003D290F">
              <w:rPr>
                <w:sz w:val="20"/>
                <w:szCs w:val="20"/>
              </w:rPr>
              <w:t xml:space="preserve">have worse socioeconomic indicators relative to national averages, </w:t>
            </w:r>
            <w:r w:rsidRPr="003D290F">
              <w:rPr>
                <w:sz w:val="20"/>
                <w:szCs w:val="20"/>
              </w:rPr>
              <w:t xml:space="preserve">potentially </w:t>
            </w:r>
            <w:r w:rsidR="00E33E75" w:rsidRPr="003D290F">
              <w:rPr>
                <w:sz w:val="20"/>
                <w:szCs w:val="20"/>
              </w:rPr>
              <w:t xml:space="preserve">exacerbating the costs of closures and the difficulties of economic transition. </w:t>
            </w:r>
            <w:r w:rsidR="00A21B8F" w:rsidRPr="003D290F">
              <w:rPr>
                <w:sz w:val="20"/>
                <w:szCs w:val="20"/>
              </w:rPr>
              <w:t>Notably, u</w:t>
            </w:r>
            <w:r w:rsidR="00E33E75" w:rsidRPr="003D290F">
              <w:rPr>
                <w:sz w:val="20"/>
                <w:szCs w:val="20"/>
              </w:rPr>
              <w:t>nemployment in Collie (</w:t>
            </w:r>
            <w:r w:rsidR="00D63123" w:rsidRPr="003D290F">
              <w:rPr>
                <w:sz w:val="20"/>
                <w:szCs w:val="20"/>
              </w:rPr>
              <w:t>7</w:t>
            </w:r>
            <w:r w:rsidR="00E33E75" w:rsidRPr="003D290F">
              <w:rPr>
                <w:sz w:val="20"/>
                <w:szCs w:val="20"/>
              </w:rPr>
              <w:t>.</w:t>
            </w:r>
            <w:r w:rsidR="00CC658A" w:rsidRPr="003D290F">
              <w:rPr>
                <w:sz w:val="20"/>
                <w:szCs w:val="20"/>
              </w:rPr>
              <w:t>4</w:t>
            </w:r>
            <w:r w:rsidR="00E33E75" w:rsidRPr="003D290F">
              <w:rPr>
                <w:sz w:val="20"/>
                <w:szCs w:val="20"/>
              </w:rPr>
              <w:t xml:space="preserve"> per cent) </w:t>
            </w:r>
            <w:r w:rsidR="005A7319" w:rsidRPr="003D290F">
              <w:rPr>
                <w:sz w:val="20"/>
                <w:szCs w:val="20"/>
              </w:rPr>
              <w:t>is</w:t>
            </w:r>
            <w:r w:rsidR="00A21B8F" w:rsidRPr="003D290F">
              <w:rPr>
                <w:sz w:val="20"/>
                <w:szCs w:val="20"/>
              </w:rPr>
              <w:t xml:space="preserve"> </w:t>
            </w:r>
            <w:r w:rsidR="00453631" w:rsidRPr="003D290F">
              <w:rPr>
                <w:sz w:val="20"/>
                <w:szCs w:val="20"/>
              </w:rPr>
              <w:t xml:space="preserve">more than </w:t>
            </w:r>
            <w:r w:rsidR="005A7319" w:rsidRPr="003D290F">
              <w:rPr>
                <w:sz w:val="20"/>
                <w:szCs w:val="20"/>
              </w:rPr>
              <w:t xml:space="preserve">three </w:t>
            </w:r>
            <w:r w:rsidR="00E33E75" w:rsidRPr="003D290F">
              <w:rPr>
                <w:sz w:val="20"/>
                <w:szCs w:val="20"/>
              </w:rPr>
              <w:t>percentage point</w:t>
            </w:r>
            <w:r w:rsidR="00453631" w:rsidRPr="003D290F">
              <w:rPr>
                <w:sz w:val="20"/>
                <w:szCs w:val="20"/>
              </w:rPr>
              <w:t>s</w:t>
            </w:r>
            <w:r w:rsidR="00E33E75" w:rsidRPr="003D290F">
              <w:rPr>
                <w:sz w:val="20"/>
                <w:szCs w:val="20"/>
              </w:rPr>
              <w:t xml:space="preserve"> higher than the national average (</w:t>
            </w:r>
            <w:r w:rsidR="00CC658A" w:rsidRPr="003D290F">
              <w:rPr>
                <w:sz w:val="20"/>
                <w:szCs w:val="20"/>
              </w:rPr>
              <w:t>3.7</w:t>
            </w:r>
            <w:r w:rsidR="00E33E75" w:rsidRPr="003D290F">
              <w:rPr>
                <w:sz w:val="20"/>
                <w:szCs w:val="20"/>
              </w:rPr>
              <w:t xml:space="preserve"> per cent) as at </w:t>
            </w:r>
            <w:r w:rsidR="00922D6E" w:rsidRPr="003D290F">
              <w:rPr>
                <w:sz w:val="20"/>
                <w:szCs w:val="20"/>
              </w:rPr>
              <w:t>financial year 2022-23</w:t>
            </w:r>
            <w:r w:rsidR="00E33E75" w:rsidRPr="003D290F">
              <w:rPr>
                <w:sz w:val="20"/>
                <w:szCs w:val="20"/>
              </w:rPr>
              <w:t xml:space="preserve">. </w:t>
            </w:r>
            <w:r w:rsidR="006C6A8C" w:rsidRPr="003D290F">
              <w:rPr>
                <w:sz w:val="20"/>
                <w:szCs w:val="20"/>
              </w:rPr>
              <w:t>The percentage of workers in low</w:t>
            </w:r>
            <w:r w:rsidR="00C73787">
              <w:rPr>
                <w:sz w:val="20"/>
                <w:szCs w:val="20"/>
              </w:rPr>
              <w:t>-</w:t>
            </w:r>
            <w:r w:rsidR="00002616">
              <w:rPr>
                <w:sz w:val="20"/>
                <w:szCs w:val="20"/>
              </w:rPr>
              <w:t>skilled</w:t>
            </w:r>
            <w:r w:rsidR="00C73787">
              <w:rPr>
                <w:sz w:val="20"/>
                <w:szCs w:val="20"/>
              </w:rPr>
              <w:t xml:space="preserve"> and semi</w:t>
            </w:r>
            <w:r w:rsidR="00C73787">
              <w:rPr>
                <w:sz w:val="20"/>
                <w:szCs w:val="20"/>
              </w:rPr>
              <w:noBreakHyphen/>
            </w:r>
            <w:r w:rsidR="006C6A8C" w:rsidRPr="003D290F">
              <w:rPr>
                <w:sz w:val="20"/>
                <w:szCs w:val="20"/>
              </w:rPr>
              <w:t>skilled occupations</w:t>
            </w:r>
            <w:r w:rsidRPr="003D290F">
              <w:rPr>
                <w:sz w:val="20"/>
                <w:szCs w:val="20"/>
              </w:rPr>
              <w:t xml:space="preserve"> is </w:t>
            </w:r>
            <w:r w:rsidR="006C6A8C" w:rsidRPr="003D290F">
              <w:rPr>
                <w:sz w:val="20"/>
                <w:szCs w:val="20"/>
              </w:rPr>
              <w:t>higher</w:t>
            </w:r>
            <w:r w:rsidRPr="003D290F">
              <w:rPr>
                <w:sz w:val="20"/>
                <w:szCs w:val="20"/>
              </w:rPr>
              <w:t xml:space="preserve"> than the Australian average for all regions, with Collie </w:t>
            </w:r>
            <w:r w:rsidR="006C6A8C" w:rsidRPr="003D290F">
              <w:rPr>
                <w:sz w:val="20"/>
                <w:szCs w:val="20"/>
              </w:rPr>
              <w:t xml:space="preserve">17 </w:t>
            </w:r>
            <w:r w:rsidRPr="003D290F">
              <w:rPr>
                <w:sz w:val="20"/>
                <w:szCs w:val="20"/>
              </w:rPr>
              <w:t xml:space="preserve">percentage points </w:t>
            </w:r>
            <w:r w:rsidR="006C6A8C" w:rsidRPr="003D290F">
              <w:rPr>
                <w:sz w:val="20"/>
                <w:szCs w:val="20"/>
              </w:rPr>
              <w:t xml:space="preserve">higher </w:t>
            </w:r>
            <w:r w:rsidRPr="003D290F">
              <w:rPr>
                <w:sz w:val="20"/>
                <w:szCs w:val="20"/>
              </w:rPr>
              <w:t>than the national average</w:t>
            </w:r>
            <w:r w:rsidR="00E33E75" w:rsidRPr="003D290F">
              <w:rPr>
                <w:sz w:val="20"/>
                <w:szCs w:val="20"/>
              </w:rPr>
              <w:t>.</w:t>
            </w:r>
            <w:r w:rsidR="009E02E2" w:rsidRPr="003D290F">
              <w:rPr>
                <w:rStyle w:val="FootnoteReference"/>
                <w:sz w:val="20"/>
                <w:szCs w:val="20"/>
              </w:rPr>
              <w:footnoteReference w:id="20"/>
            </w:r>
          </w:p>
          <w:p w14:paraId="30E36D81" w14:textId="77777777" w:rsidR="00870CC2" w:rsidRPr="003D290F" w:rsidRDefault="00E33E75" w:rsidP="00870CC2">
            <w:pPr>
              <w:spacing w:before="120"/>
              <w:rPr>
                <w:sz w:val="20"/>
                <w:szCs w:val="20"/>
              </w:rPr>
            </w:pPr>
            <w:r w:rsidRPr="003D290F">
              <w:rPr>
                <w:sz w:val="20"/>
                <w:szCs w:val="20"/>
              </w:rPr>
              <w:t xml:space="preserve">Greater industry variation, or ‘economic diversity’, strengthens a region’s resilience to industry-specific shocks by increasing the potential for workers to move to unaffected sectors. Economic diversity, as measured by the Hachman </w:t>
            </w:r>
            <w:r w:rsidR="00870CC2" w:rsidRPr="003D290F">
              <w:rPr>
                <w:sz w:val="20"/>
                <w:szCs w:val="20"/>
              </w:rPr>
              <w:t xml:space="preserve">Index </w:t>
            </w:r>
            <w:r w:rsidRPr="003D290F">
              <w:rPr>
                <w:sz w:val="20"/>
                <w:szCs w:val="20"/>
              </w:rPr>
              <w:t>(zero to one, where one signifies</w:t>
            </w:r>
            <w:r w:rsidR="00011D28" w:rsidRPr="003D290F">
              <w:rPr>
                <w:sz w:val="20"/>
                <w:szCs w:val="20"/>
              </w:rPr>
              <w:t xml:space="preserve"> economic diversity equal to Australia</w:t>
            </w:r>
            <w:r w:rsidRPr="003D290F">
              <w:rPr>
                <w:sz w:val="20"/>
                <w:szCs w:val="20"/>
              </w:rPr>
              <w:t xml:space="preserve">), is low for Collie (0.1 out of 1), Lithgow (0.2), and Darling Downs (0.3). Latrobe Valley (0.5) and Gladstone &amp; Central QLD (0.6) fare better but are still largely reliant on </w:t>
            </w:r>
            <w:r w:rsidR="00A21B8F" w:rsidRPr="003D290F">
              <w:rPr>
                <w:sz w:val="20"/>
                <w:szCs w:val="20"/>
              </w:rPr>
              <w:t xml:space="preserve">relatively few </w:t>
            </w:r>
            <w:r w:rsidRPr="003D290F">
              <w:rPr>
                <w:sz w:val="20"/>
                <w:szCs w:val="20"/>
              </w:rPr>
              <w:t>industries. The Hunter Valley</w:t>
            </w:r>
            <w:r w:rsidR="00011D28" w:rsidRPr="003D290F">
              <w:rPr>
                <w:sz w:val="20"/>
                <w:szCs w:val="20"/>
              </w:rPr>
              <w:t xml:space="preserve"> (including Newcastle)</w:t>
            </w:r>
            <w:r w:rsidRPr="003D290F">
              <w:rPr>
                <w:sz w:val="20"/>
                <w:szCs w:val="20"/>
              </w:rPr>
              <w:t xml:space="preserve">, on the other hand, has considerable economic diversity (0.8). </w:t>
            </w:r>
          </w:p>
          <w:p w14:paraId="1FECB306" w14:textId="77777777" w:rsidR="00E33E75" w:rsidRPr="003D290F" w:rsidRDefault="00E33E75">
            <w:pPr>
              <w:spacing w:before="120"/>
            </w:pPr>
            <w:r w:rsidRPr="003D290F">
              <w:rPr>
                <w:sz w:val="20"/>
                <w:szCs w:val="20"/>
              </w:rPr>
              <w:t xml:space="preserve">While workers in coal mining and fossil fuel electricity generation industries earn more than the national average, pulling up average earnings in these regions, the high prevalence of single-income </w:t>
            </w:r>
            <w:r w:rsidR="005A7319" w:rsidRPr="003D290F">
              <w:rPr>
                <w:sz w:val="20"/>
                <w:szCs w:val="20"/>
              </w:rPr>
              <w:t xml:space="preserve">and </w:t>
            </w:r>
            <w:r w:rsidR="00C73787">
              <w:rPr>
                <w:sz w:val="20"/>
                <w:szCs w:val="20"/>
              </w:rPr>
              <w:t>primary</w:t>
            </w:r>
            <w:r w:rsidR="00C73787">
              <w:rPr>
                <w:sz w:val="20"/>
                <w:szCs w:val="20"/>
              </w:rPr>
              <w:noBreakHyphen/>
            </w:r>
            <w:r w:rsidR="00870CC2" w:rsidRPr="003D290F">
              <w:rPr>
                <w:sz w:val="20"/>
                <w:szCs w:val="20"/>
              </w:rPr>
              <w:t xml:space="preserve">income earner </w:t>
            </w:r>
            <w:r w:rsidRPr="003D290F">
              <w:rPr>
                <w:sz w:val="20"/>
                <w:szCs w:val="20"/>
              </w:rPr>
              <w:t xml:space="preserve">households in these regions cause median household income to </w:t>
            </w:r>
            <w:r w:rsidR="00A21B8F" w:rsidRPr="003D290F">
              <w:rPr>
                <w:sz w:val="20"/>
                <w:szCs w:val="20"/>
              </w:rPr>
              <w:t xml:space="preserve">be </w:t>
            </w:r>
            <w:r w:rsidRPr="003D290F">
              <w:rPr>
                <w:sz w:val="20"/>
                <w:szCs w:val="20"/>
              </w:rPr>
              <w:t>below the national median</w:t>
            </w:r>
            <w:r w:rsidRPr="003D290F" w:rsidDel="009F4446">
              <w:rPr>
                <w:sz w:val="20"/>
                <w:szCs w:val="20"/>
              </w:rPr>
              <w:t xml:space="preserve"> </w:t>
            </w:r>
            <w:r w:rsidRPr="003D290F">
              <w:rPr>
                <w:sz w:val="20"/>
                <w:szCs w:val="20"/>
              </w:rPr>
              <w:t>($78,000), especially in Collie ($51,000).</w:t>
            </w:r>
          </w:p>
        </w:tc>
      </w:tr>
      <w:tr w:rsidR="00E33E75" w:rsidRPr="003D290F" w14:paraId="4537F518" w14:textId="77777777" w:rsidTr="00F86755">
        <w:tblPrEx>
          <w:tblCellMar>
            <w:left w:w="108" w:type="dxa"/>
            <w:right w:w="108" w:type="dxa"/>
          </w:tblCellMar>
        </w:tblPrEx>
        <w:trPr>
          <w:trHeight w:val="2551"/>
        </w:trPr>
        <w:tc>
          <w:tcPr>
            <w:tcW w:w="4820" w:type="dxa"/>
            <w:shd w:val="clear" w:color="auto" w:fill="E0E8F2" w:themeFill="background2"/>
            <w:tcMar>
              <w:left w:w="227" w:type="dxa"/>
            </w:tcMar>
          </w:tcPr>
          <w:p w14:paraId="558F1361" w14:textId="77777777" w:rsidR="00E33E75" w:rsidRPr="003D290F" w:rsidRDefault="00E33E75" w:rsidP="00E33E75">
            <w:pPr>
              <w:spacing w:before="120"/>
              <w:rPr>
                <w:b/>
              </w:rPr>
            </w:pPr>
            <w:r w:rsidRPr="003D290F">
              <w:rPr>
                <w:b/>
              </w:rPr>
              <w:t>PANEL A: UNEMPLOYMENT</w:t>
            </w:r>
          </w:p>
          <w:p w14:paraId="6CE74A26" w14:textId="77777777" w:rsidR="00E33E75" w:rsidRPr="003D290F" w:rsidRDefault="00E33E75" w:rsidP="00E33E75">
            <w:pPr>
              <w:spacing w:before="40"/>
              <w:rPr>
                <w:i/>
                <w:sz w:val="20"/>
              </w:rPr>
            </w:pPr>
            <w:r w:rsidRPr="003D290F">
              <w:rPr>
                <w:i/>
                <w:sz w:val="20"/>
              </w:rPr>
              <w:t>% of labour force that is unemployed</w:t>
            </w:r>
          </w:p>
          <w:p w14:paraId="001492D0" w14:textId="77777777" w:rsidR="00E33E75" w:rsidRPr="003D290F" w:rsidRDefault="00F71B17" w:rsidP="00E33E75">
            <w:pPr>
              <w:spacing w:before="40"/>
            </w:pPr>
            <w:r w:rsidRPr="003D290F">
              <w:rPr>
                <w:noProof/>
                <w:lang w:eastAsia="en-AU"/>
              </w:rPr>
              <w:drawing>
                <wp:inline distT="0" distB="0" distL="0" distR="0" wp14:anchorId="6B761B3F" wp14:editId="2D00384C">
                  <wp:extent cx="2938145" cy="1548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384" w:type="dxa"/>
            <w:shd w:val="clear" w:color="auto" w:fill="E0E8F2" w:themeFill="background2"/>
            <w:tcMar>
              <w:right w:w="227" w:type="dxa"/>
            </w:tcMar>
          </w:tcPr>
          <w:p w14:paraId="3050E48B" w14:textId="77777777" w:rsidR="00E33E75" w:rsidRPr="003D290F" w:rsidRDefault="00E33E75" w:rsidP="00E33E75">
            <w:pPr>
              <w:spacing w:before="120"/>
              <w:rPr>
                <w:b/>
              </w:rPr>
            </w:pPr>
            <w:r w:rsidRPr="003D290F">
              <w:rPr>
                <w:b/>
              </w:rPr>
              <w:t xml:space="preserve">PANEL B: </w:t>
            </w:r>
            <w:r w:rsidR="006C6A8C" w:rsidRPr="003D290F">
              <w:rPr>
                <w:b/>
              </w:rPr>
              <w:t>SKILL PROFILE</w:t>
            </w:r>
          </w:p>
          <w:p w14:paraId="2A5C7E11" w14:textId="77777777" w:rsidR="00E33E75" w:rsidRPr="003D290F" w:rsidRDefault="00E33E75" w:rsidP="00E33E75">
            <w:pPr>
              <w:spacing w:before="40"/>
              <w:rPr>
                <w:i/>
                <w:sz w:val="20"/>
              </w:rPr>
            </w:pPr>
            <w:r w:rsidRPr="003D290F">
              <w:rPr>
                <w:i/>
                <w:sz w:val="20"/>
              </w:rPr>
              <w:t xml:space="preserve">% of 15+ population </w:t>
            </w:r>
            <w:r w:rsidR="006C6A8C" w:rsidRPr="003D290F">
              <w:rPr>
                <w:i/>
                <w:sz w:val="20"/>
              </w:rPr>
              <w:t>in a</w:t>
            </w:r>
            <w:r w:rsidR="009E02E2" w:rsidRPr="003D290F">
              <w:rPr>
                <w:i/>
                <w:sz w:val="20"/>
              </w:rPr>
              <w:t xml:space="preserve"> low-skilled</w:t>
            </w:r>
            <w:r w:rsidRPr="003D290F">
              <w:rPr>
                <w:i/>
                <w:sz w:val="20"/>
              </w:rPr>
              <w:t xml:space="preserve"> </w:t>
            </w:r>
            <w:r w:rsidR="006C6A8C" w:rsidRPr="003D290F">
              <w:rPr>
                <w:i/>
                <w:sz w:val="20"/>
              </w:rPr>
              <w:t>occupation</w:t>
            </w:r>
          </w:p>
          <w:p w14:paraId="395D23EC" w14:textId="77777777" w:rsidR="00E33E75" w:rsidRPr="003D290F" w:rsidRDefault="00F71B17" w:rsidP="00E33E75">
            <w:pPr>
              <w:spacing w:before="40"/>
            </w:pPr>
            <w:r w:rsidRPr="003D290F">
              <w:rPr>
                <w:noProof/>
                <w:lang w:eastAsia="en-AU"/>
              </w:rPr>
              <w:drawing>
                <wp:inline distT="0" distB="0" distL="0" distR="0" wp14:anchorId="7C7C918C" wp14:editId="51E8B52C">
                  <wp:extent cx="3070990" cy="1548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33E75" w:rsidRPr="003D290F" w14:paraId="20F9E0C7" w14:textId="77777777" w:rsidTr="000409FE">
        <w:tblPrEx>
          <w:tblCellMar>
            <w:left w:w="108" w:type="dxa"/>
            <w:right w:w="108" w:type="dxa"/>
          </w:tblCellMar>
        </w:tblPrEx>
        <w:tc>
          <w:tcPr>
            <w:tcW w:w="4820" w:type="dxa"/>
            <w:shd w:val="clear" w:color="auto" w:fill="E0E8F2" w:themeFill="background2"/>
            <w:tcMar>
              <w:left w:w="227" w:type="dxa"/>
            </w:tcMar>
          </w:tcPr>
          <w:p w14:paraId="0EC263D3" w14:textId="77777777" w:rsidR="00E33E75" w:rsidRPr="003D290F" w:rsidRDefault="00E33E75" w:rsidP="00E33E75">
            <w:pPr>
              <w:spacing w:before="120"/>
              <w:rPr>
                <w:b/>
              </w:rPr>
            </w:pPr>
            <w:r w:rsidRPr="003D290F">
              <w:rPr>
                <w:b/>
              </w:rPr>
              <w:t>PANEL C: ECONOMIC DIVERSITY</w:t>
            </w:r>
          </w:p>
          <w:p w14:paraId="527C61C7" w14:textId="77777777" w:rsidR="00E33E75" w:rsidRPr="003D290F" w:rsidRDefault="00E33E75" w:rsidP="00E33E75">
            <w:pPr>
              <w:spacing w:before="40"/>
              <w:rPr>
                <w:i/>
                <w:sz w:val="20"/>
              </w:rPr>
            </w:pPr>
            <w:r w:rsidRPr="003D290F">
              <w:rPr>
                <w:i/>
                <w:sz w:val="20"/>
              </w:rPr>
              <w:t>Hachman index (0 to 1, where 1 is most diverse)</w:t>
            </w:r>
          </w:p>
          <w:p w14:paraId="08BFFE1E" w14:textId="77777777" w:rsidR="00E33E75" w:rsidRPr="003D290F" w:rsidRDefault="00E33E75" w:rsidP="00E33E75">
            <w:pPr>
              <w:spacing w:before="40"/>
            </w:pPr>
            <w:r w:rsidRPr="003D290F">
              <w:rPr>
                <w:noProof/>
                <w:lang w:eastAsia="en-AU"/>
              </w:rPr>
              <w:drawing>
                <wp:inline distT="0" distB="0" distL="0" distR="0" wp14:anchorId="677B4900" wp14:editId="7FAC740A">
                  <wp:extent cx="3060000" cy="1548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384" w:type="dxa"/>
            <w:shd w:val="clear" w:color="auto" w:fill="E0E8F2" w:themeFill="background2"/>
          </w:tcPr>
          <w:p w14:paraId="48846AD0" w14:textId="77777777" w:rsidR="00E33E75" w:rsidRPr="003D290F" w:rsidRDefault="00E33E75" w:rsidP="00E33E75">
            <w:pPr>
              <w:spacing w:before="120"/>
              <w:rPr>
                <w:b/>
              </w:rPr>
            </w:pPr>
            <w:r w:rsidRPr="003D290F">
              <w:rPr>
                <w:b/>
              </w:rPr>
              <w:t>PANEL D: INCOME</w:t>
            </w:r>
          </w:p>
          <w:p w14:paraId="1B0283F5" w14:textId="77777777" w:rsidR="00E33E75" w:rsidRPr="003D290F" w:rsidRDefault="00E33E75" w:rsidP="00E33E75">
            <w:pPr>
              <w:spacing w:before="40"/>
              <w:rPr>
                <w:noProof/>
                <w:sz w:val="20"/>
                <w:lang w:eastAsia="en-AU"/>
              </w:rPr>
            </w:pPr>
            <w:r w:rsidRPr="003D290F">
              <w:rPr>
                <w:i/>
                <w:sz w:val="20"/>
              </w:rPr>
              <w:t>Median household income</w:t>
            </w:r>
            <w:r w:rsidRPr="003D290F">
              <w:rPr>
                <w:noProof/>
                <w:sz w:val="20"/>
                <w:lang w:eastAsia="en-AU"/>
              </w:rPr>
              <w:t xml:space="preserve"> ($)</w:t>
            </w:r>
          </w:p>
          <w:p w14:paraId="4A8D120A" w14:textId="77777777" w:rsidR="00E33E75" w:rsidRPr="003D290F" w:rsidRDefault="00E33E75" w:rsidP="00E33E75">
            <w:pPr>
              <w:spacing w:before="40"/>
            </w:pPr>
            <w:r w:rsidRPr="003D290F">
              <w:rPr>
                <w:noProof/>
                <w:lang w:eastAsia="en-AU"/>
              </w:rPr>
              <w:drawing>
                <wp:inline distT="0" distB="0" distL="0" distR="0" wp14:anchorId="15ECAB2E" wp14:editId="336FCDD1">
                  <wp:extent cx="3060000" cy="1548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E33E75" w:rsidRPr="003D290F" w14:paraId="495897D0" w14:textId="77777777" w:rsidTr="00E33E75">
        <w:tc>
          <w:tcPr>
            <w:tcW w:w="10204" w:type="dxa"/>
            <w:gridSpan w:val="2"/>
            <w:shd w:val="clear" w:color="auto" w:fill="E0E8F2" w:themeFill="background2"/>
          </w:tcPr>
          <w:p w14:paraId="2D30EF49" w14:textId="77777777" w:rsidR="00E33E75" w:rsidRPr="003D290F" w:rsidRDefault="00E33E75">
            <w:pPr>
              <w:spacing w:before="60" w:after="160"/>
              <w:rPr>
                <w:sz w:val="18"/>
                <w:szCs w:val="18"/>
              </w:rPr>
            </w:pPr>
            <w:r w:rsidRPr="003D290F">
              <w:rPr>
                <w:b/>
                <w:sz w:val="18"/>
                <w:szCs w:val="18"/>
              </w:rPr>
              <w:t>Source:</w:t>
            </w:r>
            <w:r w:rsidRPr="003D290F">
              <w:rPr>
                <w:sz w:val="18"/>
                <w:szCs w:val="18"/>
              </w:rPr>
              <w:t xml:space="preserve"> Australian Bureau of Statistics</w:t>
            </w:r>
            <w:r w:rsidRPr="003D290F">
              <w:rPr>
                <w:rFonts w:cs="Segoe UI"/>
                <w:sz w:val="18"/>
                <w:szCs w:val="18"/>
              </w:rPr>
              <w:t xml:space="preserve"> (2021), </w:t>
            </w:r>
            <w:hyperlink r:id="rId28" w:history="1">
              <w:r w:rsidRPr="003D290F">
                <w:rPr>
                  <w:rStyle w:val="Hyperlink"/>
                  <w:rFonts w:cs="Segoe UI"/>
                  <w:sz w:val="18"/>
                  <w:szCs w:val="18"/>
                </w:rPr>
                <w:t>Population and Housing Census</w:t>
              </w:r>
            </w:hyperlink>
            <w:r w:rsidR="00064AB8" w:rsidRPr="003D290F">
              <w:rPr>
                <w:rStyle w:val="Hyperlink"/>
                <w:rFonts w:cs="Segoe UI"/>
                <w:color w:val="auto"/>
                <w:sz w:val="18"/>
                <w:szCs w:val="18"/>
                <w:u w:val="none"/>
              </w:rPr>
              <w:t xml:space="preserve"> and </w:t>
            </w:r>
            <w:r w:rsidR="002846B9" w:rsidRPr="003D290F">
              <w:rPr>
                <w:rStyle w:val="Hyperlink"/>
                <w:rFonts w:cs="Segoe UI"/>
                <w:color w:val="auto"/>
                <w:sz w:val="18"/>
                <w:szCs w:val="18"/>
                <w:u w:val="none"/>
              </w:rPr>
              <w:t>Jobs and Skills Australia</w:t>
            </w:r>
            <w:r w:rsidR="00064AB8" w:rsidRPr="003D290F">
              <w:rPr>
                <w:sz w:val="18"/>
                <w:szCs w:val="18"/>
              </w:rPr>
              <w:t>, (</w:t>
            </w:r>
            <w:r w:rsidR="00270852" w:rsidRPr="003D290F">
              <w:rPr>
                <w:sz w:val="18"/>
                <w:szCs w:val="18"/>
              </w:rPr>
              <w:t>Jun. 2023</w:t>
            </w:r>
            <w:r w:rsidR="00064AB8" w:rsidRPr="003D290F">
              <w:rPr>
                <w:sz w:val="18"/>
                <w:szCs w:val="18"/>
              </w:rPr>
              <w:t xml:space="preserve">), </w:t>
            </w:r>
            <w:hyperlink r:id="rId29" w:history="1">
              <w:r w:rsidR="00064AB8" w:rsidRPr="003D290F">
                <w:rPr>
                  <w:rStyle w:val="Hyperlink"/>
                  <w:sz w:val="18"/>
                  <w:szCs w:val="18"/>
                </w:rPr>
                <w:t>Small Area Labour Markets</w:t>
              </w:r>
            </w:hyperlink>
            <w:r w:rsidR="00922D6E" w:rsidRPr="003D290F">
              <w:rPr>
                <w:rStyle w:val="Hyperlink"/>
                <w:color w:val="auto"/>
                <w:sz w:val="18"/>
                <w:szCs w:val="18"/>
                <w:u w:val="none"/>
              </w:rPr>
              <w:t xml:space="preserve"> where </w:t>
            </w:r>
            <w:hyperlink r:id="rId30" w:history="1">
              <w:r w:rsidR="00922D6E" w:rsidRPr="003D290F">
                <w:rPr>
                  <w:rStyle w:val="Hyperlink"/>
                  <w:sz w:val="18"/>
                  <w:szCs w:val="18"/>
                </w:rPr>
                <w:t>Statistical Areas Level 2</w:t>
              </w:r>
            </w:hyperlink>
            <w:r w:rsidR="00922D6E" w:rsidRPr="003D290F">
              <w:rPr>
                <w:rStyle w:val="Hyperlink"/>
                <w:color w:val="auto"/>
                <w:sz w:val="18"/>
                <w:szCs w:val="18"/>
                <w:u w:val="none"/>
              </w:rPr>
              <w:t xml:space="preserve"> are aggregated for each region as per </w:t>
            </w:r>
            <w:r w:rsidR="00922D6E" w:rsidRPr="003D290F">
              <w:rPr>
                <w:rStyle w:val="Hyperlink"/>
                <w:b/>
                <w:color w:val="1B375C" w:themeColor="accent1"/>
                <w:sz w:val="18"/>
                <w:szCs w:val="18"/>
                <w:u w:val="none"/>
              </w:rPr>
              <w:t>Appendix B</w:t>
            </w:r>
            <w:r w:rsidR="00922D6E" w:rsidRPr="003D290F">
              <w:rPr>
                <w:rStyle w:val="Hyperlink"/>
                <w:color w:val="auto"/>
                <w:sz w:val="18"/>
                <w:szCs w:val="18"/>
                <w:u w:val="none"/>
              </w:rPr>
              <w:t>.</w:t>
            </w:r>
          </w:p>
        </w:tc>
      </w:tr>
    </w:tbl>
    <w:p w14:paraId="66C4EDA9" w14:textId="77777777" w:rsidR="00C03D00" w:rsidRPr="003D290F" w:rsidRDefault="00B31109" w:rsidP="00DD0490">
      <w:pPr>
        <w:spacing w:before="240"/>
      </w:pPr>
      <w:r w:rsidRPr="003D290F">
        <w:lastRenderedPageBreak/>
        <w:t>While workers in coal-fired power stations and dependent suppliers may have skills that are transferable to other employment, new jobs are not always located near newly-closed coal-fired power stations</w:t>
      </w:r>
      <w:r w:rsidR="00DD2A10">
        <w:t>, and may be difficult to find for older workers who are not used to changing employment</w:t>
      </w:r>
      <w:r w:rsidRPr="003D290F">
        <w:t xml:space="preserve">. </w:t>
      </w:r>
      <w:r w:rsidR="00CD649F" w:rsidRPr="003D290F">
        <w:t xml:space="preserve">If </w:t>
      </w:r>
      <w:r w:rsidRPr="003D290F">
        <w:t xml:space="preserve">alternative </w:t>
      </w:r>
      <w:r w:rsidR="00866911" w:rsidRPr="003D290F">
        <w:t>opportunities</w:t>
      </w:r>
      <w:r w:rsidR="00927009" w:rsidRPr="003D290F">
        <w:t xml:space="preserve"> are slow to eventuate, </w:t>
      </w:r>
      <w:r w:rsidR="00CD649F" w:rsidRPr="003D290F">
        <w:t xml:space="preserve">and workers cannot relocate or commute to other jobs, </w:t>
      </w:r>
      <w:r w:rsidR="00927009" w:rsidRPr="003D290F">
        <w:t>long</w:t>
      </w:r>
      <w:r w:rsidR="001C4FEE" w:rsidRPr="003D290F">
        <w:t>er</w:t>
      </w:r>
      <w:r w:rsidR="00927009" w:rsidRPr="003D290F">
        <w:t xml:space="preserve">-term </w:t>
      </w:r>
      <w:r w:rsidRPr="003D290F">
        <w:t xml:space="preserve">unemployment can rise. </w:t>
      </w:r>
      <w:r w:rsidR="00680479" w:rsidRPr="003D290F">
        <w:t>Data indicates</w:t>
      </w:r>
      <w:r w:rsidRPr="003D290F">
        <w:t xml:space="preserve"> </w:t>
      </w:r>
      <w:r w:rsidR="00680479" w:rsidRPr="003D290F">
        <w:t xml:space="preserve">past </w:t>
      </w:r>
      <w:r w:rsidRPr="003D290F">
        <w:t>closures of coal-fired power sta</w:t>
      </w:r>
      <w:r w:rsidR="00C73787">
        <w:t>tions in Australia led to a 0.7 </w:t>
      </w:r>
      <w:r w:rsidR="00C73A4F" w:rsidRPr="003D290F">
        <w:t>percentage point</w:t>
      </w:r>
      <w:r w:rsidRPr="003D290F">
        <w:t xml:space="preserve"> increase in local unemployment, which extends past the initial months of the closure.</w:t>
      </w:r>
      <w:bookmarkStart w:id="40" w:name="_Ref148528154"/>
      <w:r w:rsidRPr="003D290F">
        <w:rPr>
          <w:rStyle w:val="FootnoteReference"/>
        </w:rPr>
        <w:footnoteReference w:id="21"/>
      </w:r>
      <w:bookmarkEnd w:id="40"/>
    </w:p>
    <w:p w14:paraId="0E9CFF65" w14:textId="77777777" w:rsidR="004C3FD8" w:rsidRPr="003D290F" w:rsidRDefault="008A3F5D" w:rsidP="008A3F5D">
      <w:r w:rsidRPr="003D290F">
        <w:t xml:space="preserve">Research </w:t>
      </w:r>
      <w:r w:rsidR="00D90FCB" w:rsidRPr="003D290F">
        <w:t xml:space="preserve">findings </w:t>
      </w:r>
      <w:r w:rsidRPr="003D290F">
        <w:t xml:space="preserve">indicate that </w:t>
      </w:r>
      <w:r w:rsidR="00D90FCB" w:rsidRPr="003D290F">
        <w:t xml:space="preserve">in addition to </w:t>
      </w:r>
      <w:r w:rsidR="00927009" w:rsidRPr="003D290F">
        <w:t xml:space="preserve">direct job losses, </w:t>
      </w:r>
      <w:r w:rsidR="00D90FCB" w:rsidRPr="003D290F">
        <w:t>when industrial facilities close</w:t>
      </w:r>
      <w:r w:rsidR="00CD649F" w:rsidRPr="003D290F">
        <w:t>,</w:t>
      </w:r>
      <w:r w:rsidR="00D90FCB" w:rsidRPr="003D290F">
        <w:t xml:space="preserve"> </w:t>
      </w:r>
      <w:r w:rsidR="00927009" w:rsidRPr="003D290F">
        <w:t xml:space="preserve">surrounding communities experience indirect losses due to the reduced demand </w:t>
      </w:r>
      <w:r w:rsidR="001C4FEE" w:rsidRPr="003D290F">
        <w:t>for</w:t>
      </w:r>
      <w:r w:rsidR="00927009" w:rsidRPr="003D290F">
        <w:t xml:space="preserve"> local services and commodities.</w:t>
      </w:r>
      <w:r w:rsidR="00C8505B" w:rsidRPr="003D290F">
        <w:rPr>
          <w:rStyle w:val="FootnoteReference"/>
        </w:rPr>
        <w:footnoteReference w:id="22"/>
      </w:r>
      <w:r w:rsidR="00927009" w:rsidRPr="003D290F">
        <w:t xml:space="preserve"> </w:t>
      </w:r>
      <w:r w:rsidR="00D90FCB" w:rsidRPr="003D290F">
        <w:t xml:space="preserve">Communities </w:t>
      </w:r>
      <w:r w:rsidR="00927009" w:rsidRPr="003D290F">
        <w:t>can also experience deterioration of social support networks and structures</w:t>
      </w:r>
      <w:r w:rsidRPr="003D290F">
        <w:t xml:space="preserve">, a loss of attachment to place and traditions, loss of social identity, </w:t>
      </w:r>
      <w:r w:rsidR="00D553BA" w:rsidRPr="003D290F">
        <w:t>and</w:t>
      </w:r>
      <w:r w:rsidR="00927009" w:rsidRPr="003D290F">
        <w:t xml:space="preserve"> adverse physical and mental health impacts</w:t>
      </w:r>
      <w:r w:rsidR="000512E3" w:rsidRPr="003D290F">
        <w:t>.</w:t>
      </w:r>
      <w:r w:rsidR="000512E3" w:rsidRPr="003D290F">
        <w:rPr>
          <w:rStyle w:val="FootnoteReference"/>
        </w:rPr>
        <w:footnoteReference w:id="23"/>
      </w:r>
      <w:r w:rsidR="000512E3" w:rsidRPr="003D290F">
        <w:t xml:space="preserve"> </w:t>
      </w:r>
      <w:r w:rsidR="00927009" w:rsidRPr="003D290F">
        <w:t>As populations start to dec</w:t>
      </w:r>
      <w:r w:rsidR="0026705A" w:rsidRPr="003D290F">
        <w:t>line</w:t>
      </w:r>
      <w:r w:rsidR="00927009" w:rsidRPr="003D290F">
        <w:t>, communities can cross critical thresholds where they lose local support services, further compounding difficulties.</w:t>
      </w:r>
      <w:r w:rsidR="000512E3" w:rsidRPr="003D290F">
        <w:rPr>
          <w:rStyle w:val="FootnoteReference"/>
        </w:rPr>
        <w:footnoteReference w:id="24"/>
      </w:r>
      <w:r w:rsidR="00927009" w:rsidRPr="003D290F">
        <w:t xml:space="preserve"> </w:t>
      </w:r>
    </w:p>
    <w:p w14:paraId="6E3C7DA4" w14:textId="77777777" w:rsidR="00273AAD" w:rsidRPr="003D290F" w:rsidRDefault="00A419E3" w:rsidP="00273AAD">
      <w:r w:rsidRPr="003D290F">
        <w:t xml:space="preserve">As such, the shift away from industries that have powered local economies for generations to emerging industries, such as the clean energy sector, needs to be proactively managed to assist regional communities and smooth the economic and social transition. </w:t>
      </w:r>
      <w:r w:rsidR="004309AA" w:rsidRPr="003D290F">
        <w:t>Many w</w:t>
      </w:r>
      <w:r w:rsidRPr="003D290F">
        <w:t xml:space="preserve">orkers from </w:t>
      </w:r>
      <w:r w:rsidR="004309AA" w:rsidRPr="003D290F">
        <w:t>closing</w:t>
      </w:r>
      <w:r w:rsidRPr="003D290F">
        <w:t xml:space="preserve"> power stations and coal mines </w:t>
      </w:r>
      <w:r w:rsidR="004309AA" w:rsidRPr="003D290F">
        <w:t>will be seeking further</w:t>
      </w:r>
      <w:r w:rsidRPr="003D290F">
        <w:t xml:space="preserve"> train</w:t>
      </w:r>
      <w:r w:rsidR="004309AA" w:rsidRPr="003D290F">
        <w:t>ing</w:t>
      </w:r>
      <w:r w:rsidRPr="003D290F">
        <w:t xml:space="preserve"> or retrain</w:t>
      </w:r>
      <w:r w:rsidR="004309AA" w:rsidRPr="003D290F">
        <w:t>ing</w:t>
      </w:r>
      <w:r w:rsidRPr="003D290F">
        <w:t xml:space="preserve"> for careers in new industries</w:t>
      </w:r>
      <w:r w:rsidR="004309AA" w:rsidRPr="003D290F">
        <w:t>. H</w:t>
      </w:r>
      <w:r w:rsidRPr="003D290F">
        <w:t>owever, the location and timing of new opportunities may not align</w:t>
      </w:r>
      <w:r w:rsidR="00866911" w:rsidRPr="003D290F">
        <w:t xml:space="preserve"> with where job losses have occurred</w:t>
      </w:r>
      <w:r w:rsidRPr="003D290F">
        <w:t>, and therefore a wider workforce and community transition approach will be required</w:t>
      </w:r>
      <w:r w:rsidR="00E33E75" w:rsidRPr="003D290F">
        <w:t>.</w:t>
      </w:r>
    </w:p>
    <w:p w14:paraId="21ACEE3F" w14:textId="77777777" w:rsidR="00927009" w:rsidRPr="003D290F" w:rsidRDefault="00006EE7" w:rsidP="00B66BE0">
      <w:pPr>
        <w:pStyle w:val="Heading3"/>
      </w:pPr>
      <w:bookmarkStart w:id="41" w:name="_Toc155604594"/>
      <w:bookmarkStart w:id="42" w:name="_Toc161395947"/>
      <w:bookmarkStart w:id="43" w:name="_Toc161403483"/>
      <w:bookmarkStart w:id="44" w:name="_Toc161694762"/>
      <w:bookmarkStart w:id="45" w:name="_Toc161752217"/>
      <w:bookmarkStart w:id="46" w:name="_Toc161759654"/>
      <w:r w:rsidRPr="003D290F">
        <w:t xml:space="preserve">1.2.1 </w:t>
      </w:r>
      <w:r w:rsidR="006A5F9B" w:rsidRPr="003D290F">
        <w:t>T</w:t>
      </w:r>
      <w:r w:rsidR="00B478D4" w:rsidRPr="003D290F">
        <w:t>iming o</w:t>
      </w:r>
      <w:r w:rsidR="006A5F9B" w:rsidRPr="003D290F">
        <w:t>f closure announcements</w:t>
      </w:r>
      <w:bookmarkEnd w:id="41"/>
      <w:bookmarkEnd w:id="42"/>
      <w:bookmarkEnd w:id="43"/>
      <w:bookmarkEnd w:id="44"/>
      <w:bookmarkEnd w:id="45"/>
      <w:bookmarkEnd w:id="46"/>
    </w:p>
    <w:p w14:paraId="023CAF7F" w14:textId="77777777" w:rsidR="00927009" w:rsidRPr="003D290F" w:rsidRDefault="004F0460" w:rsidP="00E76BF0">
      <w:r w:rsidRPr="003D290F">
        <w:t xml:space="preserve">Negative employment and other social impacts </w:t>
      </w:r>
      <w:r w:rsidR="008A3F5D" w:rsidRPr="003D290F">
        <w:t xml:space="preserve">can be </w:t>
      </w:r>
      <w:r w:rsidRPr="003D290F">
        <w:t>exacerbated where power station closures are poorly planned or executed with</w:t>
      </w:r>
      <w:r w:rsidR="00AB4A1E">
        <w:t xml:space="preserve"> a</w:t>
      </w:r>
      <w:r w:rsidRPr="003D290F">
        <w:t xml:space="preserve"> short lead time. Some facility operators in Australia have previously been criticised for not providing sufficient notice of closure. </w:t>
      </w:r>
      <w:r w:rsidR="00350F1B" w:rsidRPr="003D290F">
        <w:t>For example</w:t>
      </w:r>
      <w:r w:rsidRPr="003D290F">
        <w:t>, the owner of the Hazelwood power station in Victoria announced in November 2016 that the station would close in March 2017, providing just under five months’ preparation time</w:t>
      </w:r>
      <w:r w:rsidR="00350F1B" w:rsidRPr="003D290F">
        <w:t xml:space="preserve"> prior to closure</w:t>
      </w:r>
      <w:r w:rsidRPr="003D290F">
        <w:t>. This led to significant impacts on the local community, as well as impacts on the Australian electricity market,</w:t>
      </w:r>
      <w:r w:rsidR="00645E13" w:rsidRPr="003D290F">
        <w:t xml:space="preserve"> which </w:t>
      </w:r>
      <w:r w:rsidR="008A3F5D" w:rsidRPr="003D290F">
        <w:t xml:space="preserve">may </w:t>
      </w:r>
      <w:r w:rsidRPr="003D290F">
        <w:t>have been mitigated with additional lead time</w:t>
      </w:r>
      <w:r w:rsidR="00350F1B" w:rsidRPr="003D290F">
        <w:t xml:space="preserve"> and preparation</w:t>
      </w:r>
      <w:r w:rsidRPr="003D290F">
        <w:t>.</w:t>
      </w:r>
    </w:p>
    <w:p w14:paraId="6D254EFC" w14:textId="77777777" w:rsidR="00350F1B" w:rsidRPr="003D290F" w:rsidRDefault="006719E7" w:rsidP="004946D4">
      <w:r w:rsidRPr="003D290F">
        <w:t xml:space="preserve">Subsequent to the Hazelwood closure, additional market rules have been put in place to reduce the risk of sudden power station closures. </w:t>
      </w:r>
      <w:r w:rsidR="004946D4" w:rsidRPr="003D290F">
        <w:t xml:space="preserve">NEM generators </w:t>
      </w:r>
      <w:r w:rsidRPr="003D290F">
        <w:t xml:space="preserve">are now required </w:t>
      </w:r>
      <w:r w:rsidR="004946D4" w:rsidRPr="003D290F">
        <w:t xml:space="preserve">to provide </w:t>
      </w:r>
      <w:r w:rsidR="00B53F42">
        <w:t>AEMO</w:t>
      </w:r>
      <w:r w:rsidR="004946D4" w:rsidRPr="003D290F">
        <w:t xml:space="preserve"> at least 42 months' advance notice of their intention to close, unless granted an exemption by the Australian Energy Regulator</w:t>
      </w:r>
      <w:r w:rsidR="002A3CCE" w:rsidRPr="003D290F">
        <w:t xml:space="preserve"> (AER)</w:t>
      </w:r>
      <w:r w:rsidR="004946D4" w:rsidRPr="003D290F">
        <w:t>.</w:t>
      </w:r>
      <w:r w:rsidR="00662614" w:rsidRPr="003D290F">
        <w:rPr>
          <w:rStyle w:val="FootnoteReference"/>
        </w:rPr>
        <w:footnoteReference w:id="25"/>
      </w:r>
      <w:r w:rsidR="004946D4" w:rsidRPr="003D290F">
        <w:t xml:space="preserve"> AEMO also p</w:t>
      </w:r>
      <w:r w:rsidR="00FD2565" w:rsidRPr="003D290F">
        <w:t>ublishes</w:t>
      </w:r>
      <w:r w:rsidR="004946D4" w:rsidRPr="003D290F">
        <w:t xml:space="preserve"> longer-term </w:t>
      </w:r>
      <w:r w:rsidR="00870CC2" w:rsidRPr="003D290F">
        <w:t>expected closure dates for</w:t>
      </w:r>
      <w:r w:rsidR="00354781" w:rsidRPr="003D290F">
        <w:t xml:space="preserve"> </w:t>
      </w:r>
      <w:r w:rsidR="004946D4" w:rsidRPr="003D290F">
        <w:t xml:space="preserve">NEM generators. </w:t>
      </w:r>
    </w:p>
    <w:p w14:paraId="72AC5799" w14:textId="77777777" w:rsidR="0076012F" w:rsidRPr="003D290F" w:rsidRDefault="00350F1B" w:rsidP="004946D4">
      <w:r w:rsidRPr="003D290F">
        <w:lastRenderedPageBreak/>
        <w:t>This longer mandated lead time for the announcement of</w:t>
      </w:r>
      <w:r w:rsidRPr="003D290F" w:rsidDel="00AB4A1E">
        <w:t xml:space="preserve"> </w:t>
      </w:r>
      <w:r w:rsidRPr="003D290F">
        <w:t>power station closures provides greater opportunity for the development of targeted and proactive workforce transition supports to help directly affected workers and their families.</w:t>
      </w:r>
      <w:r w:rsidR="00A46F6A">
        <w:t xml:space="preserve"> However, there remains some uncertainty as to how the schedule of generator closures will progress over time</w:t>
      </w:r>
      <w:r w:rsidR="002D42B9">
        <w:t>. This means that the timing and implementation of any government actions to support communities as these facilities close will also need to adapt over time, in response to circumstances as they eventuate</w:t>
      </w:r>
      <w:r w:rsidR="00A46F6A">
        <w:t>.</w:t>
      </w:r>
    </w:p>
    <w:p w14:paraId="58A975FA" w14:textId="77777777" w:rsidR="00A46F6A" w:rsidRPr="003D290F" w:rsidRDefault="0076012F" w:rsidP="004946D4">
      <w:r w:rsidRPr="003D290F">
        <w:t>Unlike NEM generators, c</w:t>
      </w:r>
      <w:r w:rsidR="004946D4" w:rsidRPr="003D290F">
        <w:t>oal mines are not required to publicly announce their anticipated closure dates.</w:t>
      </w:r>
      <w:r w:rsidRPr="003D290F">
        <w:t xml:space="preserve"> As such, there is </w:t>
      </w:r>
      <w:r w:rsidR="00350F1B" w:rsidRPr="003D290F">
        <w:t>more</w:t>
      </w:r>
      <w:r w:rsidRPr="003D290F">
        <w:t xml:space="preserve"> uncertainty about the timing of thermal coal mine closures in Australia. </w:t>
      </w:r>
      <w:r w:rsidR="004B79A4" w:rsidRPr="003D290F">
        <w:t xml:space="preserve">The </w:t>
      </w:r>
      <w:r w:rsidR="004B79A4" w:rsidRPr="003D290F">
        <w:rPr>
          <w:i/>
        </w:rPr>
        <w:t>Fair Work Act 2009</w:t>
      </w:r>
      <w:r w:rsidR="004B79A4" w:rsidRPr="003D290F">
        <w:t xml:space="preserve"> (Fair Work Act) requires any employer retrenching 15 or more staff to give ‘formal written notification’ to Centrelink </w:t>
      </w:r>
      <w:r w:rsidR="00112EDA" w:rsidRPr="003D290F">
        <w:t>‘</w:t>
      </w:r>
      <w:r w:rsidR="004B79A4" w:rsidRPr="003D290F">
        <w:t>as soon as practicable</w:t>
      </w:r>
      <w:r w:rsidR="00112EDA" w:rsidRPr="003D290F">
        <w:t>’</w:t>
      </w:r>
      <w:r w:rsidR="004B79A4" w:rsidRPr="003D290F">
        <w:t>.</w:t>
      </w:r>
    </w:p>
    <w:p w14:paraId="781FD926" w14:textId="77777777" w:rsidR="00C42C3F" w:rsidRPr="003D290F" w:rsidRDefault="00006EE7" w:rsidP="00B66BE0">
      <w:pPr>
        <w:pStyle w:val="Heading2"/>
      </w:pPr>
      <w:bookmarkStart w:id="47" w:name="_Toc161395948"/>
      <w:bookmarkStart w:id="48" w:name="_Toc161403484"/>
      <w:bookmarkStart w:id="49" w:name="_Toc161752218"/>
      <w:bookmarkStart w:id="50" w:name="_Toc161759655"/>
      <w:r w:rsidRPr="003D290F">
        <w:t xml:space="preserve">1.3 </w:t>
      </w:r>
      <w:r w:rsidR="00C42C3F" w:rsidRPr="003D290F">
        <w:t>Existing supports</w:t>
      </w:r>
      <w:r w:rsidR="003D7E17" w:rsidRPr="003D290F">
        <w:t xml:space="preserve"> for workers at closing </w:t>
      </w:r>
      <w:r w:rsidR="001F195C" w:rsidRPr="003D290F">
        <w:t>power stations and associated mines</w:t>
      </w:r>
      <w:bookmarkEnd w:id="47"/>
      <w:bookmarkEnd w:id="48"/>
      <w:bookmarkEnd w:id="49"/>
      <w:bookmarkEnd w:id="50"/>
    </w:p>
    <w:p w14:paraId="78DA8521" w14:textId="77777777" w:rsidR="00A23BE0" w:rsidRPr="003D290F" w:rsidRDefault="00884F40" w:rsidP="00915E98">
      <w:r w:rsidRPr="003D290F">
        <w:t>Support mechanisms</w:t>
      </w:r>
      <w:r w:rsidR="00370F2D" w:rsidRPr="003D290F">
        <w:t xml:space="preserve"> delivered by government and employers are available</w:t>
      </w:r>
      <w:r w:rsidRPr="003D290F">
        <w:t xml:space="preserve"> for workers </w:t>
      </w:r>
      <w:r w:rsidR="00370F2D" w:rsidRPr="003D290F">
        <w:t>who are made redundant when a facility closes. A brief summary of these measures is as follows.</w:t>
      </w:r>
    </w:p>
    <w:p w14:paraId="72324CC7" w14:textId="77777777" w:rsidR="00884F40" w:rsidRPr="003D290F" w:rsidRDefault="00006EE7" w:rsidP="00B66BE0">
      <w:pPr>
        <w:pStyle w:val="Heading3"/>
      </w:pPr>
      <w:bookmarkStart w:id="51" w:name="_Toc155604596"/>
      <w:bookmarkStart w:id="52" w:name="_Toc161395949"/>
      <w:bookmarkStart w:id="53" w:name="_Toc161403485"/>
      <w:bookmarkStart w:id="54" w:name="_Toc161694764"/>
      <w:bookmarkStart w:id="55" w:name="_Toc161752219"/>
      <w:bookmarkStart w:id="56" w:name="_Toc161759656"/>
      <w:r w:rsidRPr="003D290F">
        <w:t xml:space="preserve">1.3.1 </w:t>
      </w:r>
      <w:r w:rsidR="00884F40" w:rsidRPr="003D290F">
        <w:t>Commonwealth supports</w:t>
      </w:r>
      <w:r w:rsidR="00370F2D" w:rsidRPr="003D290F">
        <w:t xml:space="preserve"> for workers</w:t>
      </w:r>
      <w:bookmarkEnd w:id="51"/>
      <w:bookmarkEnd w:id="52"/>
      <w:bookmarkEnd w:id="53"/>
      <w:bookmarkEnd w:id="54"/>
      <w:bookmarkEnd w:id="55"/>
      <w:bookmarkEnd w:id="56"/>
    </w:p>
    <w:p w14:paraId="0EB86FFF" w14:textId="77777777" w:rsidR="00E7249E" w:rsidRPr="003D290F" w:rsidRDefault="00B671B0" w:rsidP="00915E98">
      <w:r w:rsidRPr="003D290F">
        <w:t xml:space="preserve">The </w:t>
      </w:r>
      <w:r w:rsidR="004B79A4" w:rsidRPr="003D290F">
        <w:t>Australian Government</w:t>
      </w:r>
      <w:r w:rsidRPr="003D290F" w:rsidDel="00033E9B">
        <w:t xml:space="preserve"> </w:t>
      </w:r>
      <w:r w:rsidRPr="003D290F">
        <w:t xml:space="preserve">offers a number of supports for workers who </w:t>
      </w:r>
      <w:r w:rsidR="003D7E17" w:rsidRPr="003D290F">
        <w:t xml:space="preserve">are facing </w:t>
      </w:r>
      <w:r w:rsidRPr="003D290F">
        <w:t>retrench</w:t>
      </w:r>
      <w:r w:rsidR="003D7E17" w:rsidRPr="003D290F">
        <w:t>ment</w:t>
      </w:r>
      <w:r w:rsidRPr="003D290F">
        <w:t xml:space="preserve">, including </w:t>
      </w:r>
      <w:r w:rsidR="003D7E17" w:rsidRPr="003D290F">
        <w:t>workers</w:t>
      </w:r>
      <w:r w:rsidRPr="003D290F">
        <w:t xml:space="preserve"> affected by transition events such as large business closures.</w:t>
      </w:r>
      <w:r w:rsidR="004B79A4" w:rsidRPr="003D290F">
        <w:t xml:space="preserve"> </w:t>
      </w:r>
      <w:r w:rsidR="00112EDA" w:rsidRPr="003D290F">
        <w:t xml:space="preserve">These are summarised at </w:t>
      </w:r>
      <w:r w:rsidR="00112EDA" w:rsidRPr="00165E6C">
        <w:rPr>
          <w:b/>
          <w:color w:val="1B375C" w:themeColor="accent1"/>
        </w:rPr>
        <w:t>Table 1.1</w:t>
      </w:r>
      <w:r w:rsidR="00112EDA" w:rsidRPr="00C53790">
        <w:t>.</w:t>
      </w:r>
      <w:r w:rsidR="00C53790" w:rsidRPr="00C53790">
        <w:t xml:space="preserve"> </w:t>
      </w:r>
      <w:r w:rsidR="00C42C3F" w:rsidRPr="003D290F">
        <w:t xml:space="preserve">The Department of Employment and Workplace Relations (DEWR) </w:t>
      </w:r>
      <w:r w:rsidR="00BA67A7" w:rsidRPr="003D290F">
        <w:t xml:space="preserve">has responsibility for </w:t>
      </w:r>
      <w:r w:rsidR="00C42C3F" w:rsidRPr="003D290F">
        <w:t>delivery of the</w:t>
      </w:r>
      <w:r w:rsidR="00DA2C64" w:rsidRPr="003D290F">
        <w:t xml:space="preserve"> majority of these supports</w:t>
      </w:r>
      <w:r w:rsidR="00C42C3F" w:rsidRPr="003D290F">
        <w:t xml:space="preserve">. </w:t>
      </w:r>
    </w:p>
    <w:p w14:paraId="54AD4D4C" w14:textId="77777777" w:rsidR="00CE6688" w:rsidRPr="003D290F" w:rsidRDefault="00CE6688" w:rsidP="0034145E">
      <w:pPr>
        <w:spacing w:line="256" w:lineRule="auto"/>
        <w:rPr>
          <w:rFonts w:eastAsia="Times New Roman" w:cs="Segoe UI"/>
          <w:b/>
          <w:sz w:val="24"/>
        </w:rPr>
      </w:pPr>
      <w:r w:rsidRPr="003D290F">
        <w:rPr>
          <w:rFonts w:eastAsia="Times New Roman" w:cs="Segoe UI"/>
          <w:b/>
          <w:sz w:val="24"/>
        </w:rPr>
        <w:t>TABLE 1.</w:t>
      </w:r>
      <w:r w:rsidR="007E6A93" w:rsidRPr="003D290F">
        <w:rPr>
          <w:rFonts w:eastAsia="Times New Roman" w:cs="Segoe UI"/>
          <w:b/>
          <w:sz w:val="24"/>
        </w:rPr>
        <w:t>1</w:t>
      </w:r>
      <w:r w:rsidRPr="003D290F">
        <w:rPr>
          <w:rFonts w:eastAsia="Times New Roman" w:cs="Segoe UI"/>
          <w:b/>
          <w:sz w:val="24"/>
        </w:rPr>
        <w:t xml:space="preserve"> EXISTING AUSTRALIAN GOVERNMENT PROGRAMS AND SERVICES</w:t>
      </w:r>
    </w:p>
    <w:tbl>
      <w:tblPr>
        <w:tblStyle w:val="Custom1"/>
        <w:tblW w:w="0" w:type="auto"/>
        <w:tblLook w:val="04A0" w:firstRow="1" w:lastRow="0" w:firstColumn="1" w:lastColumn="0" w:noHBand="0" w:noVBand="1"/>
      </w:tblPr>
      <w:tblGrid>
        <w:gridCol w:w="1845"/>
        <w:gridCol w:w="4655"/>
        <w:gridCol w:w="3704"/>
      </w:tblGrid>
      <w:tr w:rsidR="00755FDC" w:rsidRPr="003D290F" w14:paraId="772F9613" w14:textId="77777777" w:rsidTr="00E76BF0">
        <w:trPr>
          <w:cnfStyle w:val="100000000000" w:firstRow="1" w:lastRow="0" w:firstColumn="0" w:lastColumn="0" w:oddVBand="0" w:evenVBand="0" w:oddHBand="0" w:evenHBand="0" w:firstRowFirstColumn="0" w:firstRowLastColumn="0" w:lastRowFirstColumn="0" w:lastRowLastColumn="0"/>
          <w:trHeight w:val="225"/>
        </w:trPr>
        <w:tc>
          <w:tcPr>
            <w:tcW w:w="1845" w:type="dxa"/>
          </w:tcPr>
          <w:p w14:paraId="177B3747" w14:textId="77777777" w:rsidR="00755FDC" w:rsidRPr="003D290F" w:rsidRDefault="00755FDC">
            <w:pPr>
              <w:jc w:val="center"/>
              <w:rPr>
                <w:sz w:val="20"/>
              </w:rPr>
            </w:pPr>
            <w:r w:rsidRPr="003D290F">
              <w:rPr>
                <w:sz w:val="20"/>
              </w:rPr>
              <w:t>PROGRAM</w:t>
            </w:r>
          </w:p>
        </w:tc>
        <w:tc>
          <w:tcPr>
            <w:tcW w:w="4655" w:type="dxa"/>
          </w:tcPr>
          <w:p w14:paraId="6D044A06" w14:textId="77777777" w:rsidR="00755FDC" w:rsidRPr="003D290F" w:rsidRDefault="00755FDC" w:rsidP="00CE6688">
            <w:pPr>
              <w:jc w:val="center"/>
              <w:rPr>
                <w:sz w:val="20"/>
              </w:rPr>
            </w:pPr>
            <w:r w:rsidRPr="003D290F">
              <w:rPr>
                <w:sz w:val="20"/>
              </w:rPr>
              <w:t>DESCRIPTION</w:t>
            </w:r>
          </w:p>
        </w:tc>
        <w:tc>
          <w:tcPr>
            <w:tcW w:w="3704" w:type="dxa"/>
          </w:tcPr>
          <w:p w14:paraId="5898C0F7" w14:textId="77777777" w:rsidR="00755FDC" w:rsidRPr="003D290F" w:rsidRDefault="00755FDC" w:rsidP="00CE6688">
            <w:pPr>
              <w:jc w:val="center"/>
              <w:rPr>
                <w:sz w:val="20"/>
              </w:rPr>
            </w:pPr>
          </w:p>
        </w:tc>
      </w:tr>
      <w:tr w:rsidR="00755FDC" w:rsidRPr="003D290F" w14:paraId="079543A6" w14:textId="77777777" w:rsidTr="004C00BD">
        <w:trPr>
          <w:cnfStyle w:val="000000100000" w:firstRow="0" w:lastRow="0" w:firstColumn="0" w:lastColumn="0" w:oddVBand="0" w:evenVBand="0" w:oddHBand="1" w:evenHBand="0" w:firstRowFirstColumn="0" w:firstRowLastColumn="0" w:lastRowFirstColumn="0" w:lastRowLastColumn="0"/>
        </w:trPr>
        <w:tc>
          <w:tcPr>
            <w:tcW w:w="1845" w:type="dxa"/>
          </w:tcPr>
          <w:p w14:paraId="779D48A4" w14:textId="77777777" w:rsidR="00755FDC" w:rsidRPr="003D290F" w:rsidRDefault="00755FDC" w:rsidP="006D7A5A">
            <w:pPr>
              <w:rPr>
                <w:b/>
                <w:sz w:val="20"/>
              </w:rPr>
            </w:pPr>
            <w:r w:rsidRPr="003D290F">
              <w:rPr>
                <w:b/>
                <w:sz w:val="20"/>
              </w:rPr>
              <w:t>Transition Support Network</w:t>
            </w:r>
          </w:p>
        </w:tc>
        <w:tc>
          <w:tcPr>
            <w:tcW w:w="8359" w:type="dxa"/>
            <w:gridSpan w:val="2"/>
          </w:tcPr>
          <w:p w14:paraId="67F8B197" w14:textId="77777777" w:rsidR="004C00BD" w:rsidRPr="003D290F" w:rsidRDefault="004C00BD" w:rsidP="00B82A86">
            <w:pPr>
              <w:pStyle w:val="ListParagraph"/>
              <w:numPr>
                <w:ilvl w:val="0"/>
                <w:numId w:val="7"/>
              </w:numPr>
              <w:rPr>
                <w:sz w:val="20"/>
              </w:rPr>
            </w:pPr>
            <w:r w:rsidRPr="003D290F">
              <w:rPr>
                <w:sz w:val="20"/>
              </w:rPr>
              <w:t xml:space="preserve">Provides on-the-ground support that coordinates the local response to large closures or redundancies to support affected workers when companies restructure or close. </w:t>
            </w:r>
          </w:p>
          <w:p w14:paraId="4AC1CAFE" w14:textId="77777777" w:rsidR="00755FDC" w:rsidRPr="003D290F" w:rsidRDefault="004C00BD" w:rsidP="00B82A86">
            <w:pPr>
              <w:pStyle w:val="ListParagraph"/>
              <w:numPr>
                <w:ilvl w:val="0"/>
                <w:numId w:val="7"/>
              </w:numPr>
              <w:rPr>
                <w:sz w:val="20"/>
              </w:rPr>
            </w:pPr>
            <w:r w:rsidRPr="003D290F">
              <w:rPr>
                <w:sz w:val="20"/>
              </w:rPr>
              <w:t xml:space="preserve">Connects employers and their workers with relevant programs and services, including redundancy information, mental health supports and relevant financial services. </w:t>
            </w:r>
          </w:p>
        </w:tc>
      </w:tr>
      <w:tr w:rsidR="00755FDC" w:rsidRPr="003D290F" w14:paraId="3FF80CAD" w14:textId="77777777" w:rsidTr="004C00BD">
        <w:tc>
          <w:tcPr>
            <w:tcW w:w="1845" w:type="dxa"/>
          </w:tcPr>
          <w:p w14:paraId="0450F4D3" w14:textId="77777777" w:rsidR="00755FDC" w:rsidRPr="003D290F" w:rsidRDefault="00755FDC" w:rsidP="006D7A5A">
            <w:pPr>
              <w:rPr>
                <w:b/>
                <w:sz w:val="20"/>
              </w:rPr>
            </w:pPr>
            <w:r w:rsidRPr="003D290F">
              <w:rPr>
                <w:b/>
                <w:sz w:val="20"/>
              </w:rPr>
              <w:t>Local Jobs Program</w:t>
            </w:r>
          </w:p>
        </w:tc>
        <w:tc>
          <w:tcPr>
            <w:tcW w:w="8359" w:type="dxa"/>
            <w:gridSpan w:val="2"/>
          </w:tcPr>
          <w:p w14:paraId="30CCFB00" w14:textId="77777777" w:rsidR="004C00BD" w:rsidRPr="003D290F" w:rsidRDefault="004C00BD" w:rsidP="00B82A86">
            <w:pPr>
              <w:pStyle w:val="ListParagraph"/>
              <w:numPr>
                <w:ilvl w:val="0"/>
                <w:numId w:val="9"/>
              </w:numPr>
              <w:rPr>
                <w:sz w:val="20"/>
              </w:rPr>
            </w:pPr>
            <w:r w:rsidRPr="003D290F">
              <w:rPr>
                <w:sz w:val="20"/>
              </w:rPr>
              <w:t xml:space="preserve">Supports the development and implementation of tailored approaches to accelerate reskilling, upskilling and employment and respond to local labour markets. </w:t>
            </w:r>
          </w:p>
          <w:p w14:paraId="42C5F941" w14:textId="77777777" w:rsidR="00755FDC" w:rsidRPr="003D290F" w:rsidRDefault="004C00BD" w:rsidP="00B82A86">
            <w:pPr>
              <w:pStyle w:val="ListParagraph"/>
              <w:numPr>
                <w:ilvl w:val="0"/>
                <w:numId w:val="9"/>
              </w:numPr>
              <w:rPr>
                <w:sz w:val="20"/>
              </w:rPr>
            </w:pPr>
            <w:r w:rsidRPr="003D290F">
              <w:rPr>
                <w:sz w:val="20"/>
              </w:rPr>
              <w:t>Four employment regions have recently received additional on-the-ground resources to plan for and optimise future opportunities focused on the shift to a net zero economy.</w:t>
            </w:r>
          </w:p>
        </w:tc>
      </w:tr>
      <w:tr w:rsidR="00755FDC" w:rsidRPr="003D290F" w14:paraId="633BAB82" w14:textId="77777777" w:rsidTr="004C00BD">
        <w:trPr>
          <w:cnfStyle w:val="000000100000" w:firstRow="0" w:lastRow="0" w:firstColumn="0" w:lastColumn="0" w:oddVBand="0" w:evenVBand="0" w:oddHBand="1" w:evenHBand="0" w:firstRowFirstColumn="0" w:firstRowLastColumn="0" w:lastRowFirstColumn="0" w:lastRowLastColumn="0"/>
        </w:trPr>
        <w:tc>
          <w:tcPr>
            <w:tcW w:w="1845" w:type="dxa"/>
          </w:tcPr>
          <w:p w14:paraId="2A0B2F6D" w14:textId="77777777" w:rsidR="00755FDC" w:rsidRPr="003D290F" w:rsidRDefault="00755FDC" w:rsidP="006D7A5A">
            <w:pPr>
              <w:rPr>
                <w:b/>
                <w:sz w:val="20"/>
              </w:rPr>
            </w:pPr>
            <w:r w:rsidRPr="003D290F">
              <w:rPr>
                <w:b/>
                <w:sz w:val="20"/>
              </w:rPr>
              <w:t>Workforce Australia Employment Services</w:t>
            </w:r>
          </w:p>
        </w:tc>
        <w:tc>
          <w:tcPr>
            <w:tcW w:w="8359" w:type="dxa"/>
            <w:gridSpan w:val="2"/>
          </w:tcPr>
          <w:p w14:paraId="0A2735A1" w14:textId="77777777" w:rsidR="004C00BD" w:rsidRPr="003D290F" w:rsidRDefault="004C00BD" w:rsidP="00B82A86">
            <w:pPr>
              <w:pStyle w:val="ListParagraph"/>
              <w:numPr>
                <w:ilvl w:val="0"/>
                <w:numId w:val="8"/>
              </w:numPr>
              <w:rPr>
                <w:sz w:val="20"/>
              </w:rPr>
            </w:pPr>
            <w:r w:rsidRPr="003D290F">
              <w:rPr>
                <w:sz w:val="20"/>
              </w:rPr>
              <w:t xml:space="preserve">Workforce Australia is an Australian Government employment service open to all Australian individuals and businesses. </w:t>
            </w:r>
          </w:p>
          <w:p w14:paraId="1D410A7A" w14:textId="77777777" w:rsidR="00755FDC" w:rsidRPr="003D290F" w:rsidRDefault="004C00BD" w:rsidP="00B82A86">
            <w:pPr>
              <w:pStyle w:val="ListParagraph"/>
              <w:numPr>
                <w:ilvl w:val="0"/>
                <w:numId w:val="8"/>
              </w:numPr>
              <w:rPr>
                <w:sz w:val="20"/>
              </w:rPr>
            </w:pPr>
            <w:r w:rsidRPr="003D290F">
              <w:rPr>
                <w:sz w:val="20"/>
              </w:rPr>
              <w:t>DEWR partners with a network of providers to deliver personalised support to individuals and employers.</w:t>
            </w:r>
          </w:p>
        </w:tc>
      </w:tr>
      <w:tr w:rsidR="00755FDC" w:rsidRPr="003D290F" w14:paraId="1CF741C7" w14:textId="77777777" w:rsidTr="004C00BD">
        <w:tc>
          <w:tcPr>
            <w:tcW w:w="1845" w:type="dxa"/>
          </w:tcPr>
          <w:p w14:paraId="032F751E" w14:textId="77777777" w:rsidR="00755FDC" w:rsidRPr="003D290F" w:rsidRDefault="00755FDC" w:rsidP="006D7A5A">
            <w:pPr>
              <w:rPr>
                <w:b/>
                <w:sz w:val="20"/>
              </w:rPr>
            </w:pPr>
            <w:r w:rsidRPr="003D290F">
              <w:rPr>
                <w:b/>
                <w:sz w:val="20"/>
              </w:rPr>
              <w:t>Early Access Initiative</w:t>
            </w:r>
          </w:p>
        </w:tc>
        <w:tc>
          <w:tcPr>
            <w:tcW w:w="8359" w:type="dxa"/>
            <w:gridSpan w:val="2"/>
          </w:tcPr>
          <w:p w14:paraId="4EACC009" w14:textId="77777777" w:rsidR="004C00BD" w:rsidRPr="003D290F" w:rsidRDefault="004C00BD" w:rsidP="00B82A86">
            <w:pPr>
              <w:pStyle w:val="ListParagraph"/>
              <w:numPr>
                <w:ilvl w:val="0"/>
                <w:numId w:val="10"/>
              </w:numPr>
              <w:rPr>
                <w:sz w:val="20"/>
              </w:rPr>
            </w:pPr>
            <w:r w:rsidRPr="003D290F">
              <w:rPr>
                <w:sz w:val="20"/>
              </w:rPr>
              <w:t xml:space="preserve">Provides retrenched workers and their partners support to re-enter the workforce as soon as possible, including help with resumes, job applications and interview skills, advice on searching for a job, and information about local job vacancies. </w:t>
            </w:r>
          </w:p>
          <w:p w14:paraId="545005B1" w14:textId="77777777" w:rsidR="00755FDC" w:rsidRPr="003D290F" w:rsidRDefault="004C00BD" w:rsidP="00B82A86">
            <w:pPr>
              <w:pStyle w:val="ListParagraph"/>
              <w:numPr>
                <w:ilvl w:val="0"/>
                <w:numId w:val="10"/>
              </w:numPr>
              <w:rPr>
                <w:sz w:val="20"/>
              </w:rPr>
            </w:pPr>
            <w:r w:rsidRPr="003D290F">
              <w:rPr>
                <w:sz w:val="20"/>
              </w:rPr>
              <w:t>This is available from up to three months prior to retrenchment.</w:t>
            </w:r>
          </w:p>
        </w:tc>
      </w:tr>
      <w:tr w:rsidR="00755FDC" w:rsidRPr="003D290F" w14:paraId="123EDE52" w14:textId="77777777" w:rsidTr="004C00BD">
        <w:trPr>
          <w:cnfStyle w:val="000000100000" w:firstRow="0" w:lastRow="0" w:firstColumn="0" w:lastColumn="0" w:oddVBand="0" w:evenVBand="0" w:oddHBand="1" w:evenHBand="0" w:firstRowFirstColumn="0" w:firstRowLastColumn="0" w:lastRowFirstColumn="0" w:lastRowLastColumn="0"/>
        </w:trPr>
        <w:tc>
          <w:tcPr>
            <w:tcW w:w="1845" w:type="dxa"/>
          </w:tcPr>
          <w:p w14:paraId="54A3270A" w14:textId="77777777" w:rsidR="00755FDC" w:rsidRPr="003D290F" w:rsidRDefault="00755FDC" w:rsidP="006D7A5A">
            <w:pPr>
              <w:rPr>
                <w:b/>
                <w:sz w:val="20"/>
              </w:rPr>
            </w:pPr>
            <w:r w:rsidRPr="003D290F">
              <w:rPr>
                <w:b/>
                <w:sz w:val="20"/>
              </w:rPr>
              <w:lastRenderedPageBreak/>
              <w:t>Career Transition Assistance</w:t>
            </w:r>
          </w:p>
        </w:tc>
        <w:tc>
          <w:tcPr>
            <w:tcW w:w="8359" w:type="dxa"/>
            <w:gridSpan w:val="2"/>
          </w:tcPr>
          <w:p w14:paraId="121D89DF" w14:textId="77777777" w:rsidR="00755FDC" w:rsidRPr="003D290F" w:rsidRDefault="004C00BD" w:rsidP="00B82A86">
            <w:pPr>
              <w:pStyle w:val="ListParagraph"/>
              <w:numPr>
                <w:ilvl w:val="0"/>
                <w:numId w:val="10"/>
              </w:numPr>
              <w:rPr>
                <w:sz w:val="20"/>
              </w:rPr>
            </w:pPr>
            <w:r w:rsidRPr="003D290F">
              <w:rPr>
                <w:sz w:val="20"/>
              </w:rPr>
              <w:t>Helps mature age participants aged 45 years and older to identify their existing skills and how they might be able to transition into other jobs or industries, including those in renewable energy industries.</w:t>
            </w:r>
          </w:p>
        </w:tc>
      </w:tr>
      <w:tr w:rsidR="00755FDC" w:rsidRPr="003D290F" w14:paraId="4B96B70D" w14:textId="77777777" w:rsidTr="004C00BD">
        <w:tc>
          <w:tcPr>
            <w:tcW w:w="1845" w:type="dxa"/>
          </w:tcPr>
          <w:p w14:paraId="10E3AD02" w14:textId="77777777" w:rsidR="00755FDC" w:rsidRPr="003D290F" w:rsidRDefault="00755FDC" w:rsidP="00BC6D6A">
            <w:pPr>
              <w:rPr>
                <w:b/>
                <w:sz w:val="20"/>
              </w:rPr>
            </w:pPr>
            <w:r w:rsidRPr="003D290F">
              <w:rPr>
                <w:b/>
                <w:sz w:val="20"/>
              </w:rPr>
              <w:t>Skills Checkpoint for Older Workers Program</w:t>
            </w:r>
          </w:p>
        </w:tc>
        <w:tc>
          <w:tcPr>
            <w:tcW w:w="8359" w:type="dxa"/>
            <w:gridSpan w:val="2"/>
          </w:tcPr>
          <w:p w14:paraId="0970E891" w14:textId="77777777" w:rsidR="00755FDC" w:rsidRPr="003D290F" w:rsidRDefault="004C00BD" w:rsidP="00B82A86">
            <w:pPr>
              <w:pStyle w:val="ListParagraph"/>
              <w:numPr>
                <w:ilvl w:val="0"/>
                <w:numId w:val="10"/>
              </w:numPr>
              <w:rPr>
                <w:sz w:val="20"/>
              </w:rPr>
            </w:pPr>
            <w:r w:rsidRPr="003D290F">
              <w:rPr>
                <w:sz w:val="20"/>
              </w:rPr>
              <w:t>The Skills Checkpoint Program is available to workers aged 40 years and older and provides career advice and guidance for workers who have not been referred to or registered with an Australian Government employment services provider to transition to a new role.</w:t>
            </w:r>
          </w:p>
        </w:tc>
      </w:tr>
      <w:tr w:rsidR="00755FDC" w:rsidRPr="003D290F" w14:paraId="2C2604DF" w14:textId="77777777" w:rsidTr="004C00BD">
        <w:trPr>
          <w:cnfStyle w:val="000000100000" w:firstRow="0" w:lastRow="0" w:firstColumn="0" w:lastColumn="0" w:oddVBand="0" w:evenVBand="0" w:oddHBand="1" w:evenHBand="0" w:firstRowFirstColumn="0" w:firstRowLastColumn="0" w:lastRowFirstColumn="0" w:lastRowLastColumn="0"/>
        </w:trPr>
        <w:tc>
          <w:tcPr>
            <w:tcW w:w="1845" w:type="dxa"/>
          </w:tcPr>
          <w:p w14:paraId="6FF94649" w14:textId="77777777" w:rsidR="00755FDC" w:rsidRPr="003D290F" w:rsidRDefault="00755FDC" w:rsidP="009F575E">
            <w:pPr>
              <w:rPr>
                <w:b/>
                <w:sz w:val="20"/>
              </w:rPr>
            </w:pPr>
            <w:r w:rsidRPr="003D290F">
              <w:rPr>
                <w:b/>
                <w:sz w:val="20"/>
              </w:rPr>
              <w:t>Skills for Education and Employment</w:t>
            </w:r>
          </w:p>
        </w:tc>
        <w:tc>
          <w:tcPr>
            <w:tcW w:w="8359" w:type="dxa"/>
            <w:gridSpan w:val="2"/>
          </w:tcPr>
          <w:p w14:paraId="490A532F" w14:textId="77777777" w:rsidR="00755FDC" w:rsidRPr="003D290F" w:rsidRDefault="004C00BD" w:rsidP="00B82A86">
            <w:pPr>
              <w:pStyle w:val="ListParagraph"/>
              <w:numPr>
                <w:ilvl w:val="0"/>
                <w:numId w:val="10"/>
              </w:numPr>
              <w:rPr>
                <w:sz w:val="20"/>
              </w:rPr>
            </w:pPr>
            <w:r w:rsidRPr="003D290F">
              <w:rPr>
                <w:sz w:val="20"/>
              </w:rPr>
              <w:t>Helps eligible people improve their reading, writing, maths and computer skills. Training is tailored to the abilities and goals of individuals.</w:t>
            </w:r>
          </w:p>
        </w:tc>
      </w:tr>
      <w:tr w:rsidR="00755FDC" w:rsidRPr="003D290F" w14:paraId="0012D41D" w14:textId="77777777" w:rsidTr="004C00BD">
        <w:tc>
          <w:tcPr>
            <w:tcW w:w="1845" w:type="dxa"/>
          </w:tcPr>
          <w:p w14:paraId="4995ADD6" w14:textId="77777777" w:rsidR="00755FDC" w:rsidRPr="003D290F" w:rsidRDefault="00755FDC" w:rsidP="009F575E">
            <w:pPr>
              <w:rPr>
                <w:b/>
                <w:sz w:val="20"/>
              </w:rPr>
            </w:pPr>
            <w:r w:rsidRPr="003D290F">
              <w:rPr>
                <w:b/>
                <w:sz w:val="20"/>
              </w:rPr>
              <w:t>National Careers Institute</w:t>
            </w:r>
          </w:p>
        </w:tc>
        <w:tc>
          <w:tcPr>
            <w:tcW w:w="8359" w:type="dxa"/>
            <w:gridSpan w:val="2"/>
          </w:tcPr>
          <w:p w14:paraId="0E3AC7E2" w14:textId="77777777" w:rsidR="00755FDC" w:rsidRPr="003D290F" w:rsidRDefault="004C00BD" w:rsidP="00B82A86">
            <w:pPr>
              <w:pStyle w:val="ListParagraph"/>
              <w:numPr>
                <w:ilvl w:val="0"/>
                <w:numId w:val="10"/>
              </w:numPr>
              <w:rPr>
                <w:sz w:val="20"/>
              </w:rPr>
            </w:pPr>
            <w:r w:rsidRPr="003D290F">
              <w:rPr>
                <w:sz w:val="20"/>
              </w:rPr>
              <w:t>Connects Australians to national careers information and resources, promoting informed career pathway choices that align with workforce demand, supporting Australians to realise their aspirations as part of a person's life-long learning.</w:t>
            </w:r>
          </w:p>
        </w:tc>
      </w:tr>
      <w:tr w:rsidR="00755FDC" w:rsidRPr="003D290F" w14:paraId="5C2BD15D" w14:textId="77777777" w:rsidTr="004C00BD">
        <w:trPr>
          <w:cnfStyle w:val="000000100000" w:firstRow="0" w:lastRow="0" w:firstColumn="0" w:lastColumn="0" w:oddVBand="0" w:evenVBand="0" w:oddHBand="1" w:evenHBand="0" w:firstRowFirstColumn="0" w:firstRowLastColumn="0" w:lastRowFirstColumn="0" w:lastRowLastColumn="0"/>
        </w:trPr>
        <w:tc>
          <w:tcPr>
            <w:tcW w:w="1845" w:type="dxa"/>
          </w:tcPr>
          <w:p w14:paraId="6D601A0D" w14:textId="77777777" w:rsidR="00755FDC" w:rsidRPr="003D290F" w:rsidRDefault="00755FDC" w:rsidP="009F575E">
            <w:pPr>
              <w:rPr>
                <w:b/>
                <w:sz w:val="20"/>
              </w:rPr>
            </w:pPr>
            <w:r w:rsidRPr="003D290F">
              <w:rPr>
                <w:b/>
                <w:sz w:val="20"/>
              </w:rPr>
              <w:t>Self-Employment Assistance</w:t>
            </w:r>
          </w:p>
        </w:tc>
        <w:tc>
          <w:tcPr>
            <w:tcW w:w="8359" w:type="dxa"/>
            <w:gridSpan w:val="2"/>
          </w:tcPr>
          <w:p w14:paraId="1AD44370" w14:textId="77777777" w:rsidR="00755FDC" w:rsidRPr="003D290F" w:rsidRDefault="004C00BD" w:rsidP="00B82A86">
            <w:pPr>
              <w:pStyle w:val="ListParagraph"/>
              <w:numPr>
                <w:ilvl w:val="0"/>
                <w:numId w:val="10"/>
              </w:numPr>
              <w:rPr>
                <w:sz w:val="20"/>
              </w:rPr>
            </w:pPr>
            <w:r w:rsidRPr="003D290F">
              <w:rPr>
                <w:sz w:val="20"/>
              </w:rPr>
              <w:t>Helps individuals establish and operate a small business by understanding self-employment, testing a business idea, developing or adjusting a business plan, and keeping it viable.</w:t>
            </w:r>
          </w:p>
        </w:tc>
      </w:tr>
    </w:tbl>
    <w:p w14:paraId="180BC709" w14:textId="77777777" w:rsidR="00915E98" w:rsidRDefault="00915E98" w:rsidP="00915E98">
      <w:pPr>
        <w:spacing w:after="0"/>
      </w:pPr>
    </w:p>
    <w:p w14:paraId="16DF6D7A" w14:textId="77777777" w:rsidR="00047B88" w:rsidRPr="003D290F" w:rsidRDefault="00370F2D" w:rsidP="00915E98">
      <w:r w:rsidRPr="003D290F">
        <w:t xml:space="preserve">These </w:t>
      </w:r>
      <w:r w:rsidR="00033E9B">
        <w:t>Australian Government</w:t>
      </w:r>
      <w:r w:rsidRPr="003D290F">
        <w:t xml:space="preserve"> supports are predominantly available as general programs that apply to workers across the labour market</w:t>
      </w:r>
      <w:r w:rsidR="00FF4E20" w:rsidRPr="003D290F">
        <w:t>.</w:t>
      </w:r>
      <w:r w:rsidRPr="003D290F">
        <w:t xml:space="preserve"> </w:t>
      </w:r>
      <w:r w:rsidR="00FF4E20" w:rsidRPr="003D290F">
        <w:t xml:space="preserve">While some of the programs provide support for workers affected by </w:t>
      </w:r>
      <w:r w:rsidR="000703FB" w:rsidRPr="003D290F">
        <w:t>transition events</w:t>
      </w:r>
      <w:r w:rsidR="00FF4E20" w:rsidRPr="003D290F">
        <w:t>, including large business closures,</w:t>
      </w:r>
      <w:r w:rsidR="006D7A5A" w:rsidRPr="003D290F">
        <w:t xml:space="preserve"> </w:t>
      </w:r>
      <w:r w:rsidR="00FF4E20" w:rsidRPr="003D290F">
        <w:t xml:space="preserve">current </w:t>
      </w:r>
      <w:r w:rsidR="006D7A5A" w:rsidRPr="003D290F">
        <w:t xml:space="preserve">employment supports </w:t>
      </w:r>
      <w:r w:rsidR="00047B88" w:rsidRPr="003D290F">
        <w:t xml:space="preserve">are </w:t>
      </w:r>
      <w:r w:rsidR="00560150" w:rsidRPr="003D290F">
        <w:t>generally not</w:t>
      </w:r>
      <w:r w:rsidR="00FF4E20" w:rsidRPr="003D290F">
        <w:t xml:space="preserve"> targeted to supporting workers affected by the net zero transition.</w:t>
      </w:r>
      <w:r w:rsidR="00047B88" w:rsidRPr="003D290F">
        <w:t xml:space="preserve"> </w:t>
      </w:r>
      <w:r w:rsidR="00977D53" w:rsidRPr="003D290F">
        <w:t>They</w:t>
      </w:r>
      <w:r w:rsidR="00047B88" w:rsidRPr="003D290F">
        <w:t xml:space="preserve"> are geared toward assistance once workers have received an official redundancy letter, and generally not sooner than three months prior to retrenchment. These notice periods mean that workers often do not have optimal time to re-train or re-skill. </w:t>
      </w:r>
    </w:p>
    <w:p w14:paraId="1477A68F" w14:textId="77777777" w:rsidR="00D905C7" w:rsidRPr="003D290F" w:rsidRDefault="00370F2D" w:rsidP="00915E98">
      <w:r w:rsidRPr="003D290F">
        <w:t>In consulting with regional bodies, employers and unions, the Agency heard th</w:t>
      </w:r>
      <w:r w:rsidR="00FF4E20" w:rsidRPr="003D290F">
        <w:t xml:space="preserve">e need for more targeted </w:t>
      </w:r>
      <w:r w:rsidR="00033E9B">
        <w:t>Australian Government</w:t>
      </w:r>
      <w:r w:rsidR="00033E9B" w:rsidRPr="003D290F">
        <w:t xml:space="preserve"> </w:t>
      </w:r>
      <w:r w:rsidR="00FF4E20" w:rsidRPr="003D290F">
        <w:t>supports to meet the specific needs of workers in</w:t>
      </w:r>
      <w:r w:rsidR="00FF4E20" w:rsidRPr="003D290F" w:rsidDel="00033E9B">
        <w:t xml:space="preserve"> </w:t>
      </w:r>
      <w:r w:rsidR="00D905C7" w:rsidRPr="003D290F">
        <w:t xml:space="preserve">power stations and associated facilities that will close </w:t>
      </w:r>
      <w:r w:rsidR="00A6090C">
        <w:t xml:space="preserve">due to the major structural </w:t>
      </w:r>
      <w:r w:rsidR="00033E9B">
        <w:t>changes</w:t>
      </w:r>
      <w:r w:rsidR="00A6090C">
        <w:t xml:space="preserve"> which will occur </w:t>
      </w:r>
      <w:r w:rsidR="00472645">
        <w:t xml:space="preserve">in those communities </w:t>
      </w:r>
      <w:r w:rsidR="00D905C7" w:rsidRPr="003D290F">
        <w:t>through the net zero transition</w:t>
      </w:r>
      <w:r w:rsidR="00FF4E20" w:rsidRPr="003D290F">
        <w:t xml:space="preserve">. </w:t>
      </w:r>
    </w:p>
    <w:p w14:paraId="4D3D6921" w14:textId="77777777" w:rsidR="00BE5D73" w:rsidRPr="003D290F" w:rsidRDefault="00F33CE0" w:rsidP="00915E98">
      <w:r w:rsidRPr="003D290F" w:rsidDel="00BA67A7">
        <w:t xml:space="preserve">DEWR </w:t>
      </w:r>
      <w:r w:rsidR="0081165C" w:rsidRPr="003D290F">
        <w:t>and the Agency are</w:t>
      </w:r>
      <w:r w:rsidRPr="003D290F" w:rsidDel="00BA67A7">
        <w:t xml:space="preserve"> reviewing workforce transition support initiatives to identify what additional measures may be required to support workers and communities through energy system changes</w:t>
      </w:r>
      <w:r w:rsidRPr="003D290F">
        <w:t xml:space="preserve">, in consultation with other relevant </w:t>
      </w:r>
      <w:r w:rsidR="00033E9B">
        <w:t>Australian Government</w:t>
      </w:r>
      <w:r w:rsidR="00033E9B" w:rsidRPr="003D290F">
        <w:t xml:space="preserve"> </w:t>
      </w:r>
      <w:r w:rsidRPr="003D290F">
        <w:t xml:space="preserve">agencies. </w:t>
      </w:r>
    </w:p>
    <w:p w14:paraId="47F70522" w14:textId="77777777" w:rsidR="00AF29B7" w:rsidRPr="003D290F" w:rsidRDefault="00006EE7" w:rsidP="00B66BE0">
      <w:pPr>
        <w:pStyle w:val="Heading3"/>
      </w:pPr>
      <w:bookmarkStart w:id="57" w:name="_Toc155604597"/>
      <w:bookmarkStart w:id="58" w:name="_Toc161395950"/>
      <w:bookmarkStart w:id="59" w:name="_Toc161403486"/>
      <w:bookmarkStart w:id="60" w:name="_Toc161694765"/>
      <w:bookmarkStart w:id="61" w:name="_Toc161752220"/>
      <w:bookmarkStart w:id="62" w:name="_Toc161759657"/>
      <w:r w:rsidRPr="003D290F">
        <w:t xml:space="preserve">1.3.2 </w:t>
      </w:r>
      <w:r w:rsidR="00C90283" w:rsidRPr="003D290F">
        <w:t xml:space="preserve">Worker transition supports provided by </w:t>
      </w:r>
      <w:r w:rsidR="004B79A4" w:rsidRPr="003D290F">
        <w:t xml:space="preserve">closing </w:t>
      </w:r>
      <w:r w:rsidR="00AE0520" w:rsidRPr="003D290F">
        <w:t>facilities</w:t>
      </w:r>
      <w:bookmarkEnd w:id="57"/>
      <w:bookmarkEnd w:id="58"/>
      <w:bookmarkEnd w:id="59"/>
      <w:bookmarkEnd w:id="60"/>
      <w:bookmarkEnd w:id="61"/>
      <w:bookmarkEnd w:id="62"/>
    </w:p>
    <w:p w14:paraId="6A8CC3A3" w14:textId="77777777" w:rsidR="00AE0520" w:rsidRPr="003D290F" w:rsidRDefault="00AE0520" w:rsidP="00915E98">
      <w:r w:rsidRPr="003D290F">
        <w:t>Historically, the supports provided by coal-fired power stations to workers have varied considerably</w:t>
      </w:r>
      <w:r w:rsidR="00977D53" w:rsidRPr="003D290F">
        <w:t>. S</w:t>
      </w:r>
      <w:r w:rsidRPr="003D290F">
        <w:t xml:space="preserve">upports may vary by facility and depending on timeframes from announcement to closure. </w:t>
      </w:r>
    </w:p>
    <w:p w14:paraId="353A3FB3" w14:textId="77777777" w:rsidR="00AE0520" w:rsidRPr="003D290F" w:rsidRDefault="00AE0520" w:rsidP="00915E98">
      <w:r w:rsidRPr="003D290F">
        <w:t xml:space="preserve">In recent times, companies have provided more proactive workforce supports. For example, upon the closure of AGL Energy’s Liddell Power Station in the NSW Upper Hunter region earlier in 2023, AGL </w:t>
      </w:r>
      <w:r w:rsidRPr="003D290F">
        <w:lastRenderedPageBreak/>
        <w:t>announced it had met its commitment of no forced redundancies for workers, with interested workers transferred to the nearby Bayswater Power Station.</w:t>
      </w:r>
      <w:r w:rsidRPr="003D290F">
        <w:rPr>
          <w:rStyle w:val="FootnoteReference"/>
        </w:rPr>
        <w:footnoteReference w:id="26"/>
      </w:r>
    </w:p>
    <w:p w14:paraId="249834C7" w14:textId="77777777" w:rsidR="00874CA3" w:rsidRPr="003D290F" w:rsidRDefault="00E102C3" w:rsidP="00915E98">
      <w:r w:rsidRPr="003D290F">
        <w:t>EnergyAustralia</w:t>
      </w:r>
      <w:r w:rsidR="00682351" w:rsidRPr="003D290F">
        <w:t xml:space="preserve">’s </w:t>
      </w:r>
      <w:r w:rsidRPr="003D290F">
        <w:t>$10 million ‘Power Your Future’ transition program support</w:t>
      </w:r>
      <w:r w:rsidR="00682351" w:rsidRPr="003D290F">
        <w:t>s</w:t>
      </w:r>
      <w:r w:rsidRPr="003D290F">
        <w:t xml:space="preserve"> Yallourn</w:t>
      </w:r>
      <w:r w:rsidR="00AE0520" w:rsidRPr="003D290F">
        <w:t xml:space="preserve"> power station</w:t>
      </w:r>
      <w:r w:rsidRPr="003D290F">
        <w:t xml:space="preserve"> workers, including contractors, </w:t>
      </w:r>
      <w:r w:rsidR="00682351" w:rsidRPr="003D290F">
        <w:t xml:space="preserve">to </w:t>
      </w:r>
      <w:r w:rsidRPr="003D290F">
        <w:t xml:space="preserve">access supports and services ahead of the planned </w:t>
      </w:r>
      <w:r w:rsidR="00AE0520" w:rsidRPr="003D290F">
        <w:t xml:space="preserve">station </w:t>
      </w:r>
      <w:r w:rsidRPr="003D290F">
        <w:t>closure in mid-2028. The program supports include personalised career plans, training support, individual career coaching, financial advice and planning, small business seed funding, job application assistance, and links to employment opportunities.</w:t>
      </w:r>
      <w:r w:rsidR="00C112A2" w:rsidRPr="003D290F">
        <w:rPr>
          <w:rStyle w:val="FootnoteReference"/>
        </w:rPr>
        <w:footnoteReference w:id="27"/>
      </w:r>
      <w:r w:rsidR="00B30435" w:rsidRPr="003D290F">
        <w:t xml:space="preserve"> </w:t>
      </w:r>
    </w:p>
    <w:p w14:paraId="2FB836CF" w14:textId="77777777" w:rsidR="00E102C3" w:rsidRDefault="00CC6C6F" w:rsidP="00915E98">
      <w:r w:rsidRPr="003D290F">
        <w:t>As part of the ‘Power Your Future’ program, o</w:t>
      </w:r>
      <w:r w:rsidR="00707111" w:rsidRPr="003D290F">
        <w:t xml:space="preserve">n </w:t>
      </w:r>
      <w:r w:rsidR="00AC5632" w:rsidRPr="003D290F">
        <w:t>20</w:t>
      </w:r>
      <w:r w:rsidR="00B30435" w:rsidRPr="003D290F">
        <w:t xml:space="preserve"> October 2023 EnergyAustralia and Elanora Offshore announced a program to further support Yallourn power station workers to retrain for work in the proposed offshore wind project and secure future employment.</w:t>
      </w:r>
      <w:r w:rsidR="005F32EA" w:rsidRPr="003D290F">
        <w:rPr>
          <w:rStyle w:val="FootnoteReference"/>
        </w:rPr>
        <w:footnoteReference w:id="28"/>
      </w:r>
      <w:r w:rsidR="00B30435" w:rsidRPr="003D290F">
        <w:t xml:space="preserve"> The program includes information sessions, skills matching, and work placement opportunities. Initial roles in the project planning phase of Elanora Offshore would be expected to be available from 2025, with roles to be released in construction and operations from 2027.</w:t>
      </w:r>
    </w:p>
    <w:p w14:paraId="3B965CF7" w14:textId="77777777" w:rsidR="00827B22" w:rsidRPr="003D290F" w:rsidRDefault="00B21D0D" w:rsidP="00915E98">
      <w:r>
        <w:t>The potential</w:t>
      </w:r>
      <w:r w:rsidR="00827B22">
        <w:t xml:space="preserve"> </w:t>
      </w:r>
      <w:r>
        <w:t>for</w:t>
      </w:r>
      <w:r w:rsidR="00827B22">
        <w:t xml:space="preserve"> redeployment </w:t>
      </w:r>
      <w:r>
        <w:t>to another power station within</w:t>
      </w:r>
      <w:r w:rsidR="00827B22">
        <w:t xml:space="preserve"> the same corporate group, as happened with Liddell, will become </w:t>
      </w:r>
      <w:r>
        <w:t>increasingly</w:t>
      </w:r>
      <w:r w:rsidR="00827B22">
        <w:t xml:space="preserve"> difficult </w:t>
      </w:r>
      <w:r>
        <w:t xml:space="preserve">as more power stations close. </w:t>
      </w:r>
      <w:r w:rsidR="008356F3">
        <w:t>For example, with</w:t>
      </w:r>
      <w:r>
        <w:t xml:space="preserve"> the exception of Queensland Government</w:t>
      </w:r>
      <w:r w:rsidR="008F6C7E">
        <w:t>-</w:t>
      </w:r>
      <w:r>
        <w:t xml:space="preserve">owned assets, remaining coal generators located in the same region </w:t>
      </w:r>
      <w:r w:rsidR="008356F3">
        <w:t xml:space="preserve">in the NEM </w:t>
      </w:r>
      <w:r>
        <w:t>are now owned by different operators.</w:t>
      </w:r>
      <w:r w:rsidR="00B52851">
        <w:rPr>
          <w:rStyle w:val="FootnoteReference"/>
        </w:rPr>
        <w:footnoteReference w:id="29"/>
      </w:r>
    </w:p>
    <w:p w14:paraId="50C08674" w14:textId="77777777" w:rsidR="00C90283" w:rsidRPr="003D290F" w:rsidRDefault="00006EE7" w:rsidP="00B66BE0">
      <w:pPr>
        <w:pStyle w:val="Heading3"/>
      </w:pPr>
      <w:bookmarkStart w:id="63" w:name="_Toc155604598"/>
      <w:bookmarkStart w:id="64" w:name="_Toc161395951"/>
      <w:bookmarkStart w:id="65" w:name="_Toc161403487"/>
      <w:bookmarkStart w:id="66" w:name="_Toc161694766"/>
      <w:bookmarkStart w:id="67" w:name="_Toc161752221"/>
      <w:bookmarkStart w:id="68" w:name="_Toc161759658"/>
      <w:r w:rsidRPr="003D290F">
        <w:t xml:space="preserve">1.3.3 </w:t>
      </w:r>
      <w:r w:rsidR="00C90283" w:rsidRPr="003D290F">
        <w:t>State-based worker transition supports</w:t>
      </w:r>
      <w:bookmarkEnd w:id="63"/>
      <w:bookmarkEnd w:id="64"/>
      <w:bookmarkEnd w:id="65"/>
      <w:bookmarkEnd w:id="66"/>
      <w:bookmarkEnd w:id="67"/>
      <w:bookmarkEnd w:id="68"/>
    </w:p>
    <w:p w14:paraId="04F2F2FA" w14:textId="77777777" w:rsidR="0054645C" w:rsidRPr="003D290F" w:rsidRDefault="00B20420" w:rsidP="00C42C3F">
      <w:pPr>
        <w:spacing w:line="256" w:lineRule="auto"/>
      </w:pPr>
      <w:r w:rsidRPr="003D290F">
        <w:t xml:space="preserve">State </w:t>
      </w:r>
      <w:r w:rsidR="00761167" w:rsidRPr="003D290F">
        <w:t>g</w:t>
      </w:r>
      <w:r w:rsidRPr="003D290F">
        <w:t>overnments have provided support</w:t>
      </w:r>
      <w:r w:rsidR="003335D5" w:rsidRPr="003D290F">
        <w:t xml:space="preserve"> and investment</w:t>
      </w:r>
      <w:r w:rsidRPr="003D290F">
        <w:t xml:space="preserve"> </w:t>
      </w:r>
      <w:r w:rsidR="003C470E" w:rsidRPr="003D290F">
        <w:t>during</w:t>
      </w:r>
      <w:r w:rsidRPr="003D290F">
        <w:t xml:space="preserve"> past</w:t>
      </w:r>
      <w:r w:rsidR="0054645C" w:rsidRPr="003D290F">
        <w:t xml:space="preserve"> </w:t>
      </w:r>
      <w:r w:rsidR="003C470E" w:rsidRPr="003D290F">
        <w:t xml:space="preserve">facility </w:t>
      </w:r>
      <w:r w:rsidR="0054645C" w:rsidRPr="003D290F">
        <w:t>closure events</w:t>
      </w:r>
      <w:r w:rsidRPr="003D290F">
        <w:t>,</w:t>
      </w:r>
      <w:r w:rsidR="003335D5" w:rsidRPr="003D290F">
        <w:t xml:space="preserve"> in partnership with </w:t>
      </w:r>
      <w:r w:rsidR="003C470E" w:rsidRPr="003D290F">
        <w:t xml:space="preserve">privately-owned </w:t>
      </w:r>
      <w:r w:rsidR="003335D5" w:rsidRPr="003D290F">
        <w:t>coal f</w:t>
      </w:r>
      <w:r w:rsidR="003C470E" w:rsidRPr="003D290F">
        <w:t>ired power station operators</w:t>
      </w:r>
      <w:r w:rsidR="003335D5" w:rsidRPr="003D290F">
        <w:t xml:space="preserve">. </w:t>
      </w:r>
      <w:r w:rsidR="003C470E" w:rsidRPr="003D290F">
        <w:t xml:space="preserve">For example, </w:t>
      </w:r>
      <w:r w:rsidR="003335D5" w:rsidRPr="003D290F">
        <w:t>the Victorian Government</w:t>
      </w:r>
      <w:r w:rsidR="003C470E" w:rsidRPr="003D290F">
        <w:t xml:space="preserve"> provided a</w:t>
      </w:r>
      <w:r w:rsidR="003335D5" w:rsidRPr="003D290F">
        <w:t xml:space="preserve"> </w:t>
      </w:r>
      <w:r w:rsidR="003C470E" w:rsidRPr="003D290F">
        <w:t xml:space="preserve">significant </w:t>
      </w:r>
      <w:r w:rsidR="003335D5" w:rsidRPr="003D290F">
        <w:t>support package for</w:t>
      </w:r>
      <w:r w:rsidR="003C470E" w:rsidRPr="003D290F">
        <w:t xml:space="preserve"> </w:t>
      </w:r>
      <w:r w:rsidR="003335D5" w:rsidRPr="003D290F">
        <w:t xml:space="preserve">workers impacted by </w:t>
      </w:r>
      <w:r w:rsidR="00E62CC4" w:rsidRPr="003D290F">
        <w:t xml:space="preserve">the </w:t>
      </w:r>
      <w:r w:rsidR="003335D5" w:rsidRPr="003D290F">
        <w:t xml:space="preserve">closure of Hazelwood power station </w:t>
      </w:r>
      <w:r w:rsidR="00E62CC4" w:rsidRPr="003D290F">
        <w:t>and the Latrobe V</w:t>
      </w:r>
      <w:r w:rsidR="003335D5" w:rsidRPr="003D290F">
        <w:t>alley</w:t>
      </w:r>
      <w:r w:rsidR="00E62CC4" w:rsidRPr="003D290F">
        <w:t xml:space="preserve"> region</w:t>
      </w:r>
      <w:r w:rsidR="00DF3713" w:rsidRPr="003D290F">
        <w:t xml:space="preserve"> in 2016</w:t>
      </w:r>
      <w:r w:rsidR="003335D5" w:rsidRPr="003D290F">
        <w:t>.</w:t>
      </w:r>
      <w:r w:rsidR="00AE0520" w:rsidRPr="003D290F">
        <w:rPr>
          <w:rStyle w:val="FootnoteReference"/>
        </w:rPr>
        <w:footnoteReference w:id="30"/>
      </w:r>
      <w:r w:rsidR="003335D5" w:rsidRPr="003D290F">
        <w:t xml:space="preserve"> </w:t>
      </w:r>
      <w:r w:rsidR="00E62CC4" w:rsidRPr="003D290F">
        <w:t xml:space="preserve">Immediate steps </w:t>
      </w:r>
      <w:r w:rsidR="00B76FD8" w:rsidRPr="003D290F">
        <w:t xml:space="preserve">to </w:t>
      </w:r>
      <w:r w:rsidR="00E62CC4" w:rsidRPr="003D290F">
        <w:t xml:space="preserve">support workers </w:t>
      </w:r>
      <w:r w:rsidR="00B76FD8" w:rsidRPr="003D290F">
        <w:t xml:space="preserve">affected </w:t>
      </w:r>
      <w:r w:rsidR="00E62CC4" w:rsidRPr="003D290F">
        <w:t>by the Hazelwood closure included the establishment of the Worker Transfer Scheme and Worker Transition Service</w:t>
      </w:r>
      <w:r w:rsidR="00DF3713" w:rsidRPr="003D290F">
        <w:t xml:space="preserve">, </w:t>
      </w:r>
      <w:r w:rsidR="003C470E" w:rsidRPr="003D290F">
        <w:t xml:space="preserve">which </w:t>
      </w:r>
      <w:r w:rsidR="0081165C" w:rsidRPr="003D290F">
        <w:t>are</w:t>
      </w:r>
      <w:r w:rsidR="003C470E" w:rsidRPr="003D290F">
        <w:t xml:space="preserve"> discussed in further detail in</w:t>
      </w:r>
      <w:r w:rsidR="00DF3713" w:rsidRPr="003D290F">
        <w:t xml:space="preserve"> </w:t>
      </w:r>
      <w:r w:rsidR="00DF3713" w:rsidRPr="00B269B9">
        <w:rPr>
          <w:rFonts w:eastAsia="Times New Roman" w:cs="Segoe UI"/>
          <w:b/>
          <w:color w:val="1B375C"/>
          <w:szCs w:val="22"/>
        </w:rPr>
        <w:t>Chapter 4</w:t>
      </w:r>
      <w:r w:rsidR="00E62CC4" w:rsidRPr="003D290F">
        <w:t xml:space="preserve">. </w:t>
      </w:r>
    </w:p>
    <w:p w14:paraId="399334D4" w14:textId="77777777" w:rsidR="00AE0520" w:rsidRPr="003D290F" w:rsidRDefault="00AE0520" w:rsidP="00EC6C62">
      <w:r w:rsidRPr="003D290F">
        <w:t xml:space="preserve">More recently, AGL </w:t>
      </w:r>
      <w:r w:rsidR="00473A68">
        <w:t>and Energy Australia have</w:t>
      </w:r>
      <w:r w:rsidRPr="003D290F">
        <w:t xml:space="preserve"> entered into </w:t>
      </w:r>
      <w:r w:rsidR="00473A68">
        <w:t>t</w:t>
      </w:r>
      <w:r w:rsidRPr="003D290F">
        <w:t xml:space="preserve">ransition </w:t>
      </w:r>
      <w:r w:rsidR="00473A68">
        <w:t>a</w:t>
      </w:r>
      <w:r w:rsidRPr="003D290F">
        <w:t>greement</w:t>
      </w:r>
      <w:r w:rsidR="00473A68">
        <w:t>s</w:t>
      </w:r>
      <w:r w:rsidRPr="003D290F">
        <w:t xml:space="preserve"> relating to arrangements for the operation, maintenance and retirement of the Loy Yang A </w:t>
      </w:r>
      <w:r w:rsidR="00473A68">
        <w:t xml:space="preserve">and Yallourn </w:t>
      </w:r>
      <w:r w:rsidRPr="003D290F">
        <w:t>Power Station</w:t>
      </w:r>
      <w:r w:rsidR="00473A68">
        <w:t>s, respectively</w:t>
      </w:r>
      <w:r w:rsidRPr="003D290F">
        <w:t>. The worker transition package</w:t>
      </w:r>
      <w:r w:rsidR="00473A68">
        <w:t>s</w:t>
      </w:r>
      <w:r w:rsidRPr="003D290F">
        <w:t>, in partnership with the Victorian Government, will help retrain, reskill and find new work opportunities for their staff locally.</w:t>
      </w:r>
      <w:r w:rsidRPr="003D290F">
        <w:rPr>
          <w:rStyle w:val="FootnoteReference"/>
        </w:rPr>
        <w:footnoteReference w:id="31"/>
      </w:r>
    </w:p>
    <w:p w14:paraId="471125C4" w14:textId="77777777" w:rsidR="000E481D" w:rsidRPr="003D290F" w:rsidRDefault="00DF3713" w:rsidP="00EC6C62">
      <w:r w:rsidRPr="003D290F">
        <w:lastRenderedPageBreak/>
        <w:t xml:space="preserve">State </w:t>
      </w:r>
      <w:r w:rsidR="00761167" w:rsidRPr="003D290F">
        <w:t>g</w:t>
      </w:r>
      <w:r w:rsidRPr="003D290F">
        <w:t xml:space="preserve">overnments have </w:t>
      </w:r>
      <w:r w:rsidR="003C470E" w:rsidRPr="003D290F">
        <w:t>also</w:t>
      </w:r>
      <w:r w:rsidRPr="003D290F">
        <w:t xml:space="preserve"> made commitments to support workers at </w:t>
      </w:r>
      <w:r w:rsidR="0054645C" w:rsidRPr="003D290F">
        <w:t xml:space="preserve">state-owned </w:t>
      </w:r>
      <w:r w:rsidRPr="003D290F">
        <w:t xml:space="preserve">coal-fired power stations and </w:t>
      </w:r>
      <w:r w:rsidR="0054645C" w:rsidRPr="003D290F">
        <w:t>facilities in Queensland and Western Australia</w:t>
      </w:r>
      <w:r w:rsidRPr="003D290F">
        <w:t xml:space="preserve">. </w:t>
      </w:r>
      <w:r w:rsidR="003B3107" w:rsidRPr="003D290F">
        <w:t xml:space="preserve">This includes the </w:t>
      </w:r>
      <w:r w:rsidR="000E481D" w:rsidRPr="003D290F">
        <w:t xml:space="preserve">$150 million Job Security Guarantee, as outlined in the Queensland Energy and Jobs Plan, to support workers in publicly owned coal-fired power stations by </w:t>
      </w:r>
      <w:r w:rsidR="00C21741" w:rsidRPr="003D290F">
        <w:t>providing security and support to workers in relation to employment matters, including, for example, providing training for, or access to, employment opportunities within the energy sector or other career pathways.</w:t>
      </w:r>
      <w:r w:rsidR="003C470E" w:rsidRPr="003D290F">
        <w:rPr>
          <w:rStyle w:val="FootnoteReference"/>
        </w:rPr>
        <w:footnoteReference w:id="32"/>
      </w:r>
      <w:r w:rsidR="000E481D" w:rsidRPr="003D290F">
        <w:t xml:space="preserve"> </w:t>
      </w:r>
    </w:p>
    <w:p w14:paraId="4E15347F" w14:textId="77777777" w:rsidR="00743E74" w:rsidRPr="003D290F" w:rsidRDefault="003B3107" w:rsidP="00EC6C62">
      <w:r w:rsidRPr="003D290F">
        <w:t xml:space="preserve">Additionally, the </w:t>
      </w:r>
      <w:r w:rsidR="000E481D" w:rsidRPr="003D290F">
        <w:t>W</w:t>
      </w:r>
      <w:r w:rsidRPr="003D290F">
        <w:t xml:space="preserve">estern </w:t>
      </w:r>
      <w:r w:rsidR="000E481D" w:rsidRPr="003D290F">
        <w:t>A</w:t>
      </w:r>
      <w:r w:rsidRPr="003D290F">
        <w:t>ustralian</w:t>
      </w:r>
      <w:r w:rsidR="000E481D" w:rsidRPr="003D290F">
        <w:t xml:space="preserve"> Government launched a $547.4 million ‘Collie Transition Package’</w:t>
      </w:r>
      <w:r w:rsidR="00D41930" w:rsidRPr="003D290F">
        <w:t xml:space="preserve"> which aims to attract new and emerging industries to the Collie region, and provide support and advice for workers and businesses impacted by the scheduled closures. The package includes $16.9 million to expand the Collie Jobs and Skills Centre, which offers free training and employment advice to impacted workers.</w:t>
      </w:r>
      <w:r w:rsidR="00673DC4" w:rsidRPr="003D290F">
        <w:t xml:space="preserve"> </w:t>
      </w:r>
      <w:r w:rsidR="00743E74" w:rsidRPr="003D290F">
        <w:t>Similarly, Synergy Australia’s Workforce Transition Program includes working with each employee to develop their own personalised Individual Transition Plan. Each plan includes tailored support, services and resources to help them transition along one of the following pathways: retirement, new role within Synergy</w:t>
      </w:r>
      <w:r w:rsidR="0081165C" w:rsidRPr="003D290F">
        <w:t>,</w:t>
      </w:r>
      <w:r w:rsidR="00743E74" w:rsidRPr="003D290F">
        <w:t xml:space="preserve"> and further opportunities beyond Synergy.</w:t>
      </w:r>
      <w:r w:rsidR="00743E74" w:rsidRPr="003D290F">
        <w:rPr>
          <w:rStyle w:val="FootnoteReference"/>
        </w:rPr>
        <w:footnoteReference w:id="33"/>
      </w:r>
    </w:p>
    <w:p w14:paraId="71766DAA" w14:textId="77777777" w:rsidR="00C03D00" w:rsidRPr="003D290F" w:rsidRDefault="00006EE7" w:rsidP="00B66BE0">
      <w:pPr>
        <w:pStyle w:val="Heading2"/>
      </w:pPr>
      <w:bookmarkStart w:id="69" w:name="_Toc161395952"/>
      <w:bookmarkStart w:id="70" w:name="_Toc161403488"/>
      <w:bookmarkStart w:id="71" w:name="_Toc161752222"/>
      <w:bookmarkStart w:id="72" w:name="_Toc161759659"/>
      <w:r w:rsidRPr="003D290F">
        <w:t xml:space="preserve">1.4 </w:t>
      </w:r>
      <w:r w:rsidR="00FE5818" w:rsidRPr="003D290F">
        <w:t>Workforce planning</w:t>
      </w:r>
      <w:r w:rsidR="006703D5" w:rsidRPr="003D290F">
        <w:t>, skills and training</w:t>
      </w:r>
      <w:bookmarkEnd w:id="69"/>
      <w:bookmarkEnd w:id="70"/>
      <w:bookmarkEnd w:id="71"/>
      <w:bookmarkEnd w:id="72"/>
    </w:p>
    <w:p w14:paraId="675A0938" w14:textId="77777777" w:rsidR="00101E8C" w:rsidRPr="003D290F" w:rsidRDefault="00B671B0">
      <w:r w:rsidRPr="003D290F">
        <w:t>T</w:t>
      </w:r>
      <w:r w:rsidR="0081165C" w:rsidRPr="003D290F">
        <w:t xml:space="preserve">wo recent government reports, </w:t>
      </w:r>
      <w:r w:rsidR="0081165C" w:rsidRPr="003D290F">
        <w:rPr>
          <w:i/>
        </w:rPr>
        <w:t>Working Future: The Australian Government’s White Paper on Jobs and Opportunities</w:t>
      </w:r>
      <w:r w:rsidR="0081165C" w:rsidRPr="003D290F">
        <w:t xml:space="preserve"> (the </w:t>
      </w:r>
      <w:r w:rsidR="006C4509">
        <w:t xml:space="preserve">2023 </w:t>
      </w:r>
      <w:r w:rsidR="0081165C" w:rsidRPr="003D290F">
        <w:t xml:space="preserve">Employment White Paper) </w:t>
      </w:r>
      <w:r w:rsidRPr="003D290F">
        <w:t xml:space="preserve">and Jobs and Skills Australia’s </w:t>
      </w:r>
      <w:r w:rsidR="00BC338F" w:rsidRPr="003D290F">
        <w:t>(JSA)</w:t>
      </w:r>
      <w:r w:rsidR="0081165C" w:rsidRPr="003D290F">
        <w:t xml:space="preserve"> report </w:t>
      </w:r>
      <w:r w:rsidR="0081165C" w:rsidRPr="003D290F">
        <w:rPr>
          <w:i/>
        </w:rPr>
        <w:t>The Clean Energy Generation: Workforce needs for a net zero economy</w:t>
      </w:r>
      <w:r w:rsidR="00BC338F" w:rsidRPr="003D290F">
        <w:t xml:space="preserve"> </w:t>
      </w:r>
      <w:r w:rsidR="0081165C" w:rsidRPr="003D290F">
        <w:t>(</w:t>
      </w:r>
      <w:r w:rsidRPr="003D290F">
        <w:t>Clean Energy Capacity Study</w:t>
      </w:r>
      <w:r w:rsidR="0081165C" w:rsidRPr="003D290F">
        <w:t>),</w:t>
      </w:r>
      <w:r w:rsidRPr="003D290F">
        <w:t xml:space="preserve"> have highlighted the employment opportunities that will be created as Australia transitions to net zero</w:t>
      </w:r>
      <w:r w:rsidR="00AF29B7" w:rsidRPr="003D290F">
        <w:t>, and the challenges of developing Australia’s workforce with the skills required to meet these opportunities</w:t>
      </w:r>
      <w:r w:rsidRPr="003D290F">
        <w:t>.</w:t>
      </w:r>
    </w:p>
    <w:p w14:paraId="042089EE" w14:textId="77777777" w:rsidR="00715F92" w:rsidRPr="003D290F" w:rsidRDefault="00715F92" w:rsidP="00715F92">
      <w:r w:rsidRPr="003D290F">
        <w:t xml:space="preserve">The Employment White Paper notes that changes associated with net zero transformation are generating pronounced shifts in demand for particular skills, including trades and engineering, </w:t>
      </w:r>
      <w:r w:rsidR="006703D5" w:rsidRPr="003D290F">
        <w:t>as well as</w:t>
      </w:r>
      <w:r w:rsidRPr="003D290F">
        <w:t xml:space="preserve"> amplifying global competition for expertise. </w:t>
      </w:r>
      <w:r w:rsidR="006703D5" w:rsidRPr="003D290F">
        <w:t>It notes that m</w:t>
      </w:r>
      <w:r w:rsidRPr="003D290F">
        <w:t>eeting these skills needs will be critical to delivering on emissions reduction commitments and realising the economic opportunities of the net zero transformation.</w:t>
      </w:r>
      <w:r w:rsidRPr="003D290F">
        <w:rPr>
          <w:rStyle w:val="FootnoteReference"/>
        </w:rPr>
        <w:footnoteReference w:id="34"/>
      </w:r>
    </w:p>
    <w:p w14:paraId="240779F0" w14:textId="77777777" w:rsidR="003A4383" w:rsidRPr="003D290F" w:rsidRDefault="00F17673" w:rsidP="003A4383">
      <w:r w:rsidRPr="003D290F">
        <w:t>Modelling undertaken for t</w:t>
      </w:r>
      <w:r w:rsidR="003A4383" w:rsidRPr="003D290F">
        <w:t>he JSA Clean Energy Capacity Study</w:t>
      </w:r>
      <w:r w:rsidRPr="003D290F">
        <w:t xml:space="preserve"> forecast</w:t>
      </w:r>
      <w:r w:rsidR="00BA67A7" w:rsidRPr="003D290F">
        <w:t>s</w:t>
      </w:r>
      <w:r w:rsidRPr="003D290F">
        <w:t xml:space="preserve"> workforce requirements against expectations of skills supply under three different pathways for Australia’s transition to net zero</w:t>
      </w:r>
      <w:r w:rsidR="00870CC2" w:rsidRPr="003D290F">
        <w:t>. U</w:t>
      </w:r>
      <w:r w:rsidR="003A4383" w:rsidRPr="003D290F">
        <w:t>nder a central decarbonisation scenario, demand for 38 critical clean energy occupations is likely to increase by around 15</w:t>
      </w:r>
      <w:r w:rsidR="00F86755" w:rsidRPr="003D290F">
        <w:t xml:space="preserve"> per cent</w:t>
      </w:r>
      <w:r w:rsidR="003A4383" w:rsidRPr="003D290F">
        <w:t xml:space="preserve"> in the next seven years</w:t>
      </w:r>
      <w:r w:rsidRPr="003D290F">
        <w:t>. This represents</w:t>
      </w:r>
      <w:r w:rsidR="003A4383" w:rsidRPr="003D290F">
        <w:t xml:space="preserve"> an increase of almost 240,000 workers by 2030</w:t>
      </w:r>
      <w:r w:rsidRPr="003D290F">
        <w:t xml:space="preserve"> in these occupations</w:t>
      </w:r>
      <w:r w:rsidR="003A4383" w:rsidRPr="003D290F">
        <w:t>.</w:t>
      </w:r>
      <w:r w:rsidR="003A4383" w:rsidRPr="003D290F">
        <w:rPr>
          <w:rStyle w:val="FootnoteReference"/>
        </w:rPr>
        <w:footnoteReference w:id="35"/>
      </w:r>
    </w:p>
    <w:p w14:paraId="4D95E826" w14:textId="77777777" w:rsidR="001D0B16" w:rsidRPr="003D290F" w:rsidRDefault="00DF57BF" w:rsidP="00F70968">
      <w:r w:rsidRPr="003D290F">
        <w:t>Much of the change in industry and workforce composition associated with the transition to net zero will be concentrated in regional areas</w:t>
      </w:r>
      <w:r w:rsidR="00870CC2" w:rsidRPr="003D290F">
        <w:t>. M</w:t>
      </w:r>
      <w:r w:rsidRPr="003D290F">
        <w:t xml:space="preserve">any of </w:t>
      </w:r>
      <w:r w:rsidR="00870CC2" w:rsidRPr="003D290F">
        <w:t xml:space="preserve">these regions </w:t>
      </w:r>
      <w:r w:rsidRPr="003D290F">
        <w:t>have relatively low industrial diversity, high concentration of related emissions-intensive industries</w:t>
      </w:r>
      <w:r w:rsidR="006B07E1" w:rsidRPr="003D290F">
        <w:t>,</w:t>
      </w:r>
      <w:r w:rsidRPr="003D290F">
        <w:t xml:space="preserve"> and lower </w:t>
      </w:r>
      <w:r w:rsidR="006B07E1" w:rsidRPr="003D290F">
        <w:t xml:space="preserve">capacity to </w:t>
      </w:r>
      <w:r w:rsidRPr="003D290F">
        <w:t>adapt</w:t>
      </w:r>
      <w:r w:rsidR="006B07E1" w:rsidRPr="003D290F">
        <w:t xml:space="preserve"> to changes</w:t>
      </w:r>
      <w:r w:rsidRPr="003D290F">
        <w:t>.</w:t>
      </w:r>
      <w:r w:rsidRPr="003D290F">
        <w:rPr>
          <w:rStyle w:val="FootnoteReference"/>
        </w:rPr>
        <w:footnoteReference w:id="36"/>
      </w:r>
      <w:r w:rsidR="00BC338F" w:rsidRPr="003D290F">
        <w:t xml:space="preserve"> </w:t>
      </w:r>
      <w:r w:rsidR="00B76FD8" w:rsidRPr="003D290F">
        <w:t xml:space="preserve">But the </w:t>
      </w:r>
      <w:r w:rsidR="00BC338F" w:rsidRPr="003D290F">
        <w:lastRenderedPageBreak/>
        <w:t xml:space="preserve">JSA Clean Energy Capacity Study </w:t>
      </w:r>
      <w:r w:rsidR="00F17673" w:rsidRPr="003D290F">
        <w:t xml:space="preserve">modelling </w:t>
      </w:r>
      <w:r w:rsidR="00BC338F" w:rsidRPr="003D290F">
        <w:t xml:space="preserve">also shows many of the new jobs that emerge through the net zero transition will be in regions where new, clean industries will at least partially replace high emissions industries. </w:t>
      </w:r>
    </w:p>
    <w:p w14:paraId="6198E5F0" w14:textId="77777777" w:rsidR="001D0B16" w:rsidRPr="003D290F" w:rsidRDefault="00BC338F" w:rsidP="00F70968">
      <w:r w:rsidRPr="003D290F">
        <w:t>There will be skilling and reskilling opportunities for people in these com</w:t>
      </w:r>
      <w:r w:rsidR="00763FEC" w:rsidRPr="003D290F">
        <w:t xml:space="preserve">munities to help </w:t>
      </w:r>
      <w:r w:rsidR="00C642D8" w:rsidRPr="003D290F">
        <w:t xml:space="preserve">them </w:t>
      </w:r>
      <w:r w:rsidR="00763FEC" w:rsidRPr="003D290F">
        <w:t xml:space="preserve">move from traditional industries </w:t>
      </w:r>
      <w:r w:rsidRPr="003D290F">
        <w:t xml:space="preserve">to </w:t>
      </w:r>
      <w:r w:rsidR="00763FEC" w:rsidRPr="003D290F">
        <w:t>emerging ones</w:t>
      </w:r>
      <w:r w:rsidR="001D0B16" w:rsidRPr="003D290F">
        <w:t>, with workers in some specific occupations likely to require more support than others, as noted in JSA’s analysis:</w:t>
      </w:r>
      <w:r w:rsidR="00F70968" w:rsidRPr="003D290F">
        <w:t xml:space="preserve"> </w:t>
      </w:r>
    </w:p>
    <w:p w14:paraId="41BA13B6" w14:textId="77777777" w:rsidR="001D0B16" w:rsidRPr="003D290F" w:rsidRDefault="001D0B16" w:rsidP="00B66BE0">
      <w:pPr>
        <w:ind w:left="720"/>
        <w:rPr>
          <w:i/>
        </w:rPr>
      </w:pPr>
      <w:r w:rsidRPr="003D290F">
        <w:rPr>
          <w:i/>
        </w:rPr>
        <w:t>Transitioning industries employ a diverse range of workers. Many generalist occupations, like accountants and truck drivers, are also employed in high numbers in growing industries. Other occupations, like Power Generation Plant Operator, have limited employment prospects outside transitioning industries and are therefore at greater risk.</w:t>
      </w:r>
      <w:r w:rsidRPr="003D290F">
        <w:rPr>
          <w:rStyle w:val="FootnoteReference"/>
          <w:i/>
        </w:rPr>
        <w:footnoteReference w:id="37"/>
      </w:r>
    </w:p>
    <w:p w14:paraId="1381ED92" w14:textId="77777777" w:rsidR="005C6A27" w:rsidRPr="003D290F" w:rsidRDefault="00420F79" w:rsidP="00F70968">
      <w:r w:rsidRPr="003D290F">
        <w:t xml:space="preserve">The </w:t>
      </w:r>
      <w:r w:rsidR="001D0B16" w:rsidRPr="003D290F">
        <w:t xml:space="preserve">JSA </w:t>
      </w:r>
      <w:r w:rsidRPr="003D290F">
        <w:t xml:space="preserve">study </w:t>
      </w:r>
      <w:r w:rsidR="001D0B16" w:rsidRPr="003D290F">
        <w:t xml:space="preserve">identified a range of existing and potential employment transition pathways for workers in the largest </w:t>
      </w:r>
      <w:r w:rsidRPr="003D290F">
        <w:t>f</w:t>
      </w:r>
      <w:r w:rsidR="001D0B16" w:rsidRPr="003D290F">
        <w:t xml:space="preserve">ossil </w:t>
      </w:r>
      <w:r w:rsidRPr="003D290F">
        <w:t>f</w:t>
      </w:r>
      <w:r w:rsidR="001D0B16" w:rsidRPr="003D290F">
        <w:t xml:space="preserve">uel </w:t>
      </w:r>
      <w:r w:rsidRPr="003D290F">
        <w:t>e</w:t>
      </w:r>
      <w:r w:rsidR="001D0B16" w:rsidRPr="003D290F">
        <w:t xml:space="preserve">lectricity </w:t>
      </w:r>
      <w:r w:rsidRPr="003D290F">
        <w:t>g</w:t>
      </w:r>
      <w:r w:rsidR="001D0B16" w:rsidRPr="003D290F">
        <w:t>eneration occupations</w:t>
      </w:r>
      <w:r w:rsidR="00173248" w:rsidRPr="003D290F">
        <w:t xml:space="preserve">; </w:t>
      </w:r>
      <w:r w:rsidRPr="003D290F">
        <w:t>with common pathways shifting into roles as Earthmoving Plant Operators, Electrical Linesworkers and Fire Protection Equipment Technicians.</w:t>
      </w:r>
      <w:r w:rsidRPr="003D290F">
        <w:rPr>
          <w:rStyle w:val="FootnoteReference"/>
        </w:rPr>
        <w:footnoteReference w:id="38"/>
      </w:r>
      <w:r w:rsidRPr="003D290F">
        <w:t xml:space="preserve"> </w:t>
      </w:r>
    </w:p>
    <w:p w14:paraId="28A7527F" w14:textId="77777777" w:rsidR="00BC338F" w:rsidRPr="003D290F" w:rsidRDefault="00420F79" w:rsidP="00F70968">
      <w:r w:rsidRPr="003D290F">
        <w:t>As the net zero transition accelerates, w</w:t>
      </w:r>
      <w:r w:rsidR="00F70968" w:rsidRPr="003D290F">
        <w:t xml:space="preserve">orkers in emissions-intensive industries in </w:t>
      </w:r>
      <w:r w:rsidR="001D0B16" w:rsidRPr="003D290F">
        <w:t>regional Australia</w:t>
      </w:r>
      <w:r w:rsidR="00F70968" w:rsidRPr="003D290F">
        <w:t xml:space="preserve"> will need access to employment and training support to take advantage of new clean energy industries</w:t>
      </w:r>
      <w:r w:rsidR="00173248" w:rsidRPr="003D290F">
        <w:t xml:space="preserve">; </w:t>
      </w:r>
      <w:r w:rsidR="00F70968" w:rsidRPr="003D290F">
        <w:t xml:space="preserve">while noting that transitioning into the clean energy sector will not be </w:t>
      </w:r>
      <w:r w:rsidR="00F17673" w:rsidRPr="003D290F">
        <w:t>the most</w:t>
      </w:r>
      <w:r w:rsidR="00F70968" w:rsidRPr="003D290F">
        <w:t xml:space="preserve"> appropriate or desired employment pathway for all workers.</w:t>
      </w:r>
      <w:r w:rsidR="00F17673" w:rsidRPr="003D290F">
        <w:t xml:space="preserve"> </w:t>
      </w:r>
      <w:r w:rsidR="005C6A27" w:rsidRPr="003D290F">
        <w:t>JSA’s analysis emphasises that targeted, localised and individualised supports will be needed to drive successful outcomes for workers and their communities.</w:t>
      </w:r>
      <w:r w:rsidR="005C6A27" w:rsidRPr="003D290F">
        <w:rPr>
          <w:rStyle w:val="FootnoteReference"/>
        </w:rPr>
        <w:footnoteReference w:id="39"/>
      </w:r>
    </w:p>
    <w:p w14:paraId="5169EF40" w14:textId="77777777" w:rsidR="00BF109C" w:rsidRPr="003D290F" w:rsidRDefault="001D0B16" w:rsidP="00F70968">
      <w:r w:rsidRPr="003D290F">
        <w:t>The JSA Capacity Study also shows that expected workforce changes across regions is not uniform under various scenarios of Australia’s transition path to net zero, and that different assumptions around the transition path will play out differently across regions and across time. This highlights the need for active planning and involvement of government to help direct investment into key regions, as well as delivering skills and training initiatives in the right places, at the right times.</w:t>
      </w:r>
    </w:p>
    <w:p w14:paraId="680C54B9" w14:textId="77777777" w:rsidR="009F575E" w:rsidRPr="003D290F" w:rsidRDefault="009F575E" w:rsidP="003B5BB3">
      <w:pPr>
        <w:pStyle w:val="Heading3"/>
      </w:pPr>
      <w:bookmarkStart w:id="73" w:name="_Toc155604600"/>
      <w:bookmarkStart w:id="74" w:name="_Toc161395953"/>
      <w:bookmarkStart w:id="75" w:name="_Toc161403489"/>
      <w:bookmarkStart w:id="76" w:name="_Toc161694768"/>
      <w:bookmarkStart w:id="77" w:name="_Toc161752223"/>
      <w:bookmarkStart w:id="78" w:name="_Toc161759660"/>
      <w:r w:rsidRPr="003D290F">
        <w:t>1.4.1 Announced workforce planning and skills initiatives</w:t>
      </w:r>
      <w:bookmarkEnd w:id="73"/>
      <w:bookmarkEnd w:id="74"/>
      <w:bookmarkEnd w:id="75"/>
      <w:bookmarkEnd w:id="76"/>
      <w:bookmarkEnd w:id="77"/>
      <w:bookmarkEnd w:id="78"/>
    </w:p>
    <w:p w14:paraId="3C1B1B51" w14:textId="77777777" w:rsidR="009F575E" w:rsidRPr="003D290F" w:rsidRDefault="009F575E" w:rsidP="00F70968">
      <w:r w:rsidRPr="003D290F">
        <w:t xml:space="preserve">The </w:t>
      </w:r>
      <w:r w:rsidR="00187EA7" w:rsidRPr="003D290F">
        <w:t>g</w:t>
      </w:r>
      <w:r w:rsidRPr="003D290F">
        <w:t xml:space="preserve">overnment has announced </w:t>
      </w:r>
      <w:r w:rsidR="008D7725" w:rsidRPr="003D290F">
        <w:t xml:space="preserve">a number of workforce planning and skills </w:t>
      </w:r>
      <w:r w:rsidRPr="003D290F">
        <w:t xml:space="preserve">initiatives </w:t>
      </w:r>
      <w:r w:rsidR="008D7725" w:rsidRPr="003D290F">
        <w:t>relevant to the net zero transition, including:</w:t>
      </w:r>
    </w:p>
    <w:p w14:paraId="76F3D1A8" w14:textId="77777777" w:rsidR="008D7725" w:rsidRPr="003D290F" w:rsidRDefault="0038661C" w:rsidP="00B82A86">
      <w:pPr>
        <w:pStyle w:val="BulletedList-Level1"/>
        <w:numPr>
          <w:ilvl w:val="0"/>
          <w:numId w:val="10"/>
        </w:numPr>
        <w:spacing w:line="276" w:lineRule="auto"/>
      </w:pPr>
      <w:r w:rsidRPr="003D290F">
        <w:t>T</w:t>
      </w:r>
      <w:r w:rsidR="00C642D8" w:rsidRPr="003D290F">
        <w:t xml:space="preserve">he </w:t>
      </w:r>
      <w:r w:rsidR="008D7725" w:rsidRPr="003D290F">
        <w:t>development of a National Energy Workforce Strategy, led by the Department of Climate Change, Energy, the Environment and Water</w:t>
      </w:r>
      <w:r w:rsidR="00EA7925" w:rsidRPr="003D290F">
        <w:t xml:space="preserve"> (DCCEEW)</w:t>
      </w:r>
      <w:r w:rsidRPr="003D290F">
        <w:t>.</w:t>
      </w:r>
    </w:p>
    <w:p w14:paraId="02BF1511" w14:textId="77777777" w:rsidR="008D7725" w:rsidRPr="003D290F" w:rsidRDefault="0038661C" w:rsidP="00B82A86">
      <w:pPr>
        <w:pStyle w:val="BulletedList-Level1"/>
        <w:numPr>
          <w:ilvl w:val="0"/>
          <w:numId w:val="10"/>
        </w:numPr>
        <w:spacing w:line="276" w:lineRule="auto"/>
      </w:pPr>
      <w:r w:rsidRPr="003D290F">
        <w:t>A</w:t>
      </w:r>
      <w:r w:rsidR="00C642D8" w:rsidRPr="003D290F">
        <w:t xml:space="preserve"> </w:t>
      </w:r>
      <w:r w:rsidR="009F575E" w:rsidRPr="003D290F">
        <w:t xml:space="preserve">New Energy Apprenticeships Program, </w:t>
      </w:r>
      <w:r w:rsidR="008D7725" w:rsidRPr="003D290F">
        <w:t xml:space="preserve">under which </w:t>
      </w:r>
      <w:r w:rsidR="009F575E" w:rsidRPr="003D290F">
        <w:t>from 1 January 2023 Australian apprentices working in</w:t>
      </w:r>
      <w:r w:rsidR="008D7725" w:rsidRPr="003D290F">
        <w:t xml:space="preserve"> one of 40 clean energy occupations listed on the Australian Apprenticeships Priority List</w:t>
      </w:r>
      <w:r w:rsidR="009F575E" w:rsidRPr="003D290F">
        <w:t xml:space="preserve"> are eligible to receive up to $10,000 over four years</w:t>
      </w:r>
      <w:r w:rsidR="008D7725" w:rsidRPr="003D290F">
        <w:t>, as well as additional career supports</w:t>
      </w:r>
      <w:r w:rsidRPr="003D290F">
        <w:t>.</w:t>
      </w:r>
    </w:p>
    <w:p w14:paraId="7797EA8A" w14:textId="77777777" w:rsidR="009F575E" w:rsidRPr="003D290F" w:rsidRDefault="0038661C" w:rsidP="00B82A86">
      <w:pPr>
        <w:pStyle w:val="BulletedList-Level1"/>
        <w:numPr>
          <w:ilvl w:val="0"/>
          <w:numId w:val="10"/>
        </w:numPr>
        <w:spacing w:line="276" w:lineRule="auto"/>
      </w:pPr>
      <w:r w:rsidRPr="003D290F">
        <w:t>T</w:t>
      </w:r>
      <w:r w:rsidR="00C642D8" w:rsidRPr="003D290F">
        <w:t xml:space="preserve">he </w:t>
      </w:r>
      <w:r w:rsidR="005D2F0B" w:rsidRPr="003D290F">
        <w:t>inclusion of Clean Energy and Net Zero transformation of the economy as a national priority area under the National Skills Agreement released in October 2023.</w:t>
      </w:r>
    </w:p>
    <w:p w14:paraId="1A0DA746" w14:textId="77777777" w:rsidR="00A57BED" w:rsidRPr="003D290F" w:rsidRDefault="00006EE7" w:rsidP="00B66BE0">
      <w:pPr>
        <w:pStyle w:val="Heading2"/>
      </w:pPr>
      <w:bookmarkStart w:id="79" w:name="_Toc161395954"/>
      <w:bookmarkStart w:id="80" w:name="_Toc161403490"/>
      <w:bookmarkStart w:id="81" w:name="_Toc161752224"/>
      <w:bookmarkStart w:id="82" w:name="_Toc161759661"/>
      <w:r w:rsidRPr="003D290F">
        <w:lastRenderedPageBreak/>
        <w:t xml:space="preserve">1.5 </w:t>
      </w:r>
      <w:r w:rsidR="001D1C34" w:rsidRPr="003D290F">
        <w:t>Availability of data</w:t>
      </w:r>
      <w:r w:rsidR="00357CBC" w:rsidRPr="003D290F">
        <w:t xml:space="preserve"> and literature</w:t>
      </w:r>
      <w:r w:rsidR="00AF29B7" w:rsidRPr="003D290F">
        <w:t xml:space="preserve"> </w:t>
      </w:r>
      <w:r w:rsidR="00030CE2" w:rsidRPr="003D290F">
        <w:t>to inform impact analysis</w:t>
      </w:r>
      <w:bookmarkEnd w:id="79"/>
      <w:bookmarkEnd w:id="80"/>
      <w:bookmarkEnd w:id="81"/>
      <w:bookmarkEnd w:id="82"/>
    </w:p>
    <w:p w14:paraId="18D6EBA5" w14:textId="77777777" w:rsidR="00AC44CF" w:rsidRPr="003D290F" w:rsidRDefault="00030CE2" w:rsidP="00A57BED">
      <w:r w:rsidRPr="003D290F">
        <w:t>Th</w:t>
      </w:r>
      <w:r w:rsidR="008040A5" w:rsidRPr="003D290F">
        <w:t>is</w:t>
      </w:r>
      <w:r w:rsidRPr="003D290F">
        <w:t xml:space="preserve"> </w:t>
      </w:r>
      <w:r w:rsidR="008F6C7E">
        <w:t>I</w:t>
      </w:r>
      <w:r w:rsidRPr="003D290F">
        <w:t xml:space="preserve">mpact </w:t>
      </w:r>
      <w:r w:rsidR="008F6C7E">
        <w:t>A</w:t>
      </w:r>
      <w:r w:rsidRPr="003D290F">
        <w:t xml:space="preserve">nalysis has been usefully informed by </w:t>
      </w:r>
      <w:r w:rsidR="00A57BED" w:rsidRPr="003D290F">
        <w:t>literature from government</w:t>
      </w:r>
      <w:r w:rsidRPr="003D290F">
        <w:t xml:space="preserve"> agencie</w:t>
      </w:r>
      <w:r w:rsidR="00A57BED" w:rsidRPr="003D290F">
        <w:t xml:space="preserve">s, academics, regional bodies, </w:t>
      </w:r>
      <w:r w:rsidRPr="003D290F">
        <w:t xml:space="preserve">international organisations, </w:t>
      </w:r>
      <w:r w:rsidR="00A57BED" w:rsidRPr="003D290F">
        <w:t>and relevant companies about the impacts of coal-fired power station closures on workers, communities and regions.</w:t>
      </w:r>
    </w:p>
    <w:p w14:paraId="081AC9CC" w14:textId="77777777" w:rsidR="00AC44CF" w:rsidRPr="003D290F" w:rsidRDefault="00AC44CF" w:rsidP="00A57BED">
      <w:r w:rsidRPr="003D290F">
        <w:t>T</w:t>
      </w:r>
      <w:r w:rsidR="00030CE2" w:rsidRPr="003D290F">
        <w:t xml:space="preserve">he analysis </w:t>
      </w:r>
      <w:r w:rsidRPr="003D290F">
        <w:t xml:space="preserve">considers </w:t>
      </w:r>
      <w:r w:rsidR="00030CE2" w:rsidRPr="003D290F">
        <w:t xml:space="preserve">many useful submissions from </w:t>
      </w:r>
      <w:r w:rsidRPr="003D290F">
        <w:t>public, private, and not-for-profit organisations</w:t>
      </w:r>
      <w:r w:rsidR="00030CE2" w:rsidRPr="003D290F">
        <w:t xml:space="preserve"> to the </w:t>
      </w:r>
      <w:r w:rsidR="00D82957" w:rsidRPr="003D290F">
        <w:t>Victorian Parliamentary inquiry</w:t>
      </w:r>
      <w:r w:rsidR="00030CE2" w:rsidRPr="003D290F">
        <w:t xml:space="preserve"> into the closure of the Hazelwood and Yallourn power stations</w:t>
      </w:r>
      <w:r w:rsidR="00B35F04" w:rsidRPr="003D290F">
        <w:rPr>
          <w:rStyle w:val="FootnoteReference"/>
        </w:rPr>
        <w:footnoteReference w:id="40"/>
      </w:r>
      <w:r w:rsidR="00030CE2" w:rsidRPr="003D290F">
        <w:t xml:space="preserve"> and the </w:t>
      </w:r>
      <w:r w:rsidR="00C51802" w:rsidRPr="003D290F">
        <w:t xml:space="preserve">Commonwealth </w:t>
      </w:r>
      <w:r w:rsidR="00030CE2" w:rsidRPr="003D290F">
        <w:t>Senate inquiry into the retirement of coal</w:t>
      </w:r>
      <w:r w:rsidR="008F6C7E">
        <w:t>-</w:t>
      </w:r>
      <w:r w:rsidR="00030CE2" w:rsidRPr="003D290F">
        <w:t>fired power stations.</w:t>
      </w:r>
      <w:r w:rsidR="00B35F04" w:rsidRPr="003D290F">
        <w:rPr>
          <w:rStyle w:val="FootnoteReference"/>
        </w:rPr>
        <w:footnoteReference w:id="41"/>
      </w:r>
      <w:r w:rsidRPr="003D290F">
        <w:t xml:space="preserve"> Assessments and analysis of interventions and outcomes from closures in comparable industries </w:t>
      </w:r>
      <w:r w:rsidR="00C642D8" w:rsidRPr="003D290F">
        <w:t>have also been considered</w:t>
      </w:r>
      <w:r w:rsidRPr="003D290F">
        <w:t>, particularly</w:t>
      </w:r>
      <w:r w:rsidR="00C642D8" w:rsidRPr="003D290F">
        <w:t xml:space="preserve"> those relating to </w:t>
      </w:r>
      <w:r w:rsidRPr="003D290F">
        <w:t xml:space="preserve">the car manufacturing and defence </w:t>
      </w:r>
      <w:r w:rsidR="00C642D8" w:rsidRPr="003D290F">
        <w:t>industries</w:t>
      </w:r>
      <w:r w:rsidRPr="003D290F">
        <w:t xml:space="preserve">. </w:t>
      </w:r>
    </w:p>
    <w:p w14:paraId="7B28DA97" w14:textId="77777777" w:rsidR="00A57BED" w:rsidRPr="003D290F" w:rsidRDefault="00AC44CF" w:rsidP="00A57BED">
      <w:r w:rsidRPr="003D290F">
        <w:t>The analysis draws upon the substantive evidence base around the indirect social and economic effects of long-term, large-scale unemployment at the individual, household, and community levels. International experience around coal industry closures</w:t>
      </w:r>
      <w:r w:rsidR="00C642D8" w:rsidRPr="003D290F">
        <w:t>,</w:t>
      </w:r>
      <w:r w:rsidRPr="003D290F">
        <w:t xml:space="preserve"> </w:t>
      </w:r>
      <w:r w:rsidR="00C642D8" w:rsidRPr="003D290F">
        <w:t xml:space="preserve">especially in the United Kingdom, United States, and Germany, has also been used to inform </w:t>
      </w:r>
      <w:r w:rsidRPr="003D290F">
        <w:t>the analysis’ assumptions and understanding of the varying suite of worker transition supports.</w:t>
      </w:r>
    </w:p>
    <w:p w14:paraId="6956CD23" w14:textId="77777777" w:rsidR="003551C9" w:rsidRPr="003D290F" w:rsidRDefault="003551C9" w:rsidP="00B25B3E">
      <w:pPr>
        <w:spacing w:line="276" w:lineRule="auto"/>
      </w:pPr>
      <w:r w:rsidRPr="003D290F">
        <w:t xml:space="preserve">The </w:t>
      </w:r>
      <w:r w:rsidR="00006EE7" w:rsidRPr="003D290F">
        <w:t xml:space="preserve">Agency has </w:t>
      </w:r>
      <w:r w:rsidRPr="003D290F">
        <w:t>leverage</w:t>
      </w:r>
      <w:r w:rsidR="00006EE7" w:rsidRPr="003D290F">
        <w:t>d</w:t>
      </w:r>
      <w:r w:rsidRPr="003D290F">
        <w:t xml:space="preserve"> existing data sources</w:t>
      </w:r>
      <w:r w:rsidR="00006EE7" w:rsidRPr="003D290F">
        <w:t xml:space="preserve"> in developing this </w:t>
      </w:r>
      <w:r w:rsidR="008F6C7E">
        <w:t>I</w:t>
      </w:r>
      <w:r w:rsidR="00006EE7" w:rsidRPr="003D290F">
        <w:t xml:space="preserve">mpact </w:t>
      </w:r>
      <w:r w:rsidR="008F6C7E">
        <w:t>A</w:t>
      </w:r>
      <w:r w:rsidR="00006EE7" w:rsidRPr="003D290F">
        <w:t>nalysis</w:t>
      </w:r>
      <w:r w:rsidRPr="003D290F">
        <w:t>, includ</w:t>
      </w:r>
      <w:r w:rsidR="001009AE" w:rsidRPr="003D290F">
        <w:t>ing</w:t>
      </w:r>
      <w:r w:rsidRPr="003D290F">
        <w:t>:</w:t>
      </w:r>
    </w:p>
    <w:p w14:paraId="4208B96A" w14:textId="77777777" w:rsidR="00BC3313" w:rsidRPr="003D290F" w:rsidRDefault="00BC3313" w:rsidP="00B82A86">
      <w:pPr>
        <w:pStyle w:val="BulletedList-Level1"/>
        <w:numPr>
          <w:ilvl w:val="0"/>
          <w:numId w:val="10"/>
        </w:numPr>
        <w:spacing w:line="276" w:lineRule="auto"/>
      </w:pPr>
      <w:r w:rsidRPr="003D290F">
        <w:t xml:space="preserve">employment data self-reported by </w:t>
      </w:r>
      <w:r w:rsidR="00030CE2" w:rsidRPr="003D290F">
        <w:t>high-emitting</w:t>
      </w:r>
      <w:r w:rsidRPr="003D290F">
        <w:t xml:space="preserve"> employers to </w:t>
      </w:r>
      <w:r w:rsidR="00EA7925" w:rsidRPr="003D290F">
        <w:t>DCCEEW</w:t>
      </w:r>
      <w:r w:rsidRPr="003D290F">
        <w:t xml:space="preserve">’s </w:t>
      </w:r>
      <w:r w:rsidR="00EA7925" w:rsidRPr="003D290F">
        <w:t>National Pollutant Inventory</w:t>
      </w:r>
      <w:r w:rsidR="00EA7925" w:rsidRPr="003D290F">
        <w:rPr>
          <w:rStyle w:val="FootnoteReference"/>
        </w:rPr>
        <w:footnoteReference w:id="42"/>
      </w:r>
    </w:p>
    <w:p w14:paraId="0B4AB934" w14:textId="77777777" w:rsidR="00BC3313" w:rsidRPr="003D290F" w:rsidRDefault="00BC3313" w:rsidP="00B82A86">
      <w:pPr>
        <w:pStyle w:val="BulletedList-Level1"/>
        <w:numPr>
          <w:ilvl w:val="0"/>
          <w:numId w:val="10"/>
        </w:numPr>
        <w:spacing w:line="276" w:lineRule="auto"/>
      </w:pPr>
      <w:r w:rsidRPr="003D290F">
        <w:t xml:space="preserve">expected closure dates of facilities reported by </w:t>
      </w:r>
      <w:r w:rsidR="0071755F" w:rsidRPr="003D290F">
        <w:t>coal-fired power stations</w:t>
      </w:r>
      <w:r w:rsidRPr="003D290F">
        <w:t xml:space="preserve"> to the </w:t>
      </w:r>
      <w:r w:rsidR="00755249" w:rsidRPr="003D290F">
        <w:t>Australian Energy Market Operator</w:t>
      </w:r>
      <w:r w:rsidR="00755249" w:rsidRPr="003D290F">
        <w:rPr>
          <w:rStyle w:val="FootnoteReference"/>
        </w:rPr>
        <w:footnoteReference w:id="43"/>
      </w:r>
      <w:r w:rsidRPr="003D290F">
        <w:t xml:space="preserve"> </w:t>
      </w:r>
    </w:p>
    <w:p w14:paraId="0AE2D5F0" w14:textId="77777777" w:rsidR="004F136D" w:rsidRPr="003D290F" w:rsidRDefault="004F136D" w:rsidP="00B82A86">
      <w:pPr>
        <w:pStyle w:val="BulletedList-Level1"/>
        <w:numPr>
          <w:ilvl w:val="0"/>
          <w:numId w:val="10"/>
        </w:numPr>
        <w:spacing w:line="276" w:lineRule="auto"/>
        <w:rPr>
          <w:szCs w:val="22"/>
        </w:rPr>
      </w:pPr>
      <w:r w:rsidRPr="003D290F">
        <w:t xml:space="preserve">coal mine data </w:t>
      </w:r>
      <w:r w:rsidRPr="003D290F">
        <w:rPr>
          <w:szCs w:val="22"/>
        </w:rPr>
        <w:t xml:space="preserve">from </w:t>
      </w:r>
      <w:r w:rsidRPr="003D290F">
        <w:rPr>
          <w:rFonts w:eastAsia="Times New Roman" w:cs="Segoe UI"/>
          <w:szCs w:val="22"/>
        </w:rPr>
        <w:t xml:space="preserve">Geoscience Australia’s </w:t>
      </w:r>
      <w:r w:rsidR="0048435B" w:rsidRPr="003D290F">
        <w:rPr>
          <w:rFonts w:eastAsia="Times New Roman" w:cs="Segoe UI"/>
          <w:szCs w:val="22"/>
        </w:rPr>
        <w:t>Australian Operating Mines Map 2022</w:t>
      </w:r>
      <w:r w:rsidR="0048435B" w:rsidRPr="003D290F">
        <w:rPr>
          <w:rStyle w:val="FootnoteReference"/>
          <w:rFonts w:eastAsia="Times New Roman" w:cs="Segoe UI"/>
          <w:szCs w:val="22"/>
        </w:rPr>
        <w:footnoteReference w:id="44"/>
      </w:r>
    </w:p>
    <w:p w14:paraId="22D1F149" w14:textId="77777777" w:rsidR="003551C9" w:rsidRPr="003D290F" w:rsidRDefault="00BC3313" w:rsidP="00B82A86">
      <w:pPr>
        <w:pStyle w:val="BulletedList-Level1"/>
        <w:numPr>
          <w:ilvl w:val="0"/>
          <w:numId w:val="10"/>
        </w:numPr>
        <w:spacing w:line="276" w:lineRule="auto"/>
      </w:pPr>
      <w:r w:rsidRPr="003D290F">
        <w:t>r</w:t>
      </w:r>
      <w:r w:rsidR="00357CBC" w:rsidRPr="003D290F">
        <w:t>elevant labour market and demographic</w:t>
      </w:r>
      <w:r w:rsidRPr="003D290F">
        <w:t xml:space="preserve"> data </w:t>
      </w:r>
      <w:r w:rsidR="003551C9" w:rsidRPr="003D290F">
        <w:t>from the Australian Bureau of Statistics</w:t>
      </w:r>
      <w:r w:rsidRPr="003D290F">
        <w:t>, including</w:t>
      </w:r>
      <w:r w:rsidR="00357CBC" w:rsidRPr="003D290F">
        <w:t xml:space="preserve"> the</w:t>
      </w:r>
      <w:r w:rsidRPr="003D290F">
        <w:t xml:space="preserve"> </w:t>
      </w:r>
      <w:r w:rsidR="0048435B" w:rsidRPr="003D290F">
        <w:t>2021 Population and Housing Census</w:t>
      </w:r>
      <w:r w:rsidR="0048435B" w:rsidRPr="003D290F">
        <w:rPr>
          <w:rStyle w:val="FootnoteReference"/>
        </w:rPr>
        <w:footnoteReference w:id="45"/>
      </w:r>
      <w:r w:rsidR="00357CBC" w:rsidRPr="003D290F">
        <w:t xml:space="preserve"> and </w:t>
      </w:r>
      <w:r w:rsidR="0048435B" w:rsidRPr="003D290F">
        <w:t>Counts of Australian Businesses</w:t>
      </w:r>
      <w:r w:rsidR="0048435B" w:rsidRPr="003D290F">
        <w:rPr>
          <w:rStyle w:val="FootnoteReference"/>
        </w:rPr>
        <w:footnoteReference w:id="46"/>
      </w:r>
    </w:p>
    <w:p w14:paraId="1118A402" w14:textId="77777777" w:rsidR="0048435B" w:rsidRPr="003D290F" w:rsidRDefault="0048435B" w:rsidP="00B82A86">
      <w:pPr>
        <w:pStyle w:val="BulletedList-Level1"/>
        <w:numPr>
          <w:ilvl w:val="0"/>
          <w:numId w:val="10"/>
        </w:numPr>
        <w:spacing w:line="276" w:lineRule="auto"/>
      </w:pPr>
      <w:r w:rsidRPr="003D290F">
        <w:t>Small Area Labour Market</w:t>
      </w:r>
      <w:r w:rsidRPr="003D290F">
        <w:rPr>
          <w:rStyle w:val="FootnoteReference"/>
        </w:rPr>
        <w:footnoteReference w:id="47"/>
      </w:r>
      <w:r w:rsidR="00030CE2" w:rsidRPr="003D290F">
        <w:t xml:space="preserve"> data </w:t>
      </w:r>
      <w:r w:rsidR="00870CC2" w:rsidRPr="003D290F">
        <w:t>published by Jobs and Skills Australia to understand local labour market trends</w:t>
      </w:r>
    </w:p>
    <w:p w14:paraId="57E0ED8D" w14:textId="77777777" w:rsidR="00EC6C62" w:rsidRDefault="0048435B" w:rsidP="00B82A86">
      <w:pPr>
        <w:pStyle w:val="BulletedList-Level1"/>
        <w:numPr>
          <w:ilvl w:val="0"/>
          <w:numId w:val="10"/>
        </w:numPr>
        <w:spacing w:line="276" w:lineRule="auto"/>
      </w:pPr>
      <w:r w:rsidRPr="003D290F">
        <w:t>information on program participation and uptake from DEWR regarding Commonwealth programs to support workers facing retrenchment</w:t>
      </w:r>
      <w:r w:rsidR="00EC6C62">
        <w:t>, and</w:t>
      </w:r>
    </w:p>
    <w:p w14:paraId="6B061BB4" w14:textId="77777777" w:rsidR="00030CE2" w:rsidRDefault="00EC6C62" w:rsidP="00B82A86">
      <w:pPr>
        <w:pStyle w:val="BulletedList-Level1"/>
        <w:numPr>
          <w:ilvl w:val="0"/>
          <w:numId w:val="10"/>
        </w:numPr>
        <w:spacing w:line="276" w:lineRule="auto"/>
      </w:pPr>
      <w:r>
        <w:t xml:space="preserve">information gathered from consultations with stakeholders (discussed further in </w:t>
      </w:r>
      <w:r w:rsidRPr="00B269B9">
        <w:rPr>
          <w:rFonts w:eastAsia="Times New Roman" w:cs="Segoe UI"/>
          <w:b/>
          <w:color w:val="1B375C"/>
          <w:szCs w:val="22"/>
        </w:rPr>
        <w:t>Chapter 5</w:t>
      </w:r>
      <w:r>
        <w:t>)</w:t>
      </w:r>
      <w:r w:rsidR="000D79F5" w:rsidRPr="003D290F">
        <w:t>.</w:t>
      </w:r>
    </w:p>
    <w:p w14:paraId="6461AE4B" w14:textId="77777777" w:rsidR="00C531BC" w:rsidRPr="003D290F" w:rsidRDefault="00C531BC" w:rsidP="00C531BC">
      <w:pPr>
        <w:pStyle w:val="BulletedList-Level1"/>
        <w:spacing w:line="276" w:lineRule="auto"/>
        <w:ind w:left="0" w:firstLine="0"/>
      </w:pPr>
      <w:r>
        <w:t>There are some limitations to this data. These include:</w:t>
      </w:r>
    </w:p>
    <w:p w14:paraId="12684E49" w14:textId="77777777" w:rsidR="00027721" w:rsidRDefault="002C5FC1" w:rsidP="00B82A86">
      <w:pPr>
        <w:pStyle w:val="ListParagraph"/>
        <w:numPr>
          <w:ilvl w:val="0"/>
          <w:numId w:val="12"/>
        </w:numPr>
        <w:spacing w:before="240"/>
      </w:pPr>
      <w:r>
        <w:lastRenderedPageBreak/>
        <w:t>L</w:t>
      </w:r>
      <w:r w:rsidR="00027721" w:rsidRPr="003D290F">
        <w:t xml:space="preserve">imitations in the availability of </w:t>
      </w:r>
      <w:r w:rsidR="004D2CA2">
        <w:t xml:space="preserve">granular </w:t>
      </w:r>
      <w:r w:rsidR="00027721" w:rsidRPr="003D290F">
        <w:t xml:space="preserve">data </w:t>
      </w:r>
      <w:r w:rsidR="004D2CA2">
        <w:t>to</w:t>
      </w:r>
      <w:r w:rsidR="00027721" w:rsidRPr="003D290F">
        <w:t xml:space="preserve"> </w:t>
      </w:r>
      <w:r w:rsidR="004D2CA2">
        <w:t>model business</w:t>
      </w:r>
      <w:r w:rsidR="00027721" w:rsidRPr="003D290F">
        <w:t xml:space="preserve"> impacts</w:t>
      </w:r>
      <w:r w:rsidR="00867C03">
        <w:t>, including</w:t>
      </w:r>
      <w:r w:rsidR="00027721" w:rsidRPr="003D290F">
        <w:t xml:space="preserve"> the number of exclusive</w:t>
      </w:r>
      <w:r w:rsidR="00C531BC">
        <w:t xml:space="preserve"> and </w:t>
      </w:r>
      <w:r w:rsidR="00027721" w:rsidRPr="003D290F">
        <w:t xml:space="preserve">new suppliers unable to pivot to future industries. The ABS business count data referenced above has precluded a more detailed synthesis of business size in this </w:t>
      </w:r>
      <w:r w:rsidR="008F6C7E">
        <w:t>I</w:t>
      </w:r>
      <w:r w:rsidR="00027721" w:rsidRPr="003D290F">
        <w:t xml:space="preserve">mpact </w:t>
      </w:r>
      <w:r w:rsidR="008F6C7E">
        <w:t>A</w:t>
      </w:r>
      <w:r w:rsidR="00027721" w:rsidRPr="003D290F">
        <w:t xml:space="preserve">nalysis </w:t>
      </w:r>
      <w:r w:rsidR="00C531BC">
        <w:t>as</w:t>
      </w:r>
      <w:r w:rsidR="00027721" w:rsidRPr="003D290F">
        <w:t xml:space="preserve"> the </w:t>
      </w:r>
      <w:r w:rsidR="004D2CA2">
        <w:t xml:space="preserve">data </w:t>
      </w:r>
      <w:r w:rsidR="00C531BC">
        <w:t>is grouped</w:t>
      </w:r>
      <w:r w:rsidR="004D2CA2">
        <w:t xml:space="preserve"> into </w:t>
      </w:r>
      <w:r w:rsidR="00027721" w:rsidRPr="003D290F">
        <w:t xml:space="preserve">small (less than 20 employees), medium (20-199 employees), </w:t>
      </w:r>
      <w:r w:rsidR="00027721" w:rsidRPr="00B269B9">
        <w:t>and</w:t>
      </w:r>
      <w:r w:rsidR="00027721" w:rsidRPr="003D290F">
        <w:t xml:space="preserve"> large businesses (200+ employees). Ideally, the quantitative analysis would</w:t>
      </w:r>
      <w:r w:rsidR="00C531BC">
        <w:t xml:space="preserve"> have</w:t>
      </w:r>
      <w:r w:rsidR="00027721" w:rsidRPr="003D290F">
        <w:t xml:space="preserve"> </w:t>
      </w:r>
      <w:r w:rsidR="00867C03">
        <w:t>use</w:t>
      </w:r>
      <w:r w:rsidR="00C531BC">
        <w:t>d</w:t>
      </w:r>
      <w:r w:rsidR="004D2CA2">
        <w:t xml:space="preserve"> more granular data </w:t>
      </w:r>
      <w:r w:rsidR="00C62AC5">
        <w:t>on the size of relevant businesses in key regions</w:t>
      </w:r>
      <w:r w:rsidR="00C531BC">
        <w:t>, but such data was</w:t>
      </w:r>
      <w:r w:rsidR="0057415D" w:rsidRPr="0057415D">
        <w:t xml:space="preserve"> </w:t>
      </w:r>
      <w:r w:rsidR="0057415D">
        <w:t>unavailable</w:t>
      </w:r>
      <w:r w:rsidR="00027721" w:rsidRPr="003D290F">
        <w:t xml:space="preserve">. </w:t>
      </w:r>
    </w:p>
    <w:p w14:paraId="46901498" w14:textId="77777777" w:rsidR="00027721" w:rsidRDefault="002C5FC1" w:rsidP="00B82A86">
      <w:pPr>
        <w:pStyle w:val="ListParagraph"/>
        <w:numPr>
          <w:ilvl w:val="0"/>
          <w:numId w:val="12"/>
        </w:numPr>
        <w:spacing w:before="240"/>
      </w:pPr>
      <w:r>
        <w:t>Scarcity of data</w:t>
      </w:r>
      <w:r w:rsidR="00027721">
        <w:t xml:space="preserve"> from </w:t>
      </w:r>
      <w:r>
        <w:t xml:space="preserve">closures other than </w:t>
      </w:r>
      <w:r w:rsidR="00027721">
        <w:t xml:space="preserve">the Hazelwood power station closure. </w:t>
      </w:r>
      <w:r w:rsidR="00027721" w:rsidRPr="003D290F">
        <w:t>In absence of many examples of a legislated redeployment plan</w:t>
      </w:r>
      <w:r w:rsidR="001E0CAC">
        <w:t xml:space="preserve"> (policy Option 3 in this </w:t>
      </w:r>
      <w:r w:rsidR="00293D6D">
        <w:t>I</w:t>
      </w:r>
      <w:r w:rsidR="001E0CAC">
        <w:t xml:space="preserve">mpact </w:t>
      </w:r>
      <w:r w:rsidR="00293D6D">
        <w:t>A</w:t>
      </w:r>
      <w:r w:rsidR="001E0CAC">
        <w:t>nalysis)</w:t>
      </w:r>
      <w:r w:rsidR="00027721" w:rsidRPr="003D290F">
        <w:t>, assumptions had to be made around the expected participation and uptake rates by employers and workers using previous unlegislated schemes.</w:t>
      </w:r>
      <w:r>
        <w:t xml:space="preserve"> Uptake of the unlegislated plan </w:t>
      </w:r>
      <w:r w:rsidR="00293D6D">
        <w:t xml:space="preserve">(policy Option 2) </w:t>
      </w:r>
      <w:r>
        <w:t xml:space="preserve">is based </w:t>
      </w:r>
      <w:r w:rsidR="00C62AC5">
        <w:t xml:space="preserve">largely </w:t>
      </w:r>
      <w:r>
        <w:t>on the uptake of the scheme used to support workers in the Hazelwood power plant closure.</w:t>
      </w:r>
    </w:p>
    <w:p w14:paraId="2072EF66" w14:textId="77777777" w:rsidR="004D2CA2" w:rsidRPr="00A11DE0" w:rsidRDefault="009C02AA" w:rsidP="00B82A86">
      <w:pPr>
        <w:pStyle w:val="ListParagraph"/>
        <w:numPr>
          <w:ilvl w:val="0"/>
          <w:numId w:val="12"/>
        </w:numPr>
        <w:spacing w:before="240"/>
      </w:pPr>
      <w:r>
        <w:t>Lack</w:t>
      </w:r>
      <w:r w:rsidR="004D2CA2">
        <w:t xml:space="preserve"> of </w:t>
      </w:r>
      <w:r>
        <w:t xml:space="preserve">available </w:t>
      </w:r>
      <w:r w:rsidR="004D2CA2">
        <w:t>data</w:t>
      </w:r>
      <w:r>
        <w:t xml:space="preserve"> on certain impacts</w:t>
      </w:r>
      <w:r w:rsidR="004D2CA2">
        <w:t xml:space="preserve">. </w:t>
      </w:r>
      <w:r>
        <w:t>If more data was available, more detailed analysis of the impacts could be undertaken – especially around unquantified impacts such as</w:t>
      </w:r>
      <w:r w:rsidR="004D2CA2">
        <w:t xml:space="preserve"> the social </w:t>
      </w:r>
      <w:r w:rsidR="004D2CA2" w:rsidRPr="003D290F">
        <w:rPr>
          <w:rFonts w:eastAsia="Times New Roman"/>
        </w:rPr>
        <w:t>benefits for workers, families and communities</w:t>
      </w:r>
      <w:r>
        <w:rPr>
          <w:rFonts w:eastAsia="Times New Roman"/>
        </w:rPr>
        <w:t xml:space="preserve"> of redeployment plans</w:t>
      </w:r>
      <w:r w:rsidR="004D2CA2">
        <w:rPr>
          <w:rFonts w:eastAsia="Times New Roman"/>
        </w:rPr>
        <w:t>.</w:t>
      </w:r>
    </w:p>
    <w:p w14:paraId="7456F045" w14:textId="77777777" w:rsidR="00634497" w:rsidRDefault="00634497" w:rsidP="00B25B3E">
      <w:pPr>
        <w:spacing w:before="240"/>
      </w:pPr>
      <w:r>
        <w:t xml:space="preserve">These data limitations have shaped the analytical method used to assess impacts </w:t>
      </w:r>
      <w:r w:rsidR="00293D6D">
        <w:t>in this analysis</w:t>
      </w:r>
      <w:r>
        <w:t>. If more data and more suitable data w</w:t>
      </w:r>
      <w:r w:rsidR="00293D6D">
        <w:t>ere</w:t>
      </w:r>
      <w:r>
        <w:t xml:space="preserve"> available, a full cost benefit analysis </w:t>
      </w:r>
      <w:r w:rsidR="00293D6D">
        <w:t>c</w:t>
      </w:r>
      <w:r>
        <w:t>ould have been</w:t>
      </w:r>
      <w:r w:rsidR="00293D6D">
        <w:t xml:space="preserve"> used</w:t>
      </w:r>
      <w:r>
        <w:t>.</w:t>
      </w:r>
    </w:p>
    <w:p w14:paraId="464C8D90" w14:textId="77777777" w:rsidR="00037AA2" w:rsidRPr="003D290F" w:rsidRDefault="00634497" w:rsidP="00B25B3E">
      <w:pPr>
        <w:spacing w:before="240"/>
      </w:pPr>
      <w:r>
        <w:t xml:space="preserve">The Agency will monitor updates to existing data sources and the development of new data sources that may be relevant to the analysis. The Agency will also </w:t>
      </w:r>
      <w:r w:rsidR="00F30C5E">
        <w:t>gather</w:t>
      </w:r>
      <w:r>
        <w:t xml:space="preserve"> further data to assist with implementation of the </w:t>
      </w:r>
      <w:r w:rsidR="00EE726C">
        <w:t>preferred policy option</w:t>
      </w:r>
      <w:r>
        <w:t xml:space="preserve">. </w:t>
      </w:r>
      <w:r w:rsidR="001C0216">
        <w:t xml:space="preserve">See </w:t>
      </w:r>
      <w:r w:rsidR="00C62AC5">
        <w:rPr>
          <w:rFonts w:eastAsia="Times New Roman" w:cs="Segoe UI"/>
          <w:b/>
          <w:color w:val="1B375C"/>
        </w:rPr>
        <w:t>Chapter</w:t>
      </w:r>
      <w:r w:rsidR="001C0216" w:rsidRPr="00A11DE0">
        <w:rPr>
          <w:rFonts w:eastAsia="Times New Roman" w:cs="Segoe UI"/>
          <w:b/>
          <w:color w:val="1B375C"/>
        </w:rPr>
        <w:t xml:space="preserve"> 7 </w:t>
      </w:r>
      <w:r w:rsidR="001C0216">
        <w:t xml:space="preserve">for more information on how monitoring, evaluation and learning of the </w:t>
      </w:r>
      <w:r w:rsidR="00293D6D">
        <w:t xml:space="preserve">preferred </w:t>
      </w:r>
      <w:r w:rsidR="001C0216">
        <w:t>option may provide additional data.</w:t>
      </w:r>
    </w:p>
    <w:p w14:paraId="01DFA8F4" w14:textId="77777777" w:rsidR="00CB0318" w:rsidRPr="003D290F" w:rsidRDefault="00CB0318">
      <w:pPr>
        <w:rPr>
          <w:rFonts w:eastAsiaTheme="majorEastAsia" w:cstheme="majorBidi"/>
          <w:color w:val="1B375C" w:themeColor="accent1"/>
          <w:sz w:val="48"/>
          <w:szCs w:val="40"/>
        </w:rPr>
      </w:pPr>
      <w:bookmarkStart w:id="83" w:name="_Toc96326922"/>
      <w:r w:rsidRPr="003D290F">
        <w:br w:type="page"/>
      </w:r>
    </w:p>
    <w:p w14:paraId="7C6151BC" w14:textId="77777777" w:rsidR="00F40CFA" w:rsidRDefault="00006EE7" w:rsidP="00AA30B5">
      <w:pPr>
        <w:pStyle w:val="Heading1"/>
      </w:pPr>
      <w:bookmarkStart w:id="84" w:name="_Toc161395955"/>
      <w:bookmarkStart w:id="85" w:name="_Toc161403491"/>
      <w:bookmarkStart w:id="86" w:name="_Toc161752225"/>
      <w:bookmarkStart w:id="87" w:name="_Toc161759662"/>
      <w:r w:rsidRPr="003D290F">
        <w:lastRenderedPageBreak/>
        <w:t>2</w:t>
      </w:r>
      <w:r w:rsidR="004C77C5" w:rsidRPr="003D290F">
        <w:tab/>
        <w:t>The need for government action to support worker transition</w:t>
      </w:r>
      <w:bookmarkEnd w:id="84"/>
      <w:bookmarkEnd w:id="85"/>
      <w:bookmarkEnd w:id="86"/>
      <w:bookmarkEnd w:id="87"/>
    </w:p>
    <w:p w14:paraId="3C8982E0" w14:textId="77777777" w:rsidR="004C77C5" w:rsidRPr="003D290F" w:rsidRDefault="007355C2" w:rsidP="00097053">
      <w:r w:rsidRPr="003D290F">
        <w:t xml:space="preserve">This chapter </w:t>
      </w:r>
      <w:r w:rsidR="00995C64" w:rsidRPr="003D290F">
        <w:t xml:space="preserve">outlines </w:t>
      </w:r>
      <w:r w:rsidRPr="003D290F">
        <w:t>the reasons why government intervention is needed to assist workers in closing industrial</w:t>
      </w:r>
      <w:r w:rsidR="00995C64" w:rsidRPr="003D290F">
        <w:t xml:space="preserve"> facilities</w:t>
      </w:r>
      <w:r w:rsidRPr="003D290F">
        <w:t xml:space="preserve"> through the transition to net zero. It discusses the objectives and desired outcomes of potential policy interventions in this area, as well as potential barriers to achieving these outcomes. </w:t>
      </w:r>
    </w:p>
    <w:p w14:paraId="026E933C" w14:textId="77777777" w:rsidR="00BB36B9" w:rsidRPr="003D290F" w:rsidRDefault="00BB36B9" w:rsidP="00B66BE0">
      <w:pPr>
        <w:pStyle w:val="Heading2"/>
        <w:rPr>
          <w:rFonts w:eastAsiaTheme="minorEastAsia"/>
        </w:rPr>
      </w:pPr>
      <w:bookmarkStart w:id="88" w:name="_Toc161395956"/>
      <w:bookmarkStart w:id="89" w:name="_Toc161403492"/>
      <w:bookmarkStart w:id="90" w:name="_Toc161752226"/>
      <w:bookmarkStart w:id="91" w:name="_Toc161759663"/>
      <w:r w:rsidRPr="003D290F">
        <w:rPr>
          <w:rFonts w:eastAsiaTheme="minorEastAsia"/>
        </w:rPr>
        <w:t xml:space="preserve">2.1 </w:t>
      </w:r>
      <w:r w:rsidR="007355C2" w:rsidRPr="003D290F">
        <w:rPr>
          <w:rFonts w:eastAsiaTheme="minorEastAsia"/>
        </w:rPr>
        <w:t>Rationale for government intervention</w:t>
      </w:r>
      <w:bookmarkEnd w:id="88"/>
      <w:bookmarkEnd w:id="89"/>
      <w:bookmarkEnd w:id="90"/>
      <w:bookmarkEnd w:id="91"/>
    </w:p>
    <w:p w14:paraId="67131FB0" w14:textId="77777777" w:rsidR="007355C2" w:rsidRPr="003D290F" w:rsidRDefault="007355C2" w:rsidP="00A50652">
      <w:pPr>
        <w:rPr>
          <w:rFonts w:cs="Segoe UI"/>
        </w:rPr>
      </w:pPr>
      <w:r w:rsidRPr="003D290F">
        <w:t xml:space="preserve">The scale of the net zero transformation will be one of the largest workforce transition events in Australia’s </w:t>
      </w:r>
      <w:r w:rsidRPr="003D290F">
        <w:rPr>
          <w:rFonts w:cs="Segoe UI"/>
        </w:rPr>
        <w:t xml:space="preserve">history. As such, it requires a concerted and coordinated response, with the </w:t>
      </w:r>
      <w:r w:rsidR="00651F55">
        <w:rPr>
          <w:rFonts w:cs="Segoe UI"/>
        </w:rPr>
        <w:t>Australian Government</w:t>
      </w:r>
      <w:r w:rsidR="00651F55" w:rsidRPr="003D290F">
        <w:rPr>
          <w:rFonts w:cs="Segoe UI"/>
        </w:rPr>
        <w:t xml:space="preserve"> </w:t>
      </w:r>
      <w:r w:rsidRPr="003D290F">
        <w:rPr>
          <w:rFonts w:cs="Segoe UI"/>
        </w:rPr>
        <w:t>working in conjunction with business, states and territory governments, and regional communities.</w:t>
      </w:r>
    </w:p>
    <w:p w14:paraId="63B39A4C" w14:textId="77777777" w:rsidR="007D5D0D" w:rsidRPr="003D290F" w:rsidRDefault="007D5D0D" w:rsidP="00A50652">
      <w:pPr>
        <w:rPr>
          <w:rFonts w:cs="Segoe UI"/>
        </w:rPr>
      </w:pPr>
      <w:r w:rsidRPr="003D290F">
        <w:rPr>
          <w:rFonts w:cs="Segoe UI"/>
        </w:rPr>
        <w:t>The Employment White Paper notes that there is an important role for government in creating an environment that enables people and business to plan and flexibly respond to changing circumstances, especially where structural change is geographically concentrated, and where changes occur in regions with lower industrial diversity.</w:t>
      </w:r>
      <w:r w:rsidRPr="003D290F">
        <w:rPr>
          <w:rStyle w:val="FootnoteReference"/>
          <w:rFonts w:cs="Segoe UI"/>
        </w:rPr>
        <w:footnoteReference w:id="48"/>
      </w:r>
      <w:r w:rsidRPr="003D290F">
        <w:rPr>
          <w:rFonts w:cs="Segoe UI"/>
        </w:rPr>
        <w:t xml:space="preserve"> It notes:</w:t>
      </w:r>
    </w:p>
    <w:p w14:paraId="582AE156" w14:textId="77777777" w:rsidR="007D5D0D" w:rsidRPr="003D290F" w:rsidRDefault="007D5D0D" w:rsidP="00A50652">
      <w:pPr>
        <w:ind w:left="720"/>
        <w:rPr>
          <w:rFonts w:cs="Segoe UI"/>
          <w:i/>
        </w:rPr>
      </w:pPr>
      <w:r w:rsidRPr="003D290F">
        <w:rPr>
          <w:rFonts w:cs="Segoe UI"/>
          <w:i/>
        </w:rPr>
        <w:t>Large shifts in industry composition can disrupt local labour markets. Equipping workers with the tools they need and supporting them into new opportunities can minimise these disruptions, and are particularly important for regions that have a narrow economic base. Clearly articulating long-term policy objectives can also help the private sector invest with confidence, and workers to plan for their future and to invest in their skills. Coordination between workers, all levels of government, businesses and unions can result in better support for people to find future employment opportunities</w:t>
      </w:r>
      <w:r w:rsidRPr="003D290F">
        <w:rPr>
          <w:rFonts w:cs="Segoe UI"/>
          <w:szCs w:val="20"/>
        </w:rPr>
        <w:t>.</w:t>
      </w:r>
      <w:r w:rsidRPr="003D290F">
        <w:rPr>
          <w:rStyle w:val="FootnoteReference"/>
          <w:rFonts w:cs="Segoe UI"/>
          <w:szCs w:val="20"/>
        </w:rPr>
        <w:footnoteReference w:id="49"/>
      </w:r>
    </w:p>
    <w:p w14:paraId="0986A38B" w14:textId="77777777" w:rsidR="0074429C" w:rsidRPr="003D290F" w:rsidRDefault="00957611" w:rsidP="00097053">
      <w:r w:rsidRPr="003D290F">
        <w:t xml:space="preserve">There is a clear need for </w:t>
      </w:r>
      <w:r w:rsidR="00187EA7" w:rsidRPr="003D290F">
        <w:t>g</w:t>
      </w:r>
      <w:r w:rsidRPr="003D290F">
        <w:t>overnment to work with employers in emissions-intensive industries to ensure clear planning and support for workers. The key reasons for government intervention are broadly summarised as follows.</w:t>
      </w:r>
    </w:p>
    <w:p w14:paraId="0D3CB071" w14:textId="77777777" w:rsidR="00522786" w:rsidRPr="003D290F" w:rsidRDefault="00BB36B9" w:rsidP="00B66BE0">
      <w:pPr>
        <w:pStyle w:val="Heading3"/>
      </w:pPr>
      <w:bookmarkStart w:id="92" w:name="_Toc155604604"/>
      <w:bookmarkStart w:id="93" w:name="_Toc161395957"/>
      <w:bookmarkStart w:id="94" w:name="_Toc161403493"/>
      <w:bookmarkStart w:id="95" w:name="_Toc161694772"/>
      <w:bookmarkStart w:id="96" w:name="_Toc161752227"/>
      <w:bookmarkStart w:id="97" w:name="_Toc161759664"/>
      <w:r w:rsidRPr="003D290F">
        <w:t xml:space="preserve">2.1.1 </w:t>
      </w:r>
      <w:r w:rsidR="00522786" w:rsidRPr="003D290F">
        <w:t xml:space="preserve">Recognition of the role of government in </w:t>
      </w:r>
      <w:r w:rsidR="000D79F5" w:rsidRPr="003D290F">
        <w:t xml:space="preserve">decarbonisation and the net </w:t>
      </w:r>
      <w:r w:rsidR="00522786" w:rsidRPr="003D290F">
        <w:t>zero transformation</w:t>
      </w:r>
      <w:bookmarkEnd w:id="92"/>
      <w:bookmarkEnd w:id="93"/>
      <w:bookmarkEnd w:id="94"/>
      <w:bookmarkEnd w:id="95"/>
      <w:bookmarkEnd w:id="96"/>
      <w:bookmarkEnd w:id="97"/>
    </w:p>
    <w:p w14:paraId="6C498EDF" w14:textId="77777777" w:rsidR="000D79F5" w:rsidRPr="003D290F" w:rsidRDefault="000D79F5" w:rsidP="00731F9D">
      <w:pPr>
        <w:spacing w:after="120"/>
        <w:rPr>
          <w:rFonts w:cs="Arial"/>
        </w:rPr>
      </w:pPr>
      <w:r w:rsidRPr="003D290F">
        <w:rPr>
          <w:rFonts w:cs="Arial"/>
        </w:rPr>
        <w:t xml:space="preserve">In 2022, the </w:t>
      </w:r>
      <w:r w:rsidR="00651F55">
        <w:rPr>
          <w:rFonts w:cs="Arial"/>
        </w:rPr>
        <w:t>Australian G</w:t>
      </w:r>
      <w:r w:rsidR="00F20596" w:rsidRPr="003D290F">
        <w:rPr>
          <w:rFonts w:cs="Arial"/>
        </w:rPr>
        <w:t>overnment</w:t>
      </w:r>
      <w:r w:rsidRPr="003D290F">
        <w:rPr>
          <w:rFonts w:cs="Arial"/>
        </w:rPr>
        <w:t xml:space="preserve"> legislated Australia's greenhouse</w:t>
      </w:r>
      <w:r w:rsidR="0038386A">
        <w:rPr>
          <w:rFonts w:cs="Arial"/>
        </w:rPr>
        <w:t xml:space="preserve"> gas emission targets to reach net z</w:t>
      </w:r>
      <w:r w:rsidRPr="003D290F">
        <w:rPr>
          <w:rFonts w:cs="Arial"/>
        </w:rPr>
        <w:t>ero by 2050, and to reach emission levels of 43</w:t>
      </w:r>
      <w:r w:rsidR="00F86755" w:rsidRPr="003D290F">
        <w:rPr>
          <w:rFonts w:cs="Arial"/>
        </w:rPr>
        <w:t xml:space="preserve"> per cent</w:t>
      </w:r>
      <w:r w:rsidRPr="003D290F">
        <w:rPr>
          <w:rFonts w:cs="Arial"/>
        </w:rPr>
        <w:t xml:space="preserve"> below 2005 levels by 2030. </w:t>
      </w:r>
    </w:p>
    <w:p w14:paraId="5CFAF505" w14:textId="77777777" w:rsidR="000D79F5" w:rsidRPr="003D290F" w:rsidRDefault="000D79F5" w:rsidP="00731F9D">
      <w:pPr>
        <w:spacing w:after="120"/>
      </w:pPr>
      <w:r w:rsidRPr="003D290F">
        <w:rPr>
          <w:rFonts w:cs="Arial"/>
        </w:rPr>
        <w:t xml:space="preserve">The </w:t>
      </w:r>
      <w:r w:rsidR="00651F55">
        <w:rPr>
          <w:rFonts w:cs="Arial"/>
        </w:rPr>
        <w:t>Australian G</w:t>
      </w:r>
      <w:r w:rsidRPr="003D290F">
        <w:rPr>
          <w:rFonts w:cs="Arial"/>
        </w:rPr>
        <w:t xml:space="preserve">overnment has </w:t>
      </w:r>
      <w:r w:rsidR="00651F55">
        <w:rPr>
          <w:rFonts w:cs="Arial"/>
        </w:rPr>
        <w:t xml:space="preserve">also </w:t>
      </w:r>
      <w:r w:rsidRPr="003D290F">
        <w:rPr>
          <w:rFonts w:cs="Arial"/>
        </w:rPr>
        <w:t xml:space="preserve">committed to developing a Net Zero 2050 plan and 2035 emissions reduction targets, to establish pathways for Australia’s transition to a net zero economy. The Net Zero </w:t>
      </w:r>
      <w:r w:rsidRPr="003D290F">
        <w:rPr>
          <w:rFonts w:cs="Arial"/>
        </w:rPr>
        <w:lastRenderedPageBreak/>
        <w:t>plan will help Australia maximise the benefits of the global transition to net zero, provide certainty through long-term policy and help drive investments in low</w:t>
      </w:r>
      <w:r w:rsidR="00651F55">
        <w:rPr>
          <w:rFonts w:cs="Arial"/>
        </w:rPr>
        <w:t>-</w:t>
      </w:r>
      <w:r w:rsidRPr="003D290F">
        <w:rPr>
          <w:rFonts w:cs="Arial"/>
        </w:rPr>
        <w:t>emissions and renewable technologies. The plan will be supported by the development of six sectoral decarbonisation plans which, between them, cover all major components of the economy.</w:t>
      </w:r>
      <w:r w:rsidRPr="003D290F">
        <w:rPr>
          <w:rStyle w:val="FootnoteReference"/>
          <w:rFonts w:cs="Arial"/>
        </w:rPr>
        <w:footnoteReference w:id="50"/>
      </w:r>
      <w:r w:rsidRPr="003D290F">
        <w:rPr>
          <w:rFonts w:cs="Arial"/>
        </w:rPr>
        <w:t xml:space="preserve"> </w:t>
      </w:r>
    </w:p>
    <w:p w14:paraId="06957242" w14:textId="77777777" w:rsidR="00522786" w:rsidRPr="003D290F" w:rsidRDefault="00F20596" w:rsidP="00F20596">
      <w:r w:rsidRPr="003D290F">
        <w:t>As the global shift to net zero continues, t</w:t>
      </w:r>
      <w:r w:rsidR="000D79F5" w:rsidRPr="003D290F">
        <w:t xml:space="preserve">he </w:t>
      </w:r>
      <w:r w:rsidR="00651F55">
        <w:t>Australian G</w:t>
      </w:r>
      <w:r w:rsidR="00D169C1" w:rsidRPr="003D290F">
        <w:t xml:space="preserve">overnment </w:t>
      </w:r>
      <w:r w:rsidRPr="003D290F">
        <w:t>is committed to</w:t>
      </w:r>
      <w:r w:rsidRPr="003D290F" w:rsidDel="00651F55">
        <w:t xml:space="preserve"> </w:t>
      </w:r>
      <w:r w:rsidR="000D79F5" w:rsidRPr="003D290F">
        <w:t>ensur</w:t>
      </w:r>
      <w:r w:rsidR="00651F55">
        <w:t>ing</w:t>
      </w:r>
      <w:r w:rsidR="000D79F5" w:rsidRPr="003D290F">
        <w:t xml:space="preserve"> </w:t>
      </w:r>
      <w:r w:rsidRPr="003D290F">
        <w:t xml:space="preserve">that </w:t>
      </w:r>
      <w:r w:rsidR="000D79F5" w:rsidRPr="003D290F">
        <w:t>no-one is left behind</w:t>
      </w:r>
      <w:r w:rsidRPr="003D290F">
        <w:t>, including by supporting workers in emissions-intensive sectors to access new employment, skills and support</w:t>
      </w:r>
      <w:r w:rsidR="00D95484" w:rsidRPr="003D290F">
        <w:t xml:space="preserve">. </w:t>
      </w:r>
      <w:r w:rsidR="00522786" w:rsidRPr="003D290F">
        <w:t xml:space="preserve"> </w:t>
      </w:r>
    </w:p>
    <w:p w14:paraId="2E4D0C18" w14:textId="77777777" w:rsidR="00957611" w:rsidRPr="003D290F" w:rsidRDefault="00BB36B9" w:rsidP="00B66BE0">
      <w:pPr>
        <w:pStyle w:val="Heading3"/>
      </w:pPr>
      <w:bookmarkStart w:id="98" w:name="_Toc155604605"/>
      <w:bookmarkStart w:id="99" w:name="_Toc161395958"/>
      <w:bookmarkStart w:id="100" w:name="_Toc161403494"/>
      <w:bookmarkStart w:id="101" w:name="_Toc161694773"/>
      <w:bookmarkStart w:id="102" w:name="_Toc161752228"/>
      <w:bookmarkStart w:id="103" w:name="_Toc161759665"/>
      <w:r w:rsidRPr="003D290F">
        <w:t xml:space="preserve">2.1.2 </w:t>
      </w:r>
      <w:r w:rsidR="008935D9" w:rsidRPr="003D290F">
        <w:t>Supporting an ‘orderly’ transition pathway</w:t>
      </w:r>
      <w:bookmarkEnd w:id="98"/>
      <w:bookmarkEnd w:id="99"/>
      <w:bookmarkEnd w:id="100"/>
      <w:bookmarkEnd w:id="101"/>
      <w:bookmarkEnd w:id="102"/>
      <w:bookmarkEnd w:id="103"/>
    </w:p>
    <w:p w14:paraId="5CD5BE72" w14:textId="77777777" w:rsidR="00E8006F" w:rsidRPr="003D290F" w:rsidRDefault="00651F55" w:rsidP="00E8006F">
      <w:r>
        <w:t>Australian Government</w:t>
      </w:r>
      <w:r w:rsidRPr="003D290F">
        <w:t xml:space="preserve"> </w:t>
      </w:r>
      <w:r w:rsidR="00E8006F" w:rsidRPr="003D290F">
        <w:t xml:space="preserve">support for workers whose employment will be disrupted by </w:t>
      </w:r>
      <w:r w:rsidR="00E8006F">
        <w:t>power station closures, as part of efforts to create an ‘orderly’ transition pathway to a net zero economy,</w:t>
      </w:r>
      <w:r w:rsidR="00E8006F" w:rsidRPr="003D290F">
        <w:t xml:space="preserve"> is consistent with Australia’s commitments under international agreements.</w:t>
      </w:r>
    </w:p>
    <w:p w14:paraId="0EF8116E" w14:textId="77777777" w:rsidR="00B82622" w:rsidRDefault="00131E79" w:rsidP="00131E79">
      <w:r>
        <w:t>In 2015, Australia became a signatory to the Paris Agreement under the United Nations Framework Convention on Climate Change</w:t>
      </w:r>
      <w:r>
        <w:rPr>
          <w:rStyle w:val="FootnoteReference"/>
        </w:rPr>
        <w:footnoteReference w:id="51"/>
      </w:r>
      <w:r w:rsidR="00E8006F">
        <w:t>,</w:t>
      </w:r>
      <w:r>
        <w:t xml:space="preserve"> </w:t>
      </w:r>
      <w:r w:rsidR="00E8006F">
        <w:t>which</w:t>
      </w:r>
      <w:r w:rsidR="00B82622">
        <w:t xml:space="preserve"> notes:</w:t>
      </w:r>
    </w:p>
    <w:p w14:paraId="5E7FA0CC" w14:textId="77777777" w:rsidR="00131E79" w:rsidRDefault="00E8006F" w:rsidP="00B82622">
      <w:pPr>
        <w:ind w:left="284"/>
      </w:pPr>
      <w:r>
        <w:rPr>
          <w:i/>
        </w:rPr>
        <w:t>…</w:t>
      </w:r>
      <w:r w:rsidR="00B82622" w:rsidRPr="00B82622">
        <w:rPr>
          <w:i/>
        </w:rPr>
        <w:t xml:space="preserve">the imperatives of </w:t>
      </w:r>
      <w:r w:rsidR="00131E79" w:rsidRPr="00B82622">
        <w:rPr>
          <w:i/>
        </w:rPr>
        <w:t>a just transition of the workforce and the creation of decent work and quality jobs in accordance with nationally defined development priorities.</w:t>
      </w:r>
      <w:r w:rsidR="00131E79">
        <w:rPr>
          <w:rStyle w:val="FootnoteReference"/>
        </w:rPr>
        <w:footnoteReference w:id="52"/>
      </w:r>
      <w:r w:rsidR="00131E79">
        <w:t xml:space="preserve"> </w:t>
      </w:r>
    </w:p>
    <w:p w14:paraId="394D0282" w14:textId="77777777" w:rsidR="00EC5AE0" w:rsidRDefault="00E8006F" w:rsidP="001D55AF">
      <w:r>
        <w:t>The</w:t>
      </w:r>
      <w:r w:rsidR="00651F55">
        <w:t xml:space="preserve"> Australian</w:t>
      </w:r>
      <w:r>
        <w:t xml:space="preserve"> Government has since joined dozens of countries around the world developing plans in response to the Paris Agreement. </w:t>
      </w:r>
      <w:r w:rsidRPr="003D290F">
        <w:t>Several countries, particularly in Europe, have established dedicated national and regional transition strategies and institutions.</w:t>
      </w:r>
      <w:r w:rsidRPr="003D290F" w:rsidDel="00651F55">
        <w:t xml:space="preserve"> </w:t>
      </w:r>
    </w:p>
    <w:p w14:paraId="5A660300" w14:textId="77777777" w:rsidR="00B82622" w:rsidRPr="001D55AF" w:rsidRDefault="00B82622" w:rsidP="001D55AF">
      <w:r>
        <w:t>The proper management of th</w:t>
      </w:r>
      <w:r w:rsidR="00EC5AE0">
        <w:t>is</w:t>
      </w:r>
      <w:r>
        <w:t xml:space="preserve"> </w:t>
      </w:r>
      <w:r w:rsidR="001D55AF">
        <w:t xml:space="preserve">economic transformation is essential for ensuring an orderly transition. </w:t>
      </w:r>
      <w:r w:rsidR="00522786" w:rsidRPr="003D290F">
        <w:t xml:space="preserve">Without appropriate </w:t>
      </w:r>
      <w:r w:rsidR="00D95484" w:rsidRPr="003D290F">
        <w:t xml:space="preserve">planning and </w:t>
      </w:r>
      <w:r w:rsidR="00522786" w:rsidRPr="003D290F">
        <w:t>supports, the risks increase of</w:t>
      </w:r>
      <w:r w:rsidR="00E8006F">
        <w:t xml:space="preserve"> a less orderly transition, characterised by</w:t>
      </w:r>
      <w:r w:rsidR="00522786" w:rsidRPr="003D290F">
        <w:t xml:space="preserve"> </w:t>
      </w:r>
      <w:r w:rsidR="00AA445C" w:rsidRPr="003D290F">
        <w:t xml:space="preserve">more </w:t>
      </w:r>
      <w:r w:rsidR="00522786" w:rsidRPr="003D290F">
        <w:t>sudden facility closures</w:t>
      </w:r>
      <w:r w:rsidR="00D95484" w:rsidRPr="003D290F">
        <w:t>, energy system instability,</w:t>
      </w:r>
      <w:r w:rsidR="00522786" w:rsidRPr="003D290F">
        <w:t xml:space="preserve"> and</w:t>
      </w:r>
      <w:r w:rsidR="00522786" w:rsidRPr="003D290F" w:rsidDel="00651F55">
        <w:t xml:space="preserve"> </w:t>
      </w:r>
      <w:r w:rsidR="00522786" w:rsidRPr="003D290F">
        <w:t>community disruption</w:t>
      </w:r>
      <w:r w:rsidR="00D95484" w:rsidRPr="003D290F">
        <w:t xml:space="preserve"> in affected regions</w:t>
      </w:r>
      <w:r w:rsidR="00522786" w:rsidRPr="003D290F">
        <w:t>.</w:t>
      </w:r>
      <w:r w:rsidR="00D95484" w:rsidRPr="003D290F">
        <w:t xml:space="preserve"> </w:t>
      </w:r>
      <w:r w:rsidR="004C736A" w:rsidRPr="003D290F">
        <w:t>Assisting transition</w:t>
      </w:r>
      <w:r w:rsidR="00DE3B91" w:rsidRPr="003D290F">
        <w:t>ing</w:t>
      </w:r>
      <w:r w:rsidR="004C736A" w:rsidRPr="003D290F">
        <w:t xml:space="preserve"> workers and communities appropriately is critical</w:t>
      </w:r>
      <w:r w:rsidR="00887251" w:rsidRPr="003D290F">
        <w:t xml:space="preserve"> to smooth the economic transition and make for an ‘orderly’ transition</w:t>
      </w:r>
      <w:r w:rsidR="00D95484" w:rsidRPr="003D290F">
        <w:t xml:space="preserve"> pathway</w:t>
      </w:r>
      <w:r w:rsidR="00887251" w:rsidRPr="003D290F">
        <w:t xml:space="preserve"> </w:t>
      </w:r>
      <w:r w:rsidR="003140BB" w:rsidRPr="003D290F">
        <w:t xml:space="preserve">for workers and communities. </w:t>
      </w:r>
    </w:p>
    <w:p w14:paraId="168E05AC" w14:textId="77777777" w:rsidR="00471623" w:rsidRPr="003D290F" w:rsidRDefault="00BB36B9">
      <w:pPr>
        <w:pStyle w:val="Heading3"/>
      </w:pPr>
      <w:bookmarkStart w:id="104" w:name="_Toc155604606"/>
      <w:bookmarkStart w:id="105" w:name="_Toc161395959"/>
      <w:bookmarkStart w:id="106" w:name="_Toc161403495"/>
      <w:bookmarkStart w:id="107" w:name="_Toc161694774"/>
      <w:bookmarkStart w:id="108" w:name="_Toc161752229"/>
      <w:bookmarkStart w:id="109" w:name="_Toc161759666"/>
      <w:r w:rsidRPr="003D290F">
        <w:t xml:space="preserve">2.1.3 </w:t>
      </w:r>
      <w:r w:rsidR="00F20596" w:rsidRPr="003D290F">
        <w:t>Ensuring even</w:t>
      </w:r>
      <w:r w:rsidR="00471623" w:rsidRPr="003D290F">
        <w:t xml:space="preserve"> provision of worker supports as facilities close</w:t>
      </w:r>
      <w:bookmarkEnd w:id="104"/>
      <w:bookmarkEnd w:id="105"/>
      <w:bookmarkEnd w:id="106"/>
      <w:bookmarkEnd w:id="107"/>
      <w:bookmarkEnd w:id="108"/>
      <w:bookmarkEnd w:id="109"/>
    </w:p>
    <w:p w14:paraId="617C55D3" w14:textId="77777777" w:rsidR="008754A6" w:rsidRPr="003D290F" w:rsidRDefault="00D95484" w:rsidP="00471623">
      <w:r w:rsidRPr="003D290F">
        <w:t>Past experience has shown that i</w:t>
      </w:r>
      <w:r w:rsidR="00471623" w:rsidRPr="003D290F">
        <w:t xml:space="preserve">n the absence of government intervention, workers </w:t>
      </w:r>
      <w:r w:rsidR="003140BB" w:rsidRPr="003D290F">
        <w:t xml:space="preserve">may not receive adequate levels of support </w:t>
      </w:r>
      <w:r w:rsidR="00471623" w:rsidRPr="003D290F">
        <w:t xml:space="preserve">when </w:t>
      </w:r>
      <w:r w:rsidR="00E948CF">
        <w:t>fossil fuel generators</w:t>
      </w:r>
      <w:r w:rsidR="00471623" w:rsidRPr="003D290F">
        <w:t xml:space="preserve"> and </w:t>
      </w:r>
      <w:r w:rsidR="00E948CF">
        <w:t>dependent businesses</w:t>
      </w:r>
      <w:r w:rsidR="00471623" w:rsidRPr="003D290F">
        <w:t xml:space="preserve"> close. </w:t>
      </w:r>
      <w:r w:rsidR="00A02C2F" w:rsidRPr="003D290F">
        <w:t>In some cases</w:t>
      </w:r>
      <w:r w:rsidR="004D5FAE" w:rsidRPr="003D290F">
        <w:t>,</w:t>
      </w:r>
      <w:r w:rsidR="00A02C2F" w:rsidRPr="003D290F">
        <w:t xml:space="preserve"> power stations with closure dates later this decade are already undertaking significant planning and have committed funds to support workforce transition initiatives</w:t>
      </w:r>
      <w:r w:rsidR="000C159D">
        <w:t xml:space="preserve"> (as noted at </w:t>
      </w:r>
      <w:r w:rsidR="000C159D" w:rsidRPr="00E77931">
        <w:rPr>
          <w:b/>
          <w:color w:val="1B375C" w:themeColor="accent1"/>
        </w:rPr>
        <w:t>section 1.3</w:t>
      </w:r>
      <w:r w:rsidR="000C159D">
        <w:t>)</w:t>
      </w:r>
      <w:r w:rsidR="00A02C2F" w:rsidRPr="003D290F">
        <w:t xml:space="preserve">. </w:t>
      </w:r>
    </w:p>
    <w:p w14:paraId="79F55E49" w14:textId="77777777" w:rsidR="008754A6" w:rsidRPr="003D290F" w:rsidRDefault="00A02C2F" w:rsidP="008754A6">
      <w:r w:rsidRPr="003D290F">
        <w:t xml:space="preserve">It is not yet clear, however, </w:t>
      </w:r>
      <w:r w:rsidR="00F20596" w:rsidRPr="003D290F">
        <w:t>whether</w:t>
      </w:r>
      <w:r w:rsidRPr="003D290F">
        <w:t xml:space="preserve"> supports provided by closing employers will be consistent across the range of power stations and associated mines that will close over the coming decades, particularly in the event that closure schedules of any of these facilities need to be brought forward. </w:t>
      </w:r>
      <w:r w:rsidR="008754A6" w:rsidRPr="003D290F">
        <w:t xml:space="preserve">Existing supports are </w:t>
      </w:r>
      <w:r w:rsidR="008754A6" w:rsidRPr="003D290F">
        <w:lastRenderedPageBreak/>
        <w:t>generally focused on direct employees of closing facilities, with support</w:t>
      </w:r>
      <w:r w:rsidR="00123932">
        <w:t xml:space="preserve"> more limited</w:t>
      </w:r>
      <w:r w:rsidR="008754A6" w:rsidRPr="003D290F">
        <w:t xml:space="preserve"> for employees of contractors and supply chain businesses. </w:t>
      </w:r>
    </w:p>
    <w:p w14:paraId="552F002B" w14:textId="77777777" w:rsidR="00F20596" w:rsidRPr="003D290F" w:rsidRDefault="00A02C2F" w:rsidP="00471623">
      <w:r w:rsidRPr="003D290F">
        <w:t>E</w:t>
      </w:r>
      <w:r w:rsidR="008754A6" w:rsidRPr="003D290F">
        <w:t>mployer s</w:t>
      </w:r>
      <w:r w:rsidRPr="003D290F">
        <w:t xml:space="preserve">upports </w:t>
      </w:r>
      <w:r w:rsidR="00F20596" w:rsidRPr="003D290F">
        <w:t xml:space="preserve">offered by closing facilities </w:t>
      </w:r>
      <w:r w:rsidR="008754A6" w:rsidRPr="003D290F">
        <w:t xml:space="preserve">are necessary to ensure workers have the opportunity to prepare adequately for their employment transition. These employer supports can be targeted to </w:t>
      </w:r>
      <w:r w:rsidR="00F20596" w:rsidRPr="003D290F">
        <w:t xml:space="preserve">assist workers with access to skills, training and career planning initiatives, as well as financial planning services and other transition supports. </w:t>
      </w:r>
    </w:p>
    <w:p w14:paraId="07264FF6" w14:textId="77777777" w:rsidR="008B35CE" w:rsidRDefault="00E948CF" w:rsidP="00471623">
      <w:r>
        <w:t>In this context, p</w:t>
      </w:r>
      <w:r w:rsidR="008B35CE">
        <w:t xml:space="preserve">art of </w:t>
      </w:r>
      <w:r w:rsidR="00123932">
        <w:t>g</w:t>
      </w:r>
      <w:r w:rsidR="008B35CE">
        <w:t>overnment’s role in</w:t>
      </w:r>
      <w:r>
        <w:t>cludes</w:t>
      </w:r>
      <w:r w:rsidR="008B35CE">
        <w:t xml:space="preserve"> putting legal and regulatory standards in place to create baseline expectations for actions employers should take to support their workers when facilities close. </w:t>
      </w:r>
      <w:r>
        <w:t>Targeted g</w:t>
      </w:r>
      <w:r w:rsidRPr="003D290F">
        <w:t xml:space="preserve">overnment </w:t>
      </w:r>
      <w:r w:rsidR="008B35CE">
        <w:t>initiatives</w:t>
      </w:r>
      <w:r w:rsidR="008B35CE" w:rsidRPr="003D290F">
        <w:t xml:space="preserve"> </w:t>
      </w:r>
      <w:r>
        <w:t xml:space="preserve">to support workers directly </w:t>
      </w:r>
      <w:r w:rsidR="008754A6" w:rsidRPr="003D290F">
        <w:t xml:space="preserve">can </w:t>
      </w:r>
      <w:r w:rsidR="008B35CE">
        <w:t>also complement</w:t>
      </w:r>
      <w:r w:rsidR="008754A6" w:rsidRPr="003D290F">
        <w:t xml:space="preserve"> employer-facilitated programs</w:t>
      </w:r>
      <w:r>
        <w:t>,</w:t>
      </w:r>
      <w:r w:rsidR="008754A6" w:rsidRPr="003D290F">
        <w:t xml:space="preserve"> </w:t>
      </w:r>
      <w:r w:rsidR="00471623" w:rsidRPr="003D290F">
        <w:t xml:space="preserve">to </w:t>
      </w:r>
      <w:r>
        <w:t xml:space="preserve">fill gaps and </w:t>
      </w:r>
      <w:r w:rsidR="00471623" w:rsidRPr="003D290F">
        <w:t>ensure a consistent and coordinated approach to addressing the impacts of facility closure events for affected communities</w:t>
      </w:r>
      <w:r w:rsidR="008754A6" w:rsidRPr="003D290F">
        <w:t xml:space="preserve">. </w:t>
      </w:r>
      <w:r w:rsidR="0083255C" w:rsidRPr="003D290F">
        <w:t>Governments</w:t>
      </w:r>
      <w:r w:rsidR="008754A6" w:rsidRPr="003D290F">
        <w:t xml:space="preserve"> can focus on areas not easily addressed by closing </w:t>
      </w:r>
      <w:r w:rsidR="0083255C" w:rsidRPr="003D290F">
        <w:t>employers</w:t>
      </w:r>
      <w:r w:rsidR="008754A6" w:rsidRPr="003D290F">
        <w:t xml:space="preserve">, </w:t>
      </w:r>
      <w:r w:rsidR="0083255C" w:rsidRPr="003D290F">
        <w:t>such as</w:t>
      </w:r>
      <w:r w:rsidR="008754A6" w:rsidRPr="003D290F">
        <w:t xml:space="preserve"> supports aimed at facilitating the matching of workers with new employment opportunities. </w:t>
      </w:r>
    </w:p>
    <w:p w14:paraId="63D637C7" w14:textId="77777777" w:rsidR="00E948CF" w:rsidRDefault="00123932" w:rsidP="00471623">
      <w:r>
        <w:t>Australian Government</w:t>
      </w:r>
      <w:r w:rsidRPr="003D290F">
        <w:t xml:space="preserve"> </w:t>
      </w:r>
      <w:r w:rsidR="00471623" w:rsidRPr="003D290F">
        <w:t>involvement can assist in bringing together stakeholders to ensure that the responsibility for supporting affected communities is shared across all relevant parties</w:t>
      </w:r>
      <w:r w:rsidR="00D95484" w:rsidRPr="003D290F">
        <w:t>, including closing employers, other industrial employers in the relevant region, state and territory governments, local governments, and community organisations</w:t>
      </w:r>
      <w:r w:rsidR="00471623" w:rsidRPr="003D290F">
        <w:t>.</w:t>
      </w:r>
      <w:r w:rsidR="008B35CE">
        <w:t xml:space="preserve"> </w:t>
      </w:r>
      <w:r w:rsidR="00476214">
        <w:t>This co-ordination can also assist in identifying regional skills needs and sequencing activities like investment, to ensure new jobs are available when workers are retrenched.</w:t>
      </w:r>
    </w:p>
    <w:p w14:paraId="2C26BBF7" w14:textId="77777777" w:rsidR="00471623" w:rsidRPr="003D290F" w:rsidRDefault="008B35CE" w:rsidP="00471623">
      <w:r>
        <w:t>The</w:t>
      </w:r>
      <w:r w:rsidDel="00123932">
        <w:t xml:space="preserve"> </w:t>
      </w:r>
      <w:r w:rsidR="00123932">
        <w:t xml:space="preserve">Australian Government </w:t>
      </w:r>
      <w:r>
        <w:t xml:space="preserve">can set </w:t>
      </w:r>
      <w:r w:rsidR="00051A78">
        <w:t xml:space="preserve">legislative </w:t>
      </w:r>
      <w:r>
        <w:t xml:space="preserve">frameworks and baseline </w:t>
      </w:r>
      <w:r w:rsidR="00051A78">
        <w:t>standards to apply</w:t>
      </w:r>
      <w:r>
        <w:t xml:space="preserve"> across jurisdictions in Australia, while retaining a degree of flexibility to respond with </w:t>
      </w:r>
      <w:r w:rsidR="00051A78">
        <w:t xml:space="preserve">additional </w:t>
      </w:r>
      <w:r>
        <w:t>tailored measures</w:t>
      </w:r>
      <w:r w:rsidR="00051A78">
        <w:t xml:space="preserve"> in negotiation with state governments and impacted communities,</w:t>
      </w:r>
      <w:r>
        <w:t xml:space="preserve"> </w:t>
      </w:r>
      <w:r w:rsidR="009831D8">
        <w:t>in response</w:t>
      </w:r>
      <w:r w:rsidR="00051A78">
        <w:t xml:space="preserve"> to the regional circumstances of</w:t>
      </w:r>
      <w:r w:rsidR="00051A78" w:rsidDel="00123932">
        <w:t xml:space="preserve"> </w:t>
      </w:r>
      <w:r w:rsidR="00123932">
        <w:t xml:space="preserve">a </w:t>
      </w:r>
      <w:r w:rsidR="00051A78">
        <w:t>closure.</w:t>
      </w:r>
      <w:r>
        <w:t xml:space="preserve"> </w:t>
      </w:r>
      <w:r w:rsidR="00E948CF">
        <w:t xml:space="preserve">In circumstances where employers or state governments are already providing </w:t>
      </w:r>
      <w:r w:rsidR="009831D8">
        <w:t xml:space="preserve">comprehensive supports for transitioning workers – such as under the Queensland Government’s Energy and Jobs Plan </w:t>
      </w:r>
      <w:r w:rsidR="004848A8">
        <w:t>(</w:t>
      </w:r>
      <w:r w:rsidR="009831D8">
        <w:t xml:space="preserve">noted at </w:t>
      </w:r>
      <w:r w:rsidR="00123932" w:rsidRPr="00E77931">
        <w:rPr>
          <w:b/>
          <w:color w:val="1B375C" w:themeColor="accent1"/>
        </w:rPr>
        <w:t>S</w:t>
      </w:r>
      <w:r w:rsidR="004848A8" w:rsidRPr="00E77931">
        <w:rPr>
          <w:b/>
          <w:color w:val="1B375C" w:themeColor="accent1"/>
        </w:rPr>
        <w:t xml:space="preserve">ection </w:t>
      </w:r>
      <w:r w:rsidR="009831D8" w:rsidRPr="00E77931">
        <w:rPr>
          <w:b/>
          <w:color w:val="1B375C" w:themeColor="accent1"/>
        </w:rPr>
        <w:t>1.</w:t>
      </w:r>
      <w:r w:rsidR="004848A8" w:rsidRPr="00E77931">
        <w:rPr>
          <w:b/>
          <w:color w:val="1B375C" w:themeColor="accent1"/>
        </w:rPr>
        <w:t>3</w:t>
      </w:r>
      <w:r w:rsidR="009831D8" w:rsidRPr="00E77931">
        <w:rPr>
          <w:b/>
          <w:color w:val="1B375C" w:themeColor="accent1"/>
        </w:rPr>
        <w:t>.3</w:t>
      </w:r>
      <w:r w:rsidR="004848A8">
        <w:t>)</w:t>
      </w:r>
      <w:r w:rsidR="009831D8">
        <w:t xml:space="preserve"> – no further intervention</w:t>
      </w:r>
      <w:r w:rsidR="0014029B">
        <w:t xml:space="preserve"> by the Australian Government</w:t>
      </w:r>
      <w:r w:rsidR="009831D8" w:rsidDel="0014029B">
        <w:t xml:space="preserve"> </w:t>
      </w:r>
      <w:r w:rsidR="009831D8">
        <w:t>may be needed.</w:t>
      </w:r>
    </w:p>
    <w:p w14:paraId="6505B112" w14:textId="77777777" w:rsidR="00347786" w:rsidRPr="003D290F" w:rsidRDefault="00BB36B9" w:rsidP="00B66BE0">
      <w:pPr>
        <w:pStyle w:val="Heading3"/>
      </w:pPr>
      <w:bookmarkStart w:id="110" w:name="_Toc155604607"/>
      <w:bookmarkStart w:id="111" w:name="_Toc161395960"/>
      <w:bookmarkStart w:id="112" w:name="_Toc161403496"/>
      <w:bookmarkStart w:id="113" w:name="_Toc161694775"/>
      <w:bookmarkStart w:id="114" w:name="_Toc161752230"/>
      <w:bookmarkStart w:id="115" w:name="_Toc161759667"/>
      <w:r w:rsidRPr="003D290F">
        <w:t xml:space="preserve">2.1.4 </w:t>
      </w:r>
      <w:r w:rsidR="00347786" w:rsidRPr="003D290F">
        <w:t>Sustaining appropriate workforce levels at power stations in the lead-up to closure</w:t>
      </w:r>
      <w:bookmarkEnd w:id="110"/>
      <w:bookmarkEnd w:id="111"/>
      <w:bookmarkEnd w:id="112"/>
      <w:bookmarkEnd w:id="113"/>
      <w:bookmarkEnd w:id="114"/>
      <w:bookmarkEnd w:id="115"/>
    </w:p>
    <w:p w14:paraId="2666DE2D" w14:textId="77777777" w:rsidR="00347786" w:rsidRPr="003D290F" w:rsidRDefault="00F85640" w:rsidP="00B66BE0">
      <w:r>
        <w:t>P</w:t>
      </w:r>
      <w:r w:rsidR="00150694" w:rsidRPr="003D290F">
        <w:t xml:space="preserve">ower stations must maintain their workforce up to the time of facility closure in order to ensure safe operation of the facility and proper management of decommissioning processes. </w:t>
      </w:r>
      <w:r w:rsidR="00347786" w:rsidRPr="003D290F">
        <w:t xml:space="preserve">A risk for power station operators in the lead-up to closure is that </w:t>
      </w:r>
      <w:r w:rsidR="00870CC2" w:rsidRPr="003D290F">
        <w:t xml:space="preserve">some </w:t>
      </w:r>
      <w:r w:rsidR="00347786" w:rsidRPr="003D290F">
        <w:t>workers may begin to seek employment opportunities elsewhere</w:t>
      </w:r>
      <w:r w:rsidR="00870CC2" w:rsidRPr="003D290F">
        <w:t xml:space="preserve"> – in particular those with less tenure and accrued redundancy benefits – </w:t>
      </w:r>
      <w:r w:rsidR="00347786" w:rsidRPr="003D290F">
        <w:t>leav</w:t>
      </w:r>
      <w:r w:rsidR="00150694" w:rsidRPr="003D290F">
        <w:t>ing</w:t>
      </w:r>
      <w:r w:rsidR="00347786" w:rsidRPr="003D290F">
        <w:t xml:space="preserve"> the facility without adequate staffing to operate safely until closure.  </w:t>
      </w:r>
    </w:p>
    <w:p w14:paraId="536627A2" w14:textId="77777777" w:rsidR="00150694" w:rsidRPr="003D290F" w:rsidRDefault="00347786" w:rsidP="00B66BE0">
      <w:r w:rsidRPr="003D290F">
        <w:t>Government assistance</w:t>
      </w:r>
      <w:r w:rsidR="00150694" w:rsidRPr="003D290F">
        <w:t>,</w:t>
      </w:r>
      <w:r w:rsidRPr="003D290F">
        <w:t xml:space="preserve"> </w:t>
      </w:r>
      <w:r w:rsidR="00150694" w:rsidRPr="003D290F">
        <w:t>through</w:t>
      </w:r>
      <w:r w:rsidRPr="003D290F">
        <w:t xml:space="preserve"> the </w:t>
      </w:r>
      <w:r w:rsidR="00C77F81" w:rsidRPr="003D290F">
        <w:t>establishment</w:t>
      </w:r>
      <w:r w:rsidRPr="003D290F">
        <w:t xml:space="preserve"> of </w:t>
      </w:r>
      <w:r w:rsidR="00150694" w:rsidRPr="003D290F">
        <w:t xml:space="preserve">structural </w:t>
      </w:r>
      <w:r w:rsidRPr="003D290F">
        <w:t>worker transition supports</w:t>
      </w:r>
      <w:r w:rsidR="00150694" w:rsidRPr="003D290F">
        <w:t xml:space="preserve"> such as </w:t>
      </w:r>
      <w:r w:rsidR="00874E82" w:rsidRPr="003D290F">
        <w:t xml:space="preserve">pooled </w:t>
      </w:r>
      <w:r w:rsidR="00150694" w:rsidRPr="003D290F">
        <w:t xml:space="preserve">redeployment </w:t>
      </w:r>
      <w:r w:rsidR="00C51ADA" w:rsidRPr="003D290F">
        <w:t>plans</w:t>
      </w:r>
      <w:r w:rsidR="00150694" w:rsidRPr="003D290F">
        <w:t>,</w:t>
      </w:r>
      <w:r w:rsidRPr="003D290F">
        <w:t xml:space="preserve"> can help</w:t>
      </w:r>
      <w:r w:rsidR="00150694" w:rsidRPr="003D290F">
        <w:t xml:space="preserve"> provide greater certainty</w:t>
      </w:r>
      <w:r w:rsidR="00C77F81" w:rsidRPr="003D290F">
        <w:t xml:space="preserve"> about</w:t>
      </w:r>
      <w:r w:rsidR="00150694" w:rsidRPr="003D290F">
        <w:t xml:space="preserve"> </w:t>
      </w:r>
      <w:r w:rsidR="00B75280" w:rsidRPr="003D290F">
        <w:t xml:space="preserve">workers’ </w:t>
      </w:r>
      <w:r w:rsidR="00150694" w:rsidRPr="003D290F">
        <w:t xml:space="preserve">future employment prospects, </w:t>
      </w:r>
      <w:r w:rsidR="00C77F81" w:rsidRPr="003D290F">
        <w:t xml:space="preserve">which means </w:t>
      </w:r>
      <w:r w:rsidR="00150694" w:rsidRPr="003D290F">
        <w:t>they w</w:t>
      </w:r>
      <w:r w:rsidR="00C77F81" w:rsidRPr="003D290F">
        <w:t xml:space="preserve">ill </w:t>
      </w:r>
      <w:r w:rsidR="00150694" w:rsidRPr="003D290F">
        <w:t>be more likely to remain with the closing facility until their job is no longer needed</w:t>
      </w:r>
      <w:r w:rsidR="00C77F81" w:rsidRPr="003D290F">
        <w:t>.</w:t>
      </w:r>
    </w:p>
    <w:p w14:paraId="110B500A" w14:textId="77777777" w:rsidR="00957611" w:rsidRPr="003D290F" w:rsidRDefault="00BB36B9" w:rsidP="00B66BE0">
      <w:pPr>
        <w:pStyle w:val="Heading3"/>
      </w:pPr>
      <w:bookmarkStart w:id="116" w:name="_Toc155604608"/>
      <w:bookmarkStart w:id="117" w:name="_Toc161395961"/>
      <w:bookmarkStart w:id="118" w:name="_Toc161403497"/>
      <w:bookmarkStart w:id="119" w:name="_Toc161694776"/>
      <w:bookmarkStart w:id="120" w:name="_Toc161752231"/>
      <w:bookmarkStart w:id="121" w:name="_Toc161759668"/>
      <w:r w:rsidRPr="003D290F">
        <w:lastRenderedPageBreak/>
        <w:t xml:space="preserve">2.1.5 </w:t>
      </w:r>
      <w:r w:rsidR="00957611" w:rsidRPr="003D290F">
        <w:t>Maintaining a skilled workforce in key regions</w:t>
      </w:r>
      <w:bookmarkEnd w:id="116"/>
      <w:bookmarkEnd w:id="117"/>
      <w:bookmarkEnd w:id="118"/>
      <w:bookmarkEnd w:id="119"/>
      <w:bookmarkEnd w:id="120"/>
      <w:bookmarkEnd w:id="121"/>
    </w:p>
    <w:p w14:paraId="7A0A4F78" w14:textId="77777777" w:rsidR="00822E84" w:rsidRPr="003D290F" w:rsidRDefault="00FC794E" w:rsidP="00B66BE0">
      <w:r w:rsidRPr="003D290F">
        <w:t xml:space="preserve">Studies including the JSA Clean Energy Capacity Study </w:t>
      </w:r>
      <w:r w:rsidR="006165C5" w:rsidRPr="003D290F">
        <w:t xml:space="preserve">indicate regions that currently host coal-fired power stations and associated </w:t>
      </w:r>
      <w:r w:rsidR="004309AA" w:rsidRPr="003D290F">
        <w:t xml:space="preserve">coal </w:t>
      </w:r>
      <w:r w:rsidR="006165C5" w:rsidRPr="003D290F">
        <w:t xml:space="preserve">mines will be key areas for hosting new facilities and infrastructure in </w:t>
      </w:r>
      <w:r w:rsidR="00822E84" w:rsidRPr="003D290F">
        <w:t xml:space="preserve">emerging </w:t>
      </w:r>
      <w:r w:rsidR="006165C5" w:rsidRPr="003D290F">
        <w:t>industries</w:t>
      </w:r>
      <w:r w:rsidR="00822E84" w:rsidRPr="003D290F">
        <w:t xml:space="preserve"> such as clean energy, low-carbon advanced manufacturing, and mining and processing of critical minerals.</w:t>
      </w:r>
    </w:p>
    <w:p w14:paraId="7897A580" w14:textId="77777777" w:rsidR="0062540E" w:rsidRPr="003D290F" w:rsidRDefault="00822E84" w:rsidP="001E79E2">
      <w:r w:rsidRPr="003D290F">
        <w:t>As coal</w:t>
      </w:r>
      <w:r w:rsidR="00F85640">
        <w:t>-</w:t>
      </w:r>
      <w:r w:rsidRPr="003D290F">
        <w:t>fired power stations close, t</w:t>
      </w:r>
      <w:r w:rsidR="006B07E1" w:rsidRPr="003D290F">
        <w:t xml:space="preserve">here is a </w:t>
      </w:r>
      <w:r w:rsidRPr="003D290F">
        <w:t xml:space="preserve">clear </w:t>
      </w:r>
      <w:r w:rsidR="006B07E1" w:rsidRPr="003D290F">
        <w:t xml:space="preserve">need to keep skilled workers in </w:t>
      </w:r>
      <w:r w:rsidRPr="003D290F">
        <w:t xml:space="preserve">these </w:t>
      </w:r>
      <w:r w:rsidR="006B07E1" w:rsidRPr="003D290F">
        <w:t xml:space="preserve">regions engaged in the workforce, </w:t>
      </w:r>
      <w:r w:rsidRPr="003D290F">
        <w:t>with adequate job-to-job transfer prospects wherever possible</w:t>
      </w:r>
      <w:r w:rsidR="005E249D">
        <w:t>. This will help</w:t>
      </w:r>
      <w:r w:rsidR="006B07E1" w:rsidRPr="003D290F">
        <w:t xml:space="preserve"> </w:t>
      </w:r>
      <w:r w:rsidRPr="003D290F">
        <w:t xml:space="preserve">ensure these regions are able to </w:t>
      </w:r>
      <w:r w:rsidR="000136DA">
        <w:t>attract investment, avoid labour bottlenecks</w:t>
      </w:r>
      <w:r w:rsidR="005E249D">
        <w:t>,</w:t>
      </w:r>
      <w:r w:rsidR="000136DA">
        <w:t xml:space="preserve"> and </w:t>
      </w:r>
      <w:r w:rsidRPr="003D290F">
        <w:t xml:space="preserve">maximise </w:t>
      </w:r>
      <w:r w:rsidRPr="003D290F" w:rsidDel="005E249D">
        <w:t>new industrial opportunities</w:t>
      </w:r>
      <w:r w:rsidR="005E249D">
        <w:t xml:space="preserve"> </w:t>
      </w:r>
      <w:r w:rsidR="00BD203B" w:rsidRPr="003D290F">
        <w:t>as they emerge</w:t>
      </w:r>
      <w:r w:rsidRPr="003D290F">
        <w:t>.</w:t>
      </w:r>
    </w:p>
    <w:p w14:paraId="6CB529E4" w14:textId="77777777" w:rsidR="004C736A" w:rsidRPr="003D290F" w:rsidRDefault="00BB36B9" w:rsidP="00B66BE0">
      <w:pPr>
        <w:pStyle w:val="Heading2"/>
      </w:pPr>
      <w:bookmarkStart w:id="122" w:name="_Toc161395962"/>
      <w:bookmarkStart w:id="123" w:name="_Toc161403498"/>
      <w:bookmarkStart w:id="124" w:name="_Toc161752232"/>
      <w:bookmarkStart w:id="125" w:name="_Toc161759669"/>
      <w:r w:rsidRPr="003D290F">
        <w:t xml:space="preserve">2.2 </w:t>
      </w:r>
      <w:r w:rsidR="004C736A" w:rsidRPr="003D290F">
        <w:t>Objectives</w:t>
      </w:r>
      <w:r w:rsidR="001541AC" w:rsidRPr="003D290F">
        <w:t xml:space="preserve"> of policy responses to </w:t>
      </w:r>
      <w:r w:rsidR="00957611" w:rsidRPr="003D290F">
        <w:t xml:space="preserve">support workers in closing </w:t>
      </w:r>
      <w:r w:rsidR="001541AC" w:rsidRPr="003D290F">
        <w:t>facilit</w:t>
      </w:r>
      <w:r w:rsidR="00957611" w:rsidRPr="003D290F">
        <w:t>ies</w:t>
      </w:r>
      <w:bookmarkEnd w:id="122"/>
      <w:bookmarkEnd w:id="123"/>
      <w:bookmarkEnd w:id="124"/>
      <w:bookmarkEnd w:id="125"/>
      <w:r w:rsidR="001541AC" w:rsidRPr="003D290F">
        <w:t xml:space="preserve"> </w:t>
      </w:r>
    </w:p>
    <w:p w14:paraId="7D14FC8C" w14:textId="77777777" w:rsidR="00EB3847" w:rsidRPr="003D290F" w:rsidRDefault="00EB3847">
      <w:r w:rsidRPr="003D290F">
        <w:t>A key part of the Agency’s role in promoting orderly and positive economic transformation across Australia as the world decarbonises is to</w:t>
      </w:r>
      <w:r w:rsidR="00A94874" w:rsidRPr="003D290F">
        <w:t xml:space="preserve"> support </w:t>
      </w:r>
      <w:r w:rsidRPr="003D290F">
        <w:t>workers in emissions-intensive facilities access new employment, skills and opportunities.</w:t>
      </w:r>
    </w:p>
    <w:p w14:paraId="29297648" w14:textId="77777777" w:rsidR="0052616A" w:rsidRPr="003D290F" w:rsidRDefault="00EB3847" w:rsidP="005F64FF">
      <w:r w:rsidRPr="003D290F">
        <w:t xml:space="preserve">These supports will be most </w:t>
      </w:r>
      <w:r w:rsidR="0052616A" w:rsidRPr="003D290F">
        <w:t xml:space="preserve">immediately </w:t>
      </w:r>
      <w:r w:rsidRPr="003D290F">
        <w:t xml:space="preserve">required </w:t>
      </w:r>
      <w:r w:rsidR="0052616A" w:rsidRPr="003D290F">
        <w:t xml:space="preserve">for workers at closing coal-fired power stations, </w:t>
      </w:r>
      <w:r w:rsidR="00E948CF">
        <w:t xml:space="preserve">a small number of closing </w:t>
      </w:r>
      <w:r w:rsidR="00F85640">
        <w:t>gas-fired power stations</w:t>
      </w:r>
      <w:r w:rsidR="00E948CF">
        <w:t xml:space="preserve">, </w:t>
      </w:r>
      <w:r w:rsidR="0052616A" w:rsidRPr="003D290F">
        <w:t xml:space="preserve">and dependent </w:t>
      </w:r>
      <w:r w:rsidR="000D2063">
        <w:t>employers</w:t>
      </w:r>
      <w:r w:rsidR="000D2063" w:rsidRPr="003D290F">
        <w:t xml:space="preserve"> </w:t>
      </w:r>
      <w:r w:rsidR="0052616A" w:rsidRPr="003D290F">
        <w:t xml:space="preserve">such as coal mines that </w:t>
      </w:r>
      <w:r w:rsidR="00151B6F">
        <w:t xml:space="preserve">exclusively </w:t>
      </w:r>
      <w:r w:rsidR="0052616A" w:rsidRPr="003D290F">
        <w:t xml:space="preserve">supply </w:t>
      </w:r>
      <w:r w:rsidR="00E948CF">
        <w:t>local coal-fired</w:t>
      </w:r>
      <w:r w:rsidR="00E948CF" w:rsidRPr="003D290F">
        <w:t xml:space="preserve"> </w:t>
      </w:r>
      <w:r w:rsidR="0052616A" w:rsidRPr="003D290F">
        <w:t>power stations.</w:t>
      </w:r>
      <w:r w:rsidR="00347786" w:rsidRPr="003D290F">
        <w:t xml:space="preserve"> </w:t>
      </w:r>
      <w:r w:rsidR="0052616A" w:rsidRPr="003D290F">
        <w:t xml:space="preserve">At a high level, </w:t>
      </w:r>
      <w:r w:rsidR="00AF7E6C" w:rsidRPr="003D290F">
        <w:t xml:space="preserve">the </w:t>
      </w:r>
      <w:r w:rsidR="0052616A" w:rsidRPr="003D290F">
        <w:t>objectives</w:t>
      </w:r>
      <w:r w:rsidR="00B75280" w:rsidRPr="003D290F">
        <w:t xml:space="preserve"> </w:t>
      </w:r>
      <w:r w:rsidR="0052616A" w:rsidRPr="003D290F">
        <w:t xml:space="preserve">of policy responses to support workers </w:t>
      </w:r>
      <w:r w:rsidR="004309AA" w:rsidRPr="003D290F">
        <w:t>at closing facilities</w:t>
      </w:r>
      <w:r w:rsidR="0052616A" w:rsidRPr="003D290F">
        <w:t xml:space="preserve"> </w:t>
      </w:r>
      <w:r w:rsidR="00A41A62">
        <w:t>are</w:t>
      </w:r>
      <w:r w:rsidR="0052616A" w:rsidRPr="003D290F">
        <w:t>:</w:t>
      </w:r>
    </w:p>
    <w:p w14:paraId="36AB5F87" w14:textId="77777777" w:rsidR="004C1BF1" w:rsidRPr="003D290F" w:rsidRDefault="004C1BF1" w:rsidP="00B82A86">
      <w:pPr>
        <w:pStyle w:val="BulletedList-Level1"/>
        <w:numPr>
          <w:ilvl w:val="0"/>
          <w:numId w:val="10"/>
        </w:numPr>
        <w:spacing w:line="276" w:lineRule="auto"/>
      </w:pPr>
      <w:r w:rsidRPr="003D290F">
        <w:t xml:space="preserve">minimising </w:t>
      </w:r>
      <w:r w:rsidR="002A43A3" w:rsidRPr="003D290F">
        <w:t>involuntary unemployment</w:t>
      </w:r>
      <w:r w:rsidRPr="003D290F">
        <w:t xml:space="preserve"> when facilities close</w:t>
      </w:r>
    </w:p>
    <w:p w14:paraId="677CA0CC" w14:textId="77777777" w:rsidR="0052616A" w:rsidRPr="003D290F" w:rsidRDefault="00686204" w:rsidP="00B82A86">
      <w:pPr>
        <w:pStyle w:val="BulletedList-Level1"/>
        <w:numPr>
          <w:ilvl w:val="0"/>
          <w:numId w:val="10"/>
        </w:numPr>
        <w:spacing w:line="276" w:lineRule="auto"/>
      </w:pPr>
      <w:r w:rsidRPr="003D290F">
        <w:t>maximis</w:t>
      </w:r>
      <w:r w:rsidR="00AF7E6C" w:rsidRPr="003D290F">
        <w:t>ing</w:t>
      </w:r>
      <w:r w:rsidRPr="003D290F">
        <w:t xml:space="preserve"> opportunities </w:t>
      </w:r>
      <w:r w:rsidR="0052616A" w:rsidRPr="003D290F">
        <w:t xml:space="preserve">to transition into </w:t>
      </w:r>
      <w:r w:rsidRPr="003D290F">
        <w:t>similar employment</w:t>
      </w:r>
    </w:p>
    <w:p w14:paraId="33319B62" w14:textId="77777777" w:rsidR="0052616A" w:rsidRPr="003D290F" w:rsidRDefault="00686204" w:rsidP="00B82A86">
      <w:pPr>
        <w:pStyle w:val="BulletedList-Level1"/>
        <w:numPr>
          <w:ilvl w:val="0"/>
          <w:numId w:val="10"/>
        </w:numPr>
        <w:spacing w:line="276" w:lineRule="auto"/>
      </w:pPr>
      <w:r w:rsidRPr="003D290F">
        <w:t>provid</w:t>
      </w:r>
      <w:r w:rsidR="00AF7E6C" w:rsidRPr="003D290F">
        <w:t>ing</w:t>
      </w:r>
      <w:r w:rsidRPr="003D290F">
        <w:t xml:space="preserve"> appropriate supports</w:t>
      </w:r>
      <w:r w:rsidR="00347786" w:rsidRPr="003D290F">
        <w:t>, training</w:t>
      </w:r>
      <w:r w:rsidRPr="003D290F">
        <w:t xml:space="preserve"> and skills to impacted employees, and </w:t>
      </w:r>
    </w:p>
    <w:p w14:paraId="1122E050" w14:textId="77777777" w:rsidR="00686204" w:rsidRPr="003D290F" w:rsidRDefault="00151B6F" w:rsidP="00B82A86">
      <w:pPr>
        <w:pStyle w:val="BulletedList-Level1"/>
        <w:numPr>
          <w:ilvl w:val="0"/>
          <w:numId w:val="10"/>
        </w:numPr>
        <w:spacing w:line="276" w:lineRule="auto"/>
      </w:pPr>
      <w:r>
        <w:t>using</w:t>
      </w:r>
      <w:r w:rsidR="00686204" w:rsidRPr="003D290F">
        <w:t xml:space="preserve"> to the best extent the skills and experience of employees.</w:t>
      </w:r>
    </w:p>
    <w:p w14:paraId="02040B26" w14:textId="77777777" w:rsidR="00097053" w:rsidRPr="003D290F" w:rsidRDefault="00AF7E6C" w:rsidP="00874E82">
      <w:pPr>
        <w:spacing w:before="240"/>
      </w:pPr>
      <w:r w:rsidRPr="003D290F">
        <w:t>Successfully implementing policy responses to support workers will help m</w:t>
      </w:r>
      <w:r w:rsidR="00097053" w:rsidRPr="003D290F">
        <w:t>inimise the potential negative economic and social impacts of facility closures</w:t>
      </w:r>
      <w:r w:rsidR="00AF57E1" w:rsidRPr="003D290F">
        <w:t>. W</w:t>
      </w:r>
      <w:r w:rsidR="00097053" w:rsidRPr="003D290F">
        <w:t>here these facilities represent major local</w:t>
      </w:r>
      <w:r w:rsidRPr="003D290F">
        <w:t xml:space="preserve"> or </w:t>
      </w:r>
      <w:r w:rsidR="00097053" w:rsidRPr="003D290F">
        <w:t>regional employers</w:t>
      </w:r>
      <w:r w:rsidR="00AF57E1" w:rsidRPr="003D290F">
        <w:t>, it is particularly important to implement policy responses that mitigate local unemployment impacts in the immediate period following a closure.</w:t>
      </w:r>
      <w:r w:rsidR="00097053" w:rsidRPr="003D290F">
        <w:t xml:space="preserve"> </w:t>
      </w:r>
    </w:p>
    <w:p w14:paraId="702C591D" w14:textId="77777777" w:rsidR="00AF7E6C" w:rsidRPr="003D290F" w:rsidRDefault="00AF7E6C" w:rsidP="00B66BE0">
      <w:r w:rsidRPr="003D290F">
        <w:t xml:space="preserve">Support measures should ideally be targeted </w:t>
      </w:r>
      <w:r w:rsidR="00AF57E1" w:rsidRPr="003D290F">
        <w:t xml:space="preserve">towards </w:t>
      </w:r>
      <w:r w:rsidRPr="003D290F">
        <w:t>w</w:t>
      </w:r>
      <w:r w:rsidR="00CD53F7" w:rsidRPr="003D290F">
        <w:t xml:space="preserve">orkers </w:t>
      </w:r>
      <w:r w:rsidRPr="003D290F">
        <w:t xml:space="preserve">who are </w:t>
      </w:r>
      <w:r w:rsidR="00B67EDD" w:rsidRPr="003D290F">
        <w:t>most at-risk</w:t>
      </w:r>
      <w:r w:rsidRPr="003D290F">
        <w:t xml:space="preserve"> of poor long-term employment outcomes,</w:t>
      </w:r>
      <w:r w:rsidR="00FE663F" w:rsidRPr="003D290F">
        <w:t xml:space="preserve"> </w:t>
      </w:r>
      <w:r w:rsidRPr="003D290F">
        <w:t>by giving them</w:t>
      </w:r>
      <w:r w:rsidR="00B67EDD" w:rsidRPr="003D290F">
        <w:t xml:space="preserve"> </w:t>
      </w:r>
      <w:r w:rsidR="00CD53F7" w:rsidRPr="003D290F">
        <w:t>a clear pathway to plan for, and access</w:t>
      </w:r>
      <w:r w:rsidR="00B67EDD" w:rsidRPr="003D290F">
        <w:t>, alternat</w:t>
      </w:r>
      <w:r w:rsidR="00863779" w:rsidRPr="003D290F">
        <w:t>iv</w:t>
      </w:r>
      <w:r w:rsidR="00B67EDD" w:rsidRPr="003D290F">
        <w:t>e employment</w:t>
      </w:r>
      <w:r w:rsidR="00CD53F7" w:rsidRPr="003D290F">
        <w:t>.</w:t>
      </w:r>
    </w:p>
    <w:p w14:paraId="7063A319" w14:textId="77777777" w:rsidR="00AF57E1" w:rsidRPr="003D290F" w:rsidRDefault="00AF57E1" w:rsidP="00B66BE0">
      <w:r w:rsidRPr="003D290F">
        <w:t xml:space="preserve">It is also important that </w:t>
      </w:r>
      <w:r w:rsidR="006C4525" w:rsidRPr="003D290F">
        <w:t>closing facility</w:t>
      </w:r>
      <w:r w:rsidR="00097053" w:rsidRPr="003D290F">
        <w:t xml:space="preserve"> owners </w:t>
      </w:r>
      <w:r w:rsidR="00863779" w:rsidRPr="003D290F">
        <w:t xml:space="preserve">continue to </w:t>
      </w:r>
      <w:r w:rsidR="00097053" w:rsidRPr="003D290F">
        <w:t xml:space="preserve">contribute to support mechanisms for their workers when facilities close, </w:t>
      </w:r>
      <w:r w:rsidRPr="003D290F">
        <w:t xml:space="preserve">and that the design and delivery of government policy responses does not detract from the responsibilities employers have towards their workers.  </w:t>
      </w:r>
    </w:p>
    <w:p w14:paraId="3974E6B3" w14:textId="77777777" w:rsidR="00B279A6" w:rsidRPr="003D290F" w:rsidRDefault="004D5FAE" w:rsidP="00B66BE0">
      <w:r w:rsidRPr="003D290F">
        <w:t>D</w:t>
      </w:r>
      <w:r w:rsidR="00AF57E1" w:rsidRPr="003D290F">
        <w:t>elivering transition supports</w:t>
      </w:r>
      <w:r w:rsidR="00A85940" w:rsidRPr="003D290F">
        <w:t xml:space="preserve"> to workers </w:t>
      </w:r>
      <w:r w:rsidR="00151B6F">
        <w:t xml:space="preserve">also </w:t>
      </w:r>
      <w:r w:rsidRPr="003D290F">
        <w:t>needs</w:t>
      </w:r>
      <w:r w:rsidR="00A85940" w:rsidRPr="003D290F">
        <w:t xml:space="preserve"> to be accompanied by broader </w:t>
      </w:r>
      <w:r w:rsidR="00AF57E1" w:rsidRPr="003D290F">
        <w:t xml:space="preserve">support for investment in new industries, </w:t>
      </w:r>
      <w:r w:rsidR="00A85940" w:rsidRPr="003D290F">
        <w:t>in order to</w:t>
      </w:r>
      <w:r w:rsidR="00AF57E1" w:rsidRPr="003D290F">
        <w:t xml:space="preserve"> b</w:t>
      </w:r>
      <w:r w:rsidR="00B279A6" w:rsidRPr="003D290F">
        <w:t xml:space="preserve">uild upon existing regional </w:t>
      </w:r>
      <w:r w:rsidR="00A85940" w:rsidRPr="003D290F">
        <w:t xml:space="preserve">capacity to </w:t>
      </w:r>
      <w:r w:rsidR="00B279A6" w:rsidRPr="003D290F">
        <w:t>diversify</w:t>
      </w:r>
      <w:r w:rsidR="00A85940" w:rsidRPr="003D290F">
        <w:t xml:space="preserve"> and strengthen</w:t>
      </w:r>
      <w:r w:rsidR="00B279A6" w:rsidRPr="003D290F">
        <w:t xml:space="preserve"> regional </w:t>
      </w:r>
      <w:r w:rsidR="00A85940" w:rsidRPr="003D290F">
        <w:t>economic outcomes</w:t>
      </w:r>
      <w:r w:rsidR="00B279A6" w:rsidRPr="003D290F">
        <w:t>.</w:t>
      </w:r>
    </w:p>
    <w:p w14:paraId="54C33B2A" w14:textId="77777777" w:rsidR="00E3400A" w:rsidRPr="003D290F" w:rsidRDefault="00A85940" w:rsidP="00B66BE0">
      <w:r w:rsidRPr="003D290F">
        <w:lastRenderedPageBreak/>
        <w:t>Delivery of worker transition polic</w:t>
      </w:r>
      <w:r w:rsidR="003E2805" w:rsidRPr="003D290F">
        <w:t>ies</w:t>
      </w:r>
      <w:r w:rsidRPr="003D290F">
        <w:t xml:space="preserve"> </w:t>
      </w:r>
      <w:r w:rsidR="00204A03" w:rsidRPr="003D290F">
        <w:t xml:space="preserve">can </w:t>
      </w:r>
      <w:r w:rsidRPr="003D290F">
        <w:t xml:space="preserve">be </w:t>
      </w:r>
      <w:r w:rsidR="003E2805" w:rsidRPr="003D290F">
        <w:t>supported</w:t>
      </w:r>
      <w:r w:rsidRPr="003D290F">
        <w:t xml:space="preserve"> by </w:t>
      </w:r>
      <w:r w:rsidR="002C7F34" w:rsidRPr="003D290F">
        <w:t xml:space="preserve">data collection and information gathering to </w:t>
      </w:r>
      <w:r w:rsidRPr="003D290F">
        <w:t>understand</w:t>
      </w:r>
      <w:r w:rsidR="00E3400A" w:rsidRPr="003D290F">
        <w:t xml:space="preserve"> the longitudinal impacts of power station closures on </w:t>
      </w:r>
      <w:r w:rsidR="004D5FAE" w:rsidRPr="003D290F">
        <w:t>affected businesses, workers and communities</w:t>
      </w:r>
      <w:r w:rsidR="00B67EDD" w:rsidRPr="003D290F">
        <w:t>.</w:t>
      </w:r>
      <w:r w:rsidR="00287795" w:rsidRPr="003D290F">
        <w:t xml:space="preserve"> Tracking </w:t>
      </w:r>
      <w:r w:rsidR="00B67EDD" w:rsidRPr="003D290F">
        <w:t xml:space="preserve">the </w:t>
      </w:r>
      <w:r w:rsidR="00E3400A" w:rsidRPr="003D290F">
        <w:t>labour market destinations of displaced workers, both for those who remain in the region and those who leave</w:t>
      </w:r>
      <w:r w:rsidR="00B67EDD" w:rsidRPr="003D290F">
        <w:t xml:space="preserve"> after the closure of a power station</w:t>
      </w:r>
      <w:r w:rsidR="00287795" w:rsidRPr="003D290F">
        <w:t xml:space="preserve">, </w:t>
      </w:r>
      <w:r w:rsidR="00FB0BAA" w:rsidRPr="003D290F">
        <w:t>may</w:t>
      </w:r>
      <w:r w:rsidR="00287795" w:rsidRPr="003D290F">
        <w:t xml:space="preserve"> also help</w:t>
      </w:r>
      <w:r w:rsidR="00287795" w:rsidRPr="003D290F" w:rsidDel="00151B6F">
        <w:t xml:space="preserve"> </w:t>
      </w:r>
      <w:r w:rsidR="00287795" w:rsidRPr="003D290F">
        <w:t>to refine policy responses over time</w:t>
      </w:r>
      <w:r w:rsidR="00E3400A" w:rsidRPr="003D290F">
        <w:t>.</w:t>
      </w:r>
    </w:p>
    <w:p w14:paraId="60C1A7CD" w14:textId="77777777" w:rsidR="00ED7D62" w:rsidRPr="003D290F" w:rsidRDefault="00BB36B9" w:rsidP="00B66BE0">
      <w:pPr>
        <w:pStyle w:val="Heading3"/>
      </w:pPr>
      <w:bookmarkStart w:id="126" w:name="_Toc155604611"/>
      <w:bookmarkStart w:id="127" w:name="_Toc161395963"/>
      <w:bookmarkStart w:id="128" w:name="_Toc161403499"/>
      <w:bookmarkStart w:id="129" w:name="_Toc161694778"/>
      <w:bookmarkStart w:id="130" w:name="_Toc161752233"/>
      <w:bookmarkStart w:id="131" w:name="_Toc161759670"/>
      <w:r w:rsidRPr="003D290F">
        <w:t xml:space="preserve">2.2.1 </w:t>
      </w:r>
      <w:r w:rsidR="006C4525" w:rsidRPr="003D290F">
        <w:t>Potential b</w:t>
      </w:r>
      <w:r w:rsidR="00707892" w:rsidRPr="003D290F">
        <w:t>arriers to achieving desired objectives</w:t>
      </w:r>
      <w:bookmarkEnd w:id="126"/>
      <w:bookmarkEnd w:id="127"/>
      <w:bookmarkEnd w:id="128"/>
      <w:bookmarkEnd w:id="129"/>
      <w:bookmarkEnd w:id="130"/>
      <w:bookmarkEnd w:id="131"/>
    </w:p>
    <w:p w14:paraId="004F52BF" w14:textId="77777777" w:rsidR="00C572A6" w:rsidRPr="003D290F" w:rsidRDefault="00C572A6" w:rsidP="00787D53">
      <w:pPr>
        <w:rPr>
          <w:rFonts w:eastAsiaTheme="majorEastAsia"/>
        </w:rPr>
      </w:pPr>
      <w:r w:rsidRPr="003D290F">
        <w:rPr>
          <w:rFonts w:eastAsiaTheme="majorEastAsia"/>
        </w:rPr>
        <w:t xml:space="preserve">The shift to net zero presents economic opportunities for Australia, but also carries risk for some workers, businesses and communities, as existing emissions-intensive industries transform or phase out. An orderly transition is dependent on factors including: </w:t>
      </w:r>
    </w:p>
    <w:p w14:paraId="7E2612BE" w14:textId="77777777" w:rsidR="004D5FAE" w:rsidRPr="003D290F" w:rsidRDefault="00105015" w:rsidP="003A7A66">
      <w:pPr>
        <w:pStyle w:val="ListParagraph"/>
        <w:numPr>
          <w:ilvl w:val="0"/>
          <w:numId w:val="11"/>
        </w:numPr>
        <w:spacing w:line="276" w:lineRule="auto"/>
        <w:ind w:left="641" w:hanging="357"/>
        <w:rPr>
          <w:rFonts w:eastAsiaTheme="majorEastAsia"/>
        </w:rPr>
      </w:pPr>
      <w:r w:rsidRPr="003D290F">
        <w:rPr>
          <w:rFonts w:eastAsiaTheme="majorEastAsia"/>
        </w:rPr>
        <w:t>investment</w:t>
      </w:r>
      <w:r w:rsidR="004D5FAE" w:rsidRPr="003D290F">
        <w:rPr>
          <w:rFonts w:eastAsiaTheme="majorEastAsia"/>
        </w:rPr>
        <w:t xml:space="preserve"> in new industries to create jobs in a region</w:t>
      </w:r>
    </w:p>
    <w:p w14:paraId="15AA0D6C" w14:textId="77777777" w:rsidR="00BD0B2C" w:rsidRPr="003D290F" w:rsidRDefault="00BD0B2C" w:rsidP="003A7A66">
      <w:pPr>
        <w:pStyle w:val="ListParagraph"/>
        <w:numPr>
          <w:ilvl w:val="0"/>
          <w:numId w:val="11"/>
        </w:numPr>
        <w:spacing w:line="276" w:lineRule="auto"/>
        <w:ind w:left="641" w:hanging="357"/>
        <w:rPr>
          <w:rFonts w:eastAsiaTheme="majorEastAsia"/>
        </w:rPr>
      </w:pPr>
      <w:r w:rsidRPr="003D290F">
        <w:rPr>
          <w:rFonts w:eastAsiaTheme="majorEastAsia"/>
        </w:rPr>
        <w:t>utilising long lead-times to upskill and retrain the workforce</w:t>
      </w:r>
    </w:p>
    <w:p w14:paraId="37D1969E" w14:textId="77777777" w:rsidR="00BD0B2C" w:rsidRPr="003D290F" w:rsidRDefault="00BD0B2C" w:rsidP="003A7A66">
      <w:pPr>
        <w:pStyle w:val="ListParagraph"/>
        <w:numPr>
          <w:ilvl w:val="0"/>
          <w:numId w:val="11"/>
        </w:numPr>
        <w:spacing w:line="276" w:lineRule="auto"/>
        <w:ind w:left="641" w:hanging="357"/>
        <w:rPr>
          <w:rFonts w:eastAsiaTheme="majorEastAsia"/>
        </w:rPr>
      </w:pPr>
      <w:r w:rsidRPr="003D290F">
        <w:rPr>
          <w:rFonts w:eastAsiaTheme="majorEastAsia"/>
        </w:rPr>
        <w:t>meeting local needs through community partnerships</w:t>
      </w:r>
      <w:r w:rsidR="0048710D">
        <w:rPr>
          <w:rFonts w:eastAsiaTheme="majorEastAsia"/>
        </w:rPr>
        <w:t>, and</w:t>
      </w:r>
    </w:p>
    <w:p w14:paraId="7E8BEF94" w14:textId="77777777" w:rsidR="00C572A6" w:rsidRPr="003D290F" w:rsidRDefault="00C54FCE" w:rsidP="003A7A66">
      <w:pPr>
        <w:pStyle w:val="ListParagraph"/>
        <w:numPr>
          <w:ilvl w:val="0"/>
          <w:numId w:val="11"/>
        </w:numPr>
        <w:spacing w:line="276" w:lineRule="auto"/>
        <w:ind w:left="641" w:hanging="357"/>
        <w:rPr>
          <w:rFonts w:eastAsiaTheme="majorEastAsia"/>
        </w:rPr>
      </w:pPr>
      <w:r w:rsidRPr="003D290F">
        <w:rPr>
          <w:rFonts w:eastAsiaTheme="majorEastAsia"/>
        </w:rPr>
        <w:t>communicati</w:t>
      </w:r>
      <w:r w:rsidR="00BD0B2C" w:rsidRPr="003D290F">
        <w:rPr>
          <w:rFonts w:eastAsiaTheme="majorEastAsia"/>
        </w:rPr>
        <w:t>ng</w:t>
      </w:r>
      <w:r w:rsidRPr="003D290F">
        <w:rPr>
          <w:rFonts w:eastAsiaTheme="majorEastAsia"/>
        </w:rPr>
        <w:t xml:space="preserve"> about future workforce needs and </w:t>
      </w:r>
      <w:r w:rsidR="00BD0B2C" w:rsidRPr="003D290F">
        <w:rPr>
          <w:rFonts w:eastAsiaTheme="majorEastAsia"/>
        </w:rPr>
        <w:t>opportunities</w:t>
      </w:r>
      <w:r w:rsidR="007E6A4D">
        <w:rPr>
          <w:rFonts w:eastAsiaTheme="majorEastAsia"/>
        </w:rPr>
        <w:t xml:space="preserve"> to support employers and workers</w:t>
      </w:r>
      <w:r w:rsidRPr="003D290F">
        <w:rPr>
          <w:rFonts w:eastAsiaTheme="majorEastAsia"/>
        </w:rPr>
        <w:t>.</w:t>
      </w:r>
    </w:p>
    <w:p w14:paraId="59730C35" w14:textId="77777777" w:rsidR="00214BF1" w:rsidRPr="003D290F" w:rsidRDefault="00C572A6" w:rsidP="00FA40A4">
      <w:r w:rsidRPr="003D290F">
        <w:rPr>
          <w:rFonts w:eastAsiaTheme="majorEastAsia"/>
        </w:rPr>
        <w:t>Recognising the need for a more coherent and coordinated approach, the Agency will work to ensure those affected can seize the opportunities of Australia’s net zero transformation.</w:t>
      </w:r>
      <w:r w:rsidR="009A44E2" w:rsidRPr="003D290F">
        <w:t xml:space="preserve"> </w:t>
      </w:r>
    </w:p>
    <w:p w14:paraId="2DA82871" w14:textId="77777777" w:rsidR="0056129D" w:rsidRPr="003D290F" w:rsidRDefault="0056129D">
      <w:pPr>
        <w:rPr>
          <w:rFonts w:eastAsiaTheme="majorEastAsia" w:cstheme="majorBidi"/>
          <w:color w:val="1B375C" w:themeColor="accent1"/>
          <w:sz w:val="48"/>
          <w:szCs w:val="40"/>
        </w:rPr>
      </w:pPr>
      <w:bookmarkStart w:id="132" w:name="_Toc96326924"/>
      <w:bookmarkEnd w:id="83"/>
      <w:r w:rsidRPr="003D290F">
        <w:br w:type="page"/>
      </w:r>
    </w:p>
    <w:p w14:paraId="27245311" w14:textId="77777777" w:rsidR="00E15932" w:rsidRDefault="009F7F14" w:rsidP="00724418">
      <w:pPr>
        <w:pStyle w:val="Heading1"/>
      </w:pPr>
      <w:bookmarkStart w:id="133" w:name="_Toc161395964"/>
      <w:bookmarkStart w:id="134" w:name="_Toc161403500"/>
      <w:bookmarkStart w:id="135" w:name="_Toc161752234"/>
      <w:bookmarkStart w:id="136" w:name="_Toc161759671"/>
      <w:r w:rsidRPr="003D290F">
        <w:lastRenderedPageBreak/>
        <w:t>3</w:t>
      </w:r>
      <w:r w:rsidR="004C77C5" w:rsidRPr="003D290F">
        <w:tab/>
      </w:r>
      <w:r w:rsidR="00874E82" w:rsidRPr="003D290F">
        <w:t xml:space="preserve"> </w:t>
      </w:r>
      <w:r w:rsidR="00850154" w:rsidRPr="003D290F">
        <w:t>P</w:t>
      </w:r>
      <w:r w:rsidR="004C77C5" w:rsidRPr="003D290F">
        <w:t>olicy options for consideration</w:t>
      </w:r>
      <w:bookmarkEnd w:id="133"/>
      <w:bookmarkEnd w:id="134"/>
      <w:bookmarkEnd w:id="135"/>
      <w:bookmarkEnd w:id="136"/>
    </w:p>
    <w:p w14:paraId="379368C0" w14:textId="77777777" w:rsidR="00AC24A0" w:rsidRPr="003D290F" w:rsidRDefault="006F590E" w:rsidP="000409FE">
      <w:pPr>
        <w:spacing w:line="276" w:lineRule="auto"/>
      </w:pPr>
      <w:r>
        <w:t xml:space="preserve">This chapter provides an </w:t>
      </w:r>
      <w:r w:rsidR="00AC24A0" w:rsidRPr="003D290F">
        <w:t>overview of potential policy responses to support workers at closing coal-fired power stations</w:t>
      </w:r>
      <w:r w:rsidR="007A313C">
        <w:t>, gas-fired power stations</w:t>
      </w:r>
      <w:r w:rsidR="00AC24A0" w:rsidRPr="003D290F">
        <w:t xml:space="preserve"> and dependent </w:t>
      </w:r>
      <w:r w:rsidR="000D2063">
        <w:t>employers</w:t>
      </w:r>
      <w:r w:rsidR="00AC24A0" w:rsidRPr="003D290F">
        <w:t>, dr</w:t>
      </w:r>
      <w:r>
        <w:t xml:space="preserve">awing on international examples. It </w:t>
      </w:r>
      <w:r w:rsidR="00AC24A0" w:rsidRPr="003D290F">
        <w:t xml:space="preserve">outlines the policy options considered for the purposes of this analysis. </w:t>
      </w:r>
    </w:p>
    <w:p w14:paraId="2D2662B8" w14:textId="77777777" w:rsidR="00B671B0" w:rsidRPr="003D290F" w:rsidRDefault="009F7F14" w:rsidP="00B66BE0">
      <w:pPr>
        <w:pStyle w:val="Heading2"/>
      </w:pPr>
      <w:bookmarkStart w:id="137" w:name="_Toc161395965"/>
      <w:bookmarkStart w:id="138" w:name="_Toc161403501"/>
      <w:bookmarkStart w:id="139" w:name="_Toc161752235"/>
      <w:bookmarkStart w:id="140" w:name="_Toc161759672"/>
      <w:r w:rsidRPr="003D290F">
        <w:t xml:space="preserve">3.1 </w:t>
      </w:r>
      <w:r w:rsidR="00000F10" w:rsidRPr="003D290F">
        <w:t>Overview of potential policy responses</w:t>
      </w:r>
      <w:bookmarkEnd w:id="137"/>
      <w:bookmarkEnd w:id="138"/>
      <w:bookmarkEnd w:id="139"/>
      <w:bookmarkEnd w:id="140"/>
    </w:p>
    <w:p w14:paraId="34A605EF" w14:textId="77777777" w:rsidR="0078136F" w:rsidRPr="003D290F" w:rsidRDefault="00000F10" w:rsidP="000E78CB">
      <w:pPr>
        <w:spacing w:line="276" w:lineRule="auto"/>
      </w:pPr>
      <w:r w:rsidRPr="003D290F">
        <w:t xml:space="preserve">There has been </w:t>
      </w:r>
      <w:r w:rsidR="00C469BC" w:rsidRPr="003D290F">
        <w:t xml:space="preserve">a </w:t>
      </w:r>
      <w:r w:rsidRPr="003D290F">
        <w:t xml:space="preserve">significant </w:t>
      </w:r>
      <w:r w:rsidR="00C469BC" w:rsidRPr="003D290F">
        <w:t xml:space="preserve">body of research in Australia and internationally </w:t>
      </w:r>
      <w:r w:rsidRPr="003D290F">
        <w:t xml:space="preserve">into </w:t>
      </w:r>
      <w:r w:rsidR="0051588A" w:rsidRPr="003D290F">
        <w:t>‘</w:t>
      </w:r>
      <w:r w:rsidRPr="003D290F">
        <w:t xml:space="preserve">transitional assistance policies’ </w:t>
      </w:r>
      <w:r w:rsidR="008040A5" w:rsidRPr="003D290F">
        <w:t>that</w:t>
      </w:r>
      <w:r w:rsidRPr="003D290F">
        <w:t xml:space="preserve"> </w:t>
      </w:r>
      <w:r w:rsidR="00C469BC" w:rsidRPr="003D290F">
        <w:t xml:space="preserve">aim to </w:t>
      </w:r>
      <w:r w:rsidRPr="003D290F">
        <w:t>limit the impacts of industry phase-out in regional communities</w:t>
      </w:r>
      <w:r w:rsidR="00C469BC" w:rsidRPr="003D290F">
        <w:t xml:space="preserve">. </w:t>
      </w:r>
      <w:r w:rsidRPr="003D290F">
        <w:t xml:space="preserve">The four categories of policy instruments </w:t>
      </w:r>
      <w:r w:rsidR="008A477B" w:rsidRPr="003D290F">
        <w:t xml:space="preserve">shown in </w:t>
      </w:r>
      <w:r w:rsidR="008A477B" w:rsidRPr="00223BA2">
        <w:rPr>
          <w:b/>
          <w:color w:val="1B375C" w:themeColor="accent1"/>
        </w:rPr>
        <w:t xml:space="preserve">Table </w:t>
      </w:r>
      <w:r w:rsidR="0078136F" w:rsidRPr="00223BA2">
        <w:rPr>
          <w:b/>
          <w:color w:val="1B375C" w:themeColor="accent1"/>
        </w:rPr>
        <w:t>3.1</w:t>
      </w:r>
      <w:r w:rsidRPr="003D290F">
        <w:t xml:space="preserve"> were identified in a literature review of </w:t>
      </w:r>
      <w:r w:rsidR="00AC24A0" w:rsidRPr="003D290F">
        <w:t>transitional assistance policies</w:t>
      </w:r>
      <w:r w:rsidRPr="003D290F">
        <w:t xml:space="preserve"> </w:t>
      </w:r>
      <w:r w:rsidR="0051588A" w:rsidRPr="003D290F">
        <w:t xml:space="preserve">undertaken by </w:t>
      </w:r>
      <w:r w:rsidRPr="003D290F">
        <w:t xml:space="preserve">Green and Gambhir </w:t>
      </w:r>
      <w:r w:rsidR="0051588A" w:rsidRPr="003D290F">
        <w:t xml:space="preserve">in </w:t>
      </w:r>
      <w:r w:rsidRPr="003D290F">
        <w:t>2020.</w:t>
      </w:r>
      <w:r w:rsidR="00C469BC" w:rsidRPr="003D290F">
        <w:rPr>
          <w:rStyle w:val="FootnoteReference"/>
        </w:rPr>
        <w:footnoteReference w:id="53"/>
      </w:r>
    </w:p>
    <w:p w14:paraId="57EFDC5E" w14:textId="77777777" w:rsidR="0078136F" w:rsidRPr="003D290F" w:rsidRDefault="0078136F" w:rsidP="0078136F">
      <w:pPr>
        <w:keepNext/>
        <w:spacing w:before="120" w:after="120" w:line="240" w:lineRule="auto"/>
        <w:rPr>
          <w:rFonts w:eastAsia="Times New Roman" w:cs="Segoe UI"/>
          <w:b/>
          <w:sz w:val="24"/>
        </w:rPr>
      </w:pPr>
      <w:r w:rsidRPr="003D290F">
        <w:rPr>
          <w:rFonts w:eastAsia="Times New Roman" w:cs="Segoe UI"/>
          <w:b/>
          <w:sz w:val="24"/>
        </w:rPr>
        <w:t xml:space="preserve"> TABLE 3.1 CATEGORIES OF POLICY INSTRUMENTS</w:t>
      </w:r>
    </w:p>
    <w:tbl>
      <w:tblPr>
        <w:tblStyle w:val="Custom1"/>
        <w:tblW w:w="0" w:type="auto"/>
        <w:tblLook w:val="04A0" w:firstRow="1" w:lastRow="0" w:firstColumn="1" w:lastColumn="0" w:noHBand="0" w:noVBand="1"/>
      </w:tblPr>
      <w:tblGrid>
        <w:gridCol w:w="1670"/>
        <w:gridCol w:w="8534"/>
      </w:tblGrid>
      <w:tr w:rsidR="005E2D69" w:rsidRPr="003D290F" w14:paraId="2DEC0BF4" w14:textId="77777777" w:rsidTr="000370A4">
        <w:trPr>
          <w:cnfStyle w:val="100000000000" w:firstRow="1" w:lastRow="0" w:firstColumn="0" w:lastColumn="0" w:oddVBand="0" w:evenVBand="0" w:oddHBand="0" w:evenHBand="0" w:firstRowFirstColumn="0" w:firstRowLastColumn="0" w:lastRowFirstColumn="0" w:lastRowLastColumn="0"/>
          <w:trHeight w:val="225"/>
        </w:trPr>
        <w:tc>
          <w:tcPr>
            <w:tcW w:w="1418" w:type="dxa"/>
          </w:tcPr>
          <w:p w14:paraId="27E5F2FE" w14:textId="77777777" w:rsidR="005E2D69" w:rsidRPr="003D290F" w:rsidRDefault="00B670EF" w:rsidP="00731F9D">
            <w:pPr>
              <w:jc w:val="center"/>
              <w:rPr>
                <w:sz w:val="20"/>
              </w:rPr>
            </w:pPr>
            <w:r w:rsidRPr="003D290F">
              <w:rPr>
                <w:sz w:val="20"/>
              </w:rPr>
              <w:t>INSTRUMENT</w:t>
            </w:r>
          </w:p>
        </w:tc>
        <w:tc>
          <w:tcPr>
            <w:tcW w:w="8786" w:type="dxa"/>
          </w:tcPr>
          <w:p w14:paraId="3BA7C2E1" w14:textId="77777777" w:rsidR="005E2D69" w:rsidRPr="003D290F" w:rsidRDefault="00241672" w:rsidP="00731F9D">
            <w:pPr>
              <w:jc w:val="center"/>
              <w:rPr>
                <w:sz w:val="20"/>
              </w:rPr>
            </w:pPr>
            <w:r w:rsidRPr="003D290F">
              <w:rPr>
                <w:sz w:val="20"/>
              </w:rPr>
              <w:t>DESCRIPTION</w:t>
            </w:r>
          </w:p>
        </w:tc>
      </w:tr>
      <w:tr w:rsidR="005E2D69" w:rsidRPr="003D290F" w14:paraId="15FAAB8E" w14:textId="77777777" w:rsidTr="000370A4">
        <w:trPr>
          <w:cnfStyle w:val="000000100000" w:firstRow="0" w:lastRow="0" w:firstColumn="0" w:lastColumn="0" w:oddVBand="0" w:evenVBand="0" w:oddHBand="1" w:evenHBand="0" w:firstRowFirstColumn="0" w:firstRowLastColumn="0" w:lastRowFirstColumn="0" w:lastRowLastColumn="0"/>
          <w:trHeight w:val="1780"/>
        </w:trPr>
        <w:tc>
          <w:tcPr>
            <w:tcW w:w="1418" w:type="dxa"/>
          </w:tcPr>
          <w:p w14:paraId="53935DCA" w14:textId="77777777" w:rsidR="005E2D69" w:rsidRPr="003D290F" w:rsidRDefault="005E2D69" w:rsidP="0078136F">
            <w:pPr>
              <w:rPr>
                <w:b/>
                <w:sz w:val="20"/>
              </w:rPr>
            </w:pPr>
            <w:r w:rsidRPr="003D290F">
              <w:rPr>
                <w:b/>
                <w:sz w:val="20"/>
              </w:rPr>
              <w:t>Financial compensation</w:t>
            </w:r>
          </w:p>
        </w:tc>
        <w:tc>
          <w:tcPr>
            <w:tcW w:w="8786" w:type="dxa"/>
          </w:tcPr>
          <w:p w14:paraId="5781F987" w14:textId="77777777" w:rsidR="00504AEB" w:rsidRPr="003D290F" w:rsidRDefault="00504AEB" w:rsidP="00B82A86">
            <w:pPr>
              <w:pStyle w:val="ListParagraph"/>
              <w:numPr>
                <w:ilvl w:val="0"/>
                <w:numId w:val="7"/>
              </w:numPr>
              <w:rPr>
                <w:sz w:val="19"/>
                <w:szCs w:val="19"/>
              </w:rPr>
            </w:pPr>
            <w:r w:rsidRPr="003D290F">
              <w:rPr>
                <w:sz w:val="19"/>
                <w:szCs w:val="19"/>
              </w:rPr>
              <w:t>Financial compensation is a</w:t>
            </w:r>
            <w:r w:rsidR="005E2D69" w:rsidRPr="003D290F">
              <w:rPr>
                <w:sz w:val="19"/>
                <w:szCs w:val="19"/>
              </w:rPr>
              <w:t xml:space="preserve"> commonly used tool to help limit the economic impacts associated with unemployment</w:t>
            </w:r>
            <w:r w:rsidR="008A477B" w:rsidRPr="003D290F">
              <w:rPr>
                <w:sz w:val="19"/>
                <w:szCs w:val="19"/>
              </w:rPr>
              <w:t xml:space="preserve">, and can </w:t>
            </w:r>
            <w:r w:rsidR="005E2D69" w:rsidRPr="003D290F">
              <w:rPr>
                <w:sz w:val="19"/>
                <w:szCs w:val="19"/>
              </w:rPr>
              <w:t xml:space="preserve">come in the form of grants, subsidies, capacity building, in-kind support services, redundancy packages and welfare payments. </w:t>
            </w:r>
          </w:p>
          <w:p w14:paraId="304EA682" w14:textId="77777777" w:rsidR="005E2D69" w:rsidRPr="003D290F" w:rsidRDefault="005E2D69" w:rsidP="00B82A86">
            <w:pPr>
              <w:pStyle w:val="ListParagraph"/>
              <w:numPr>
                <w:ilvl w:val="0"/>
                <w:numId w:val="7"/>
              </w:numPr>
              <w:rPr>
                <w:sz w:val="19"/>
                <w:szCs w:val="19"/>
              </w:rPr>
            </w:pPr>
            <w:r w:rsidRPr="003D290F">
              <w:rPr>
                <w:sz w:val="19"/>
                <w:szCs w:val="19"/>
              </w:rPr>
              <w:t>This method is not sufficient on its own. Studies have found that workers who received lower redundancy payments alongside relocation and capacity building initiatives (e.g.,</w:t>
            </w:r>
            <w:r w:rsidR="000370A4" w:rsidRPr="003D290F">
              <w:rPr>
                <w:sz w:val="19"/>
                <w:szCs w:val="19"/>
              </w:rPr>
              <w:t> </w:t>
            </w:r>
            <w:r w:rsidRPr="003D290F">
              <w:rPr>
                <w:sz w:val="19"/>
                <w:szCs w:val="19"/>
              </w:rPr>
              <w:t>workplace training, paid relocation) systematically fared better than those who received higher redundancy payments and initiatives</w:t>
            </w:r>
            <w:r w:rsidR="00D4344C" w:rsidRPr="003D290F">
              <w:rPr>
                <w:sz w:val="19"/>
                <w:szCs w:val="19"/>
              </w:rPr>
              <w:t xml:space="preserve"> without other supports</w:t>
            </w:r>
            <w:r w:rsidRPr="003D290F">
              <w:rPr>
                <w:sz w:val="19"/>
                <w:szCs w:val="19"/>
              </w:rPr>
              <w:t>.</w:t>
            </w:r>
            <w:r w:rsidRPr="003D290F">
              <w:rPr>
                <w:rStyle w:val="FootnoteReference"/>
                <w:sz w:val="19"/>
                <w:szCs w:val="19"/>
              </w:rPr>
              <w:footnoteReference w:id="54"/>
            </w:r>
          </w:p>
        </w:tc>
      </w:tr>
      <w:tr w:rsidR="005E2D69" w:rsidRPr="003D290F" w14:paraId="31524392" w14:textId="77777777" w:rsidTr="000370A4">
        <w:trPr>
          <w:trHeight w:val="1534"/>
        </w:trPr>
        <w:tc>
          <w:tcPr>
            <w:tcW w:w="1418" w:type="dxa"/>
          </w:tcPr>
          <w:p w14:paraId="4C942A78" w14:textId="77777777" w:rsidR="005E2D69" w:rsidRPr="003D290F" w:rsidRDefault="005E2D69" w:rsidP="0078136F">
            <w:pPr>
              <w:rPr>
                <w:b/>
                <w:sz w:val="20"/>
              </w:rPr>
            </w:pPr>
            <w:r w:rsidRPr="003D290F">
              <w:rPr>
                <w:b/>
                <w:sz w:val="20"/>
              </w:rPr>
              <w:t>Exemption tools</w:t>
            </w:r>
          </w:p>
        </w:tc>
        <w:tc>
          <w:tcPr>
            <w:tcW w:w="8786" w:type="dxa"/>
          </w:tcPr>
          <w:p w14:paraId="6B2E2D29" w14:textId="77777777" w:rsidR="00217BA2" w:rsidRPr="003D290F" w:rsidRDefault="005E2D69" w:rsidP="00B82A86">
            <w:pPr>
              <w:pStyle w:val="ListParagraph"/>
              <w:numPr>
                <w:ilvl w:val="0"/>
                <w:numId w:val="8"/>
              </w:numPr>
              <w:rPr>
                <w:sz w:val="19"/>
                <w:szCs w:val="19"/>
              </w:rPr>
            </w:pPr>
            <w:r w:rsidRPr="003D290F">
              <w:rPr>
                <w:sz w:val="19"/>
                <w:szCs w:val="19"/>
              </w:rPr>
              <w:t>Strategic use of regulatory and legal exemptions f</w:t>
            </w:r>
            <w:r w:rsidR="00DA04DB" w:rsidRPr="003D290F">
              <w:rPr>
                <w:sz w:val="19"/>
                <w:szCs w:val="19"/>
              </w:rPr>
              <w:t>rom</w:t>
            </w:r>
            <w:r w:rsidRPr="003D290F">
              <w:rPr>
                <w:sz w:val="19"/>
                <w:szCs w:val="19"/>
              </w:rPr>
              <w:t xml:space="preserve"> climate change laws and policies</w:t>
            </w:r>
            <w:r w:rsidR="00217BA2" w:rsidRPr="003D290F">
              <w:rPr>
                <w:sz w:val="19"/>
                <w:szCs w:val="19"/>
              </w:rPr>
              <w:t xml:space="preserve"> can be used to ease transitional impacts for resource-dependent communities, including by enabling incumbent businesses to extend operations.</w:t>
            </w:r>
          </w:p>
          <w:p w14:paraId="6587697D" w14:textId="77777777" w:rsidR="005E2D69" w:rsidRPr="003D290F" w:rsidRDefault="00217BA2" w:rsidP="00B82A86">
            <w:pPr>
              <w:pStyle w:val="ListParagraph"/>
              <w:numPr>
                <w:ilvl w:val="0"/>
                <w:numId w:val="8"/>
              </w:numPr>
              <w:rPr>
                <w:sz w:val="19"/>
                <w:szCs w:val="19"/>
              </w:rPr>
            </w:pPr>
            <w:r w:rsidRPr="003D290F">
              <w:rPr>
                <w:sz w:val="19"/>
                <w:szCs w:val="19"/>
              </w:rPr>
              <w:t xml:space="preserve">Examples include </w:t>
            </w:r>
            <w:r w:rsidR="00BE0172" w:rsidRPr="003D290F">
              <w:rPr>
                <w:sz w:val="19"/>
                <w:szCs w:val="19"/>
              </w:rPr>
              <w:t>tax exemptions</w:t>
            </w:r>
            <w:r w:rsidR="00DA04DB" w:rsidRPr="003D290F">
              <w:rPr>
                <w:sz w:val="19"/>
                <w:szCs w:val="19"/>
              </w:rPr>
              <w:t xml:space="preserve"> for </w:t>
            </w:r>
            <w:r w:rsidRPr="003D290F">
              <w:rPr>
                <w:sz w:val="19"/>
                <w:szCs w:val="19"/>
              </w:rPr>
              <w:t>specific</w:t>
            </w:r>
            <w:r w:rsidR="00DA04DB" w:rsidRPr="003D290F">
              <w:rPr>
                <w:sz w:val="19"/>
                <w:szCs w:val="19"/>
              </w:rPr>
              <w:t xml:space="preserve"> companies/industr</w:t>
            </w:r>
            <w:r w:rsidRPr="003D290F">
              <w:rPr>
                <w:sz w:val="19"/>
                <w:szCs w:val="19"/>
              </w:rPr>
              <w:t>ies</w:t>
            </w:r>
            <w:r w:rsidR="00BE0172" w:rsidRPr="003D290F">
              <w:rPr>
                <w:sz w:val="19"/>
                <w:szCs w:val="19"/>
              </w:rPr>
              <w:t xml:space="preserve">, temporary relief from liability, or a delay in enforcing </w:t>
            </w:r>
            <w:r w:rsidRPr="003D290F">
              <w:rPr>
                <w:sz w:val="19"/>
                <w:szCs w:val="19"/>
              </w:rPr>
              <w:t>a</w:t>
            </w:r>
            <w:r w:rsidR="00BE0172" w:rsidRPr="003D290F">
              <w:rPr>
                <w:sz w:val="19"/>
                <w:szCs w:val="19"/>
              </w:rPr>
              <w:t xml:space="preserve"> new policy</w:t>
            </w:r>
            <w:r w:rsidR="005E2D69" w:rsidRPr="003D290F">
              <w:rPr>
                <w:sz w:val="19"/>
                <w:szCs w:val="19"/>
              </w:rPr>
              <w:t>.</w:t>
            </w:r>
          </w:p>
          <w:p w14:paraId="16E6DA52" w14:textId="77777777" w:rsidR="005E2D69" w:rsidRPr="003D290F" w:rsidRDefault="00BE0172" w:rsidP="00B82A86">
            <w:pPr>
              <w:pStyle w:val="ListParagraph"/>
              <w:numPr>
                <w:ilvl w:val="0"/>
                <w:numId w:val="8"/>
              </w:numPr>
              <w:rPr>
                <w:sz w:val="19"/>
                <w:szCs w:val="19"/>
              </w:rPr>
            </w:pPr>
            <w:r w:rsidRPr="003D290F">
              <w:rPr>
                <w:sz w:val="19"/>
                <w:szCs w:val="19"/>
              </w:rPr>
              <w:t xml:space="preserve">These exemptions </w:t>
            </w:r>
            <w:r w:rsidR="005E2D69" w:rsidRPr="003D290F">
              <w:rPr>
                <w:sz w:val="19"/>
                <w:szCs w:val="19"/>
              </w:rPr>
              <w:t xml:space="preserve">can offer full or partial relief from compliance with laws and regulations that are implemented </w:t>
            </w:r>
            <w:r w:rsidR="00217BA2" w:rsidRPr="003D290F">
              <w:rPr>
                <w:sz w:val="19"/>
                <w:szCs w:val="19"/>
              </w:rPr>
              <w:t>as part of a climate action regime</w:t>
            </w:r>
            <w:r w:rsidR="005E2D69" w:rsidRPr="003D290F">
              <w:rPr>
                <w:sz w:val="19"/>
                <w:szCs w:val="19"/>
              </w:rPr>
              <w:t xml:space="preserve">. </w:t>
            </w:r>
          </w:p>
        </w:tc>
      </w:tr>
      <w:tr w:rsidR="005E2D69" w:rsidRPr="003D290F" w14:paraId="69A07A9A" w14:textId="77777777" w:rsidTr="000370A4">
        <w:trPr>
          <w:cnfStyle w:val="000000100000" w:firstRow="0" w:lastRow="0" w:firstColumn="0" w:lastColumn="0" w:oddVBand="0" w:evenVBand="0" w:oddHBand="1" w:evenHBand="0" w:firstRowFirstColumn="0" w:firstRowLastColumn="0" w:lastRowFirstColumn="0" w:lastRowLastColumn="0"/>
        </w:trPr>
        <w:tc>
          <w:tcPr>
            <w:tcW w:w="1418" w:type="dxa"/>
          </w:tcPr>
          <w:p w14:paraId="3BF71254" w14:textId="77777777" w:rsidR="005E2D69" w:rsidRPr="003D290F" w:rsidRDefault="005E2D69" w:rsidP="0078136F">
            <w:pPr>
              <w:rPr>
                <w:b/>
                <w:sz w:val="20"/>
              </w:rPr>
            </w:pPr>
            <w:r w:rsidRPr="003D290F">
              <w:rPr>
                <w:b/>
                <w:sz w:val="20"/>
              </w:rPr>
              <w:t>Structural adjustment assistance</w:t>
            </w:r>
          </w:p>
        </w:tc>
        <w:tc>
          <w:tcPr>
            <w:tcW w:w="8786" w:type="dxa"/>
          </w:tcPr>
          <w:p w14:paraId="1086F5A3" w14:textId="77777777" w:rsidR="005E2D69" w:rsidRPr="003D290F" w:rsidRDefault="005E2D69" w:rsidP="00B82A86">
            <w:pPr>
              <w:pStyle w:val="ListParagraph"/>
              <w:numPr>
                <w:ilvl w:val="0"/>
                <w:numId w:val="9"/>
              </w:numPr>
              <w:rPr>
                <w:sz w:val="19"/>
                <w:szCs w:val="19"/>
              </w:rPr>
            </w:pPr>
            <w:r w:rsidRPr="003D290F">
              <w:rPr>
                <w:sz w:val="19"/>
                <w:szCs w:val="19"/>
              </w:rPr>
              <w:t>Structural adjustment assistance aims to aid individuals in adapting to new economic conditions caused by structural change.</w:t>
            </w:r>
          </w:p>
          <w:p w14:paraId="248A2EE1" w14:textId="77777777" w:rsidR="00504AEB" w:rsidRPr="003D290F" w:rsidRDefault="005E2D69" w:rsidP="00B82A86">
            <w:pPr>
              <w:pStyle w:val="ListParagraph"/>
              <w:numPr>
                <w:ilvl w:val="0"/>
                <w:numId w:val="9"/>
              </w:numPr>
              <w:rPr>
                <w:sz w:val="19"/>
                <w:szCs w:val="19"/>
              </w:rPr>
            </w:pPr>
            <w:r w:rsidRPr="003D290F">
              <w:rPr>
                <w:sz w:val="19"/>
                <w:szCs w:val="19"/>
              </w:rPr>
              <w:t xml:space="preserve">This assistance can involve conditional monetary payments and in-kind support, such as retraining. </w:t>
            </w:r>
          </w:p>
          <w:p w14:paraId="64353E36" w14:textId="77777777" w:rsidR="005E2D69" w:rsidRPr="003D290F" w:rsidRDefault="005E2D69" w:rsidP="00B82A86">
            <w:pPr>
              <w:pStyle w:val="ListParagraph"/>
              <w:numPr>
                <w:ilvl w:val="0"/>
                <w:numId w:val="9"/>
              </w:numPr>
              <w:rPr>
                <w:sz w:val="19"/>
                <w:szCs w:val="19"/>
              </w:rPr>
            </w:pPr>
            <w:r w:rsidRPr="003D290F">
              <w:rPr>
                <w:sz w:val="19"/>
                <w:szCs w:val="19"/>
              </w:rPr>
              <w:t>Examples of structural adjustment assistance include the US Partnerships for Opportunity and Workforce and Economic Revitalization (POWER) Initiative, Scotland’s Oil Workers Transition Fund, Canada’s Coal Workforce Transition Fund and the Dutch Government’s facilitation in the Limburg region that focused on retraining in sectors with economic demand and educating the next generation to minimise intergenerational inequities.</w:t>
            </w:r>
          </w:p>
        </w:tc>
      </w:tr>
      <w:tr w:rsidR="005E2D69" w:rsidRPr="003D290F" w14:paraId="45F17264" w14:textId="77777777" w:rsidTr="000370A4">
        <w:tc>
          <w:tcPr>
            <w:tcW w:w="1418" w:type="dxa"/>
          </w:tcPr>
          <w:p w14:paraId="4C8C4FBE" w14:textId="77777777" w:rsidR="005E2D69" w:rsidRPr="003D290F" w:rsidRDefault="005E2D69" w:rsidP="0078136F">
            <w:pPr>
              <w:rPr>
                <w:b/>
                <w:sz w:val="20"/>
              </w:rPr>
            </w:pPr>
            <w:r w:rsidRPr="003D290F">
              <w:rPr>
                <w:b/>
                <w:sz w:val="20"/>
              </w:rPr>
              <w:t>Comprehensive adaptive support</w:t>
            </w:r>
          </w:p>
        </w:tc>
        <w:tc>
          <w:tcPr>
            <w:tcW w:w="8786" w:type="dxa"/>
          </w:tcPr>
          <w:p w14:paraId="3DDC1825" w14:textId="77777777" w:rsidR="005E2D69" w:rsidRPr="003D290F" w:rsidRDefault="005E2D69" w:rsidP="00B82A86">
            <w:pPr>
              <w:pStyle w:val="ListParagraph"/>
              <w:numPr>
                <w:ilvl w:val="0"/>
                <w:numId w:val="10"/>
              </w:numPr>
              <w:rPr>
                <w:sz w:val="19"/>
                <w:szCs w:val="19"/>
              </w:rPr>
            </w:pPr>
            <w:r w:rsidRPr="003D290F">
              <w:rPr>
                <w:sz w:val="19"/>
                <w:szCs w:val="19"/>
              </w:rPr>
              <w:t xml:space="preserve">Comprehensive </w:t>
            </w:r>
            <w:r w:rsidR="00504AEB" w:rsidRPr="003D290F">
              <w:rPr>
                <w:sz w:val="19"/>
                <w:szCs w:val="19"/>
              </w:rPr>
              <w:t>a</w:t>
            </w:r>
            <w:r w:rsidRPr="003D290F">
              <w:rPr>
                <w:sz w:val="19"/>
                <w:szCs w:val="19"/>
              </w:rPr>
              <w:t xml:space="preserve">daptive </w:t>
            </w:r>
            <w:r w:rsidR="00504AEB" w:rsidRPr="003D290F">
              <w:rPr>
                <w:sz w:val="19"/>
                <w:szCs w:val="19"/>
              </w:rPr>
              <w:t>s</w:t>
            </w:r>
            <w:r w:rsidRPr="003D290F">
              <w:rPr>
                <w:sz w:val="19"/>
                <w:szCs w:val="19"/>
              </w:rPr>
              <w:t xml:space="preserve">upport encompasses financial and non-financial measures to assist </w:t>
            </w:r>
            <w:r w:rsidR="00B7519E" w:rsidRPr="003D290F">
              <w:rPr>
                <w:sz w:val="19"/>
                <w:szCs w:val="19"/>
              </w:rPr>
              <w:t xml:space="preserve">individuals, businesses and communities </w:t>
            </w:r>
            <w:r w:rsidRPr="003D290F">
              <w:rPr>
                <w:sz w:val="19"/>
                <w:szCs w:val="19"/>
              </w:rPr>
              <w:t>in adapting comprehensively to structural changes.</w:t>
            </w:r>
          </w:p>
          <w:p w14:paraId="3F972167" w14:textId="77777777" w:rsidR="005E2D69" w:rsidRPr="003D290F" w:rsidRDefault="005E2D69" w:rsidP="00B82A86">
            <w:pPr>
              <w:pStyle w:val="ListParagraph"/>
              <w:numPr>
                <w:ilvl w:val="0"/>
                <w:numId w:val="10"/>
              </w:numPr>
              <w:rPr>
                <w:sz w:val="19"/>
                <w:szCs w:val="19"/>
              </w:rPr>
            </w:pPr>
            <w:r w:rsidRPr="003D290F">
              <w:rPr>
                <w:sz w:val="19"/>
                <w:szCs w:val="19"/>
              </w:rPr>
              <w:t xml:space="preserve">These tools aim to aid relevant </w:t>
            </w:r>
            <w:r w:rsidR="00B7519E" w:rsidRPr="003D290F">
              <w:rPr>
                <w:sz w:val="19"/>
                <w:szCs w:val="19"/>
              </w:rPr>
              <w:t>communities</w:t>
            </w:r>
            <w:r w:rsidR="00DD1BE2" w:rsidRPr="003D290F">
              <w:rPr>
                <w:sz w:val="19"/>
                <w:szCs w:val="19"/>
              </w:rPr>
              <w:t xml:space="preserve"> </w:t>
            </w:r>
            <w:r w:rsidRPr="003D290F">
              <w:rPr>
                <w:sz w:val="19"/>
                <w:szCs w:val="19"/>
              </w:rPr>
              <w:t>in adjusting not only financially but also in various other aspects to cope with the new circumstances resulting from structural change</w:t>
            </w:r>
            <w:r w:rsidR="00B7519E" w:rsidRPr="003D290F">
              <w:rPr>
                <w:sz w:val="19"/>
                <w:szCs w:val="19"/>
              </w:rPr>
              <w:t>,</w:t>
            </w:r>
            <w:r w:rsidRPr="003D290F">
              <w:rPr>
                <w:sz w:val="19"/>
                <w:szCs w:val="19"/>
              </w:rPr>
              <w:t xml:space="preserve"> and can include counselling and social services. </w:t>
            </w:r>
          </w:p>
          <w:p w14:paraId="23E93DB8" w14:textId="77777777" w:rsidR="005E2D69" w:rsidRPr="003D290F" w:rsidRDefault="005E2D69" w:rsidP="00B82A86">
            <w:pPr>
              <w:pStyle w:val="ListParagraph"/>
              <w:numPr>
                <w:ilvl w:val="0"/>
                <w:numId w:val="10"/>
              </w:numPr>
              <w:rPr>
                <w:sz w:val="19"/>
                <w:szCs w:val="19"/>
              </w:rPr>
            </w:pPr>
            <w:r w:rsidRPr="003D290F">
              <w:rPr>
                <w:sz w:val="19"/>
                <w:szCs w:val="19"/>
              </w:rPr>
              <w:t>It may also include worker transfer schemes and initiatives such as locally targeted public investment in line with decarbonisation goals.</w:t>
            </w:r>
          </w:p>
        </w:tc>
      </w:tr>
    </w:tbl>
    <w:p w14:paraId="5ABE4928" w14:textId="77777777" w:rsidR="00AC24A0" w:rsidRPr="003D290F" w:rsidRDefault="00BB36B9" w:rsidP="00354BBC">
      <w:pPr>
        <w:pStyle w:val="Heading2"/>
      </w:pPr>
      <w:bookmarkStart w:id="141" w:name="_Toc161759673"/>
      <w:r w:rsidRPr="003D290F">
        <w:lastRenderedPageBreak/>
        <w:t xml:space="preserve">3.2 </w:t>
      </w:r>
      <w:r w:rsidR="00C654C2" w:rsidRPr="003D290F">
        <w:t>Scoping p</w:t>
      </w:r>
      <w:r w:rsidR="00AC24A0" w:rsidRPr="003D290F">
        <w:t>olicy options for this impact analysis</w:t>
      </w:r>
      <w:bookmarkEnd w:id="141"/>
    </w:p>
    <w:p w14:paraId="510973C6" w14:textId="77777777" w:rsidR="002E78CA" w:rsidRPr="003D290F" w:rsidRDefault="00494A30" w:rsidP="00896D6E">
      <w:r w:rsidRPr="003D290F">
        <w:t xml:space="preserve">The options selected in this analysis have been chosen </w:t>
      </w:r>
      <w:r w:rsidR="006F590E">
        <w:t xml:space="preserve">carefully </w:t>
      </w:r>
      <w:r w:rsidRPr="003D290F">
        <w:t xml:space="preserve">to target the specific circumstances facing workers at </w:t>
      </w:r>
      <w:r w:rsidR="00477F6D">
        <w:t xml:space="preserve">closing </w:t>
      </w:r>
      <w:r w:rsidRPr="003D290F">
        <w:t>coal-fired power stations</w:t>
      </w:r>
      <w:r w:rsidR="00156A13">
        <w:t xml:space="preserve">, </w:t>
      </w:r>
      <w:r w:rsidR="00156A13" w:rsidRPr="00724418">
        <w:t>gas-</w:t>
      </w:r>
      <w:r w:rsidR="006F590E">
        <w:t xml:space="preserve">fired </w:t>
      </w:r>
      <w:r w:rsidR="00156A13" w:rsidRPr="00724418">
        <w:t>power</w:t>
      </w:r>
      <w:r w:rsidR="006F590E">
        <w:t xml:space="preserve"> stations</w:t>
      </w:r>
      <w:r w:rsidR="00477F6D">
        <w:t>,</w:t>
      </w:r>
      <w:r w:rsidR="00156A13" w:rsidRPr="00724418">
        <w:t xml:space="preserve"> </w:t>
      </w:r>
      <w:r w:rsidRPr="003D290F">
        <w:t xml:space="preserve">and </w:t>
      </w:r>
      <w:r w:rsidR="00242C64" w:rsidRPr="003D290F">
        <w:t>their</w:t>
      </w:r>
      <w:r w:rsidRPr="003D290F">
        <w:t xml:space="preserve"> dependent suppliers in Australia.</w:t>
      </w:r>
      <w:r w:rsidR="00896D6E" w:rsidRPr="003D290F">
        <w:t xml:space="preserve"> </w:t>
      </w:r>
      <w:r w:rsidR="006F590E">
        <w:t>T</w:t>
      </w:r>
      <w:r w:rsidR="00794AFE" w:rsidRPr="003D290F">
        <w:t xml:space="preserve">he policy options considered in this analysis do not </w:t>
      </w:r>
      <w:r w:rsidR="00794AFE">
        <w:t>attempt</w:t>
      </w:r>
      <w:r w:rsidR="00794AFE" w:rsidRPr="003D290F">
        <w:t xml:space="preserve"> to address the full range of issues associated with the net zero transformation. </w:t>
      </w:r>
      <w:r w:rsidR="00794AFE" w:rsidRPr="003D290F" w:rsidDel="001F6D3D">
        <w:t>Consideration of broader transition initiatives</w:t>
      </w:r>
      <w:r w:rsidR="00794AFE" w:rsidRPr="003D290F">
        <w:t>, such as</w:t>
      </w:r>
      <w:r w:rsidR="00794AFE" w:rsidRPr="003D290F" w:rsidDel="001F6D3D">
        <w:t xml:space="preserve"> additional supports for workers at other emissions-intensive facilities that face transformation or closure as the world decarbonises</w:t>
      </w:r>
      <w:r w:rsidR="00794AFE" w:rsidRPr="003D290F">
        <w:t>,</w:t>
      </w:r>
      <w:r w:rsidR="00794AFE" w:rsidRPr="003D290F" w:rsidDel="001F6D3D">
        <w:t xml:space="preserve"> are beyond the specific scope of this analysis. </w:t>
      </w:r>
      <w:r w:rsidR="00794AFE" w:rsidRPr="003D290F" w:rsidDel="006F590E">
        <w:t xml:space="preserve">These issues will continue to be closely </w:t>
      </w:r>
      <w:r w:rsidR="00A41A62">
        <w:t>considered</w:t>
      </w:r>
      <w:r w:rsidR="00880356">
        <w:t xml:space="preserve"> </w:t>
      </w:r>
      <w:r w:rsidR="00794AFE" w:rsidRPr="003D290F">
        <w:t>by</w:t>
      </w:r>
      <w:r w:rsidR="00794AFE" w:rsidRPr="003D290F" w:rsidDel="006F590E">
        <w:t xml:space="preserve"> the </w:t>
      </w:r>
      <w:r w:rsidR="00794AFE" w:rsidDel="006F590E">
        <w:t>G</w:t>
      </w:r>
      <w:r w:rsidR="00794AFE" w:rsidRPr="003D290F" w:rsidDel="006F590E">
        <w:t>overnment to ensure workers and communities are supported holistically as the net zero transition continues.</w:t>
      </w:r>
      <w:r w:rsidR="00896D6E" w:rsidRPr="003D290F">
        <w:t xml:space="preserve"> </w:t>
      </w:r>
    </w:p>
    <w:p w14:paraId="72AB5083" w14:textId="77777777" w:rsidR="005C2ABB" w:rsidRPr="003D290F" w:rsidRDefault="005C2ABB" w:rsidP="00B66BE0">
      <w:pPr>
        <w:pStyle w:val="Heading3"/>
      </w:pPr>
      <w:bookmarkStart w:id="142" w:name="_Toc161694781"/>
      <w:bookmarkStart w:id="143" w:name="_Toc161752236"/>
      <w:bookmarkStart w:id="144" w:name="_Toc161759674"/>
      <w:bookmarkStart w:id="145" w:name="_Toc155604614"/>
      <w:bookmarkStart w:id="146" w:name="_Toc161395966"/>
      <w:bookmarkStart w:id="147" w:name="_Toc161403502"/>
      <w:r w:rsidRPr="003D290F">
        <w:t>3.2.</w:t>
      </w:r>
      <w:r w:rsidR="0028467D" w:rsidRPr="003D290F">
        <w:t>1</w:t>
      </w:r>
      <w:r w:rsidRPr="003D290F">
        <w:t xml:space="preserve"> Three options </w:t>
      </w:r>
      <w:r w:rsidR="00E42576" w:rsidRPr="003D290F">
        <w:t xml:space="preserve">selected </w:t>
      </w:r>
      <w:r w:rsidRPr="003D290F">
        <w:t>for consideration</w:t>
      </w:r>
      <w:bookmarkEnd w:id="142"/>
      <w:bookmarkEnd w:id="143"/>
      <w:bookmarkEnd w:id="144"/>
      <w:r w:rsidRPr="003D290F">
        <w:t xml:space="preserve"> </w:t>
      </w:r>
      <w:bookmarkEnd w:id="145"/>
      <w:bookmarkEnd w:id="146"/>
      <w:bookmarkEnd w:id="147"/>
    </w:p>
    <w:p w14:paraId="313CACC6" w14:textId="77777777" w:rsidR="00E425F2" w:rsidRPr="003D290F" w:rsidRDefault="00E425F2" w:rsidP="00E425F2">
      <w:pPr>
        <w:spacing w:line="276" w:lineRule="auto"/>
      </w:pPr>
      <w:r w:rsidRPr="003D290F">
        <w:t xml:space="preserve">The following policy objectives, outlined in </w:t>
      </w:r>
      <w:r w:rsidRPr="00E77931">
        <w:rPr>
          <w:b/>
          <w:color w:val="1B375C" w:themeColor="accent1"/>
        </w:rPr>
        <w:t>Section 2.2</w:t>
      </w:r>
      <w:r w:rsidRPr="003D290F">
        <w:t xml:space="preserve">, have been used by the Agency </w:t>
      </w:r>
      <w:r w:rsidR="006F590E">
        <w:t xml:space="preserve">to </w:t>
      </w:r>
      <w:r w:rsidRPr="003D290F">
        <w:t>select</w:t>
      </w:r>
      <w:r w:rsidRPr="003D290F" w:rsidDel="006F590E">
        <w:t xml:space="preserve"> </w:t>
      </w:r>
      <w:r w:rsidRPr="003D290F">
        <w:t>options for consideration:</w:t>
      </w:r>
    </w:p>
    <w:p w14:paraId="7FBCF314" w14:textId="77777777" w:rsidR="00E425F2" w:rsidRPr="003D290F" w:rsidRDefault="00E425F2" w:rsidP="00B82A86">
      <w:pPr>
        <w:pStyle w:val="BulletedList-Level1"/>
        <w:numPr>
          <w:ilvl w:val="0"/>
          <w:numId w:val="21"/>
        </w:numPr>
        <w:spacing w:line="276" w:lineRule="auto"/>
      </w:pPr>
      <w:r w:rsidRPr="003D290F">
        <w:t>minimising involuntary unemployment when facilities close,</w:t>
      </w:r>
    </w:p>
    <w:p w14:paraId="0EC64D97" w14:textId="77777777" w:rsidR="00E425F2" w:rsidRPr="003D290F" w:rsidRDefault="00E425F2" w:rsidP="00B82A86">
      <w:pPr>
        <w:pStyle w:val="BulletedList-Level1"/>
        <w:numPr>
          <w:ilvl w:val="0"/>
          <w:numId w:val="21"/>
        </w:numPr>
        <w:spacing w:line="276" w:lineRule="auto"/>
      </w:pPr>
      <w:r w:rsidRPr="003D290F">
        <w:t>maximising opportunities to transition into similar employment,</w:t>
      </w:r>
    </w:p>
    <w:p w14:paraId="689B4F21" w14:textId="77777777" w:rsidR="00E425F2" w:rsidRPr="003D290F" w:rsidRDefault="00E425F2" w:rsidP="00B82A86">
      <w:pPr>
        <w:pStyle w:val="BulletedList-Level1"/>
        <w:numPr>
          <w:ilvl w:val="0"/>
          <w:numId w:val="21"/>
        </w:numPr>
        <w:spacing w:line="276" w:lineRule="auto"/>
      </w:pPr>
      <w:r w:rsidRPr="003D290F">
        <w:t xml:space="preserve">providing appropriate supports, training and skills to impacted employees, and </w:t>
      </w:r>
    </w:p>
    <w:p w14:paraId="29378473" w14:textId="77777777" w:rsidR="00E425F2" w:rsidRDefault="00E425F2" w:rsidP="00B82A86">
      <w:pPr>
        <w:pStyle w:val="BulletedList-Level1"/>
        <w:numPr>
          <w:ilvl w:val="0"/>
          <w:numId w:val="21"/>
        </w:numPr>
        <w:spacing w:line="276" w:lineRule="auto"/>
      </w:pPr>
      <w:r w:rsidRPr="003D290F">
        <w:t>utilising to the best extent the skills and experience of employees.</w:t>
      </w:r>
    </w:p>
    <w:p w14:paraId="51E0F2FD" w14:textId="77777777" w:rsidR="005C01C5" w:rsidRPr="003D290F" w:rsidRDefault="00896D6E" w:rsidP="001E79E2">
      <w:pPr>
        <w:spacing w:before="120"/>
      </w:pPr>
      <w:r w:rsidRPr="003D290F">
        <w:t xml:space="preserve">The </w:t>
      </w:r>
      <w:r w:rsidR="005C01C5" w:rsidRPr="003D290F">
        <w:t>three policy options selected for consideration in this analysis</w:t>
      </w:r>
      <w:r w:rsidRPr="003D290F">
        <w:t xml:space="preserve"> are</w:t>
      </w:r>
      <w:r w:rsidR="005C01C5" w:rsidRPr="003D290F">
        <w:t>:</w:t>
      </w:r>
    </w:p>
    <w:p w14:paraId="3DD6AB21" w14:textId="77777777" w:rsidR="005C01C5" w:rsidRPr="003D290F" w:rsidRDefault="006F590E" w:rsidP="00B82A86">
      <w:pPr>
        <w:pStyle w:val="BulletedList-Level1"/>
        <w:numPr>
          <w:ilvl w:val="0"/>
          <w:numId w:val="20"/>
        </w:numPr>
        <w:spacing w:line="276" w:lineRule="auto"/>
      </w:pPr>
      <w:r w:rsidRPr="00223BA2">
        <w:rPr>
          <w:b/>
          <w:color w:val="1B375C" w:themeColor="accent1"/>
        </w:rPr>
        <w:t>Option 1:</w:t>
      </w:r>
      <w:r>
        <w:rPr>
          <w:b/>
        </w:rPr>
        <w:t xml:space="preserve"> </w:t>
      </w:r>
      <w:r w:rsidR="005C01C5" w:rsidRPr="003D290F">
        <w:t>a ‘status quo’ option, in which existing supports for workers are relied on</w:t>
      </w:r>
      <w:r w:rsidR="00242C64" w:rsidRPr="003D290F">
        <w:t>,</w:t>
      </w:r>
      <w:r w:rsidR="005C01C5" w:rsidRPr="003D290F">
        <w:t xml:space="preserve"> </w:t>
      </w:r>
      <w:r w:rsidR="00242C64" w:rsidRPr="003D290F">
        <w:t xml:space="preserve">with </w:t>
      </w:r>
      <w:r w:rsidR="005C01C5" w:rsidRPr="003D290F">
        <w:t xml:space="preserve">no </w:t>
      </w:r>
      <w:r w:rsidR="00242C64" w:rsidRPr="003D290F">
        <w:t xml:space="preserve">further </w:t>
      </w:r>
      <w:r w:rsidR="005C01C5" w:rsidRPr="003D290F">
        <w:t xml:space="preserve">intervention </w:t>
      </w:r>
      <w:r w:rsidR="00242C64" w:rsidRPr="003D290F">
        <w:t>from the</w:t>
      </w:r>
      <w:r>
        <w:t xml:space="preserve"> Australian</w:t>
      </w:r>
      <w:r w:rsidR="00242C64" w:rsidRPr="003D290F">
        <w:t xml:space="preserve"> </w:t>
      </w:r>
      <w:r>
        <w:t>G</w:t>
      </w:r>
      <w:r w:rsidR="00242C64" w:rsidRPr="003D290F">
        <w:t>overnment</w:t>
      </w:r>
    </w:p>
    <w:p w14:paraId="6F6FD4F2" w14:textId="77777777" w:rsidR="005C01C5" w:rsidRPr="003D290F" w:rsidRDefault="006F590E" w:rsidP="00B82A86">
      <w:pPr>
        <w:pStyle w:val="BulletedList-Level1"/>
        <w:numPr>
          <w:ilvl w:val="0"/>
          <w:numId w:val="20"/>
        </w:numPr>
        <w:spacing w:line="276" w:lineRule="auto"/>
      </w:pPr>
      <w:r w:rsidRPr="00223BA2">
        <w:rPr>
          <w:b/>
          <w:color w:val="1B375C" w:themeColor="accent1"/>
        </w:rPr>
        <w:t>Option 2:</w:t>
      </w:r>
      <w:r>
        <w:t xml:space="preserve"> </w:t>
      </w:r>
      <w:r w:rsidR="001A428D" w:rsidRPr="003D290F">
        <w:t xml:space="preserve">implementing a </w:t>
      </w:r>
      <w:r w:rsidR="005C01C5" w:rsidRPr="003D290F">
        <w:t>pooled</w:t>
      </w:r>
      <w:r w:rsidR="00450FD4" w:rsidRPr="003D290F">
        <w:t xml:space="preserve"> </w:t>
      </w:r>
      <w:r w:rsidR="005C01C5" w:rsidRPr="003D290F">
        <w:t xml:space="preserve">redeployment </w:t>
      </w:r>
      <w:r w:rsidR="001A428D" w:rsidRPr="003D290F">
        <w:t xml:space="preserve">policy </w:t>
      </w:r>
      <w:r w:rsidR="005C01C5" w:rsidRPr="003D290F">
        <w:t>for workers at closing coal-fired power stations</w:t>
      </w:r>
      <w:r w:rsidR="007A313C">
        <w:t>, some gas-fired power stations and</w:t>
      </w:r>
      <w:r w:rsidR="005C01C5" w:rsidRPr="003D290F">
        <w:t xml:space="preserve"> dependent suppliers</w:t>
      </w:r>
      <w:r w:rsidR="00E42576" w:rsidRPr="003D290F">
        <w:t>, with all parties participating voluntarily</w:t>
      </w:r>
    </w:p>
    <w:p w14:paraId="30493E74" w14:textId="77777777" w:rsidR="004820C5" w:rsidRDefault="006F590E" w:rsidP="00B82A86">
      <w:pPr>
        <w:pStyle w:val="BulletedList-Level1"/>
        <w:numPr>
          <w:ilvl w:val="0"/>
          <w:numId w:val="20"/>
        </w:numPr>
        <w:spacing w:line="276" w:lineRule="auto"/>
      </w:pPr>
      <w:r w:rsidRPr="00223BA2">
        <w:rPr>
          <w:b/>
          <w:color w:val="1B375C" w:themeColor="accent1"/>
        </w:rPr>
        <w:t>Option 3:</w:t>
      </w:r>
      <w:r>
        <w:t xml:space="preserve"> </w:t>
      </w:r>
      <w:r w:rsidR="001A428D" w:rsidRPr="003D290F">
        <w:t xml:space="preserve">implementing a </w:t>
      </w:r>
      <w:r w:rsidR="005C01C5" w:rsidRPr="003D290F">
        <w:t xml:space="preserve">pooled redeployment </w:t>
      </w:r>
      <w:r w:rsidR="001A428D" w:rsidRPr="003D290F">
        <w:t xml:space="preserve">policy </w:t>
      </w:r>
      <w:r w:rsidR="005C01C5" w:rsidRPr="003D290F">
        <w:t>for workers at closing coal-fired power stations</w:t>
      </w:r>
      <w:r w:rsidR="007A313C">
        <w:t>, some gas-fired power stations</w:t>
      </w:r>
      <w:r w:rsidR="005C01C5" w:rsidRPr="003D290F">
        <w:t xml:space="preserve"> and dependent suppliers</w:t>
      </w:r>
      <w:r w:rsidR="00E42576" w:rsidRPr="003D290F">
        <w:t xml:space="preserve">, underpinned by a legislative framework </w:t>
      </w:r>
      <w:r w:rsidR="001A428D" w:rsidRPr="003D290F">
        <w:t>that</w:t>
      </w:r>
      <w:r w:rsidR="004820C5">
        <w:t>:</w:t>
      </w:r>
      <w:r w:rsidR="001A428D" w:rsidRPr="003D290F">
        <w:t xml:space="preserve"> </w:t>
      </w:r>
    </w:p>
    <w:p w14:paraId="04EDA968" w14:textId="77777777" w:rsidR="00084999" w:rsidRDefault="001A428D" w:rsidP="00B82A86">
      <w:pPr>
        <w:pStyle w:val="BulletedList-Level1"/>
        <w:numPr>
          <w:ilvl w:val="1"/>
          <w:numId w:val="20"/>
        </w:numPr>
        <w:spacing w:line="276" w:lineRule="auto"/>
      </w:pPr>
      <w:r w:rsidRPr="003D290F">
        <w:t xml:space="preserve">includes the ability to </w:t>
      </w:r>
      <w:r w:rsidR="00242C64" w:rsidRPr="003D290F">
        <w:t>requir</w:t>
      </w:r>
      <w:r w:rsidRPr="003D290F">
        <w:t>e</w:t>
      </w:r>
      <w:r w:rsidR="00E42576" w:rsidRPr="003D290F">
        <w:t xml:space="preserve"> </w:t>
      </w:r>
      <w:r w:rsidR="004820C5">
        <w:t>closing power station operators and their dependent suppliers</w:t>
      </w:r>
      <w:r w:rsidR="004820C5" w:rsidRPr="003D290F">
        <w:t xml:space="preserve"> </w:t>
      </w:r>
      <w:r w:rsidR="00E42576" w:rsidRPr="003D290F">
        <w:t xml:space="preserve">to </w:t>
      </w:r>
      <w:r w:rsidR="00242C64" w:rsidRPr="003D290F">
        <w:t>participate</w:t>
      </w:r>
      <w:r w:rsidR="000D2063">
        <w:t xml:space="preserve"> in pooled redeployment arrangements</w:t>
      </w:r>
      <w:r w:rsidR="003A3D49">
        <w:t>,</w:t>
      </w:r>
      <w:r w:rsidR="00E05C5D" w:rsidRPr="003D290F">
        <w:t xml:space="preserve"> </w:t>
      </w:r>
      <w:r w:rsidR="00242C64" w:rsidRPr="003D290F">
        <w:t>and</w:t>
      </w:r>
    </w:p>
    <w:p w14:paraId="2C88B647" w14:textId="77777777" w:rsidR="005C2ABB" w:rsidRPr="003D290F" w:rsidRDefault="00E05C5D" w:rsidP="00B82A86">
      <w:pPr>
        <w:pStyle w:val="BulletedList-Level1"/>
        <w:numPr>
          <w:ilvl w:val="1"/>
          <w:numId w:val="20"/>
        </w:numPr>
        <w:spacing w:line="276" w:lineRule="auto"/>
      </w:pPr>
      <w:r w:rsidRPr="003D290F">
        <w:t xml:space="preserve">requires </w:t>
      </w:r>
      <w:r w:rsidR="003A3D49">
        <w:t xml:space="preserve">participating closing </w:t>
      </w:r>
      <w:r w:rsidR="004820C5">
        <w:t>employers</w:t>
      </w:r>
      <w:r w:rsidR="003A3D49">
        <w:t xml:space="preserve"> and dependent suppliers</w:t>
      </w:r>
      <w:r w:rsidR="004820C5">
        <w:t xml:space="preserve"> to take certain </w:t>
      </w:r>
      <w:r w:rsidR="003A3D49">
        <w:t xml:space="preserve">types of actions </w:t>
      </w:r>
      <w:r w:rsidR="00242C64" w:rsidRPr="003D290F">
        <w:t xml:space="preserve">to support employees to achieve </w:t>
      </w:r>
      <w:r w:rsidR="003A3D49">
        <w:t>employment outcomes</w:t>
      </w:r>
      <w:r w:rsidR="000D2063">
        <w:t xml:space="preserve"> including participation in the redeployment pool</w:t>
      </w:r>
      <w:r w:rsidR="004820C5">
        <w:t>, subject to their operational requirements</w:t>
      </w:r>
      <w:r w:rsidR="00617888" w:rsidRPr="003D290F">
        <w:t>.</w:t>
      </w:r>
    </w:p>
    <w:p w14:paraId="13C57DD0" w14:textId="77777777" w:rsidR="004E0216" w:rsidRPr="004820C5" w:rsidRDefault="004E0216" w:rsidP="001E79E2">
      <w:pPr>
        <w:pStyle w:val="BulletedList-Level1"/>
        <w:spacing w:before="120" w:line="276" w:lineRule="auto"/>
        <w:ind w:left="0" w:firstLine="0"/>
      </w:pPr>
      <w:r w:rsidRPr="003D290F">
        <w:t xml:space="preserve">Analysis of a ‘status quo’ option will enable consideration of how current supports provided </w:t>
      </w:r>
      <w:r w:rsidRPr="004820C5">
        <w:t xml:space="preserve">to workers compare with other possible policy responses. </w:t>
      </w:r>
    </w:p>
    <w:p w14:paraId="1A785AFF" w14:textId="77777777" w:rsidR="001F6D3D" w:rsidRPr="003D290F" w:rsidRDefault="004E0216" w:rsidP="0017616E">
      <w:pPr>
        <w:spacing w:before="240"/>
        <w:rPr>
          <w:rFonts w:eastAsiaTheme="majorEastAsia"/>
        </w:rPr>
      </w:pPr>
      <w:r w:rsidRPr="003D290F">
        <w:rPr>
          <w:rFonts w:eastAsiaTheme="majorEastAsia"/>
        </w:rPr>
        <w:t xml:space="preserve">Options related to pooled redeployment are included because </w:t>
      </w:r>
      <w:r w:rsidR="00E05C5D" w:rsidRPr="003D290F">
        <w:rPr>
          <w:rFonts w:eastAsiaTheme="majorEastAsia"/>
        </w:rPr>
        <w:t>of their relevance</w:t>
      </w:r>
      <w:r w:rsidRPr="003D290F">
        <w:rPr>
          <w:rFonts w:eastAsiaTheme="majorEastAsia"/>
        </w:rPr>
        <w:t xml:space="preserve"> as a potential response to meet the </w:t>
      </w:r>
      <w:r w:rsidR="00E05C5D" w:rsidRPr="003D290F">
        <w:rPr>
          <w:rFonts w:eastAsiaTheme="majorEastAsia"/>
        </w:rPr>
        <w:t xml:space="preserve">stated </w:t>
      </w:r>
      <w:r w:rsidRPr="003D290F">
        <w:rPr>
          <w:rFonts w:eastAsiaTheme="majorEastAsia"/>
        </w:rPr>
        <w:t>policy objectives.</w:t>
      </w:r>
      <w:r w:rsidR="000C3BC0">
        <w:rPr>
          <w:rFonts w:eastAsiaTheme="majorEastAsia"/>
        </w:rPr>
        <w:t xml:space="preserve"> </w:t>
      </w:r>
      <w:r w:rsidRPr="003D290F">
        <w:rPr>
          <w:rFonts w:eastAsiaTheme="majorEastAsia"/>
        </w:rPr>
        <w:t xml:space="preserve">These types of </w:t>
      </w:r>
      <w:r w:rsidR="009C6B52" w:rsidRPr="003D290F">
        <w:rPr>
          <w:rFonts w:eastAsiaTheme="majorEastAsia"/>
        </w:rPr>
        <w:t>p</w:t>
      </w:r>
      <w:r w:rsidR="00E05C5D" w:rsidRPr="003D290F">
        <w:rPr>
          <w:rFonts w:eastAsiaTheme="majorEastAsia"/>
        </w:rPr>
        <w:t>olicies</w:t>
      </w:r>
      <w:r w:rsidR="000A6F1B" w:rsidRPr="003D290F">
        <w:rPr>
          <w:rFonts w:eastAsiaTheme="majorEastAsia"/>
        </w:rPr>
        <w:t xml:space="preserve"> </w:t>
      </w:r>
      <w:r w:rsidR="001F6D3D" w:rsidRPr="003D290F">
        <w:rPr>
          <w:rFonts w:eastAsiaTheme="majorEastAsia"/>
        </w:rPr>
        <w:t xml:space="preserve">are designed to help smooth the impacts when a facility closure results in a large number of workers with similar skills and experience simultaneously entering the job market in small, concentrated regional economies. </w:t>
      </w:r>
      <w:r w:rsidR="001F6D3D" w:rsidRPr="003D290F">
        <w:t>Pooled redeployment</w:t>
      </w:r>
      <w:r w:rsidR="001F6D3D" w:rsidRPr="003D290F" w:rsidDel="000A6F1B">
        <w:t xml:space="preserve"> </w:t>
      </w:r>
      <w:r w:rsidR="001F6D3D" w:rsidRPr="003D290F">
        <w:lastRenderedPageBreak/>
        <w:t>and worker transfer schemes have been a feature of some international transition experiences, and have been utilised at the state level in Australia, most notably during the Hazelwood power station closure in 2017.</w:t>
      </w:r>
      <w:r w:rsidR="000C3BC0">
        <w:t xml:space="preserve"> They are not a typical feature of</w:t>
      </w:r>
      <w:r w:rsidR="000C3BC0" w:rsidDel="00204977">
        <w:t xml:space="preserve"> </w:t>
      </w:r>
      <w:r w:rsidR="00204977">
        <w:t xml:space="preserve">Australian Government </w:t>
      </w:r>
      <w:r w:rsidR="000C3BC0">
        <w:t xml:space="preserve">employment support programs, </w:t>
      </w:r>
      <w:r w:rsidR="00204977">
        <w:t xml:space="preserve">but </w:t>
      </w:r>
      <w:r w:rsidR="000C3BC0">
        <w:t>have the potential to complement other initiatives.</w:t>
      </w:r>
    </w:p>
    <w:p w14:paraId="1647B897" w14:textId="77777777" w:rsidR="003A3D49" w:rsidRDefault="004E0216" w:rsidP="001B0840">
      <w:r w:rsidRPr="003D290F">
        <w:t>Two options</w:t>
      </w:r>
      <w:r w:rsidR="001F6D3D" w:rsidRPr="003D290F">
        <w:t xml:space="preserve"> </w:t>
      </w:r>
      <w:r w:rsidRPr="003D290F">
        <w:t xml:space="preserve">relating to pooled redeployment are analysed to help predict how </w:t>
      </w:r>
      <w:r w:rsidR="00242C64" w:rsidRPr="003D290F">
        <w:t xml:space="preserve">the </w:t>
      </w:r>
      <w:r w:rsidRPr="003D290F">
        <w:t xml:space="preserve">outcomes may be affected under </w:t>
      </w:r>
      <w:r w:rsidR="00242C64" w:rsidRPr="003D290F">
        <w:t xml:space="preserve">a </w:t>
      </w:r>
      <w:r w:rsidRPr="003D290F">
        <w:t>model</w:t>
      </w:r>
      <w:r w:rsidR="00540AE2" w:rsidRPr="003D290F">
        <w:t xml:space="preserve"> where employer participation is purely voluntary</w:t>
      </w:r>
      <w:r w:rsidRPr="003D290F">
        <w:t xml:space="preserve">, and a model that incorporates </w:t>
      </w:r>
      <w:r w:rsidR="00540AE2" w:rsidRPr="003D290F">
        <w:t>the ability to require employer participation in certain circumstances</w:t>
      </w:r>
      <w:r w:rsidR="00E425F2">
        <w:t xml:space="preserve"> and places mandated obligations on closing employers to provide certain levels of support for their employees</w:t>
      </w:r>
      <w:r w:rsidRPr="003D290F">
        <w:t>.</w:t>
      </w:r>
    </w:p>
    <w:p w14:paraId="58812510" w14:textId="77777777" w:rsidR="00405232" w:rsidRPr="003D290F" w:rsidRDefault="00BB36B9" w:rsidP="00405232">
      <w:pPr>
        <w:pStyle w:val="Heading2"/>
      </w:pPr>
      <w:bookmarkStart w:id="148" w:name="_Toc161395967"/>
      <w:bookmarkStart w:id="149" w:name="_Toc161403503"/>
      <w:bookmarkStart w:id="150" w:name="_Toc161752237"/>
      <w:bookmarkStart w:id="151" w:name="_Toc161759675"/>
      <w:r w:rsidRPr="003D290F">
        <w:t xml:space="preserve">3.3 </w:t>
      </w:r>
      <w:r w:rsidR="00405232" w:rsidRPr="003D290F">
        <w:t xml:space="preserve">Option 1 – </w:t>
      </w:r>
      <w:r w:rsidR="004C77C5" w:rsidRPr="003D290F">
        <w:t xml:space="preserve">Rely on existing labour market conditions and </w:t>
      </w:r>
      <w:r w:rsidR="00FE1030" w:rsidRPr="003D290F">
        <w:t>supports (</w:t>
      </w:r>
      <w:r w:rsidR="00E42576" w:rsidRPr="003D290F">
        <w:t>s</w:t>
      </w:r>
      <w:r w:rsidR="004C77C5" w:rsidRPr="003D290F">
        <w:t xml:space="preserve">tatus quo </w:t>
      </w:r>
      <w:r w:rsidR="00AF4D4D" w:rsidRPr="003D290F">
        <w:t>case</w:t>
      </w:r>
      <w:r w:rsidR="00FE1030" w:rsidRPr="003D290F">
        <w:t>)</w:t>
      </w:r>
      <w:bookmarkEnd w:id="148"/>
      <w:bookmarkEnd w:id="149"/>
      <w:bookmarkEnd w:id="150"/>
      <w:bookmarkEnd w:id="151"/>
    </w:p>
    <w:p w14:paraId="6D77B718" w14:textId="77777777" w:rsidR="00E42576" w:rsidRPr="003D290F" w:rsidRDefault="00E42576" w:rsidP="00E647BD">
      <w:r w:rsidRPr="003D290F">
        <w:t xml:space="preserve">This policy option involves relying on existing policy supports and general labour market conditions </w:t>
      </w:r>
      <w:r w:rsidR="001E1401" w:rsidRPr="003D290F">
        <w:t>to deliver suitable outcomes for workers in coal-fired power stations</w:t>
      </w:r>
      <w:r w:rsidR="003A3D49">
        <w:t xml:space="preserve">, </w:t>
      </w:r>
      <w:r w:rsidR="00CD48E4">
        <w:t xml:space="preserve">some </w:t>
      </w:r>
      <w:r w:rsidR="003A3D49" w:rsidRPr="001E79E2">
        <w:t>gas-fired power stations</w:t>
      </w:r>
      <w:r w:rsidR="001E1401" w:rsidRPr="003D290F">
        <w:t xml:space="preserve"> and dependent suppliers when these facilities </w:t>
      </w:r>
      <w:r w:rsidR="00242C64" w:rsidRPr="003D290F">
        <w:t>close</w:t>
      </w:r>
      <w:r w:rsidR="001E1401" w:rsidRPr="003D290F">
        <w:t>.</w:t>
      </w:r>
      <w:r w:rsidRPr="003D290F">
        <w:t xml:space="preserve"> </w:t>
      </w:r>
    </w:p>
    <w:p w14:paraId="24B7FD38" w14:textId="77777777" w:rsidR="001E1401" w:rsidRPr="003D290F" w:rsidRDefault="001E1401" w:rsidP="00E647BD">
      <w:r w:rsidRPr="003D290F">
        <w:t xml:space="preserve">As outlined in </w:t>
      </w:r>
      <w:r w:rsidRPr="00E77931">
        <w:rPr>
          <w:b/>
          <w:color w:val="1B375C" w:themeColor="accent1"/>
        </w:rPr>
        <w:t>Section 1.3</w:t>
      </w:r>
      <w:r w:rsidRPr="003D290F">
        <w:t>, there are a range of existing support programs and services that can be delivered to workers when industrial facilities close,</w:t>
      </w:r>
      <w:r w:rsidR="00F70680" w:rsidRPr="003D290F">
        <w:t xml:space="preserve"> including from closing employers, the </w:t>
      </w:r>
      <w:r w:rsidR="00665069" w:rsidRPr="003D290F">
        <w:t xml:space="preserve">Australian </w:t>
      </w:r>
      <w:r w:rsidR="00F70680" w:rsidRPr="003D290F">
        <w:t xml:space="preserve">Government and state and territory governments. These supports can </w:t>
      </w:r>
      <w:r w:rsidR="00F43015" w:rsidRPr="003D290F">
        <w:t>include</w:t>
      </w:r>
      <w:r w:rsidRPr="003D290F">
        <w:t xml:space="preserve"> access to information on financial and wellbeing supports</w:t>
      </w:r>
      <w:r w:rsidR="00DB237A" w:rsidRPr="003D290F">
        <w:t>,</w:t>
      </w:r>
      <w:r w:rsidRPr="003D290F">
        <w:t xml:space="preserve"> individual career guidance and retirement planning</w:t>
      </w:r>
      <w:r w:rsidR="00DB237A" w:rsidRPr="003D290F">
        <w:t>,</w:t>
      </w:r>
      <w:r w:rsidRPr="003D290F">
        <w:t xml:space="preserve"> skills and training support</w:t>
      </w:r>
      <w:r w:rsidR="00DB237A" w:rsidRPr="003D290F">
        <w:t>,</w:t>
      </w:r>
      <w:r w:rsidRPr="003D290F">
        <w:t xml:space="preserve"> assistance with searching for new employment</w:t>
      </w:r>
      <w:r w:rsidR="00DB237A" w:rsidRPr="003D290F">
        <w:t>,</w:t>
      </w:r>
      <w:r w:rsidRPr="003D290F">
        <w:t xml:space="preserve"> and access to unemployment benefit payments.</w:t>
      </w:r>
    </w:p>
    <w:p w14:paraId="417A1D98" w14:textId="77777777" w:rsidR="00E425F2" w:rsidRPr="003D290F" w:rsidRDefault="00F70680" w:rsidP="00E647BD">
      <w:r w:rsidRPr="003D290F">
        <w:t xml:space="preserve">Provision of these kinds of supports is likely to vary depending on the particular circumstances of each closing employer, the </w:t>
      </w:r>
      <w:r w:rsidR="00AD643D" w:rsidRPr="003D290F">
        <w:t xml:space="preserve">lead time between closure announcement and closure date, </w:t>
      </w:r>
      <w:r w:rsidRPr="003D290F">
        <w:t>the location of a facility (given that support measures from state governments are not uniform across Australia), and prevailing economic conditions at the time of closure.</w:t>
      </w:r>
      <w:r w:rsidR="00AD643D" w:rsidRPr="003D290F">
        <w:t xml:space="preserve"> For the purposes of this analysis </w:t>
      </w:r>
      <w:r w:rsidR="001D6F86">
        <w:t xml:space="preserve">the </w:t>
      </w:r>
      <w:r w:rsidR="00AD643D" w:rsidRPr="003D290F">
        <w:t xml:space="preserve">existing support programs and services outlined in </w:t>
      </w:r>
      <w:r w:rsidR="00AD643D" w:rsidRPr="00E77931">
        <w:rPr>
          <w:b/>
          <w:color w:val="1B375C" w:themeColor="accent1"/>
        </w:rPr>
        <w:t>Section 1.3</w:t>
      </w:r>
      <w:r w:rsidR="001D6F86">
        <w:t xml:space="preserve"> are assumed to </w:t>
      </w:r>
      <w:r w:rsidR="00AD643D" w:rsidRPr="003D290F">
        <w:t>be in place under Option 1.</w:t>
      </w:r>
    </w:p>
    <w:p w14:paraId="04CE184E" w14:textId="77777777" w:rsidR="000C3BC0" w:rsidRDefault="00E610E8" w:rsidP="00E647BD">
      <w:r w:rsidRPr="003D290F">
        <w:t xml:space="preserve">As noted in </w:t>
      </w:r>
      <w:r w:rsidR="004F6243" w:rsidRPr="00E77931">
        <w:rPr>
          <w:b/>
          <w:color w:val="1B375C" w:themeColor="accent1"/>
        </w:rPr>
        <w:t xml:space="preserve">Chapter </w:t>
      </w:r>
      <w:r w:rsidRPr="00E77931">
        <w:rPr>
          <w:b/>
          <w:color w:val="1B375C" w:themeColor="accent1"/>
        </w:rPr>
        <w:t>1</w:t>
      </w:r>
      <w:r w:rsidRPr="003D290F">
        <w:t>, i</w:t>
      </w:r>
      <w:r w:rsidR="005D6DF0" w:rsidRPr="003D290F">
        <w:t xml:space="preserve">n consulting with regional bodies, employers and unions, the Agency has heard the need for more targeted </w:t>
      </w:r>
      <w:r w:rsidR="00204977">
        <w:t>Australian Government</w:t>
      </w:r>
      <w:r w:rsidR="00204977" w:rsidRPr="003D290F">
        <w:t xml:space="preserve"> </w:t>
      </w:r>
      <w:r w:rsidR="005D6DF0" w:rsidRPr="003D290F">
        <w:t>supports to meet the specific needs of workers in coal-fired power stations</w:t>
      </w:r>
      <w:r w:rsidR="00E425F2">
        <w:t>,</w:t>
      </w:r>
      <w:r w:rsidR="00204977">
        <w:t xml:space="preserve"> some</w:t>
      </w:r>
      <w:r w:rsidR="00E425F2">
        <w:t xml:space="preserve"> gas-</w:t>
      </w:r>
      <w:r w:rsidR="00204977">
        <w:t>fired power stations</w:t>
      </w:r>
      <w:r w:rsidR="005D6DF0" w:rsidRPr="003D290F">
        <w:t xml:space="preserve"> and associated </w:t>
      </w:r>
      <w:r w:rsidR="00E425F2">
        <w:t>businesses</w:t>
      </w:r>
      <w:r w:rsidR="00E425F2" w:rsidRPr="003D290F">
        <w:t xml:space="preserve"> </w:t>
      </w:r>
      <w:r w:rsidR="005D6DF0" w:rsidRPr="003D290F">
        <w:t>that will close through the net zero transition</w:t>
      </w:r>
      <w:r w:rsidRPr="003D290F">
        <w:t>. Existing</w:t>
      </w:r>
      <w:r w:rsidRPr="003D290F" w:rsidDel="00204977">
        <w:t xml:space="preserve"> </w:t>
      </w:r>
      <w:r w:rsidRPr="003D290F">
        <w:t xml:space="preserve">supports may be delivered too late, </w:t>
      </w:r>
      <w:r w:rsidR="0028467D" w:rsidRPr="003D290F">
        <w:t>may</w:t>
      </w:r>
      <w:r w:rsidRPr="003D290F">
        <w:t xml:space="preserve"> not have the required scale,</w:t>
      </w:r>
      <w:r w:rsidR="00065026" w:rsidRPr="003D290F">
        <w:t xml:space="preserve"> and may not be sufficiently targeted to local circumstances</w:t>
      </w:r>
      <w:r w:rsidRPr="003D290F">
        <w:t xml:space="preserve"> to support workers affected by this transition.</w:t>
      </w:r>
      <w:r w:rsidR="000C3BC0">
        <w:t xml:space="preserve"> </w:t>
      </w:r>
    </w:p>
    <w:p w14:paraId="718711C5" w14:textId="77777777" w:rsidR="005D6DF0" w:rsidRPr="00A11DE0" w:rsidRDefault="000C3BC0" w:rsidP="00E647BD">
      <w:r w:rsidRPr="004C1A53">
        <w:t>The Agency received</w:t>
      </w:r>
      <w:r w:rsidRPr="004C1A53" w:rsidDel="00204977">
        <w:t xml:space="preserve"> </w:t>
      </w:r>
      <w:r w:rsidRPr="004C1A53">
        <w:t xml:space="preserve">feedback from one </w:t>
      </w:r>
      <w:r w:rsidR="00E425F2">
        <w:t xml:space="preserve">privately-owned </w:t>
      </w:r>
      <w:r w:rsidRPr="004C1A53">
        <w:t>power station operator that while these employers are well</w:t>
      </w:r>
      <w:r w:rsidR="00204977">
        <w:noBreakHyphen/>
      </w:r>
      <w:r w:rsidRPr="004C1A53">
        <w:t xml:space="preserve">placed to offer their workers access to training, career counselling and related supports in the lead-up to facility closure, assistance </w:t>
      </w:r>
      <w:r w:rsidR="00C15E7E" w:rsidRPr="004C1A53">
        <w:t>for workers in finding and transitioning to their next career role is a challenge, and that additional programs may assist in meeting this need.</w:t>
      </w:r>
      <w:r w:rsidR="007E6A4D">
        <w:t xml:space="preserve"> This was similar to feedback from companies and industry peak bodies that regionally based employers often find it difficult to identify and recruit regionally based, skilled employees.</w:t>
      </w:r>
    </w:p>
    <w:p w14:paraId="65C19D90" w14:textId="77777777" w:rsidR="00E10951" w:rsidRDefault="00E10951" w:rsidP="00E647BD">
      <w:r w:rsidRPr="003D290F">
        <w:lastRenderedPageBreak/>
        <w:t xml:space="preserve">As discussed </w:t>
      </w:r>
      <w:r w:rsidR="00E610E8" w:rsidRPr="003D290F">
        <w:t xml:space="preserve">further </w:t>
      </w:r>
      <w:r w:rsidRPr="003D290F">
        <w:t xml:space="preserve">in </w:t>
      </w:r>
      <w:r w:rsidRPr="00E77931">
        <w:rPr>
          <w:b/>
          <w:color w:val="1B375C" w:themeColor="accent1"/>
        </w:rPr>
        <w:t xml:space="preserve">Chapter </w:t>
      </w:r>
      <w:r w:rsidR="00146EE8" w:rsidRPr="00E77931">
        <w:rPr>
          <w:b/>
          <w:color w:val="1B375C" w:themeColor="accent1"/>
        </w:rPr>
        <w:t>4</w:t>
      </w:r>
      <w:r w:rsidRPr="00E77931">
        <w:t xml:space="preserve">, </w:t>
      </w:r>
      <w:r w:rsidRPr="003D290F">
        <w:t>employment outcomes are likely to be worse for workers at closing employers in the absence of a</w:t>
      </w:r>
      <w:r w:rsidR="00E610E8" w:rsidRPr="003D290F">
        <w:t>dditional</w:t>
      </w:r>
      <w:r w:rsidRPr="003D290F">
        <w:t xml:space="preserve"> </w:t>
      </w:r>
      <w:r w:rsidR="00E425F2">
        <w:t xml:space="preserve">government </w:t>
      </w:r>
      <w:r w:rsidRPr="003D290F">
        <w:t>policy intervention</w:t>
      </w:r>
      <w:r w:rsidR="004F6243" w:rsidRPr="003D290F">
        <w:t>s</w:t>
      </w:r>
      <w:r w:rsidRPr="003D290F">
        <w:t>, with more workers subject to long-term unemployment and the associated economic and social costs.</w:t>
      </w:r>
      <w:r w:rsidR="00E610E8" w:rsidRPr="003D290F">
        <w:t xml:space="preserve"> </w:t>
      </w:r>
      <w:r w:rsidRPr="003D290F">
        <w:t xml:space="preserve">Communities would </w:t>
      </w:r>
      <w:r w:rsidR="00870CC2" w:rsidRPr="003D290F">
        <w:t xml:space="preserve">also </w:t>
      </w:r>
      <w:r w:rsidRPr="003D290F">
        <w:t xml:space="preserve">be impacted by the closure of </w:t>
      </w:r>
      <w:r w:rsidR="00E610E8" w:rsidRPr="003D290F">
        <w:t>a</w:t>
      </w:r>
      <w:r w:rsidRPr="003D290F">
        <w:t xml:space="preserve"> primary employer in the region and loss of local income, leading to upticks in regional unemployment, reduced consumption from local businesses, and flow-on effects to broader economic prosperity and social cohesion</w:t>
      </w:r>
      <w:r w:rsidR="00E610E8" w:rsidRPr="003D290F">
        <w:t>.</w:t>
      </w:r>
      <w:r w:rsidRPr="003D290F">
        <w:t xml:space="preserve"> </w:t>
      </w:r>
      <w:r w:rsidR="00E71D5B" w:rsidRPr="00E71D5B">
        <w:t xml:space="preserve">Without targeted facilitation, </w:t>
      </w:r>
      <w:r w:rsidR="00E71D5B">
        <w:t xml:space="preserve">there is also </w:t>
      </w:r>
      <w:r w:rsidR="00E71D5B" w:rsidRPr="00E71D5B">
        <w:t xml:space="preserve">likely to be a level of employment scarring particularly for older workers who may never re-enter the workforce. </w:t>
      </w:r>
      <w:r w:rsidRPr="003D290F">
        <w:t xml:space="preserve">On the other hand, regulatory and administrative costs for </w:t>
      </w:r>
      <w:r w:rsidR="00F4765D" w:rsidRPr="003D290F">
        <w:t>g</w:t>
      </w:r>
      <w:r w:rsidRPr="003D290F">
        <w:t>overnment and large business</w:t>
      </w:r>
      <w:r w:rsidR="00DC4DDD" w:rsidRPr="003D290F">
        <w:t>es</w:t>
      </w:r>
      <w:r w:rsidRPr="003D290F">
        <w:t xml:space="preserve"> would be lower under the status quo</w:t>
      </w:r>
      <w:r w:rsidR="00E610E8" w:rsidRPr="003D290F">
        <w:t xml:space="preserve"> scenario</w:t>
      </w:r>
      <w:r w:rsidR="00DC4DDD" w:rsidRPr="003D290F">
        <w:t xml:space="preserve">, relative to implementing additional </w:t>
      </w:r>
      <w:r w:rsidR="00204977">
        <w:t xml:space="preserve">Australian Government </w:t>
      </w:r>
      <w:r w:rsidR="00E3031A" w:rsidRPr="003D290F">
        <w:t xml:space="preserve">legislated </w:t>
      </w:r>
      <w:r w:rsidR="00DC4DDD" w:rsidRPr="003D290F">
        <w:t>policy responses.</w:t>
      </w:r>
    </w:p>
    <w:p w14:paraId="4FC685D6" w14:textId="77777777" w:rsidR="00BB36B9" w:rsidRPr="003D290F" w:rsidRDefault="00BB36B9" w:rsidP="00BB36B9">
      <w:pPr>
        <w:pStyle w:val="Heading2"/>
      </w:pPr>
      <w:bookmarkStart w:id="152" w:name="_Toc161395968"/>
      <w:bookmarkStart w:id="153" w:name="_Toc161403504"/>
      <w:bookmarkStart w:id="154" w:name="_Toc161752238"/>
      <w:bookmarkStart w:id="155" w:name="_Toc161759676"/>
      <w:r w:rsidRPr="003D290F">
        <w:t xml:space="preserve">3.4 Option 2 – Pooled redeployment </w:t>
      </w:r>
      <w:r w:rsidR="00BB5C83" w:rsidRPr="003D290F">
        <w:t>arrangements</w:t>
      </w:r>
      <w:bookmarkEnd w:id="152"/>
      <w:bookmarkEnd w:id="153"/>
      <w:bookmarkEnd w:id="154"/>
      <w:bookmarkEnd w:id="155"/>
    </w:p>
    <w:p w14:paraId="0E094B7F" w14:textId="77777777" w:rsidR="0039152F" w:rsidRDefault="008D3755" w:rsidP="00BB36B9">
      <w:r w:rsidRPr="003D290F">
        <w:t xml:space="preserve">To support workers in </w:t>
      </w:r>
      <w:r w:rsidR="00CD48E4">
        <w:t xml:space="preserve">closing </w:t>
      </w:r>
      <w:r w:rsidRPr="003D290F">
        <w:t>coal-fired power stations</w:t>
      </w:r>
      <w:r w:rsidR="00CD48E4">
        <w:t>, gas-fired power stations</w:t>
      </w:r>
      <w:r w:rsidRPr="003D290F">
        <w:t xml:space="preserve"> and associated facilities, the </w:t>
      </w:r>
      <w:r w:rsidR="0039300D">
        <w:t>Australian G</w:t>
      </w:r>
      <w:r w:rsidRPr="003D290F">
        <w:t xml:space="preserve">overnment could consider introducing </w:t>
      </w:r>
      <w:r w:rsidR="005A3E13" w:rsidRPr="003D290F">
        <w:t xml:space="preserve">a </w:t>
      </w:r>
      <w:r w:rsidRPr="003D290F">
        <w:t>pooled redeployment</w:t>
      </w:r>
      <w:r w:rsidR="005A3E13" w:rsidRPr="003D290F">
        <w:t xml:space="preserve"> policy</w:t>
      </w:r>
      <w:r w:rsidRPr="003D290F">
        <w:t xml:space="preserve"> for </w:t>
      </w:r>
      <w:r w:rsidR="005A3E13" w:rsidRPr="003D290F">
        <w:t xml:space="preserve">relevant </w:t>
      </w:r>
      <w:r w:rsidRPr="003D290F">
        <w:t>workers.</w:t>
      </w:r>
      <w:r w:rsidR="006F1444" w:rsidRPr="003D290F">
        <w:t xml:space="preserve"> </w:t>
      </w:r>
    </w:p>
    <w:p w14:paraId="15A1F811" w14:textId="77777777" w:rsidR="0039152F" w:rsidRDefault="008D3755" w:rsidP="00BB36B9">
      <w:r w:rsidRPr="003D290F" w:rsidDel="001F6D3D">
        <w:t>Pooled redeployment</w:t>
      </w:r>
      <w:r w:rsidRPr="003D290F" w:rsidDel="000A6F1B">
        <w:t xml:space="preserve"> </w:t>
      </w:r>
      <w:r w:rsidRPr="003D290F" w:rsidDel="001F6D3D">
        <w:t>and worker transfer schemes have been a feature of some international transition experiences, and have been utilised at the state level in Australia, most notably during the Hazelwood power station closure in 2017.</w:t>
      </w:r>
      <w:r w:rsidRPr="003D290F">
        <w:t xml:space="preserve"> </w:t>
      </w:r>
    </w:p>
    <w:p w14:paraId="01B66F1C" w14:textId="77777777" w:rsidR="00AB294E" w:rsidRDefault="000A6F1B" w:rsidP="00BB36B9">
      <w:r w:rsidRPr="003D290F">
        <w:t>Pooled redeployment</w:t>
      </w:r>
      <w:r w:rsidR="001F6D3D" w:rsidRPr="003D290F">
        <w:t xml:space="preserve"> could be used to connect closing </w:t>
      </w:r>
      <w:r w:rsidR="00E3031A" w:rsidRPr="003D290F">
        <w:t xml:space="preserve">coal-fired </w:t>
      </w:r>
      <w:r w:rsidR="001F6D3D" w:rsidRPr="003D290F">
        <w:t>power stations</w:t>
      </w:r>
      <w:r w:rsidR="00C93B76">
        <w:t xml:space="preserve"> or</w:t>
      </w:r>
      <w:r w:rsidR="000C3BC0">
        <w:t xml:space="preserve"> </w:t>
      </w:r>
      <w:r w:rsidR="000C3BC0" w:rsidRPr="001E79E2">
        <w:t>gas-fired power stations</w:t>
      </w:r>
      <w:r w:rsidR="00C93B76">
        <w:t xml:space="preserve"> (‘closing employers’)</w:t>
      </w:r>
      <w:r w:rsidR="001F6D3D" w:rsidRPr="003D290F">
        <w:t xml:space="preserve"> and </w:t>
      </w:r>
      <w:r w:rsidR="00E3031A" w:rsidRPr="003D290F">
        <w:t xml:space="preserve">their </w:t>
      </w:r>
      <w:r w:rsidR="001F6D3D" w:rsidRPr="003D290F">
        <w:t>dependent suppliers</w:t>
      </w:r>
      <w:r w:rsidR="00C93B76">
        <w:t xml:space="preserve"> such as captured coal mines</w:t>
      </w:r>
      <w:r w:rsidR="001F6D3D" w:rsidRPr="003D290F">
        <w:t xml:space="preserve"> (</w:t>
      </w:r>
      <w:r w:rsidR="00C93B76">
        <w:t xml:space="preserve">termed </w:t>
      </w:r>
      <w:r w:rsidR="000C3BC0">
        <w:t>‘</w:t>
      </w:r>
      <w:r w:rsidR="00C93B76">
        <w:t>dependent</w:t>
      </w:r>
      <w:r w:rsidR="001F6D3D" w:rsidRPr="003D290F">
        <w:t xml:space="preserve"> employers</w:t>
      </w:r>
      <w:r w:rsidR="000C3BC0">
        <w:t>’</w:t>
      </w:r>
      <w:r w:rsidR="00C93B76">
        <w:t xml:space="preserve"> in this analysis</w:t>
      </w:r>
      <w:r w:rsidR="001F6D3D" w:rsidRPr="003D290F">
        <w:t>) with employers who could provide job opportunities for affected workers (</w:t>
      </w:r>
      <w:r w:rsidR="000C3BC0">
        <w:t>‘</w:t>
      </w:r>
      <w:r w:rsidR="001F6D3D" w:rsidRPr="003D290F">
        <w:t>receiving employers</w:t>
      </w:r>
      <w:r w:rsidR="000C3BC0">
        <w:t>’</w:t>
      </w:r>
      <w:r w:rsidR="001F6D3D" w:rsidRPr="003D290F">
        <w:t>)</w:t>
      </w:r>
      <w:r w:rsidR="00AB294E" w:rsidRPr="003D290F" w:rsidDel="001F6D3D">
        <w:t>.</w:t>
      </w:r>
      <w:r w:rsidR="005A3E13" w:rsidRPr="003D290F">
        <w:rPr>
          <w:rStyle w:val="FootnoteReference"/>
        </w:rPr>
        <w:footnoteReference w:id="55"/>
      </w:r>
    </w:p>
    <w:p w14:paraId="496621C6" w14:textId="77777777" w:rsidR="0039152F" w:rsidRPr="003D290F" w:rsidDel="001F6D3D" w:rsidRDefault="0039152F" w:rsidP="00BB36B9">
      <w:r w:rsidRPr="003D290F">
        <w:t>The key steps and features of how pooled redeployment arrangements could be implemented are outlined as follows.</w:t>
      </w:r>
    </w:p>
    <w:p w14:paraId="6E2A9054" w14:textId="77777777" w:rsidR="004F7FBB" w:rsidRDefault="00E425F2" w:rsidP="001E79E2">
      <w:pPr>
        <w:pStyle w:val="Heading3"/>
      </w:pPr>
      <w:bookmarkStart w:id="156" w:name="_Toc161395969"/>
      <w:bookmarkStart w:id="157" w:name="_Toc161403505"/>
      <w:bookmarkStart w:id="158" w:name="_Toc161694784"/>
      <w:bookmarkStart w:id="159" w:name="_Toc161752239"/>
      <w:bookmarkStart w:id="160" w:name="_Toc161759677"/>
      <w:r>
        <w:t>3.4.1 S</w:t>
      </w:r>
      <w:r w:rsidR="0039152F">
        <w:t>election</w:t>
      </w:r>
      <w:r>
        <w:t xml:space="preserve"> of </w:t>
      </w:r>
      <w:r w:rsidR="0039152F">
        <w:t>f</w:t>
      </w:r>
      <w:r>
        <w:t xml:space="preserve">acilities for </w:t>
      </w:r>
      <w:r w:rsidR="0039152F">
        <w:t xml:space="preserve">a </w:t>
      </w:r>
      <w:r>
        <w:t xml:space="preserve">Commonwealth-facilitated pooled redeployment </w:t>
      </w:r>
      <w:r w:rsidR="00E225C6">
        <w:t>plan</w:t>
      </w:r>
      <w:bookmarkEnd w:id="156"/>
      <w:bookmarkEnd w:id="157"/>
      <w:bookmarkEnd w:id="158"/>
      <w:bookmarkEnd w:id="159"/>
      <w:bookmarkEnd w:id="160"/>
      <w:r>
        <w:t xml:space="preserve"> </w:t>
      </w:r>
    </w:p>
    <w:p w14:paraId="71EFD9D4" w14:textId="77777777" w:rsidR="004F7FBB" w:rsidRPr="003D290F" w:rsidRDefault="004F7FBB" w:rsidP="004F7FBB">
      <w:r w:rsidRPr="003D290F">
        <w:t xml:space="preserve">Pooled redeployment </w:t>
      </w:r>
      <w:r>
        <w:t xml:space="preserve">arrangements </w:t>
      </w:r>
      <w:r w:rsidRPr="003D290F">
        <w:t>would be initiated no later than 24 months ahead of when a coal</w:t>
      </w:r>
      <w:r w:rsidRPr="003D290F">
        <w:noBreakHyphen/>
        <w:t xml:space="preserve">fired power station </w:t>
      </w:r>
      <w:r>
        <w:t xml:space="preserve">or gas-fired generator </w:t>
      </w:r>
      <w:r w:rsidRPr="003D290F">
        <w:t>is scheduled to close,</w:t>
      </w:r>
      <w:r w:rsidRPr="003D290F" w:rsidDel="00A6758C">
        <w:t xml:space="preserve"> </w:t>
      </w:r>
      <w:r w:rsidRPr="003D290F">
        <w:t>either in line with NEM generators’ obligation to inform the Australian Energy Market Operator of intended closure at least 42 months in advance, or upon the announcement of a sooner closure date.</w:t>
      </w:r>
      <w:r>
        <w:rPr>
          <w:rStyle w:val="FootnoteReference"/>
        </w:rPr>
        <w:footnoteReference w:id="56"/>
      </w:r>
      <w:r>
        <w:t xml:space="preserve">  </w:t>
      </w:r>
    </w:p>
    <w:p w14:paraId="0C824619" w14:textId="77777777" w:rsidR="004F7FBB" w:rsidRDefault="004F7FBB">
      <w:r>
        <w:t xml:space="preserve">The </w:t>
      </w:r>
      <w:r w:rsidRPr="003D290F" w:rsidDel="0039300D">
        <w:t xml:space="preserve">Authority </w:t>
      </w:r>
      <w:r>
        <w:t xml:space="preserve">would undertake an assessment process to decide whether a particular closure necessitates </w:t>
      </w:r>
      <w:r w:rsidR="0039300D">
        <w:t xml:space="preserve">Australian Government </w:t>
      </w:r>
      <w:r>
        <w:t xml:space="preserve">involvement via the facilitation of a pooled redeployment scheme </w:t>
      </w:r>
      <w:r>
        <w:lastRenderedPageBreak/>
        <w:t>for that facility. The Authority would have regard to the following factors when considering whether to establish a pooled redeployment scheme:</w:t>
      </w:r>
    </w:p>
    <w:p w14:paraId="7CC7E413" w14:textId="77777777" w:rsidR="004F7FBB" w:rsidRDefault="004F7FBB" w:rsidP="00B82A86">
      <w:pPr>
        <w:pStyle w:val="ListParagraph"/>
        <w:numPr>
          <w:ilvl w:val="0"/>
          <w:numId w:val="24"/>
        </w:numPr>
      </w:pPr>
      <w:r>
        <w:t>the existing supports that are available to assist employees to find other employment (</w:t>
      </w:r>
      <w:r w:rsidR="00E225C6">
        <w:t>including through programs run by</w:t>
      </w:r>
      <w:r>
        <w:t xml:space="preserve"> their employers and</w:t>
      </w:r>
      <w:r w:rsidR="0039300D">
        <w:t xml:space="preserve"> any state government programs)</w:t>
      </w:r>
    </w:p>
    <w:p w14:paraId="1B85B98C" w14:textId="77777777" w:rsidR="004F7FBB" w:rsidRDefault="004F7FBB" w:rsidP="00B82A86">
      <w:pPr>
        <w:pStyle w:val="ListParagraph"/>
        <w:numPr>
          <w:ilvl w:val="0"/>
          <w:numId w:val="24"/>
        </w:numPr>
      </w:pPr>
      <w:r>
        <w:t>th</w:t>
      </w:r>
      <w:r w:rsidR="0039300D">
        <w:t>e number of employees involved</w:t>
      </w:r>
    </w:p>
    <w:p w14:paraId="742BE116" w14:textId="77777777" w:rsidR="004F7FBB" w:rsidRDefault="004F7FBB" w:rsidP="00B82A86">
      <w:pPr>
        <w:pStyle w:val="ListParagraph"/>
        <w:numPr>
          <w:ilvl w:val="0"/>
          <w:numId w:val="24"/>
        </w:numPr>
      </w:pPr>
      <w:r>
        <w:t xml:space="preserve">the capacity of </w:t>
      </w:r>
      <w:r w:rsidR="00E225C6">
        <w:t xml:space="preserve">closing </w:t>
      </w:r>
      <w:r>
        <w:t xml:space="preserve">employers to redeploy </w:t>
      </w:r>
      <w:r w:rsidR="00E225C6">
        <w:t>their</w:t>
      </w:r>
      <w:r>
        <w:t xml:space="preserve"> employees in</w:t>
      </w:r>
      <w:r w:rsidR="0039300D">
        <w:t xml:space="preserve"> other business operations,</w:t>
      </w:r>
      <w:r>
        <w:t xml:space="preserve"> and</w:t>
      </w:r>
    </w:p>
    <w:p w14:paraId="5266EFCB" w14:textId="77777777" w:rsidR="008D3755" w:rsidRPr="003D290F" w:rsidRDefault="004F7FBB" w:rsidP="00B82A86">
      <w:pPr>
        <w:pStyle w:val="ListParagraph"/>
        <w:numPr>
          <w:ilvl w:val="0"/>
          <w:numId w:val="24"/>
        </w:numPr>
      </w:pPr>
      <w:r>
        <w:t xml:space="preserve">the capacity of the local labour market to absorb those workers </w:t>
      </w:r>
      <w:r w:rsidR="00E225C6">
        <w:t>in the absence of a pooled redeployment plan</w:t>
      </w:r>
      <w:r>
        <w:t>.</w:t>
      </w:r>
    </w:p>
    <w:p w14:paraId="520A20AD" w14:textId="77777777" w:rsidR="008D3755" w:rsidRPr="003D290F" w:rsidRDefault="008D3755" w:rsidP="00B66BE0">
      <w:pPr>
        <w:pStyle w:val="Heading3"/>
      </w:pPr>
      <w:bookmarkStart w:id="161" w:name="_Toc155604617"/>
      <w:bookmarkStart w:id="162" w:name="_Toc161395970"/>
      <w:bookmarkStart w:id="163" w:name="_Toc161403506"/>
      <w:bookmarkStart w:id="164" w:name="_Toc161694785"/>
      <w:bookmarkStart w:id="165" w:name="_Toc161752240"/>
      <w:bookmarkStart w:id="166" w:name="_Toc161759678"/>
      <w:r w:rsidRPr="003D290F">
        <w:t>3.4.</w:t>
      </w:r>
      <w:r w:rsidR="0039152F">
        <w:t>2</w:t>
      </w:r>
      <w:r w:rsidRPr="003D290F">
        <w:t xml:space="preserve"> Initiation of</w:t>
      </w:r>
      <w:r w:rsidRPr="003D290F" w:rsidDel="001F2816">
        <w:t xml:space="preserve"> </w:t>
      </w:r>
      <w:r w:rsidRPr="003D290F">
        <w:t xml:space="preserve">pooled redeployment </w:t>
      </w:r>
      <w:r w:rsidR="001F2816" w:rsidRPr="003D290F">
        <w:t>at a closing facility</w:t>
      </w:r>
      <w:bookmarkEnd w:id="161"/>
      <w:bookmarkEnd w:id="162"/>
      <w:bookmarkEnd w:id="163"/>
      <w:bookmarkEnd w:id="164"/>
      <w:bookmarkEnd w:id="165"/>
      <w:bookmarkEnd w:id="166"/>
      <w:r w:rsidRPr="003D290F">
        <w:t xml:space="preserve"> </w:t>
      </w:r>
    </w:p>
    <w:p w14:paraId="69947632" w14:textId="77777777" w:rsidR="00105D2A" w:rsidRDefault="00E225C6">
      <w:r>
        <w:t xml:space="preserve">When the </w:t>
      </w:r>
      <w:r w:rsidR="004F7FBB">
        <w:t>Authority</w:t>
      </w:r>
      <w:r w:rsidR="008D3755" w:rsidRPr="003D290F">
        <w:t xml:space="preserve"> </w:t>
      </w:r>
      <w:r>
        <w:t>has assessed that a pooled redeployment plan is needed</w:t>
      </w:r>
      <w:r w:rsidR="00105D2A">
        <w:t xml:space="preserve"> in relation to an upcoming closure</w:t>
      </w:r>
      <w:r>
        <w:t>,</w:t>
      </w:r>
      <w:r w:rsidR="00105D2A">
        <w:t xml:space="preserve"> it would seek agreement from the closing power station operator to initiate a pooled redeployment plan.</w:t>
      </w:r>
      <w:r>
        <w:t xml:space="preserve"> </w:t>
      </w:r>
      <w:r w:rsidR="00105D2A">
        <w:t>Importantly, if a closing power station operator did not agree to participate in a pooled redeployment plan, there would be no other mechanism to facilitate redeployment of workers from the closing employer to receiving employers – in this scenario, Option 2 could not be implemented, and the status quo (Option 1) would continue to appl</w:t>
      </w:r>
      <w:r w:rsidR="006C4509">
        <w:t>y, leading to poorer outcomes for workers</w:t>
      </w:r>
      <w:r w:rsidR="00105D2A">
        <w:t>.</w:t>
      </w:r>
    </w:p>
    <w:p w14:paraId="7F8744D6" w14:textId="77777777" w:rsidR="00953709" w:rsidRDefault="00105D2A">
      <w:r>
        <w:t xml:space="preserve">Once the agreement of a closing employer has been secured, the Authority </w:t>
      </w:r>
      <w:r w:rsidR="008D3755" w:rsidRPr="003D290F">
        <w:t xml:space="preserve">would work with the closing </w:t>
      </w:r>
      <w:r w:rsidR="002C7F91">
        <w:t>p</w:t>
      </w:r>
      <w:r w:rsidR="00AB294E" w:rsidRPr="003D290F">
        <w:t>ower station</w:t>
      </w:r>
      <w:r w:rsidR="008D3755" w:rsidRPr="003D290F">
        <w:t xml:space="preserve"> </w:t>
      </w:r>
      <w:r w:rsidR="002C7F91">
        <w:t xml:space="preserve">operator </w:t>
      </w:r>
      <w:r w:rsidR="008D3755" w:rsidRPr="003D290F">
        <w:t xml:space="preserve">to identify </w:t>
      </w:r>
      <w:r w:rsidR="00AB294E" w:rsidRPr="003D290F">
        <w:t xml:space="preserve">any </w:t>
      </w:r>
      <w:r w:rsidR="008D3755" w:rsidRPr="003D290F">
        <w:t xml:space="preserve">dependent </w:t>
      </w:r>
      <w:r w:rsidR="00C93B76">
        <w:t>employers</w:t>
      </w:r>
      <w:r w:rsidR="00C93B76" w:rsidRPr="003D290F">
        <w:t xml:space="preserve"> </w:t>
      </w:r>
      <w:r w:rsidR="008D3755" w:rsidRPr="003D290F">
        <w:t xml:space="preserve">that </w:t>
      </w:r>
      <w:r w:rsidR="00AB294E" w:rsidRPr="003D290F">
        <w:t>are also likely to</w:t>
      </w:r>
      <w:r w:rsidR="008D3755" w:rsidRPr="003D290F">
        <w:t xml:space="preserve"> close</w:t>
      </w:r>
      <w:r w:rsidR="00A6758C" w:rsidRPr="003D290F">
        <w:t xml:space="preserve"> in the same timeframe</w:t>
      </w:r>
      <w:r w:rsidR="008D3755" w:rsidRPr="003D290F">
        <w:t xml:space="preserve"> as a </w:t>
      </w:r>
      <w:r w:rsidR="00AB294E" w:rsidRPr="003D290F">
        <w:t xml:space="preserve">direct </w:t>
      </w:r>
      <w:r w:rsidR="008D3755" w:rsidRPr="003D290F">
        <w:t xml:space="preserve">result of the power station closure, for potential inclusion in </w:t>
      </w:r>
      <w:r w:rsidR="00AB294E" w:rsidRPr="003D290F">
        <w:t xml:space="preserve">a </w:t>
      </w:r>
      <w:r w:rsidR="005B6196" w:rsidRPr="003D290F">
        <w:t xml:space="preserve">pooled </w:t>
      </w:r>
      <w:r w:rsidR="00AB294E" w:rsidRPr="003D290F">
        <w:t>redeployment</w:t>
      </w:r>
      <w:r w:rsidR="008D3755" w:rsidRPr="003D290F">
        <w:t xml:space="preserve"> </w:t>
      </w:r>
      <w:r w:rsidR="00143FEE" w:rsidRPr="003D290F">
        <w:t>plan</w:t>
      </w:r>
      <w:r w:rsidR="008D3755" w:rsidRPr="003D290F">
        <w:t>.</w:t>
      </w:r>
      <w:r w:rsidR="00AB294E" w:rsidRPr="003D290F">
        <w:t xml:space="preserve"> This could include captured coal mines</w:t>
      </w:r>
      <w:r w:rsidR="00FE4582">
        <w:t xml:space="preserve"> that solely supply</w:t>
      </w:r>
      <w:r w:rsidR="002C7F91">
        <w:t xml:space="preserve"> a closing coal-fired power station</w:t>
      </w:r>
      <w:r w:rsidR="00FE4582">
        <w:t xml:space="preserve"> and are unable to pivot to other markets, </w:t>
      </w:r>
      <w:r w:rsidR="00AB294E" w:rsidRPr="003D290F">
        <w:t xml:space="preserve">and </w:t>
      </w:r>
      <w:r w:rsidR="00FE4582">
        <w:t>other businesses such as labour hire companies or service contractor firms with employees whose primary place of work is at the relevant closing facility and who are likely to lose their jobs as a result of the closure</w:t>
      </w:r>
      <w:r w:rsidR="00AB294E" w:rsidRPr="003D290F">
        <w:t>.</w:t>
      </w:r>
      <w:r w:rsidR="00953709">
        <w:t xml:space="preserve"> </w:t>
      </w:r>
    </w:p>
    <w:p w14:paraId="0368BC6F" w14:textId="77777777" w:rsidR="00953709" w:rsidRPr="003D290F" w:rsidRDefault="00105D2A">
      <w:r>
        <w:t>Under Option 2, dependent employer</w:t>
      </w:r>
      <w:r w:rsidR="00953709">
        <w:t xml:space="preserve"> participation is purely voluntary – meaning that these employers</w:t>
      </w:r>
      <w:r>
        <w:t xml:space="preserve"> could choose not to participate in a redeployment plan, which would leave their employees without access to this pathway to securing their next job. </w:t>
      </w:r>
    </w:p>
    <w:p w14:paraId="64119702" w14:textId="77777777" w:rsidR="00FD7768" w:rsidRPr="003D290F" w:rsidRDefault="00105D2A">
      <w:r>
        <w:t xml:space="preserve">Once the Authority has identified closing and </w:t>
      </w:r>
      <w:r w:rsidR="00953709">
        <w:t>dependent</w:t>
      </w:r>
      <w:r>
        <w:t xml:space="preserve"> employers willing to participate in a pooled redeployment plan, it</w:t>
      </w:r>
      <w:r w:rsidR="00AB294E" w:rsidRPr="003D290F">
        <w:t xml:space="preserve"> would work with this group of employers to determine how many of their employees may wish to participate in a redeployment </w:t>
      </w:r>
      <w:r w:rsidR="00143FEE" w:rsidRPr="003D290F">
        <w:t>plan</w:t>
      </w:r>
      <w:r w:rsidR="00C51ADA" w:rsidRPr="003D290F">
        <w:t xml:space="preserve"> </w:t>
      </w:r>
      <w:r w:rsidR="00AB294E" w:rsidRPr="003D290F">
        <w:t>in order to transition to a new job</w:t>
      </w:r>
      <w:r w:rsidR="00830DED" w:rsidRPr="003D290F">
        <w:t xml:space="preserve">, and ascertain information about what future roles these employees may be suited for. </w:t>
      </w:r>
      <w:r w:rsidR="00FD7768" w:rsidRPr="003D290F">
        <w:t xml:space="preserve">Participation in pooled redeployment by employees at closing employers would be voluntary at all stages. </w:t>
      </w:r>
    </w:p>
    <w:p w14:paraId="11DB19C5" w14:textId="77777777" w:rsidR="00AB294E" w:rsidRPr="003D290F" w:rsidRDefault="00963D64">
      <w:r>
        <w:t xml:space="preserve">The Authority would request that </w:t>
      </w:r>
      <w:r w:rsidR="00FD7768" w:rsidRPr="003D290F">
        <w:t xml:space="preserve">closing </w:t>
      </w:r>
      <w:r w:rsidR="00FE4582">
        <w:t xml:space="preserve">and dependent </w:t>
      </w:r>
      <w:r w:rsidR="00FD7768" w:rsidRPr="003D290F">
        <w:t xml:space="preserve">employers </w:t>
      </w:r>
      <w:r>
        <w:t xml:space="preserve">provide information and support to their employees </w:t>
      </w:r>
      <w:r w:rsidR="00FD7768" w:rsidRPr="003D290F">
        <w:t>to help them make an informed decision on</w:t>
      </w:r>
      <w:r w:rsidR="00143FEE" w:rsidRPr="003D290F">
        <w:t xml:space="preserve"> their</w:t>
      </w:r>
      <w:r w:rsidR="00FD7768" w:rsidRPr="003D290F">
        <w:t xml:space="preserve"> participation and </w:t>
      </w:r>
      <w:r>
        <w:t xml:space="preserve">subsequently </w:t>
      </w:r>
      <w:r w:rsidR="00FD7768" w:rsidRPr="003D290F">
        <w:t xml:space="preserve">secure redeployment </w:t>
      </w:r>
      <w:r w:rsidR="00E3031A" w:rsidRPr="003D290F">
        <w:t xml:space="preserve">with </w:t>
      </w:r>
      <w:r w:rsidR="00FD7768" w:rsidRPr="003D290F">
        <w:t>a receiving employer</w:t>
      </w:r>
      <w:r w:rsidR="00E3031A" w:rsidRPr="003D290F">
        <w:t xml:space="preserve">. But </w:t>
      </w:r>
      <w:r w:rsidR="00FD7768" w:rsidRPr="003D290F">
        <w:t xml:space="preserve">employees could </w:t>
      </w:r>
      <w:r w:rsidR="00E3031A" w:rsidRPr="003D290F">
        <w:t xml:space="preserve">choose </w:t>
      </w:r>
      <w:r w:rsidR="00FD7768" w:rsidRPr="003D290F">
        <w:t xml:space="preserve">not to participate, </w:t>
      </w:r>
      <w:r w:rsidR="00E3031A" w:rsidRPr="003D290F">
        <w:t>and even if they have chosen to participate,</w:t>
      </w:r>
      <w:r w:rsidR="00E3031A" w:rsidRPr="003D290F" w:rsidDel="00E3031A">
        <w:t xml:space="preserve"> </w:t>
      </w:r>
      <w:r>
        <w:t xml:space="preserve">could </w:t>
      </w:r>
      <w:r w:rsidR="00FD7768" w:rsidRPr="003D290F">
        <w:t xml:space="preserve">accept employment outside of the receiving employers, </w:t>
      </w:r>
      <w:r w:rsidR="00E3031A" w:rsidRPr="003D290F">
        <w:t xml:space="preserve">or </w:t>
      </w:r>
      <w:r w:rsidR="00FD7768" w:rsidRPr="003D290F">
        <w:t>decide not to accept an offer of redeployment.</w:t>
      </w:r>
      <w:r w:rsidR="00AB294E" w:rsidRPr="003D290F">
        <w:t xml:space="preserve"> </w:t>
      </w:r>
    </w:p>
    <w:p w14:paraId="1D785F94" w14:textId="77777777" w:rsidR="008D3755" w:rsidRPr="003D290F" w:rsidRDefault="008D3755" w:rsidP="00B66BE0">
      <w:pPr>
        <w:pStyle w:val="Heading3"/>
      </w:pPr>
      <w:bookmarkStart w:id="167" w:name="_Toc155604618"/>
      <w:bookmarkStart w:id="168" w:name="_Toc161395971"/>
      <w:bookmarkStart w:id="169" w:name="_Toc161403507"/>
      <w:bookmarkStart w:id="170" w:name="_Toc161694786"/>
      <w:bookmarkStart w:id="171" w:name="_Toc161752241"/>
      <w:bookmarkStart w:id="172" w:name="_Toc161759679"/>
      <w:r w:rsidRPr="003D290F">
        <w:lastRenderedPageBreak/>
        <w:t>3.4.</w:t>
      </w:r>
      <w:r w:rsidR="0039152F">
        <w:t>3</w:t>
      </w:r>
      <w:r w:rsidRPr="003D290F">
        <w:t xml:space="preserve"> Identification of a ‘</w:t>
      </w:r>
      <w:r w:rsidR="00CF3F9E" w:rsidRPr="003D290F">
        <w:t>c</w:t>
      </w:r>
      <w:r w:rsidRPr="003D290F">
        <w:t xml:space="preserve">ommunity of </w:t>
      </w:r>
      <w:r w:rsidR="00CF3F9E" w:rsidRPr="003D290F">
        <w:t>i</w:t>
      </w:r>
      <w:r w:rsidRPr="003D290F">
        <w:t>nterest’ of participating employers</w:t>
      </w:r>
      <w:bookmarkEnd w:id="167"/>
      <w:bookmarkEnd w:id="168"/>
      <w:bookmarkEnd w:id="169"/>
      <w:bookmarkEnd w:id="170"/>
      <w:bookmarkEnd w:id="171"/>
      <w:bookmarkEnd w:id="172"/>
    </w:p>
    <w:p w14:paraId="2DF76F68" w14:textId="77777777" w:rsidR="008D3755" w:rsidRPr="003D290F" w:rsidRDefault="008A1A97" w:rsidP="00BB36B9">
      <w:r w:rsidRPr="003D290F">
        <w:t>A ‘community of interest’ would be a group of employers</w:t>
      </w:r>
      <w:r w:rsidR="00923780" w:rsidRPr="003D290F">
        <w:t xml:space="preserve"> consisting of the relevant closing employers (a coal-fired </w:t>
      </w:r>
      <w:r w:rsidR="00CD48E4">
        <w:t xml:space="preserve">or gas-fired </w:t>
      </w:r>
      <w:r w:rsidR="00923780" w:rsidRPr="003D290F">
        <w:t>power station plus identified dependent suppliers)</w:t>
      </w:r>
      <w:r w:rsidRPr="003D290F">
        <w:t xml:space="preserve"> </w:t>
      </w:r>
      <w:r w:rsidR="00923780" w:rsidRPr="003D290F">
        <w:t xml:space="preserve">and ‘receiving employers’ </w:t>
      </w:r>
      <w:r w:rsidRPr="003D290F">
        <w:t>that could potentially receive employees from closing employers</w:t>
      </w:r>
      <w:r w:rsidR="00923780" w:rsidRPr="003D290F">
        <w:t xml:space="preserve"> in a pooled redeployment </w:t>
      </w:r>
      <w:r w:rsidR="00C51ADA" w:rsidRPr="003D290F">
        <w:t>plan</w:t>
      </w:r>
      <w:r w:rsidRPr="003D290F">
        <w:t xml:space="preserve">. </w:t>
      </w:r>
    </w:p>
    <w:p w14:paraId="0879BCEE" w14:textId="77777777" w:rsidR="00064CBC" w:rsidRPr="003D290F" w:rsidRDefault="008A1A97" w:rsidP="00BB36B9">
      <w:r w:rsidRPr="003D290F">
        <w:t xml:space="preserve">The Authority would identify potential receiving employers to </w:t>
      </w:r>
      <w:r w:rsidR="00923780" w:rsidRPr="003D290F">
        <w:t>participate in</w:t>
      </w:r>
      <w:r w:rsidRPr="003D290F">
        <w:t xml:space="preserve"> the community of interest</w:t>
      </w:r>
      <w:r w:rsidR="00E3031A" w:rsidRPr="003D290F">
        <w:t>. It would engage</w:t>
      </w:r>
      <w:r w:rsidRPr="003D290F">
        <w:t xml:space="preserve"> with local business chambers, unions and community organisations to inform them about the creation of a pooled redeployment </w:t>
      </w:r>
      <w:r w:rsidR="00143FEE" w:rsidRPr="003D290F">
        <w:t xml:space="preserve">plan </w:t>
      </w:r>
      <w:r w:rsidR="00830DED" w:rsidRPr="003D290F">
        <w:t xml:space="preserve">for workers at a closing power station and </w:t>
      </w:r>
      <w:r w:rsidR="006D7E4C" w:rsidRPr="003D290F">
        <w:t xml:space="preserve">relevant </w:t>
      </w:r>
      <w:r w:rsidR="00830DED" w:rsidRPr="003D290F">
        <w:t xml:space="preserve">dependent </w:t>
      </w:r>
      <w:r w:rsidR="00C93B76">
        <w:t>employers</w:t>
      </w:r>
      <w:r w:rsidRPr="003D290F">
        <w:t xml:space="preserve">. </w:t>
      </w:r>
      <w:r w:rsidR="00064CBC" w:rsidRPr="003D290F">
        <w:t xml:space="preserve">Receiving employers would most likely be businesses in </w:t>
      </w:r>
      <w:r w:rsidR="00E3031A" w:rsidRPr="003D290F">
        <w:t xml:space="preserve">the same or </w:t>
      </w:r>
      <w:r w:rsidR="00064CBC" w:rsidRPr="003D290F">
        <w:t xml:space="preserve">similar industries, in the same geographic area as the closing employers. </w:t>
      </w:r>
    </w:p>
    <w:p w14:paraId="4151A943" w14:textId="77777777" w:rsidR="00953709" w:rsidRPr="00953709" w:rsidRDefault="008A1A97">
      <w:r w:rsidRPr="003D290F">
        <w:t xml:space="preserve">The Authority would seek voluntary expressions of interest from businesses to participate in </w:t>
      </w:r>
      <w:r w:rsidR="00830DED" w:rsidRPr="003D290F">
        <w:t>a</w:t>
      </w:r>
      <w:r w:rsidRPr="003D290F">
        <w:t xml:space="preserve"> community of interest</w:t>
      </w:r>
      <w:r w:rsidR="00923780" w:rsidRPr="003D290F">
        <w:t xml:space="preserve"> as</w:t>
      </w:r>
      <w:r w:rsidR="00F975F3">
        <w:t xml:space="preserve"> closing, dependent and</w:t>
      </w:r>
      <w:r w:rsidR="00923780" w:rsidRPr="003D290F">
        <w:t xml:space="preserve"> receiving employers</w:t>
      </w:r>
      <w:r w:rsidR="00E3031A" w:rsidRPr="003D290F">
        <w:t>. For those that agree to participate</w:t>
      </w:r>
      <w:r w:rsidRPr="003D290F">
        <w:t xml:space="preserve">, </w:t>
      </w:r>
      <w:r w:rsidR="00E3031A" w:rsidRPr="003D290F">
        <w:t xml:space="preserve">the Authority would also seek </w:t>
      </w:r>
      <w:r w:rsidRPr="003D290F">
        <w:t xml:space="preserve">information on </w:t>
      </w:r>
      <w:r w:rsidR="002C7F91">
        <w:t xml:space="preserve">their current workforce, and information on </w:t>
      </w:r>
      <w:r w:rsidR="002C7F91" w:rsidRPr="003D290F">
        <w:t>the number</w:t>
      </w:r>
      <w:r w:rsidR="002C7F91">
        <w:t>,</w:t>
      </w:r>
      <w:r w:rsidR="002C7F91" w:rsidRPr="003D290F">
        <w:t xml:space="preserve"> </w:t>
      </w:r>
      <w:r w:rsidR="002C7F91" w:rsidRPr="002C7F91">
        <w:t>nature and location of jobs that those employers may be able to offer to employees of the closing employers or dependent employers</w:t>
      </w:r>
      <w:r w:rsidRPr="003D290F">
        <w:t>.</w:t>
      </w:r>
      <w:r w:rsidR="00A41A62">
        <w:t xml:space="preserve"> </w:t>
      </w:r>
    </w:p>
    <w:p w14:paraId="74D74F05" w14:textId="77777777" w:rsidR="008A1A97" w:rsidRPr="003D290F" w:rsidRDefault="00830DED" w:rsidP="00B66BE0">
      <w:pPr>
        <w:pStyle w:val="Heading3"/>
      </w:pPr>
      <w:bookmarkStart w:id="173" w:name="_Toc155604619"/>
      <w:bookmarkStart w:id="174" w:name="_Toc161395972"/>
      <w:bookmarkStart w:id="175" w:name="_Toc161403508"/>
      <w:bookmarkStart w:id="176" w:name="_Toc161694787"/>
      <w:bookmarkStart w:id="177" w:name="_Toc161752242"/>
      <w:bookmarkStart w:id="178" w:name="_Toc161759680"/>
      <w:r w:rsidRPr="003D290F">
        <w:t>3.4.</w:t>
      </w:r>
      <w:r w:rsidR="0039152F">
        <w:t>4</w:t>
      </w:r>
      <w:r w:rsidRPr="003D290F">
        <w:t xml:space="preserve"> Supporting receiving employers to create job vacancies</w:t>
      </w:r>
      <w:bookmarkEnd w:id="173"/>
      <w:bookmarkEnd w:id="174"/>
      <w:bookmarkEnd w:id="175"/>
      <w:bookmarkEnd w:id="176"/>
      <w:bookmarkEnd w:id="177"/>
      <w:bookmarkEnd w:id="178"/>
    </w:p>
    <w:p w14:paraId="02FF714D" w14:textId="77777777" w:rsidR="00E40E18" w:rsidRPr="003D290F" w:rsidRDefault="00064CBC" w:rsidP="00E40E18">
      <w:r w:rsidRPr="003D290F">
        <w:t>Once r</w:t>
      </w:r>
      <w:r w:rsidR="00830DED" w:rsidRPr="003D290F">
        <w:t xml:space="preserve">eceiving employers </w:t>
      </w:r>
      <w:r w:rsidRPr="003D290F">
        <w:t xml:space="preserve">have agreed to participate in </w:t>
      </w:r>
      <w:r w:rsidR="00830DED" w:rsidRPr="003D290F">
        <w:t>a community of interest</w:t>
      </w:r>
      <w:r w:rsidRPr="003D290F">
        <w:t xml:space="preserve">, </w:t>
      </w:r>
      <w:r w:rsidR="00E40E18" w:rsidRPr="003D290F">
        <w:t xml:space="preserve">they would have the opportunity to augment and refresh their workforce by gaining access to the pool of workers seeking redeployment from closing employers in the community of interest. </w:t>
      </w:r>
    </w:p>
    <w:p w14:paraId="1CAA3B77" w14:textId="77777777" w:rsidR="00E40E18" w:rsidRPr="000E788B" w:rsidRDefault="00E40E18">
      <w:r w:rsidRPr="003D290F">
        <w:t>For some employers that are already looking to expand their workforce, access to this pool of workers w</w:t>
      </w:r>
      <w:r w:rsidR="00F47141">
        <w:t>ould</w:t>
      </w:r>
      <w:r w:rsidRPr="003D290F">
        <w:t xml:space="preserve"> be sufficient incentive to participate in the community of interest. However, for receiving employers that are not already looking to expand their workforce, financial support</w:t>
      </w:r>
      <w:r w:rsidR="00F47141">
        <w:t xml:space="preserve"> from the </w:t>
      </w:r>
      <w:r w:rsidR="0039300D">
        <w:t>Australian Government</w:t>
      </w:r>
      <w:r w:rsidRPr="003D290F">
        <w:t xml:space="preserve"> w</w:t>
      </w:r>
      <w:r w:rsidR="00F47141">
        <w:t>ould</w:t>
      </w:r>
      <w:r w:rsidRPr="003D290F">
        <w:t xml:space="preserve"> also be available t</w:t>
      </w:r>
      <w:r w:rsidRPr="000E788B">
        <w:t>o</w:t>
      </w:r>
      <w:r w:rsidR="00C72E5E" w:rsidRPr="001E79E2">
        <w:t xml:space="preserve"> assist in creating </w:t>
      </w:r>
      <w:r w:rsidRPr="000E788B">
        <w:t>additional job vacancie</w:t>
      </w:r>
      <w:r w:rsidR="00C72E5E" w:rsidRPr="001E79E2">
        <w:t>s and bringing on new workers. This could include through helping fund early retirement payments</w:t>
      </w:r>
      <w:r w:rsidR="00C72E5E">
        <w:t xml:space="preserve">, </w:t>
      </w:r>
      <w:r w:rsidRPr="000E788B">
        <w:t xml:space="preserve">targeted at existing workers </w:t>
      </w:r>
      <w:r w:rsidR="00C72E5E" w:rsidRPr="001E79E2">
        <w:t xml:space="preserve">of receiving employers </w:t>
      </w:r>
      <w:r w:rsidRPr="000E788B">
        <w:t>who would ordinarily be likely to leave the workforce in the near future.</w:t>
      </w:r>
    </w:p>
    <w:p w14:paraId="49B80951" w14:textId="77777777" w:rsidR="00830DED" w:rsidRPr="003D290F" w:rsidRDefault="00503D80" w:rsidP="00BB36B9">
      <w:r w:rsidRPr="001E79E2">
        <w:t>For receiving employers that wish to make use of early retirement processes, they would</w:t>
      </w:r>
      <w:r w:rsidR="00830DED" w:rsidRPr="000E788B">
        <w:t xml:space="preserve"> seek expressions of interest </w:t>
      </w:r>
      <w:r w:rsidR="001F471B" w:rsidRPr="000E788B">
        <w:t xml:space="preserve">in early retirement </w:t>
      </w:r>
      <w:r w:rsidR="00830DED" w:rsidRPr="000E788B">
        <w:t>from their existing employees</w:t>
      </w:r>
      <w:r w:rsidR="00064CBC" w:rsidRPr="000E788B">
        <w:t>,</w:t>
      </w:r>
      <w:r w:rsidR="00830DED" w:rsidRPr="000E788B">
        <w:t xml:space="preserve"> to create job vacancies for affected workers at closing employers. Where employees express interest in early retirement, receiving employers would decide whether to accept those applications, or not, based on their </w:t>
      </w:r>
      <w:r w:rsidR="0026690C" w:rsidRPr="000E788B">
        <w:t xml:space="preserve">operational and </w:t>
      </w:r>
      <w:r w:rsidR="00830DED" w:rsidRPr="000E788B">
        <w:t xml:space="preserve">business needs. </w:t>
      </w:r>
      <w:r w:rsidR="00064CBC" w:rsidRPr="000E788B">
        <w:t xml:space="preserve">Departing employees at </w:t>
      </w:r>
      <w:r w:rsidR="001F471B" w:rsidRPr="000E788B">
        <w:t xml:space="preserve">receiving </w:t>
      </w:r>
      <w:r w:rsidR="00064CBC" w:rsidRPr="000E788B">
        <w:t xml:space="preserve">employers in the community of interest would leave their job at a time negotiated with their employer, based on when a transferring employee from a closing employer can be redeployed into that role </w:t>
      </w:r>
      <w:r w:rsidR="0026690C" w:rsidRPr="000E788B">
        <w:t xml:space="preserve">and any other operational </w:t>
      </w:r>
      <w:r w:rsidR="00064CBC" w:rsidRPr="000E788B">
        <w:t>requirements</w:t>
      </w:r>
      <w:r w:rsidR="00064CBC" w:rsidRPr="003D290F">
        <w:t>.</w:t>
      </w:r>
    </w:p>
    <w:p w14:paraId="344A450A" w14:textId="77777777" w:rsidR="00FD7768" w:rsidRDefault="00FD7768" w:rsidP="00BB36B9">
      <w:r w:rsidRPr="003D290F">
        <w:t xml:space="preserve">Where applications for early retirement are accepted by a </w:t>
      </w:r>
      <w:r w:rsidR="00B2277E" w:rsidRPr="003D290F">
        <w:t>receiving employer</w:t>
      </w:r>
      <w:r w:rsidRPr="003D290F">
        <w:t>, the departing employee would receive any leave entitlements owing, a</w:t>
      </w:r>
      <w:r w:rsidR="00177DFE" w:rsidRPr="003D290F">
        <w:t xml:space="preserve">s well as an </w:t>
      </w:r>
      <w:r w:rsidRPr="003D290F">
        <w:t xml:space="preserve">early retirement payment. </w:t>
      </w:r>
    </w:p>
    <w:p w14:paraId="20475798" w14:textId="77777777" w:rsidR="004C77C5" w:rsidRDefault="00FD7768" w:rsidP="00BB36B9">
      <w:r w:rsidRPr="003D290F">
        <w:t xml:space="preserve">In order to incentivise receiving employers to participate in a community of interest, </w:t>
      </w:r>
      <w:r w:rsidR="00F47141">
        <w:t>g</w:t>
      </w:r>
      <w:r w:rsidRPr="003D290F">
        <w:t xml:space="preserve">overnment would contribute </w:t>
      </w:r>
      <w:r w:rsidR="00F47141">
        <w:t xml:space="preserve">up to </w:t>
      </w:r>
      <w:r w:rsidR="00746DCE" w:rsidRPr="003D290F">
        <w:t>100</w:t>
      </w:r>
      <w:r w:rsidR="0039300D">
        <w:t xml:space="preserve"> per cent</w:t>
      </w:r>
      <w:r w:rsidR="00746DCE" w:rsidRPr="003D290F">
        <w:t xml:space="preserve"> of </w:t>
      </w:r>
      <w:r w:rsidRPr="003D290F">
        <w:t xml:space="preserve">early retirement </w:t>
      </w:r>
      <w:r w:rsidR="00746DCE" w:rsidRPr="003D290F">
        <w:t>costs</w:t>
      </w:r>
      <w:r w:rsidRPr="003D290F">
        <w:t xml:space="preserve">. Financial support from </w:t>
      </w:r>
      <w:r w:rsidR="00F4765D" w:rsidRPr="003D290F">
        <w:t>g</w:t>
      </w:r>
      <w:r w:rsidRPr="003D290F">
        <w:t xml:space="preserve">overnment will help </w:t>
      </w:r>
      <w:r w:rsidRPr="003D290F">
        <w:lastRenderedPageBreak/>
        <w:t>redu</w:t>
      </w:r>
      <w:r w:rsidR="00177DFE" w:rsidRPr="003D290F">
        <w:t>ce costs of e</w:t>
      </w:r>
      <w:r w:rsidRPr="003D290F">
        <w:t>arly retirement payments</w:t>
      </w:r>
      <w:r w:rsidR="005149AA">
        <w:t xml:space="preserve"> </w:t>
      </w:r>
      <w:r w:rsidR="005149AA" w:rsidRPr="000E788B">
        <w:t>or other incentives</w:t>
      </w:r>
      <w:r w:rsidRPr="003D290F">
        <w:t xml:space="preserve"> for employers in the community of interest, supporting them to accept more applications and create more job opportunities for employees in closing employers.</w:t>
      </w:r>
      <w:r w:rsidR="00EC5CBF" w:rsidRPr="003D290F" w:rsidDel="00EC5CBF">
        <w:rPr>
          <w:rStyle w:val="FootnoteReference"/>
        </w:rPr>
        <w:t xml:space="preserve"> </w:t>
      </w:r>
    </w:p>
    <w:p w14:paraId="6BF81637" w14:textId="77777777" w:rsidR="00E0509C" w:rsidRPr="003D290F" w:rsidRDefault="00E0509C" w:rsidP="00BB36B9">
      <w:r w:rsidRPr="002C7F91">
        <w:t xml:space="preserve">For receiving employers that receive </w:t>
      </w:r>
      <w:r w:rsidR="0039300D">
        <w:t>Australian Government</w:t>
      </w:r>
      <w:r w:rsidRPr="002C7F91">
        <w:t xml:space="preserve"> pa</w:t>
      </w:r>
      <w:r>
        <w:t>yments</w:t>
      </w:r>
      <w:r w:rsidRPr="002C7F91">
        <w:t xml:space="preserve">, the Government would attach </w:t>
      </w:r>
      <w:r w:rsidR="002226F1">
        <w:t xml:space="preserve">relevant </w:t>
      </w:r>
      <w:r w:rsidRPr="002C7F91">
        <w:t>conditions to funding agreements for these payments</w:t>
      </w:r>
      <w:r w:rsidR="002226F1">
        <w:t xml:space="preserve"> to ensure that they facilitate the objectives of the policy.</w:t>
      </w:r>
      <w:r w:rsidRPr="002C7F91">
        <w:t xml:space="preserve"> </w:t>
      </w:r>
      <w:r w:rsidR="002226F1">
        <w:t>F</w:t>
      </w:r>
      <w:r w:rsidRPr="002C7F91">
        <w:t xml:space="preserve">or example, </w:t>
      </w:r>
      <w:r w:rsidR="002226F1">
        <w:t xml:space="preserve">the </w:t>
      </w:r>
      <w:r w:rsidR="0039300D">
        <w:t xml:space="preserve">Australian </w:t>
      </w:r>
      <w:r w:rsidR="002226F1">
        <w:t xml:space="preserve">Government would </w:t>
      </w:r>
      <w:r w:rsidRPr="002C7F91">
        <w:t>requir</w:t>
      </w:r>
      <w:r w:rsidR="002226F1">
        <w:t>e</w:t>
      </w:r>
      <w:r w:rsidRPr="002C7F91">
        <w:t xml:space="preserve"> a</w:t>
      </w:r>
      <w:r w:rsidR="002226F1">
        <w:t xml:space="preserve"> receiving</w:t>
      </w:r>
      <w:r w:rsidRPr="002C7F91">
        <w:t xml:space="preserve"> employer to fill any vacancies created through government-supported early retirements</w:t>
      </w:r>
      <w:r w:rsidR="002226F1">
        <w:t xml:space="preserve"> </w:t>
      </w:r>
      <w:r w:rsidRPr="002C7F91">
        <w:t>with a worker from the redeployment pool.</w:t>
      </w:r>
    </w:p>
    <w:p w14:paraId="27793E6F" w14:textId="77777777" w:rsidR="005C01C5" w:rsidRPr="003D290F" w:rsidRDefault="00FD7768" w:rsidP="00B66BE0">
      <w:pPr>
        <w:pStyle w:val="Heading3"/>
      </w:pPr>
      <w:bookmarkStart w:id="179" w:name="_Toc155604620"/>
      <w:bookmarkStart w:id="180" w:name="_Toc161395973"/>
      <w:bookmarkStart w:id="181" w:name="_Toc161403509"/>
      <w:bookmarkStart w:id="182" w:name="_Toc161694788"/>
      <w:bookmarkStart w:id="183" w:name="_Toc161752243"/>
      <w:bookmarkStart w:id="184" w:name="_Toc161759681"/>
      <w:r w:rsidRPr="003D290F">
        <w:t>3.4.</w:t>
      </w:r>
      <w:r w:rsidR="0039152F">
        <w:t>5</w:t>
      </w:r>
      <w:r w:rsidRPr="003D290F">
        <w:t xml:space="preserve"> Transfer of workers from closing employers to </w:t>
      </w:r>
      <w:r w:rsidR="001F471B" w:rsidRPr="003D290F">
        <w:t>receiving employers</w:t>
      </w:r>
      <w:bookmarkEnd w:id="179"/>
      <w:bookmarkEnd w:id="180"/>
      <w:bookmarkEnd w:id="181"/>
      <w:bookmarkEnd w:id="182"/>
      <w:bookmarkEnd w:id="183"/>
      <w:bookmarkEnd w:id="184"/>
    </w:p>
    <w:p w14:paraId="715CE4F0" w14:textId="77777777" w:rsidR="00FD7768" w:rsidRPr="003D290F" w:rsidRDefault="00064CBC">
      <w:r w:rsidRPr="003D290F">
        <w:t xml:space="preserve">In order to facilitate the transfer and redeployment of workers from closing employers to </w:t>
      </w:r>
      <w:r w:rsidR="001F471B" w:rsidRPr="003D290F">
        <w:t>receiving employers</w:t>
      </w:r>
      <w:r w:rsidRPr="003D290F">
        <w:t>, i</w:t>
      </w:r>
      <w:r w:rsidR="00FD7768" w:rsidRPr="003D290F">
        <w:t xml:space="preserve">nformation about the skills, experience and interests of employees </w:t>
      </w:r>
      <w:r w:rsidRPr="003D290F">
        <w:t xml:space="preserve">at closing facilities </w:t>
      </w:r>
      <w:r w:rsidR="00FD7768" w:rsidRPr="003D290F">
        <w:t>who agree to participate in</w:t>
      </w:r>
      <w:r w:rsidR="00143FEE" w:rsidRPr="003D290F">
        <w:t xml:space="preserve"> pooled redeployment</w:t>
      </w:r>
      <w:r w:rsidR="00FD7768" w:rsidRPr="003D290F" w:rsidDel="00143FEE">
        <w:t xml:space="preserve"> </w:t>
      </w:r>
      <w:r w:rsidR="00FD7768" w:rsidRPr="003D290F">
        <w:t>w</w:t>
      </w:r>
      <w:r w:rsidRPr="003D290F">
        <w:t>ould</w:t>
      </w:r>
      <w:r w:rsidR="00FD7768" w:rsidRPr="003D290F">
        <w:t xml:space="preserve"> be shared with receiving employers in the community of interest, via the Authority. Receiving employers w</w:t>
      </w:r>
      <w:r w:rsidR="000D2063">
        <w:t>ould</w:t>
      </w:r>
      <w:r w:rsidR="00FD7768" w:rsidRPr="003D290F">
        <w:t xml:space="preserve"> then be able to engage with participating employees and their employer, and make offers of future employment. The timing of redeployment would be agreed between the closing and receiving employer, based on the business needs of the closing employer and when the employee’s role is no longer required.</w:t>
      </w:r>
    </w:p>
    <w:p w14:paraId="13C7C95F" w14:textId="77777777" w:rsidR="00064CBC" w:rsidRPr="003D290F" w:rsidRDefault="00064CBC" w:rsidP="00B66BE0">
      <w:pPr>
        <w:pStyle w:val="Heading3"/>
      </w:pPr>
      <w:bookmarkStart w:id="185" w:name="_Toc155604621"/>
      <w:bookmarkStart w:id="186" w:name="_Toc161395974"/>
      <w:bookmarkStart w:id="187" w:name="_Toc161403510"/>
      <w:bookmarkStart w:id="188" w:name="_Toc161694789"/>
      <w:bookmarkStart w:id="189" w:name="_Toc161752244"/>
      <w:bookmarkStart w:id="190" w:name="_Toc161759682"/>
      <w:r w:rsidRPr="003D290F">
        <w:t>3.4.</w:t>
      </w:r>
      <w:r w:rsidR="0039152F">
        <w:t>6</w:t>
      </w:r>
      <w:r w:rsidRPr="003D290F">
        <w:t xml:space="preserve"> Finalisation of a </w:t>
      </w:r>
      <w:r w:rsidR="006F3866" w:rsidRPr="003D290F">
        <w:t>community of interest</w:t>
      </w:r>
      <w:bookmarkEnd w:id="185"/>
      <w:bookmarkEnd w:id="186"/>
      <w:bookmarkEnd w:id="187"/>
      <w:bookmarkEnd w:id="188"/>
      <w:bookmarkEnd w:id="189"/>
      <w:bookmarkEnd w:id="190"/>
    </w:p>
    <w:p w14:paraId="7284F07D" w14:textId="77777777" w:rsidR="00F41A2A" w:rsidRPr="003D290F" w:rsidRDefault="00F41A2A" w:rsidP="00F41A2A">
      <w:r w:rsidRPr="003D290F">
        <w:t xml:space="preserve">If participating workers from a closing employer do not gain employment through the pooled redeployment </w:t>
      </w:r>
      <w:r w:rsidR="00143FEE" w:rsidRPr="003D290F">
        <w:t xml:space="preserve">plan </w:t>
      </w:r>
      <w:r w:rsidRPr="003D290F">
        <w:t xml:space="preserve">by the time their </w:t>
      </w:r>
      <w:r w:rsidR="00CD48E4">
        <w:t>role is no longer required</w:t>
      </w:r>
      <w:r w:rsidRPr="003D290F">
        <w:t xml:space="preserve">, they would be made redundant as per normal arrangements under industrial legislation, and would </w:t>
      </w:r>
      <w:r w:rsidR="003029F7" w:rsidRPr="003D290F">
        <w:t>be eligible for</w:t>
      </w:r>
      <w:r w:rsidRPr="003D290F">
        <w:t xml:space="preserve"> </w:t>
      </w:r>
      <w:r w:rsidR="0039300D">
        <w:t xml:space="preserve">Australian Government </w:t>
      </w:r>
      <w:r w:rsidRPr="003D290F">
        <w:t>employment services consistent with existing arrangements.</w:t>
      </w:r>
    </w:p>
    <w:p w14:paraId="710AE757" w14:textId="77777777" w:rsidR="00543019" w:rsidRPr="003D290F" w:rsidRDefault="00F41A2A" w:rsidP="00543019">
      <w:r w:rsidRPr="003D290F">
        <w:t xml:space="preserve">The community of interest </w:t>
      </w:r>
      <w:r w:rsidR="00CB06A8" w:rsidRPr="003D290F">
        <w:t xml:space="preserve">and pooled redeployment </w:t>
      </w:r>
      <w:r w:rsidR="00143FEE" w:rsidRPr="003D290F">
        <w:t xml:space="preserve">plan </w:t>
      </w:r>
      <w:r w:rsidRPr="003D290F">
        <w:t xml:space="preserve">would cease to operate </w:t>
      </w:r>
      <w:r w:rsidR="009D7CD5" w:rsidRPr="003D290F">
        <w:t xml:space="preserve">at an agreed time </w:t>
      </w:r>
      <w:r w:rsidR="00923780" w:rsidRPr="003D290F">
        <w:t>following closure of</w:t>
      </w:r>
      <w:r w:rsidRPr="003D290F">
        <w:t xml:space="preserve"> </w:t>
      </w:r>
      <w:r w:rsidR="00A50AFF" w:rsidRPr="003D290F">
        <w:t>the relevant power station</w:t>
      </w:r>
      <w:r w:rsidRPr="003D290F">
        <w:t>.</w:t>
      </w:r>
    </w:p>
    <w:p w14:paraId="4A59DF3A" w14:textId="77777777" w:rsidR="00405232" w:rsidRPr="003D290F" w:rsidRDefault="00BB36B9" w:rsidP="00543019">
      <w:pPr>
        <w:pStyle w:val="Heading2"/>
      </w:pPr>
      <w:bookmarkStart w:id="191" w:name="_Toc161395975"/>
      <w:bookmarkStart w:id="192" w:name="_Toc161403511"/>
      <w:bookmarkStart w:id="193" w:name="_Toc161752245"/>
      <w:bookmarkStart w:id="194" w:name="_Toc161759683"/>
      <w:r w:rsidRPr="003D290F">
        <w:t xml:space="preserve">3.5 </w:t>
      </w:r>
      <w:r w:rsidR="00E647BD" w:rsidRPr="003D290F">
        <w:t xml:space="preserve">Option </w:t>
      </w:r>
      <w:r w:rsidRPr="003D290F">
        <w:t>3</w:t>
      </w:r>
      <w:r w:rsidR="00E647BD" w:rsidRPr="003D290F">
        <w:t xml:space="preserve"> – </w:t>
      </w:r>
      <w:r w:rsidR="00BF76C7" w:rsidRPr="003D290F">
        <w:t>P</w:t>
      </w:r>
      <w:r w:rsidR="00E647BD" w:rsidRPr="003D290F">
        <w:t xml:space="preserve">ooled redeployment </w:t>
      </w:r>
      <w:r w:rsidR="000F7923" w:rsidRPr="003D290F">
        <w:t xml:space="preserve">arrangements </w:t>
      </w:r>
      <w:r w:rsidR="00E42576" w:rsidRPr="003D290F">
        <w:t>with</w:t>
      </w:r>
      <w:r w:rsidR="00BF76C7" w:rsidRPr="003D290F">
        <w:t xml:space="preserve"> </w:t>
      </w:r>
      <w:r w:rsidR="008D3755" w:rsidRPr="003D290F">
        <w:t xml:space="preserve">a </w:t>
      </w:r>
      <w:r w:rsidR="00BF76C7" w:rsidRPr="003D290F">
        <w:t>legislat</w:t>
      </w:r>
      <w:r w:rsidR="008D3755" w:rsidRPr="003D290F">
        <w:t>ed</w:t>
      </w:r>
      <w:r w:rsidR="00BF76C7" w:rsidRPr="003D290F">
        <w:t xml:space="preserve"> framework</w:t>
      </w:r>
      <w:r w:rsidR="000D2063">
        <w:t xml:space="preserve"> and mandated employer supports</w:t>
      </w:r>
      <w:bookmarkEnd w:id="191"/>
      <w:bookmarkEnd w:id="192"/>
      <w:bookmarkEnd w:id="193"/>
      <w:bookmarkEnd w:id="194"/>
    </w:p>
    <w:p w14:paraId="74D5A030" w14:textId="77777777" w:rsidR="00543019" w:rsidRPr="003D290F" w:rsidRDefault="00763551" w:rsidP="00426F19">
      <w:pPr>
        <w:keepNext/>
        <w:spacing w:before="120" w:after="120" w:line="276" w:lineRule="auto"/>
      </w:pPr>
      <w:r w:rsidRPr="003D290F">
        <w:t xml:space="preserve">This policy option would involve implementing pooled redeployment in the </w:t>
      </w:r>
      <w:r w:rsidR="00545E23" w:rsidRPr="003D290F">
        <w:t>lead up</w:t>
      </w:r>
      <w:r w:rsidRPr="003D290F">
        <w:t xml:space="preserve"> to the closure o</w:t>
      </w:r>
      <w:r w:rsidR="00E225C6">
        <w:t>f</w:t>
      </w:r>
      <w:r w:rsidRPr="003D290F">
        <w:t xml:space="preserve"> coal-fired power stations</w:t>
      </w:r>
      <w:r w:rsidR="000D2063">
        <w:t xml:space="preserve"> </w:t>
      </w:r>
      <w:r w:rsidR="000D2063" w:rsidRPr="00AF7115">
        <w:t>and gas-fired power stations</w:t>
      </w:r>
      <w:r w:rsidRPr="003D290F">
        <w:t xml:space="preserve"> with the same broad features as Option 2, </w:t>
      </w:r>
      <w:r w:rsidR="00770EEA" w:rsidRPr="003D290F">
        <w:t xml:space="preserve">but </w:t>
      </w:r>
      <w:r w:rsidRPr="003D290F">
        <w:t xml:space="preserve">with the addition of a legislated framework to underpin the </w:t>
      </w:r>
      <w:r w:rsidR="00143FEE" w:rsidRPr="003D290F">
        <w:t>plan</w:t>
      </w:r>
      <w:r w:rsidRPr="003D290F">
        <w:t xml:space="preserve">. </w:t>
      </w:r>
    </w:p>
    <w:p w14:paraId="426F55C3" w14:textId="77777777" w:rsidR="00543019" w:rsidRPr="003D290F" w:rsidRDefault="00763551" w:rsidP="00426F19">
      <w:pPr>
        <w:keepNext/>
        <w:spacing w:before="120" w:after="120" w:line="276" w:lineRule="auto"/>
      </w:pPr>
      <w:r w:rsidRPr="003D290F">
        <w:t xml:space="preserve">This </w:t>
      </w:r>
      <w:r w:rsidR="00543019" w:rsidRPr="003D290F">
        <w:t xml:space="preserve">legislative framework would outline a formal </w:t>
      </w:r>
      <w:r w:rsidR="000D2063">
        <w:t>process for</w:t>
      </w:r>
      <w:r w:rsidR="00543019" w:rsidRPr="003D290F">
        <w:t xml:space="preserve"> determining </w:t>
      </w:r>
      <w:r w:rsidR="000D2063">
        <w:t xml:space="preserve">closing employer </w:t>
      </w:r>
      <w:r w:rsidR="00A7218D">
        <w:t xml:space="preserve">and dependent employer </w:t>
      </w:r>
      <w:r w:rsidR="000D2063">
        <w:t xml:space="preserve">participation in </w:t>
      </w:r>
      <w:r w:rsidR="00D65921" w:rsidRPr="003D290F">
        <w:t xml:space="preserve">communities of </w:t>
      </w:r>
      <w:r w:rsidR="00CD676C" w:rsidRPr="003D290F">
        <w:t>interest</w:t>
      </w:r>
      <w:r w:rsidR="000D2063">
        <w:t>,</w:t>
      </w:r>
      <w:r w:rsidR="00CD676C" w:rsidRPr="003D290F">
        <w:t xml:space="preserve"> </w:t>
      </w:r>
      <w:r w:rsidR="001C02B8">
        <w:t>allow those employers to be compelled to participate</w:t>
      </w:r>
      <w:r w:rsidR="00B85E14">
        <w:t>,</w:t>
      </w:r>
      <w:r w:rsidR="001C02B8">
        <w:t xml:space="preserve"> </w:t>
      </w:r>
      <w:r w:rsidR="00CD676C" w:rsidRPr="003D290F">
        <w:t xml:space="preserve">and </w:t>
      </w:r>
      <w:r w:rsidRPr="003D290F">
        <w:t xml:space="preserve">create </w:t>
      </w:r>
      <w:r w:rsidR="00D65921" w:rsidRPr="003D290F">
        <w:t xml:space="preserve">certain </w:t>
      </w:r>
      <w:r w:rsidR="00CD676C" w:rsidRPr="003D290F">
        <w:t xml:space="preserve">legislated </w:t>
      </w:r>
      <w:r w:rsidRPr="003D290F">
        <w:t>obligations on</w:t>
      </w:r>
      <w:r w:rsidR="00A7218D">
        <w:t xml:space="preserve"> participating</w:t>
      </w:r>
      <w:r w:rsidRPr="003D290F">
        <w:t xml:space="preserve"> </w:t>
      </w:r>
      <w:r w:rsidR="000D2063">
        <w:t xml:space="preserve">closing </w:t>
      </w:r>
      <w:r w:rsidR="00A7218D">
        <w:t xml:space="preserve">and dependent </w:t>
      </w:r>
      <w:r w:rsidRPr="003D290F">
        <w:t>employers</w:t>
      </w:r>
      <w:r w:rsidR="00143FEE" w:rsidRPr="003D290F">
        <w:t xml:space="preserve"> </w:t>
      </w:r>
      <w:r w:rsidRPr="003D290F">
        <w:t>that would not be</w:t>
      </w:r>
      <w:r w:rsidR="00543019" w:rsidRPr="003D290F">
        <w:t xml:space="preserve"> p</w:t>
      </w:r>
      <w:r w:rsidRPr="003D290F">
        <w:t xml:space="preserve">resent under Option 2. </w:t>
      </w:r>
      <w:r w:rsidR="00CD676C" w:rsidRPr="003D290F">
        <w:t>It would also introduce a role for the</w:t>
      </w:r>
      <w:r w:rsidR="001354AF" w:rsidRPr="003D290F">
        <w:t xml:space="preserve"> Fair Work Commission </w:t>
      </w:r>
      <w:r w:rsidR="00BA2A3F" w:rsidRPr="003D290F">
        <w:lastRenderedPageBreak/>
        <w:t xml:space="preserve">(FWC) </w:t>
      </w:r>
      <w:r w:rsidR="001354AF" w:rsidRPr="003D290F">
        <w:t>in formally determining</w:t>
      </w:r>
      <w:r w:rsidR="000D2063">
        <w:t xml:space="preserve"> the closing employers and dependent employers comprising a </w:t>
      </w:r>
      <w:r w:rsidR="001354AF" w:rsidRPr="003D290F">
        <w:t>communit</w:t>
      </w:r>
      <w:r w:rsidR="000D2063">
        <w:t>y</w:t>
      </w:r>
      <w:r w:rsidR="001354AF" w:rsidRPr="003D290F">
        <w:t xml:space="preserve"> of interest, and </w:t>
      </w:r>
      <w:r w:rsidR="00EC53D4" w:rsidRPr="003D290F">
        <w:t xml:space="preserve">be </w:t>
      </w:r>
      <w:r w:rsidR="001354AF" w:rsidRPr="003D290F">
        <w:t>given the power to make certain orders in relation to employer obligations.</w:t>
      </w:r>
    </w:p>
    <w:p w14:paraId="4439EB49" w14:textId="77777777" w:rsidR="001354AF" w:rsidRPr="003D290F" w:rsidRDefault="000D2063" w:rsidP="00426F19">
      <w:pPr>
        <w:keepNext/>
        <w:spacing w:before="120" w:after="120" w:line="276" w:lineRule="auto"/>
      </w:pPr>
      <w:r>
        <w:t>Unlike Option 2, t</w:t>
      </w:r>
      <w:r w:rsidR="001354AF" w:rsidRPr="003D290F">
        <w:t>his policy model would require legislative change to implement.</w:t>
      </w:r>
    </w:p>
    <w:p w14:paraId="7D043A5D" w14:textId="77777777" w:rsidR="00763551" w:rsidRPr="003D290F" w:rsidRDefault="00763551" w:rsidP="00426F19">
      <w:pPr>
        <w:keepNext/>
        <w:spacing w:before="120" w:after="120" w:line="276" w:lineRule="auto"/>
      </w:pPr>
      <w:r w:rsidRPr="003D290F">
        <w:t xml:space="preserve">The key differences under </w:t>
      </w:r>
      <w:r w:rsidR="00B3113F" w:rsidRPr="003D290F">
        <w:t>O</w:t>
      </w:r>
      <w:r w:rsidRPr="003D290F">
        <w:t xml:space="preserve">ption 3, relative to Option 2, are </w:t>
      </w:r>
      <w:r w:rsidR="00543019" w:rsidRPr="003D290F">
        <w:t xml:space="preserve">outlined </w:t>
      </w:r>
      <w:r w:rsidRPr="003D290F">
        <w:t>as follows.</w:t>
      </w:r>
    </w:p>
    <w:p w14:paraId="264002BD" w14:textId="77777777" w:rsidR="00763551" w:rsidRPr="003D290F" w:rsidRDefault="00B66BE0" w:rsidP="00426F19">
      <w:pPr>
        <w:pStyle w:val="Heading3"/>
        <w:spacing w:line="276" w:lineRule="auto"/>
      </w:pPr>
      <w:bookmarkStart w:id="195" w:name="_Toc161395976"/>
      <w:bookmarkStart w:id="196" w:name="_Toc161403512"/>
      <w:bookmarkStart w:id="197" w:name="_Toc161694791"/>
      <w:bookmarkStart w:id="198" w:name="_Toc161752246"/>
      <w:bookmarkStart w:id="199" w:name="_Toc161759684"/>
      <w:bookmarkStart w:id="200" w:name="_Toc155604623"/>
      <w:r w:rsidRPr="003D290F">
        <w:t xml:space="preserve">3.5.1 Legislated </w:t>
      </w:r>
      <w:r w:rsidR="00E22F10">
        <w:t xml:space="preserve">process for establishing a community of interest </w:t>
      </w:r>
      <w:r w:rsidR="00A04713">
        <w:t xml:space="preserve">and determining </w:t>
      </w:r>
      <w:r w:rsidR="008B262D">
        <w:t xml:space="preserve">closing and dependent </w:t>
      </w:r>
      <w:r w:rsidRPr="003D290F">
        <w:t>employer</w:t>
      </w:r>
      <w:r w:rsidR="00361064" w:rsidRPr="003D290F">
        <w:t xml:space="preserve"> </w:t>
      </w:r>
      <w:r w:rsidR="00A04713">
        <w:t>participation</w:t>
      </w:r>
      <w:bookmarkEnd w:id="195"/>
      <w:bookmarkEnd w:id="196"/>
      <w:bookmarkEnd w:id="197"/>
      <w:bookmarkEnd w:id="198"/>
      <w:bookmarkEnd w:id="199"/>
      <w:r w:rsidR="00361064" w:rsidRPr="003D290F">
        <w:t xml:space="preserve"> </w:t>
      </w:r>
      <w:bookmarkEnd w:id="200"/>
      <w:r w:rsidR="00143FEE" w:rsidRPr="003D290F">
        <w:t xml:space="preserve"> </w:t>
      </w:r>
    </w:p>
    <w:p w14:paraId="00B5D75E" w14:textId="77777777" w:rsidR="00E22F10" w:rsidRDefault="00D91713">
      <w:pPr>
        <w:keepNext/>
        <w:spacing w:before="120" w:after="120" w:line="276" w:lineRule="auto"/>
      </w:pPr>
      <w:r>
        <w:t xml:space="preserve">Following a power station closure announcement, the Authority would </w:t>
      </w:r>
      <w:r w:rsidR="00E22F10">
        <w:t xml:space="preserve">undertake an assessment of whether a pooled redeployment plan is needed, having regard to a set of legislated factors (broadly, the same factors as the Authority would have regard to under Option 2, as outlined in </w:t>
      </w:r>
      <w:r w:rsidR="00426650" w:rsidRPr="00E77931">
        <w:rPr>
          <w:b/>
          <w:color w:val="1B375C" w:themeColor="accent1"/>
        </w:rPr>
        <w:t>S</w:t>
      </w:r>
      <w:r w:rsidR="00E22F10" w:rsidRPr="00E77931">
        <w:rPr>
          <w:b/>
          <w:color w:val="1B375C" w:themeColor="accent1"/>
        </w:rPr>
        <w:t>ection 3.4.1</w:t>
      </w:r>
      <w:r w:rsidR="00E22F10" w:rsidRPr="00E77931">
        <w:t>).</w:t>
      </w:r>
      <w:r w:rsidR="00E22F10">
        <w:t xml:space="preserve"> </w:t>
      </w:r>
    </w:p>
    <w:p w14:paraId="5B13E84B" w14:textId="77777777" w:rsidR="00E22F10" w:rsidRDefault="00E22F10">
      <w:pPr>
        <w:keepNext/>
        <w:spacing w:before="120" w:after="120" w:line="276" w:lineRule="auto"/>
      </w:pPr>
      <w:r>
        <w:t xml:space="preserve">The Authority would </w:t>
      </w:r>
      <w:r w:rsidR="00D91713">
        <w:t xml:space="preserve">work to identify relevant closing and dependent employers for formal inclusion in a community of interest. </w:t>
      </w:r>
      <w:r w:rsidRPr="003D290F">
        <w:t xml:space="preserve">The legislative framework would set out criteria for which kinds of employers can be included as </w:t>
      </w:r>
      <w:r>
        <w:t>closing employers and dependent</w:t>
      </w:r>
      <w:r w:rsidRPr="003D290F">
        <w:t xml:space="preserve"> employers in a community of interest.</w:t>
      </w:r>
      <w:r w:rsidRPr="003D290F" w:rsidDel="00FE2609">
        <w:t xml:space="preserve"> </w:t>
      </w:r>
    </w:p>
    <w:p w14:paraId="25C37977" w14:textId="77777777" w:rsidR="00E22F10" w:rsidRDefault="00E22F10">
      <w:pPr>
        <w:keepNext/>
        <w:spacing w:before="120" w:after="120" w:line="276" w:lineRule="auto"/>
      </w:pPr>
      <w:r>
        <w:t>Dependent employers would be companies that have a commercial relationship with a closing employer, employ staff who primarily work at the site of a closing employer</w:t>
      </w:r>
      <w:r w:rsidR="003F36E6">
        <w:t xml:space="preserve"> or at a dependent mine</w:t>
      </w:r>
      <w:r>
        <w:t>, and will likely cease a substantial part of their business operations in the same geographic area as a closing power station as a direct result of the eventual closure of the power station</w:t>
      </w:r>
      <w:r w:rsidRPr="003D290F">
        <w:t xml:space="preserve">. </w:t>
      </w:r>
      <w:r>
        <w:t>This is likely to capture some major service contracting companies that provide significant numbers of workers to coal-fired and gas-fired power stations and associated mines.</w:t>
      </w:r>
    </w:p>
    <w:p w14:paraId="57177E9B" w14:textId="77777777" w:rsidR="00426577" w:rsidRDefault="00D91713">
      <w:pPr>
        <w:keepNext/>
        <w:spacing w:before="120" w:after="120" w:line="276" w:lineRule="auto"/>
      </w:pPr>
      <w:r>
        <w:t xml:space="preserve">The Authority would work </w:t>
      </w:r>
      <w:r w:rsidR="00E22F10">
        <w:t xml:space="preserve">with potential closing and dependent </w:t>
      </w:r>
      <w:r>
        <w:t>employers to facilitate a voluntary approach to participation</w:t>
      </w:r>
      <w:r w:rsidR="00E22F10">
        <w:t xml:space="preserve"> in the community of interest</w:t>
      </w:r>
      <w:r w:rsidR="00FE2609">
        <w:t>, and if any potential closing and dependent employers are reluctant to participate, t</w:t>
      </w:r>
      <w:r w:rsidR="00FE2609" w:rsidRPr="003D290F">
        <w:t xml:space="preserve">he Authority would be required to consult with </w:t>
      </w:r>
      <w:r w:rsidR="00FE2609">
        <w:t>them and</w:t>
      </w:r>
      <w:r w:rsidR="00FE2609" w:rsidRPr="003D290F">
        <w:t xml:space="preserve"> ascertain reasons why the employer would be unwilling to participate voluntarily. </w:t>
      </w:r>
    </w:p>
    <w:p w14:paraId="3B60D8E0" w14:textId="77777777" w:rsidR="00DF0DDC" w:rsidRDefault="00FE2609">
      <w:pPr>
        <w:keepNext/>
        <w:spacing w:before="120" w:after="120" w:line="276" w:lineRule="auto"/>
      </w:pPr>
      <w:r w:rsidRPr="003D290F">
        <w:t xml:space="preserve">Once the Authority </w:t>
      </w:r>
      <w:r w:rsidR="00DF0DDC">
        <w:t xml:space="preserve">is satisfied that a pooled redeployment plan is needed, and </w:t>
      </w:r>
      <w:r w:rsidRPr="003D290F">
        <w:t xml:space="preserve">has identified a prospective list of all closing and </w:t>
      </w:r>
      <w:r>
        <w:t>dependent</w:t>
      </w:r>
      <w:r w:rsidRPr="003D290F">
        <w:t xml:space="preserve"> employers for inclusion in the community of interest, it would make an application to the FWC, which would be given powers to determine which </w:t>
      </w:r>
      <w:r w:rsidR="007B705D">
        <w:t xml:space="preserve">closing and dependent </w:t>
      </w:r>
      <w:r w:rsidRPr="003D290F">
        <w:t>employers are included, according to statutory criteria</w:t>
      </w:r>
      <w:r w:rsidR="00DF0DDC">
        <w:t xml:space="preserve"> including</w:t>
      </w:r>
      <w:r w:rsidR="00186104">
        <w:t xml:space="preserve"> the</w:t>
      </w:r>
      <w:r w:rsidR="00DF0DDC">
        <w:t>:</w:t>
      </w:r>
    </w:p>
    <w:p w14:paraId="0D6CD7AE" w14:textId="77777777" w:rsidR="00DF0DDC" w:rsidRDefault="00DF0DDC" w:rsidP="00DF0DDC">
      <w:pPr>
        <w:pStyle w:val="ListParagraph"/>
        <w:numPr>
          <w:ilvl w:val="0"/>
          <w:numId w:val="24"/>
        </w:numPr>
      </w:pPr>
      <w:r>
        <w:t>existing supports that are available to assist employees to find other employment (including through programs run by their employers and any state government programs)</w:t>
      </w:r>
      <w:r w:rsidR="00867890">
        <w:t>;</w:t>
      </w:r>
    </w:p>
    <w:p w14:paraId="239ADA92" w14:textId="77777777" w:rsidR="00DF0DDC" w:rsidRDefault="00DF0DDC" w:rsidP="00DF0DDC">
      <w:pPr>
        <w:pStyle w:val="ListParagraph"/>
        <w:numPr>
          <w:ilvl w:val="0"/>
          <w:numId w:val="24"/>
        </w:numPr>
      </w:pPr>
      <w:r>
        <w:t>number of employees involved</w:t>
      </w:r>
      <w:r w:rsidR="00867890">
        <w:t>;</w:t>
      </w:r>
    </w:p>
    <w:p w14:paraId="06BFDAE6" w14:textId="77777777" w:rsidR="00DF0DDC" w:rsidRDefault="00DF0DDC" w:rsidP="00DF0DDC">
      <w:pPr>
        <w:pStyle w:val="ListParagraph"/>
        <w:numPr>
          <w:ilvl w:val="0"/>
          <w:numId w:val="24"/>
        </w:numPr>
      </w:pPr>
      <w:r>
        <w:t>capacity of closing employers to redeploy their employe</w:t>
      </w:r>
      <w:r w:rsidR="00867890">
        <w:t>es in other business operations;</w:t>
      </w:r>
      <w:r>
        <w:t xml:space="preserve"> and</w:t>
      </w:r>
    </w:p>
    <w:p w14:paraId="093D6474" w14:textId="77777777" w:rsidR="00426577" w:rsidRPr="003D290F" w:rsidRDefault="00DF0DDC" w:rsidP="00ED7D02">
      <w:pPr>
        <w:pStyle w:val="ListParagraph"/>
        <w:numPr>
          <w:ilvl w:val="0"/>
          <w:numId w:val="24"/>
        </w:numPr>
      </w:pPr>
      <w:r>
        <w:t>capacity of the local labour market to absorb those workers in the absence of a pooled redeployment plan.</w:t>
      </w:r>
      <w:r w:rsidR="00D91713">
        <w:t xml:space="preserve"> </w:t>
      </w:r>
    </w:p>
    <w:p w14:paraId="134360C7" w14:textId="77777777" w:rsidR="004534C1" w:rsidRPr="003D290F" w:rsidRDefault="004534C1" w:rsidP="00426F19">
      <w:pPr>
        <w:keepNext/>
        <w:spacing w:before="120" w:after="120" w:line="276" w:lineRule="auto"/>
      </w:pPr>
      <w:r w:rsidRPr="003D290F">
        <w:t xml:space="preserve">If all employers identified by the Authority are participating voluntarily, the FWC could determine the community of interest ‘on the papers’. If some employers have not been included voluntarily, the FWC could seek submissions and/or hold hearings involving the Authority, affected businesses and individuals, and relevant unions to inform its determination. All </w:t>
      </w:r>
      <w:r w:rsidR="008B262D">
        <w:t xml:space="preserve">closing and dependent </w:t>
      </w:r>
      <w:r w:rsidRPr="003D290F">
        <w:t xml:space="preserve">employers identified for inclusion in the community of interest would have the opportunity to contest their inclusion through the </w:t>
      </w:r>
      <w:r w:rsidRPr="003D290F">
        <w:lastRenderedPageBreak/>
        <w:t>FWC, and the ability to contest their ongoing inclusion in certain circumstances, such as a material change in their operational or financial circumstances.</w:t>
      </w:r>
    </w:p>
    <w:p w14:paraId="1AE47355" w14:textId="77777777" w:rsidR="001354AF" w:rsidRDefault="001354AF" w:rsidP="00426F19">
      <w:pPr>
        <w:keepNext/>
        <w:spacing w:before="120" w:after="120" w:line="276" w:lineRule="auto"/>
      </w:pPr>
      <w:r w:rsidRPr="003D290F">
        <w:t xml:space="preserve">Once the </w:t>
      </w:r>
      <w:r w:rsidR="00BA2A3F" w:rsidRPr="003D290F">
        <w:t>FWC</w:t>
      </w:r>
      <w:r w:rsidRPr="003D290F">
        <w:t xml:space="preserve"> has formally determined the community of interest, participation in the </w:t>
      </w:r>
      <w:r w:rsidR="00E918E4" w:rsidRPr="003D290F">
        <w:t>plan</w:t>
      </w:r>
      <w:r w:rsidRPr="003D290F">
        <w:t xml:space="preserve"> is binding on </w:t>
      </w:r>
      <w:r w:rsidR="00CB299C">
        <w:t xml:space="preserve">closing and dependent </w:t>
      </w:r>
      <w:r w:rsidRPr="003D290F">
        <w:t>employers included in the determination</w:t>
      </w:r>
      <w:r w:rsidR="0026690C" w:rsidRPr="003D290F">
        <w:t xml:space="preserve"> (obligations are set out below)</w:t>
      </w:r>
      <w:r w:rsidRPr="003D290F">
        <w:t xml:space="preserve">. </w:t>
      </w:r>
    </w:p>
    <w:p w14:paraId="492950D4" w14:textId="77777777" w:rsidR="00D91713" w:rsidRPr="003D290F" w:rsidRDefault="00D91713" w:rsidP="00426F19">
      <w:pPr>
        <w:keepNext/>
        <w:spacing w:before="120" w:after="120" w:line="276" w:lineRule="auto"/>
      </w:pPr>
      <w:r>
        <w:t xml:space="preserve">Under </w:t>
      </w:r>
      <w:r w:rsidR="00FE2609">
        <w:t>O</w:t>
      </w:r>
      <w:r>
        <w:t>ption</w:t>
      </w:r>
      <w:r w:rsidR="00FE2609">
        <w:t xml:space="preserve"> 3</w:t>
      </w:r>
      <w:r>
        <w:t>, t</w:t>
      </w:r>
      <w:r w:rsidRPr="00B12A92">
        <w:t>he approach</w:t>
      </w:r>
      <w:r>
        <w:t xml:space="preserve"> taken</w:t>
      </w:r>
      <w:r w:rsidRPr="00B12A92">
        <w:t xml:space="preserve"> in identifying potential receiving employers to participate would operate in the same way as per </w:t>
      </w:r>
      <w:r w:rsidR="00EA3AC0" w:rsidRPr="00E77931">
        <w:rPr>
          <w:b/>
          <w:color w:val="1B375C" w:themeColor="accent1"/>
        </w:rPr>
        <w:t xml:space="preserve">Section </w:t>
      </w:r>
      <w:r w:rsidRPr="00E77931">
        <w:rPr>
          <w:b/>
          <w:color w:val="1B375C" w:themeColor="accent1"/>
        </w:rPr>
        <w:t>3.4.2</w:t>
      </w:r>
      <w:r w:rsidRPr="00B12A92">
        <w:t xml:space="preserve"> under Option 2, with the Authority seeking voluntary expressions of interest, focusing on large businesses in the same geographic region in similar industries, or with similar employee skill sets, as the closing and dependent employers</w:t>
      </w:r>
      <w:r w:rsidRPr="003D290F">
        <w:t>.</w:t>
      </w:r>
    </w:p>
    <w:p w14:paraId="510EC3C2" w14:textId="77777777" w:rsidR="00763551" w:rsidRPr="003D290F" w:rsidRDefault="00763551" w:rsidP="00426F19">
      <w:pPr>
        <w:pStyle w:val="Heading3"/>
        <w:spacing w:line="276" w:lineRule="auto"/>
      </w:pPr>
      <w:bookmarkStart w:id="201" w:name="_Toc155604624"/>
      <w:bookmarkStart w:id="202" w:name="_Toc161395977"/>
      <w:bookmarkStart w:id="203" w:name="_Toc161403513"/>
      <w:bookmarkStart w:id="204" w:name="_Toc161694792"/>
      <w:bookmarkStart w:id="205" w:name="_Toc161752247"/>
      <w:bookmarkStart w:id="206" w:name="_Toc161759685"/>
      <w:r w:rsidRPr="003D290F">
        <w:t xml:space="preserve">3.5.2 </w:t>
      </w:r>
      <w:r w:rsidR="00361064" w:rsidRPr="003D290F">
        <w:t xml:space="preserve">Obligations on </w:t>
      </w:r>
      <w:r w:rsidR="004534C1" w:rsidRPr="003D290F">
        <w:t xml:space="preserve">participating </w:t>
      </w:r>
      <w:r w:rsidR="008B262D">
        <w:t xml:space="preserve">closing and dependent </w:t>
      </w:r>
      <w:r w:rsidRPr="003D290F">
        <w:t>employers</w:t>
      </w:r>
      <w:bookmarkEnd w:id="201"/>
      <w:bookmarkEnd w:id="202"/>
      <w:bookmarkEnd w:id="203"/>
      <w:bookmarkEnd w:id="204"/>
      <w:bookmarkEnd w:id="205"/>
      <w:bookmarkEnd w:id="206"/>
    </w:p>
    <w:p w14:paraId="3E78D526" w14:textId="77777777" w:rsidR="001354AF" w:rsidRPr="003D290F" w:rsidRDefault="00A264C4" w:rsidP="00426F19">
      <w:pPr>
        <w:keepNext/>
        <w:spacing w:before="120" w:after="120" w:line="276" w:lineRule="auto"/>
      </w:pPr>
      <w:r w:rsidRPr="003D290F">
        <w:t xml:space="preserve">While pooled redeployment plans would be intended to operate on a voluntary basis to the fullest extent possible, this policy option would also include </w:t>
      </w:r>
      <w:r w:rsidR="00FE2609">
        <w:t>some</w:t>
      </w:r>
      <w:r w:rsidR="00FE2609" w:rsidRPr="003D290F">
        <w:t xml:space="preserve"> </w:t>
      </w:r>
      <w:r w:rsidRPr="003D290F">
        <w:t xml:space="preserve">enforceable obligations on </w:t>
      </w:r>
      <w:r w:rsidR="00FE2609">
        <w:t xml:space="preserve">closing and dependent </w:t>
      </w:r>
      <w:r w:rsidRPr="003D290F">
        <w:t xml:space="preserve">employers participating in a community of </w:t>
      </w:r>
      <w:r w:rsidR="001354AF" w:rsidRPr="003D290F" w:rsidDel="00A264C4">
        <w:t>interest</w:t>
      </w:r>
      <w:r w:rsidR="001354AF" w:rsidRPr="003D290F">
        <w:t>.</w:t>
      </w:r>
      <w:r w:rsidR="007865AB" w:rsidRPr="003D290F">
        <w:t xml:space="preserve"> </w:t>
      </w:r>
      <w:r w:rsidR="00BC6D6A" w:rsidRPr="003D290F">
        <w:t>As under Option 2, p</w:t>
      </w:r>
      <w:r w:rsidR="007865AB" w:rsidRPr="003D290F">
        <w:t xml:space="preserve">articipation by workers in </w:t>
      </w:r>
      <w:r w:rsidR="004534C1" w:rsidRPr="003D290F">
        <w:t>pooled redeployment</w:t>
      </w:r>
      <w:r w:rsidR="00E918E4" w:rsidRPr="003D290F">
        <w:t xml:space="preserve"> </w:t>
      </w:r>
      <w:r w:rsidR="007865AB" w:rsidRPr="003D290F">
        <w:t xml:space="preserve">would </w:t>
      </w:r>
      <w:r w:rsidR="00BC6D6A" w:rsidRPr="003D290F">
        <w:t>remain</w:t>
      </w:r>
      <w:r w:rsidR="007865AB" w:rsidRPr="003D290F">
        <w:t xml:space="preserve"> voluntary.</w:t>
      </w:r>
    </w:p>
    <w:p w14:paraId="3C95ED52" w14:textId="77777777" w:rsidR="00426577" w:rsidRDefault="00426577" w:rsidP="00DB5762">
      <w:pPr>
        <w:keepNext/>
        <w:spacing w:before="120" w:after="120" w:line="276" w:lineRule="auto"/>
      </w:pPr>
      <w:r>
        <w:t xml:space="preserve">Closing and dependent employers </w:t>
      </w:r>
      <w:r w:rsidR="00EC341C">
        <w:t>included in a community of interest would be required to offer relevant transition supports to their employees, including by offering employees the opportunity to participate in pooled redeployment and facilitate their taking up a role with a receiving employer. The specific obligations on closing and dependent employees would be to:</w:t>
      </w:r>
    </w:p>
    <w:p w14:paraId="5EBE2673" w14:textId="77777777" w:rsidR="00CB299C" w:rsidRDefault="00EA3AC0" w:rsidP="00B82A86">
      <w:pPr>
        <w:pStyle w:val="ListParagraph"/>
        <w:keepNext/>
        <w:numPr>
          <w:ilvl w:val="0"/>
          <w:numId w:val="14"/>
        </w:numPr>
        <w:spacing w:before="120" w:after="120" w:line="276" w:lineRule="auto"/>
      </w:pPr>
      <w:r>
        <w:t>c</w:t>
      </w:r>
      <w:r w:rsidR="00CB299C">
        <w:t xml:space="preserve">ooperate with the Authority in the development of redeployment arrangements </w:t>
      </w:r>
    </w:p>
    <w:p w14:paraId="3FD5E471" w14:textId="77777777" w:rsidR="00CB299C" w:rsidRDefault="00EA3AC0" w:rsidP="00B82A86">
      <w:pPr>
        <w:pStyle w:val="ListParagraph"/>
        <w:keepNext/>
        <w:numPr>
          <w:ilvl w:val="0"/>
          <w:numId w:val="14"/>
        </w:numPr>
        <w:spacing w:before="120" w:after="120" w:line="276" w:lineRule="auto"/>
      </w:pPr>
      <w:r>
        <w:t>s</w:t>
      </w:r>
      <w:r w:rsidR="00CB299C">
        <w:t xml:space="preserve">eek expressions of interest from employees to participate in the redeployment pool  </w:t>
      </w:r>
    </w:p>
    <w:p w14:paraId="0BA994A7" w14:textId="77777777" w:rsidR="00CB299C" w:rsidRDefault="00EA3AC0" w:rsidP="00B82A86">
      <w:pPr>
        <w:pStyle w:val="ListParagraph"/>
        <w:keepNext/>
        <w:numPr>
          <w:ilvl w:val="0"/>
          <w:numId w:val="14"/>
        </w:numPr>
        <w:spacing w:before="120" w:after="120" w:line="276" w:lineRule="auto"/>
      </w:pPr>
      <w:r>
        <w:t>p</w:t>
      </w:r>
      <w:r w:rsidR="00CB299C">
        <w:t>rovide information to employees to assist them to make informed decisions in relation to the redeployment pool</w:t>
      </w:r>
    </w:p>
    <w:p w14:paraId="03B876BB" w14:textId="77777777" w:rsidR="00EC341C" w:rsidRDefault="00EA3AC0" w:rsidP="00B82A86">
      <w:pPr>
        <w:pStyle w:val="ListParagraph"/>
        <w:keepNext/>
        <w:numPr>
          <w:ilvl w:val="0"/>
          <w:numId w:val="14"/>
        </w:numPr>
        <w:spacing w:before="120" w:after="120" w:line="276" w:lineRule="auto"/>
      </w:pPr>
      <w:r>
        <w:t>p</w:t>
      </w:r>
      <w:r w:rsidR="00EC341C">
        <w:t>rovide paid leave and/or flexible working arrangements to employees for the purpose of participating in training, receiving support and advice or seeking employment</w:t>
      </w:r>
    </w:p>
    <w:p w14:paraId="56AF8FEA" w14:textId="77777777" w:rsidR="00EC341C" w:rsidRDefault="00EA3AC0" w:rsidP="00B82A86">
      <w:pPr>
        <w:pStyle w:val="ListParagraph"/>
        <w:keepNext/>
        <w:numPr>
          <w:ilvl w:val="0"/>
          <w:numId w:val="14"/>
        </w:numPr>
        <w:spacing w:before="120" w:after="120" w:line="276" w:lineRule="auto"/>
      </w:pPr>
      <w:r>
        <w:t>c</w:t>
      </w:r>
      <w:r w:rsidR="00EC341C">
        <w:t xml:space="preserve">ontribute towards the provision or cost </w:t>
      </w:r>
      <w:r>
        <w:t>of relevant training and advice</w:t>
      </w:r>
    </w:p>
    <w:p w14:paraId="2830F5C0" w14:textId="77777777" w:rsidR="00EC341C" w:rsidRDefault="00EA3AC0" w:rsidP="00B82A86">
      <w:pPr>
        <w:pStyle w:val="ListParagraph"/>
        <w:keepNext/>
        <w:numPr>
          <w:ilvl w:val="0"/>
          <w:numId w:val="14"/>
        </w:numPr>
        <w:spacing w:before="120" w:after="120" w:line="276" w:lineRule="auto"/>
      </w:pPr>
      <w:r>
        <w:t>p</w:t>
      </w:r>
      <w:r w:rsidR="00EC341C">
        <w:t>ermit employees to receive advice and support from an employee organisation that is entitled to represent the industrial interests of the relevant employees concer</w:t>
      </w:r>
      <w:r>
        <w:t>ning training and employment, and</w:t>
      </w:r>
    </w:p>
    <w:p w14:paraId="7950963F" w14:textId="77777777" w:rsidR="00EC341C" w:rsidRDefault="00EA3AC0" w:rsidP="00B82A86">
      <w:pPr>
        <w:pStyle w:val="ListParagraph"/>
        <w:keepNext/>
        <w:numPr>
          <w:ilvl w:val="0"/>
          <w:numId w:val="14"/>
        </w:numPr>
        <w:spacing w:before="120" w:after="120" w:line="276" w:lineRule="auto"/>
      </w:pPr>
      <w:r>
        <w:t>t</w:t>
      </w:r>
      <w:r w:rsidR="00EC341C">
        <w:t>ake steps to redeploy employees in the pooled redeployment scheme to a receiving employer, including by providing all relevant information to the receiving employee</w:t>
      </w:r>
    </w:p>
    <w:p w14:paraId="23A0E460" w14:textId="77777777" w:rsidR="00EC341C" w:rsidRDefault="00EC341C" w:rsidP="00DB5762">
      <w:pPr>
        <w:keepNext/>
        <w:spacing w:before="120" w:after="120" w:line="276" w:lineRule="auto"/>
      </w:pPr>
      <w:r>
        <w:t>The</w:t>
      </w:r>
      <w:r w:rsidDel="00EA3AC0">
        <w:t xml:space="preserve"> </w:t>
      </w:r>
      <w:r>
        <w:t xml:space="preserve">level of support provided under these obligations would be subject to the reasonable operational requirements of businesses. </w:t>
      </w:r>
      <w:r w:rsidRPr="00EC341C">
        <w:t xml:space="preserve">For example, a closing employer </w:t>
      </w:r>
      <w:r>
        <w:t>would be require</w:t>
      </w:r>
      <w:r w:rsidR="00EC3361">
        <w:t>d to</w:t>
      </w:r>
      <w:r w:rsidRPr="00EC341C">
        <w:t xml:space="preserve"> provide employees with paid time off or flexible working arrangements to receive relevant training, but the level </w:t>
      </w:r>
      <w:r>
        <w:t xml:space="preserve">of support </w:t>
      </w:r>
      <w:r>
        <w:lastRenderedPageBreak/>
        <w:t>provided (e</w:t>
      </w:r>
      <w:r w:rsidRPr="00EC341C">
        <w:t>.</w:t>
      </w:r>
      <w:r>
        <w:t>g</w:t>
      </w:r>
      <w:r w:rsidRPr="00EC341C">
        <w:t>. the number of hours provided for training) w</w:t>
      </w:r>
      <w:r>
        <w:t xml:space="preserve">ould </w:t>
      </w:r>
      <w:r w:rsidRPr="00EC341C">
        <w:t>be assessed on what is reasonable in that employers’ circumstances, based on their operational requirements.</w:t>
      </w:r>
    </w:p>
    <w:p w14:paraId="6E660985" w14:textId="77777777" w:rsidR="006340F8" w:rsidRPr="003D290F" w:rsidRDefault="00470309" w:rsidP="00426F19">
      <w:pPr>
        <w:pStyle w:val="Heading3"/>
        <w:spacing w:line="276" w:lineRule="auto"/>
      </w:pPr>
      <w:bookmarkStart w:id="207" w:name="_Toc155604625"/>
      <w:bookmarkStart w:id="208" w:name="_Toc161395978"/>
      <w:bookmarkStart w:id="209" w:name="_Toc161403514"/>
      <w:bookmarkStart w:id="210" w:name="_Toc161694793"/>
      <w:bookmarkStart w:id="211" w:name="_Toc161752248"/>
      <w:bookmarkStart w:id="212" w:name="_Toc161759686"/>
      <w:r w:rsidRPr="003D290F">
        <w:t xml:space="preserve">3.5.3 </w:t>
      </w:r>
      <w:r w:rsidR="006340F8" w:rsidRPr="003D290F">
        <w:t>Monitoring and ensuring compliance with employer obligations</w:t>
      </w:r>
      <w:bookmarkEnd w:id="207"/>
      <w:bookmarkEnd w:id="208"/>
      <w:bookmarkEnd w:id="209"/>
      <w:bookmarkEnd w:id="210"/>
      <w:bookmarkEnd w:id="211"/>
      <w:bookmarkEnd w:id="212"/>
      <w:r w:rsidR="006340F8" w:rsidRPr="003D290F">
        <w:t xml:space="preserve"> </w:t>
      </w:r>
    </w:p>
    <w:p w14:paraId="5B881A91" w14:textId="77777777" w:rsidR="005B0E90" w:rsidRPr="003D290F" w:rsidRDefault="00361064" w:rsidP="00426F19">
      <w:pPr>
        <w:keepNext/>
        <w:spacing w:before="120" w:after="120" w:line="276" w:lineRule="auto"/>
      </w:pPr>
      <w:r w:rsidRPr="003D290F">
        <w:t xml:space="preserve">The Authority would have a function to facilitate and monitor employer compliance with their obligations under pooled redeployment </w:t>
      </w:r>
      <w:r w:rsidR="00E918E4" w:rsidRPr="003D290F">
        <w:t>plans</w:t>
      </w:r>
      <w:r w:rsidRPr="003D290F">
        <w:t xml:space="preserve">. </w:t>
      </w:r>
      <w:r w:rsidR="005B0E90" w:rsidRPr="003D290F">
        <w:t>This would include providing information on how employers can meet their obligations</w:t>
      </w:r>
      <w:r w:rsidR="00753B35" w:rsidRPr="003D290F">
        <w:t>.</w:t>
      </w:r>
      <w:r w:rsidR="005B0E90" w:rsidRPr="003D290F">
        <w:t xml:space="preserve"> </w:t>
      </w:r>
    </w:p>
    <w:p w14:paraId="0F701235" w14:textId="77777777" w:rsidR="005B0E90" w:rsidRPr="003D290F" w:rsidRDefault="00753B35" w:rsidP="00B54CE9">
      <w:pPr>
        <w:keepNext/>
        <w:spacing w:before="120" w:after="120" w:line="276" w:lineRule="auto"/>
      </w:pPr>
      <w:r w:rsidRPr="003D290F">
        <w:t>While the Authority would prioritise working cooperatively with employers to facilitate compliance,</w:t>
      </w:r>
      <w:r w:rsidRPr="003D290F" w:rsidDel="00753B35">
        <w:t xml:space="preserve"> </w:t>
      </w:r>
      <w:r w:rsidRPr="003D290F">
        <w:t>t</w:t>
      </w:r>
      <w:r w:rsidR="005B0E90" w:rsidRPr="003D290F">
        <w:t xml:space="preserve">he Authority, </w:t>
      </w:r>
      <w:r w:rsidRPr="003D290F">
        <w:t xml:space="preserve">as well as relevant </w:t>
      </w:r>
      <w:r w:rsidR="005B0E90" w:rsidRPr="003D290F">
        <w:t>individuals and unions</w:t>
      </w:r>
      <w:r w:rsidRPr="003D290F">
        <w:t>,</w:t>
      </w:r>
      <w:r w:rsidR="005B0E90" w:rsidRPr="003D290F">
        <w:t xml:space="preserve"> </w:t>
      </w:r>
      <w:r w:rsidRPr="003D290F">
        <w:t>would have standing to</w:t>
      </w:r>
      <w:r w:rsidR="005B0E90" w:rsidRPr="003D290F">
        <w:t xml:space="preserve"> seek orders from the F</w:t>
      </w:r>
      <w:r w:rsidR="00EA3AC0">
        <w:t>WC</w:t>
      </w:r>
      <w:r w:rsidR="005B0E90" w:rsidRPr="003D290F">
        <w:t xml:space="preserve"> in the event of a dispute over whether an employer is </w:t>
      </w:r>
      <w:r w:rsidR="00FC7F6D">
        <w:t>meeting</w:t>
      </w:r>
      <w:r w:rsidR="005B0E90" w:rsidRPr="003D290F">
        <w:t xml:space="preserve"> its obligations. </w:t>
      </w:r>
      <w:r w:rsidRPr="003D290F">
        <w:t>The legislative fr</w:t>
      </w:r>
      <w:r w:rsidR="005B0E90" w:rsidRPr="003D290F">
        <w:t xml:space="preserve">amework would include safeguards to ensure </w:t>
      </w:r>
      <w:r w:rsidRPr="003D290F">
        <w:t xml:space="preserve">that such </w:t>
      </w:r>
      <w:r w:rsidR="005B0E90" w:rsidRPr="003D290F">
        <w:t>claims do not impose unjustifiable cost, complexity or delays for parties.</w:t>
      </w:r>
      <w:r w:rsidRPr="003D290F">
        <w:t xml:space="preserve"> The FWC also holds </w:t>
      </w:r>
      <w:r w:rsidR="005B0E90" w:rsidRPr="003D290F">
        <w:t>general power</w:t>
      </w:r>
      <w:r w:rsidRPr="003D290F">
        <w:t>s</w:t>
      </w:r>
      <w:r w:rsidR="005B0E90" w:rsidRPr="003D290F">
        <w:t xml:space="preserve"> to dismiss applications that are frivolous, vexatious or without merit.</w:t>
      </w:r>
    </w:p>
    <w:p w14:paraId="59773373" w14:textId="77777777" w:rsidR="006340F8" w:rsidRPr="003D290F" w:rsidRDefault="005B0E90" w:rsidP="00426F19">
      <w:pPr>
        <w:widowControl w:val="0"/>
        <w:spacing w:before="120" w:after="120" w:line="276" w:lineRule="auto"/>
      </w:pPr>
      <w:r w:rsidRPr="003D290F">
        <w:t>Non-compliance with F</w:t>
      </w:r>
      <w:r w:rsidR="00EA3AC0">
        <w:t>WC</w:t>
      </w:r>
      <w:r w:rsidRPr="003D290F">
        <w:t xml:space="preserve"> orders would be a civil remedy provision, contravention of which would attract a civil penalty enforceable through the Federal Court</w:t>
      </w:r>
      <w:r w:rsidR="00753B35" w:rsidRPr="003D290F">
        <w:t xml:space="preserve"> of Australia</w:t>
      </w:r>
      <w:r w:rsidRPr="003D290F">
        <w:t>.</w:t>
      </w:r>
    </w:p>
    <w:p w14:paraId="4CFDA575" w14:textId="77777777" w:rsidR="00EC341C" w:rsidRPr="003D290F" w:rsidRDefault="00986BEA" w:rsidP="00EC3361">
      <w:pPr>
        <w:pStyle w:val="Heading3"/>
        <w:spacing w:line="276" w:lineRule="auto"/>
      </w:pPr>
      <w:bookmarkStart w:id="213" w:name="_Toc161395979"/>
      <w:bookmarkStart w:id="214" w:name="_Toc161403515"/>
      <w:bookmarkStart w:id="215" w:name="_Toc161694794"/>
      <w:bookmarkStart w:id="216" w:name="_Toc161752249"/>
      <w:bookmarkStart w:id="217" w:name="_Toc161759687"/>
      <w:r>
        <w:t xml:space="preserve">3.5.4 </w:t>
      </w:r>
      <w:r w:rsidR="00EC341C" w:rsidRPr="00730C04">
        <w:t>Recognition of existing</w:t>
      </w:r>
      <w:r w:rsidR="00F20549" w:rsidRPr="001E79E2">
        <w:t xml:space="preserve"> programs and supports</w:t>
      </w:r>
      <w:bookmarkEnd w:id="213"/>
      <w:bookmarkEnd w:id="214"/>
      <w:bookmarkEnd w:id="215"/>
      <w:bookmarkEnd w:id="216"/>
      <w:bookmarkEnd w:id="217"/>
    </w:p>
    <w:p w14:paraId="39C15BCF" w14:textId="77777777" w:rsidR="00F20549" w:rsidRDefault="00F20549" w:rsidP="00F20549">
      <w:pPr>
        <w:keepNext/>
        <w:spacing w:before="120" w:after="120" w:line="276" w:lineRule="auto"/>
      </w:pPr>
      <w:r w:rsidRPr="00EC341C">
        <w:t xml:space="preserve">As noted </w:t>
      </w:r>
      <w:r>
        <w:t xml:space="preserve">in </w:t>
      </w:r>
      <w:r w:rsidRPr="00E77931">
        <w:rPr>
          <w:b/>
          <w:color w:val="1B375C" w:themeColor="accent1"/>
        </w:rPr>
        <w:t>Chapter 1</w:t>
      </w:r>
      <w:r w:rsidRPr="00EC341C">
        <w:t xml:space="preserve">, several power stations with </w:t>
      </w:r>
      <w:r>
        <w:t>upcoming</w:t>
      </w:r>
      <w:r w:rsidRPr="00EC341C">
        <w:t xml:space="preserve"> closure dates are already providing significant transition support programs for their employees</w:t>
      </w:r>
      <w:r>
        <w:t xml:space="preserve">. Actions taken by employers under these programs would likely meet many of their obligations outlined in </w:t>
      </w:r>
      <w:r w:rsidR="00AF7CC4" w:rsidRPr="00E77931">
        <w:rPr>
          <w:b/>
          <w:color w:val="1B375C" w:themeColor="accent1"/>
        </w:rPr>
        <w:t xml:space="preserve">Section </w:t>
      </w:r>
      <w:r w:rsidRPr="00E77931">
        <w:rPr>
          <w:b/>
          <w:color w:val="1B375C" w:themeColor="accent1"/>
        </w:rPr>
        <w:t>3.5.2</w:t>
      </w:r>
      <w:r>
        <w:t xml:space="preserve">. </w:t>
      </w:r>
    </w:p>
    <w:p w14:paraId="49EBFA07" w14:textId="77777777" w:rsidR="00F20549" w:rsidRDefault="00F20549" w:rsidP="00F20549">
      <w:pPr>
        <w:keepNext/>
        <w:spacing w:before="120" w:after="120" w:line="276" w:lineRule="auto"/>
      </w:pPr>
      <w:r>
        <w:t>As such, the legislative framework for Option 3 would enable these types of programs or agreements to be recognised in part or in full. This would include a requirement for the F</w:t>
      </w:r>
      <w:r w:rsidR="00986BEA">
        <w:t>WC</w:t>
      </w:r>
      <w:r>
        <w:t xml:space="preserve"> to take account of supports that employers are already offering</w:t>
      </w:r>
      <w:r w:rsidR="00986BEA">
        <w:t>,</w:t>
      </w:r>
      <w:r>
        <w:t xml:space="preserve"> when considering whether their obligations are being met. It</w:t>
      </w:r>
      <w:r w:rsidR="00986BEA">
        <w:t xml:space="preserve"> would also </w:t>
      </w:r>
      <w:r>
        <w:t>allow the</w:t>
      </w:r>
      <w:r w:rsidDel="00AF7CC4">
        <w:t xml:space="preserve"> </w:t>
      </w:r>
      <w:r w:rsidR="00AF7CC4">
        <w:t xml:space="preserve">FWC </w:t>
      </w:r>
      <w:r>
        <w:t>to formalise the expectations of all parties, and recognise plans that already exist</w:t>
      </w:r>
      <w:r w:rsidR="00986BEA">
        <w:t>,</w:t>
      </w:r>
      <w:r>
        <w:t xml:space="preserve"> by issuing:</w:t>
      </w:r>
    </w:p>
    <w:p w14:paraId="7CE3B29C" w14:textId="77777777" w:rsidR="00F20549" w:rsidRDefault="00F20549" w:rsidP="00B82A86">
      <w:pPr>
        <w:pStyle w:val="ListParagraph"/>
        <w:keepNext/>
        <w:numPr>
          <w:ilvl w:val="0"/>
          <w:numId w:val="15"/>
        </w:numPr>
        <w:spacing w:before="120" w:after="120" w:line="276" w:lineRule="auto"/>
      </w:pPr>
      <w:r>
        <w:t>a</w:t>
      </w:r>
      <w:r w:rsidR="00BC336B">
        <w:t>n</w:t>
      </w:r>
      <w:r>
        <w:t xml:space="preserve"> order outlining the agreed supports to be offered</w:t>
      </w:r>
      <w:r w:rsidR="00986BEA">
        <w:t xml:space="preserve"> by closing or dependent employers</w:t>
      </w:r>
      <w:r>
        <w:t>. This would allow all relevant unions and employers to come to a common understanding of what specific supports the employer will provide and provide a simple process to have this formalised</w:t>
      </w:r>
      <w:r w:rsidR="00986BEA">
        <w:t xml:space="preserve"> through the FWC</w:t>
      </w:r>
      <w:r>
        <w:t>.</w:t>
      </w:r>
    </w:p>
    <w:p w14:paraId="4648033B" w14:textId="77777777" w:rsidR="00A01131" w:rsidRDefault="00F20549" w:rsidP="00B82A86">
      <w:pPr>
        <w:pStyle w:val="ListParagraph"/>
        <w:keepNext/>
        <w:numPr>
          <w:ilvl w:val="0"/>
          <w:numId w:val="15"/>
        </w:numPr>
        <w:spacing w:before="120" w:after="120" w:line="276" w:lineRule="auto"/>
      </w:pPr>
      <w:r>
        <w:t xml:space="preserve">a determination by exercising </w:t>
      </w:r>
      <w:r w:rsidR="00CB299C">
        <w:t xml:space="preserve">its </w:t>
      </w:r>
      <w:r>
        <w:t>conciliation and arbitration powers that clearly outlines how an employer may exercise reasonable efforts when agreement between unions and employers can’t be reached</w:t>
      </w:r>
      <w:r w:rsidR="00986BEA">
        <w:t>.</w:t>
      </w:r>
    </w:p>
    <w:p w14:paraId="53B0D250" w14:textId="77777777" w:rsidR="00A01131" w:rsidRDefault="00A01131" w:rsidP="001E79E2">
      <w:pPr>
        <w:pStyle w:val="Heading2"/>
      </w:pPr>
      <w:bookmarkStart w:id="218" w:name="_Toc161395980"/>
      <w:bookmarkStart w:id="219" w:name="_Toc161403516"/>
      <w:bookmarkStart w:id="220" w:name="_Toc161694795"/>
      <w:bookmarkStart w:id="221" w:name="_Toc161752250"/>
      <w:bookmarkStart w:id="222" w:name="_Toc161759688"/>
      <w:r>
        <w:t>3.6 Consideration of alternate policy parameters</w:t>
      </w:r>
      <w:bookmarkEnd w:id="218"/>
      <w:bookmarkEnd w:id="219"/>
      <w:bookmarkEnd w:id="220"/>
      <w:bookmarkEnd w:id="221"/>
      <w:bookmarkEnd w:id="222"/>
    </w:p>
    <w:p w14:paraId="418125C6" w14:textId="77777777" w:rsidR="00A01131" w:rsidRDefault="00A01131" w:rsidP="00186104">
      <w:pPr>
        <w:keepNext/>
        <w:spacing w:before="120" w:after="120" w:line="276" w:lineRule="auto"/>
      </w:pPr>
      <w:r>
        <w:t xml:space="preserve">In developing Options 2 and 3 for consideration, alternate policy parameters were also considered. In particular, a variation of Option 3 was explored under which the proposed legislative framework would also have included the potential for receiving employers to be compelled to participate in pooled </w:t>
      </w:r>
      <w:r>
        <w:lastRenderedPageBreak/>
        <w:t>redeployment plans</w:t>
      </w:r>
      <w:r w:rsidR="00331463">
        <w:t>,</w:t>
      </w:r>
      <w:r>
        <w:t xml:space="preserve"> in circumstances where there was insufficient voluntary participation from receiving employers to meet demand for new jobs from closing employer employees.</w:t>
      </w:r>
      <w:r w:rsidR="00A927C2">
        <w:t xml:space="preserve"> </w:t>
      </w:r>
      <w:r>
        <w:t xml:space="preserve"> </w:t>
      </w:r>
    </w:p>
    <w:p w14:paraId="1292E730" w14:textId="77777777" w:rsidR="00331463" w:rsidRDefault="00A01131">
      <w:pPr>
        <w:keepNext/>
        <w:spacing w:before="120" w:after="120" w:line="276" w:lineRule="auto"/>
      </w:pPr>
      <w:r>
        <w:t xml:space="preserve">This option was not pursued for full consideration in this analysis, </w:t>
      </w:r>
      <w:r w:rsidR="00A927C2">
        <w:t xml:space="preserve">due to the level of </w:t>
      </w:r>
      <w:r w:rsidR="00033E56">
        <w:t xml:space="preserve">additional </w:t>
      </w:r>
      <w:r w:rsidR="00A927C2">
        <w:t xml:space="preserve">regulatory burden it may have placed on </w:t>
      </w:r>
      <w:r w:rsidR="00033E56">
        <w:t xml:space="preserve">receiving </w:t>
      </w:r>
      <w:r w:rsidR="00A927C2">
        <w:t xml:space="preserve">employers. Stakeholder consultations (discussed further in </w:t>
      </w:r>
      <w:r w:rsidR="00A927C2" w:rsidRPr="00E77931">
        <w:rPr>
          <w:b/>
          <w:color w:val="1B375C" w:themeColor="accent1"/>
        </w:rPr>
        <w:t>Chapter 5</w:t>
      </w:r>
      <w:r w:rsidR="00A927C2">
        <w:t>) also indicated that there is significant interest from potential receiving employers to participate voluntarily in initiatives like pooled redeployment schemes at the present time, due to skills and labour shortages.</w:t>
      </w:r>
    </w:p>
    <w:p w14:paraId="28BBD024" w14:textId="77777777" w:rsidR="00545D50" w:rsidRDefault="00545D50" w:rsidP="00867890">
      <w:pPr>
        <w:keepNext/>
        <w:spacing w:before="120" w:after="120" w:line="276" w:lineRule="auto"/>
      </w:pPr>
      <w:r>
        <w:t xml:space="preserve">Another option explored </w:t>
      </w:r>
      <w:r w:rsidR="000401D7">
        <w:t xml:space="preserve">but not fully considered </w:t>
      </w:r>
      <w:r w:rsidR="002011D7">
        <w:t xml:space="preserve">for this analysis </w:t>
      </w:r>
      <w:r>
        <w:t xml:space="preserve">was a variation of Option 2, in which </w:t>
      </w:r>
      <w:r w:rsidR="00311983">
        <w:t xml:space="preserve">the level of </w:t>
      </w:r>
      <w:r>
        <w:t>government incentives</w:t>
      </w:r>
      <w:r w:rsidR="00311983">
        <w:t xml:space="preserve"> and/or payments</w:t>
      </w:r>
      <w:r>
        <w:t xml:space="preserve"> are increased</w:t>
      </w:r>
      <w:r w:rsidR="00311983">
        <w:t xml:space="preserve"> in order to achieve a higher </w:t>
      </w:r>
      <w:r w:rsidR="005B2EED">
        <w:t xml:space="preserve">estimated </w:t>
      </w:r>
      <w:r w:rsidR="00311983">
        <w:t xml:space="preserve">participation rate of employers and employees, commensurate with the participation rates </w:t>
      </w:r>
      <w:r w:rsidR="005B2EED">
        <w:t>achieved</w:t>
      </w:r>
      <w:r w:rsidR="00311983">
        <w:t xml:space="preserve"> </w:t>
      </w:r>
      <w:r w:rsidR="00C86DCC">
        <w:t xml:space="preserve">with a legislated framework </w:t>
      </w:r>
      <w:r w:rsidR="00311983">
        <w:t>under Option 3.</w:t>
      </w:r>
      <w:r>
        <w:t xml:space="preserve"> </w:t>
      </w:r>
      <w:r w:rsidR="00C86DCC">
        <w:t>This would incur significantly higher costs to government than the</w:t>
      </w:r>
      <w:r w:rsidR="005B2EED">
        <w:t xml:space="preserve"> version of</w:t>
      </w:r>
      <w:r w:rsidR="00C86DCC">
        <w:t xml:space="preserve"> Option 2 </w:t>
      </w:r>
      <w:r w:rsidR="005B2EED">
        <w:t>c</w:t>
      </w:r>
      <w:r w:rsidR="00C86DCC">
        <w:t>onsidered in this analysis</w:t>
      </w:r>
      <w:r w:rsidR="00311983">
        <w:t>.</w:t>
      </w:r>
      <w:r>
        <w:t xml:space="preserve"> </w:t>
      </w:r>
    </w:p>
    <w:p w14:paraId="482CB54B" w14:textId="77777777" w:rsidR="00A01131" w:rsidRDefault="00AF7CC4" w:rsidP="00186104">
      <w:pPr>
        <w:keepNext/>
        <w:spacing w:before="120" w:after="120" w:line="276" w:lineRule="auto"/>
      </w:pPr>
      <w:r>
        <w:t xml:space="preserve">As noted at </w:t>
      </w:r>
      <w:r w:rsidRPr="00E77931">
        <w:rPr>
          <w:b/>
          <w:color w:val="1B375C" w:themeColor="accent1"/>
        </w:rPr>
        <w:t>S</w:t>
      </w:r>
      <w:r w:rsidR="00331463" w:rsidRPr="00E77931">
        <w:rPr>
          <w:b/>
          <w:color w:val="1B375C" w:themeColor="accent1"/>
        </w:rPr>
        <w:t>ection 3.2</w:t>
      </w:r>
      <w:r w:rsidR="00331463">
        <w:t xml:space="preserve"> above, policy responses designed to assist more broadly with the skills and workforce challenges associated with the transition to net zero </w:t>
      </w:r>
      <w:r w:rsidR="0021732F">
        <w:t xml:space="preserve">(beyond workers directly associated with fossil fuel electricity generation) </w:t>
      </w:r>
      <w:r w:rsidR="00331463">
        <w:t>are</w:t>
      </w:r>
      <w:r w:rsidR="0021732F">
        <w:t xml:space="preserve"> not within scope of this analysis.</w:t>
      </w:r>
      <w:r w:rsidR="0021732F" w:rsidDel="00AF7CC4">
        <w:t xml:space="preserve"> </w:t>
      </w:r>
    </w:p>
    <w:p w14:paraId="7633CB45" w14:textId="77777777" w:rsidR="00A01131" w:rsidRDefault="00A01131">
      <w:pPr>
        <w:keepNext/>
        <w:spacing w:before="120" w:after="120" w:line="240" w:lineRule="auto"/>
      </w:pPr>
    </w:p>
    <w:p w14:paraId="3C0A0BC8" w14:textId="77777777" w:rsidR="00F20549" w:rsidRDefault="00F20549" w:rsidP="00DC3813">
      <w:pPr>
        <w:keepNext/>
        <w:spacing w:before="120" w:after="120" w:line="240" w:lineRule="auto"/>
      </w:pPr>
    </w:p>
    <w:p w14:paraId="6872B8EB" w14:textId="77777777" w:rsidR="00405232" w:rsidRPr="003D290F" w:rsidRDefault="00405232">
      <w:pPr>
        <w:rPr>
          <w:lang w:val="en-US"/>
        </w:rPr>
      </w:pPr>
      <w:r w:rsidRPr="003D290F">
        <w:rPr>
          <w:lang w:val="en-US"/>
        </w:rPr>
        <w:br w:type="page"/>
      </w:r>
    </w:p>
    <w:p w14:paraId="142CF13B" w14:textId="77777777" w:rsidR="00405232" w:rsidRPr="003D290F" w:rsidRDefault="00BB36B9" w:rsidP="00AA30B5">
      <w:pPr>
        <w:pStyle w:val="Heading1"/>
      </w:pPr>
      <w:bookmarkStart w:id="223" w:name="_Toc161395981"/>
      <w:bookmarkStart w:id="224" w:name="_Toc161403517"/>
      <w:bookmarkStart w:id="225" w:name="_Toc161752251"/>
      <w:bookmarkStart w:id="226" w:name="_Toc161759689"/>
      <w:r w:rsidRPr="003D290F">
        <w:lastRenderedPageBreak/>
        <w:t>4</w:t>
      </w:r>
      <w:r w:rsidR="00AA30B5" w:rsidRPr="003D290F">
        <w:tab/>
      </w:r>
      <w:r w:rsidR="004B0B74" w:rsidRPr="003D290F">
        <w:t xml:space="preserve">Likely </w:t>
      </w:r>
      <w:r w:rsidR="00405232" w:rsidRPr="003D290F">
        <w:t xml:space="preserve">net benefit of </w:t>
      </w:r>
      <w:r w:rsidR="004B0B74" w:rsidRPr="003D290F">
        <w:t>policy options</w:t>
      </w:r>
      <w:bookmarkEnd w:id="223"/>
      <w:bookmarkEnd w:id="224"/>
      <w:bookmarkEnd w:id="225"/>
      <w:bookmarkEnd w:id="226"/>
    </w:p>
    <w:p w14:paraId="1B2F2074" w14:textId="77777777" w:rsidR="00E15932" w:rsidRPr="003D290F" w:rsidRDefault="00076E5E" w:rsidP="000E78CB">
      <w:pPr>
        <w:spacing w:line="276" w:lineRule="auto"/>
        <w:rPr>
          <w:rFonts w:eastAsia="Times New Roman"/>
        </w:rPr>
      </w:pPr>
      <w:r w:rsidRPr="003D290F">
        <w:rPr>
          <w:rFonts w:eastAsia="Times New Roman"/>
        </w:rPr>
        <w:t xml:space="preserve">This </w:t>
      </w:r>
      <w:r w:rsidR="007D608D" w:rsidRPr="003D290F">
        <w:rPr>
          <w:rFonts w:eastAsia="Times New Roman"/>
        </w:rPr>
        <w:t>chapter</w:t>
      </w:r>
      <w:r w:rsidRPr="003D290F">
        <w:rPr>
          <w:rFonts w:eastAsia="Times New Roman"/>
        </w:rPr>
        <w:t xml:space="preserve"> outlines the benefits and costs for each of the three options proposed and estimates the net </w:t>
      </w:r>
      <w:r w:rsidR="005643F0" w:rsidRPr="003D290F">
        <w:rPr>
          <w:rFonts w:eastAsia="Times New Roman"/>
        </w:rPr>
        <w:t xml:space="preserve">present value </w:t>
      </w:r>
      <w:r w:rsidR="00A8779D" w:rsidRPr="003D290F">
        <w:rPr>
          <w:rFonts w:eastAsia="Times New Roman"/>
        </w:rPr>
        <w:t xml:space="preserve">(NPV) </w:t>
      </w:r>
      <w:r w:rsidRPr="003D290F">
        <w:rPr>
          <w:rFonts w:eastAsia="Times New Roman"/>
        </w:rPr>
        <w:t xml:space="preserve">for the two pooled redeployment </w:t>
      </w:r>
      <w:r w:rsidR="0069619C">
        <w:rPr>
          <w:rFonts w:eastAsia="Times New Roman"/>
        </w:rPr>
        <w:t xml:space="preserve">plan </w:t>
      </w:r>
      <w:r w:rsidRPr="003D290F">
        <w:rPr>
          <w:rFonts w:eastAsia="Times New Roman"/>
        </w:rPr>
        <w:t>options.</w:t>
      </w:r>
      <w:r w:rsidR="0087539E" w:rsidRPr="003D290F">
        <w:rPr>
          <w:rFonts w:eastAsia="Times New Roman"/>
        </w:rPr>
        <w:t xml:space="preserve"> </w:t>
      </w:r>
    </w:p>
    <w:p w14:paraId="79FCC892" w14:textId="77777777" w:rsidR="00355CA0" w:rsidRPr="003D290F" w:rsidRDefault="00355CA0" w:rsidP="007D2AED">
      <w:pPr>
        <w:pStyle w:val="Heading2"/>
      </w:pPr>
      <w:bookmarkStart w:id="227" w:name="_Toc161395982"/>
      <w:bookmarkStart w:id="228" w:name="_Toc161403518"/>
      <w:bookmarkStart w:id="229" w:name="_Toc161752252"/>
      <w:bookmarkStart w:id="230" w:name="_Toc161759690"/>
      <w:r w:rsidRPr="003D290F">
        <w:t>4.1 Summary</w:t>
      </w:r>
      <w:bookmarkEnd w:id="227"/>
      <w:bookmarkEnd w:id="228"/>
      <w:bookmarkEnd w:id="229"/>
      <w:bookmarkEnd w:id="230"/>
    </w:p>
    <w:p w14:paraId="71A77F59" w14:textId="77777777" w:rsidR="00B1350E" w:rsidRDefault="00B1350E" w:rsidP="00DF1448">
      <w:pPr>
        <w:rPr>
          <w:rFonts w:eastAsia="Times New Roman"/>
        </w:rPr>
      </w:pPr>
      <w:r>
        <w:rPr>
          <w:rFonts w:eastAsia="Times New Roman"/>
        </w:rPr>
        <w:t>When unquantified impacts are taken into account, Option 3 is estimated as the most preferable option with the highest overall NPV, followed by Option 2 and then Option 1 (the status quo).</w:t>
      </w:r>
    </w:p>
    <w:p w14:paraId="41CD7257" w14:textId="77777777" w:rsidR="006470AB" w:rsidRDefault="00A3786F" w:rsidP="00DF1448">
      <w:pPr>
        <w:rPr>
          <w:rFonts w:eastAsia="Times New Roman"/>
        </w:rPr>
      </w:pPr>
      <w:r w:rsidRPr="003D290F">
        <w:rPr>
          <w:rFonts w:eastAsia="Times New Roman"/>
        </w:rPr>
        <w:t xml:space="preserve">The unlegislated and legislated pooled redeployment plans have a range of </w:t>
      </w:r>
      <w:r w:rsidR="00712D16" w:rsidRPr="003D290F">
        <w:rPr>
          <w:rFonts w:eastAsia="Times New Roman"/>
        </w:rPr>
        <w:t>impacts that could not be quantified</w:t>
      </w:r>
      <w:r w:rsidRPr="003D290F">
        <w:rPr>
          <w:rFonts w:eastAsia="Times New Roman"/>
        </w:rPr>
        <w:t xml:space="preserve">. The unquantified impacts of the plan are largely benefits and </w:t>
      </w:r>
      <w:r w:rsidR="004B0149" w:rsidRPr="003D290F">
        <w:rPr>
          <w:rFonts w:eastAsia="Times New Roman"/>
        </w:rPr>
        <w:t>a</w:t>
      </w:r>
      <w:r w:rsidR="00ED1332" w:rsidRPr="003D290F">
        <w:rPr>
          <w:rFonts w:eastAsia="Times New Roman"/>
        </w:rPr>
        <w:t>ffect almost all stakeholders. These unquantified impacts include</w:t>
      </w:r>
      <w:r w:rsidR="001C29ED">
        <w:rPr>
          <w:rFonts w:eastAsia="Times New Roman"/>
        </w:rPr>
        <w:t>:</w:t>
      </w:r>
      <w:r w:rsidR="00ED1332" w:rsidRPr="003D290F">
        <w:rPr>
          <w:rFonts w:eastAsia="Times New Roman"/>
        </w:rPr>
        <w:t xml:space="preserve"> </w:t>
      </w:r>
    </w:p>
    <w:p w14:paraId="01A85AF0" w14:textId="77777777" w:rsidR="00994306" w:rsidRDefault="00994306" w:rsidP="00994306">
      <w:pPr>
        <w:pStyle w:val="ListParagraph"/>
        <w:numPr>
          <w:ilvl w:val="0"/>
          <w:numId w:val="27"/>
        </w:numPr>
        <w:rPr>
          <w:rFonts w:eastAsia="Times New Roman"/>
        </w:rPr>
      </w:pPr>
      <w:r w:rsidRPr="00A40BB4">
        <w:rPr>
          <w:rFonts w:eastAsia="Times New Roman"/>
        </w:rPr>
        <w:t xml:space="preserve">the benefit to </w:t>
      </w:r>
      <w:r>
        <w:rPr>
          <w:rFonts w:eastAsia="Times New Roman"/>
        </w:rPr>
        <w:t>closing power station</w:t>
      </w:r>
      <w:r w:rsidR="00CA6B0A">
        <w:rPr>
          <w:rFonts w:eastAsia="Times New Roman"/>
        </w:rPr>
        <w:t>s and dependent</w:t>
      </w:r>
      <w:r>
        <w:rPr>
          <w:rFonts w:eastAsia="Times New Roman"/>
        </w:rPr>
        <w:t xml:space="preserve"> </w:t>
      </w:r>
      <w:r w:rsidRPr="00A40BB4">
        <w:rPr>
          <w:rFonts w:eastAsia="Times New Roman"/>
        </w:rPr>
        <w:t>employers of greater certainty around their workforces in the lead-up to facility closures</w:t>
      </w:r>
      <w:r>
        <w:rPr>
          <w:rFonts w:eastAsia="Times New Roman"/>
        </w:rPr>
        <w:t>, and government assistance in finding job opportunities for their workers</w:t>
      </w:r>
      <w:r w:rsidRPr="00A40BB4">
        <w:rPr>
          <w:rFonts w:eastAsia="Times New Roman"/>
        </w:rPr>
        <w:t xml:space="preserve">; </w:t>
      </w:r>
    </w:p>
    <w:p w14:paraId="32B548CF" w14:textId="77777777" w:rsidR="00994306" w:rsidRDefault="00994306" w:rsidP="00994306">
      <w:pPr>
        <w:pStyle w:val="ListParagraph"/>
        <w:numPr>
          <w:ilvl w:val="0"/>
          <w:numId w:val="27"/>
        </w:numPr>
        <w:rPr>
          <w:rFonts w:eastAsia="Times New Roman"/>
        </w:rPr>
      </w:pPr>
      <w:r>
        <w:rPr>
          <w:rFonts w:eastAsia="Times New Roman"/>
        </w:rPr>
        <w:t xml:space="preserve">the benefit to receiving employers of access to a pool of skilled workers; </w:t>
      </w:r>
    </w:p>
    <w:p w14:paraId="6FB6F9B3" w14:textId="77777777" w:rsidR="00994306" w:rsidRPr="006564B6" w:rsidRDefault="00994306" w:rsidP="00723EF8">
      <w:pPr>
        <w:pStyle w:val="ListParagraph"/>
        <w:numPr>
          <w:ilvl w:val="0"/>
          <w:numId w:val="27"/>
        </w:numPr>
        <w:rPr>
          <w:rFonts w:eastAsia="Times New Roman"/>
        </w:rPr>
      </w:pPr>
      <w:r w:rsidRPr="00A40BB4">
        <w:rPr>
          <w:rFonts w:eastAsia="Times New Roman"/>
        </w:rPr>
        <w:t>the social</w:t>
      </w:r>
      <w:r>
        <w:rPr>
          <w:rFonts w:eastAsia="Times New Roman"/>
        </w:rPr>
        <w:t>, health and welfare</w:t>
      </w:r>
      <w:r w:rsidRPr="00A40BB4">
        <w:rPr>
          <w:rFonts w:eastAsia="Times New Roman"/>
        </w:rPr>
        <w:t xml:space="preserve"> benefits for workers, families and communities of maintaining ongoing employment</w:t>
      </w:r>
      <w:r>
        <w:rPr>
          <w:rFonts w:eastAsia="Times New Roman"/>
        </w:rPr>
        <w:t>, including reduced labour market scarring over time</w:t>
      </w:r>
      <w:r w:rsidRPr="00A40BB4">
        <w:rPr>
          <w:rFonts w:eastAsia="Times New Roman"/>
        </w:rPr>
        <w:t>;</w:t>
      </w:r>
      <w:r>
        <w:rPr>
          <w:rFonts w:eastAsia="Times New Roman"/>
        </w:rPr>
        <w:t xml:space="preserve"> and</w:t>
      </w:r>
    </w:p>
    <w:p w14:paraId="59963ED3" w14:textId="77777777" w:rsidR="00994306" w:rsidRPr="00A40BB4" w:rsidRDefault="00994306" w:rsidP="00994306">
      <w:pPr>
        <w:pStyle w:val="ListParagraph"/>
        <w:numPr>
          <w:ilvl w:val="0"/>
          <w:numId w:val="27"/>
        </w:numPr>
        <w:rPr>
          <w:rFonts w:eastAsia="Times New Roman"/>
        </w:rPr>
      </w:pPr>
      <w:r w:rsidRPr="00A40BB4">
        <w:rPr>
          <w:rFonts w:eastAsia="Times New Roman"/>
        </w:rPr>
        <w:t xml:space="preserve">the benefits to regions of maintaining their </w:t>
      </w:r>
      <w:r>
        <w:rPr>
          <w:rFonts w:eastAsia="Times New Roman"/>
        </w:rPr>
        <w:t xml:space="preserve">social cohesion, </w:t>
      </w:r>
      <w:r w:rsidRPr="00A40BB4">
        <w:rPr>
          <w:rFonts w:eastAsia="Times New Roman"/>
        </w:rPr>
        <w:t xml:space="preserve">employment and identity. </w:t>
      </w:r>
    </w:p>
    <w:p w14:paraId="73F5115F" w14:textId="77777777" w:rsidR="00EC3361" w:rsidRPr="006470AB" w:rsidRDefault="00B1350E" w:rsidP="006470AB">
      <w:pPr>
        <w:rPr>
          <w:rFonts w:eastAsia="Times New Roman"/>
        </w:rPr>
      </w:pPr>
      <w:r w:rsidRPr="006470AB">
        <w:rPr>
          <w:rFonts w:eastAsia="Times New Roman" w:cs="Segoe UI"/>
        </w:rPr>
        <w:t>The unquantified benefits of the plan are driven by the number of workers that are transferred by the plans.</w:t>
      </w:r>
    </w:p>
    <w:p w14:paraId="1BA858DC" w14:textId="77777777" w:rsidR="006470AB" w:rsidRDefault="00B1350E" w:rsidP="00DF1448">
      <w:pPr>
        <w:rPr>
          <w:rFonts w:eastAsia="Times New Roman"/>
        </w:rPr>
      </w:pPr>
      <w:r>
        <w:rPr>
          <w:rFonts w:eastAsia="Times New Roman" w:cs="Segoe UI"/>
        </w:rPr>
        <w:t>T</w:t>
      </w:r>
      <w:r w:rsidR="00BD0909">
        <w:rPr>
          <w:rFonts w:eastAsia="Times New Roman" w:cs="Segoe UI"/>
        </w:rPr>
        <w:t xml:space="preserve">he overall </w:t>
      </w:r>
      <w:r w:rsidR="00990D35">
        <w:rPr>
          <w:rFonts w:eastAsia="Times New Roman" w:cs="Segoe UI"/>
        </w:rPr>
        <w:t>NPV</w:t>
      </w:r>
      <w:r w:rsidR="00271B87">
        <w:rPr>
          <w:rFonts w:eastAsia="Times New Roman" w:cs="Segoe UI"/>
        </w:rPr>
        <w:t>s</w:t>
      </w:r>
      <w:r w:rsidR="00BD0909">
        <w:rPr>
          <w:rFonts w:eastAsia="Times New Roman" w:cs="Segoe UI"/>
        </w:rPr>
        <w:t xml:space="preserve"> of </w:t>
      </w:r>
      <w:r>
        <w:rPr>
          <w:rFonts w:eastAsia="Times New Roman" w:cs="Segoe UI"/>
        </w:rPr>
        <w:t xml:space="preserve">both </w:t>
      </w:r>
      <w:r w:rsidR="00BD0909">
        <w:rPr>
          <w:rFonts w:eastAsia="Times New Roman" w:cs="Segoe UI"/>
        </w:rPr>
        <w:t xml:space="preserve">Option 2 and Option 3 are positive when unquantified impacts are taken into account. </w:t>
      </w:r>
      <w:r w:rsidR="0087321E">
        <w:rPr>
          <w:rFonts w:eastAsia="Times New Roman"/>
        </w:rPr>
        <w:t xml:space="preserve">Option 3 is expected to have </w:t>
      </w:r>
      <w:r w:rsidR="0087321E">
        <w:t>significantly greater</w:t>
      </w:r>
      <w:r w:rsidR="0087321E" w:rsidRPr="0060330D">
        <w:t xml:space="preserve"> </w:t>
      </w:r>
      <w:r w:rsidR="0087321E">
        <w:rPr>
          <w:rFonts w:eastAsia="Times New Roman"/>
        </w:rPr>
        <w:t>unquantified benefits</w:t>
      </w:r>
      <w:r w:rsidR="00271B87">
        <w:rPr>
          <w:rFonts w:eastAsia="Times New Roman"/>
        </w:rPr>
        <w:t xml:space="preserve"> than Option 2</w:t>
      </w:r>
      <w:r w:rsidR="008964AE">
        <w:rPr>
          <w:rFonts w:eastAsia="Times New Roman"/>
        </w:rPr>
        <w:t>,</w:t>
      </w:r>
      <w:r w:rsidR="0087321E">
        <w:rPr>
          <w:rFonts w:eastAsia="Times New Roman"/>
        </w:rPr>
        <w:t xml:space="preserve"> as more </w:t>
      </w:r>
      <w:r w:rsidR="00870621">
        <w:rPr>
          <w:rFonts w:eastAsia="Times New Roman"/>
        </w:rPr>
        <w:t xml:space="preserve">than </w:t>
      </w:r>
      <w:r>
        <w:rPr>
          <w:rFonts w:eastAsia="Times New Roman"/>
        </w:rPr>
        <w:t xml:space="preserve">two and a half times </w:t>
      </w:r>
      <w:r w:rsidR="00870621">
        <w:rPr>
          <w:rFonts w:eastAsia="Times New Roman"/>
        </w:rPr>
        <w:t xml:space="preserve">as many </w:t>
      </w:r>
      <w:r w:rsidR="0087321E">
        <w:rPr>
          <w:rFonts w:eastAsia="Times New Roman"/>
        </w:rPr>
        <w:t>workers are successfully transferred</w:t>
      </w:r>
      <w:r>
        <w:rPr>
          <w:rFonts w:eastAsia="Times New Roman"/>
        </w:rPr>
        <w:t xml:space="preserve"> under Option 3 than under Option 2</w:t>
      </w:r>
      <w:r w:rsidR="00D92E3A">
        <w:rPr>
          <w:rFonts w:eastAsia="Times New Roman"/>
        </w:rPr>
        <w:t xml:space="preserve">. </w:t>
      </w:r>
    </w:p>
    <w:p w14:paraId="2465A067" w14:textId="77777777" w:rsidR="001F7E8F" w:rsidRDefault="00D92E3A" w:rsidP="00DF1448">
      <w:pPr>
        <w:rPr>
          <w:rFonts w:eastAsia="Times New Roman"/>
          <w:b/>
          <w:color w:val="1B375C" w:themeColor="accent1"/>
        </w:rPr>
      </w:pPr>
      <w:r>
        <w:rPr>
          <w:rFonts w:eastAsia="Times New Roman"/>
        </w:rPr>
        <w:t>The assumed participation, success and overall transfer rates</w:t>
      </w:r>
      <w:r w:rsidR="0087321E">
        <w:rPr>
          <w:rFonts w:eastAsia="Times New Roman"/>
        </w:rPr>
        <w:t xml:space="preserve"> </w:t>
      </w:r>
      <w:r>
        <w:rPr>
          <w:rFonts w:eastAsia="Times New Roman"/>
        </w:rPr>
        <w:t xml:space="preserve">are summarised in </w:t>
      </w:r>
      <w:r w:rsidRPr="00ED7D02">
        <w:rPr>
          <w:rFonts w:eastAsia="Times New Roman"/>
          <w:b/>
          <w:color w:val="1B375C" w:themeColor="accent1"/>
        </w:rPr>
        <w:t>Table 4.1</w:t>
      </w:r>
      <w:r>
        <w:rPr>
          <w:rFonts w:eastAsia="Times New Roman"/>
        </w:rPr>
        <w:t xml:space="preserve"> below. </w:t>
      </w:r>
      <w:r w:rsidR="00DD1249" w:rsidRPr="003D290F">
        <w:rPr>
          <w:rFonts w:eastAsia="Times New Roman"/>
        </w:rPr>
        <w:t xml:space="preserve">More detail </w:t>
      </w:r>
      <w:r w:rsidR="00BD0909">
        <w:rPr>
          <w:rFonts w:eastAsia="Times New Roman"/>
        </w:rPr>
        <w:t>around the un</w:t>
      </w:r>
      <w:r w:rsidR="00D57FDF">
        <w:rPr>
          <w:rFonts w:eastAsia="Times New Roman"/>
        </w:rPr>
        <w:t>quantified</w:t>
      </w:r>
      <w:r w:rsidR="00BD0909">
        <w:rPr>
          <w:rFonts w:eastAsia="Times New Roman"/>
        </w:rPr>
        <w:t xml:space="preserve"> and overall </w:t>
      </w:r>
      <w:r w:rsidR="00884C04">
        <w:rPr>
          <w:rFonts w:eastAsia="Times New Roman"/>
        </w:rPr>
        <w:t xml:space="preserve">impacts of </w:t>
      </w:r>
      <w:r w:rsidR="00BD0909">
        <w:rPr>
          <w:rFonts w:eastAsia="Times New Roman"/>
        </w:rPr>
        <w:t>considered policy</w:t>
      </w:r>
      <w:r w:rsidR="00884C04">
        <w:rPr>
          <w:rFonts w:eastAsia="Times New Roman"/>
        </w:rPr>
        <w:t xml:space="preserve"> options</w:t>
      </w:r>
      <w:r w:rsidR="00BD0909">
        <w:rPr>
          <w:rFonts w:eastAsia="Times New Roman"/>
        </w:rPr>
        <w:t xml:space="preserve"> is in </w:t>
      </w:r>
      <w:r w:rsidR="00BD0909" w:rsidRPr="00BD0909">
        <w:rPr>
          <w:rFonts w:eastAsia="Times New Roman"/>
          <w:b/>
          <w:color w:val="1B375C" w:themeColor="accent1"/>
        </w:rPr>
        <w:t>Section 4.8</w:t>
      </w:r>
      <w:r w:rsidR="00BD0909">
        <w:rPr>
          <w:rFonts w:eastAsia="Times New Roman"/>
        </w:rPr>
        <w:t xml:space="preserve"> and </w:t>
      </w:r>
      <w:r w:rsidR="00884C04">
        <w:rPr>
          <w:rFonts w:eastAsia="Times New Roman"/>
        </w:rPr>
        <w:t xml:space="preserve">summarised </w:t>
      </w:r>
      <w:r w:rsidR="00DD1249" w:rsidRPr="003D290F">
        <w:rPr>
          <w:rFonts w:eastAsia="Times New Roman"/>
        </w:rPr>
        <w:t xml:space="preserve">in </w:t>
      </w:r>
      <w:r w:rsidR="00DD1249" w:rsidRPr="003D290F">
        <w:rPr>
          <w:rFonts w:eastAsia="Times New Roman"/>
          <w:b/>
          <w:color w:val="1B375C" w:themeColor="accent1"/>
        </w:rPr>
        <w:t>Table 4.</w:t>
      </w:r>
      <w:r w:rsidR="00757876">
        <w:rPr>
          <w:rFonts w:eastAsia="Times New Roman"/>
          <w:b/>
          <w:color w:val="1B375C" w:themeColor="accent1"/>
        </w:rPr>
        <w:t xml:space="preserve">6 </w:t>
      </w:r>
      <w:r w:rsidR="00757876" w:rsidRPr="00ED7D02">
        <w:rPr>
          <w:rFonts w:eastAsia="Times New Roman"/>
        </w:rPr>
        <w:t>and</w:t>
      </w:r>
      <w:r w:rsidR="00757876">
        <w:rPr>
          <w:rFonts w:eastAsia="Times New Roman"/>
          <w:b/>
          <w:color w:val="1B375C" w:themeColor="accent1"/>
        </w:rPr>
        <w:t xml:space="preserve"> Table 4.8</w:t>
      </w:r>
      <w:r w:rsidR="00DD1249" w:rsidRPr="003D290F">
        <w:rPr>
          <w:rFonts w:eastAsia="Times New Roman"/>
          <w:b/>
          <w:color w:val="1B375C" w:themeColor="accent1"/>
        </w:rPr>
        <w:t>.</w:t>
      </w:r>
    </w:p>
    <w:p w14:paraId="69C756E6" w14:textId="77777777" w:rsidR="00D92E3A" w:rsidRPr="00ED7D02" w:rsidRDefault="00D92E3A" w:rsidP="00ED7D02">
      <w:pPr>
        <w:keepNext/>
        <w:spacing w:before="120" w:after="120" w:line="240" w:lineRule="auto"/>
        <w:rPr>
          <w:rFonts w:eastAsia="Times New Roman" w:cs="Segoe UI"/>
          <w:b/>
          <w:sz w:val="24"/>
        </w:rPr>
      </w:pPr>
      <w:r w:rsidRPr="003D290F">
        <w:rPr>
          <w:rFonts w:eastAsia="Times New Roman" w:cs="Segoe UI"/>
          <w:b/>
          <w:sz w:val="24"/>
        </w:rPr>
        <w:lastRenderedPageBreak/>
        <w:t xml:space="preserve">TABLE 4.1 </w:t>
      </w:r>
      <w:r>
        <w:rPr>
          <w:rFonts w:eastAsia="Times New Roman" w:cs="Segoe UI"/>
          <w:b/>
          <w:sz w:val="24"/>
        </w:rPr>
        <w:t>KEY ASSUMPTIONS AROUND PARTICIPATION IN PLANS</w:t>
      </w:r>
    </w:p>
    <w:tbl>
      <w:tblPr>
        <w:tblStyle w:val="Custom11"/>
        <w:tblW w:w="0" w:type="auto"/>
        <w:tblBorders>
          <w:top w:val="none" w:sz="0" w:space="0" w:color="auto"/>
          <w:bottom w:val="none" w:sz="0" w:space="0" w:color="auto"/>
          <w:insideH w:val="none" w:sz="0" w:space="0" w:color="auto"/>
        </w:tblBorders>
        <w:tblLook w:val="0660" w:firstRow="1" w:lastRow="1" w:firstColumn="0" w:lastColumn="0" w:noHBand="1" w:noVBand="1"/>
      </w:tblPr>
      <w:tblGrid>
        <w:gridCol w:w="1696"/>
        <w:gridCol w:w="4536"/>
        <w:gridCol w:w="1985"/>
        <w:gridCol w:w="1977"/>
      </w:tblGrid>
      <w:tr w:rsidR="00BD3D49" w:rsidRPr="003D290F" w14:paraId="3F42D707" w14:textId="77777777" w:rsidTr="00ED7D02">
        <w:trPr>
          <w:cnfStyle w:val="100000000000" w:firstRow="1" w:lastRow="0" w:firstColumn="0" w:lastColumn="0" w:oddVBand="0" w:evenVBand="0" w:oddHBand="0" w:evenHBand="0" w:firstRowFirstColumn="0" w:firstRowLastColumn="0" w:lastRowFirstColumn="0" w:lastRowLastColumn="0"/>
          <w:trHeight w:val="350"/>
        </w:trPr>
        <w:tc>
          <w:tcPr>
            <w:tcW w:w="1696" w:type="dxa"/>
            <w:tcBorders>
              <w:top w:val="single" w:sz="4" w:space="0" w:color="FFFFFF"/>
              <w:left w:val="single" w:sz="4" w:space="0" w:color="FFFFFF"/>
              <w:bottom w:val="single" w:sz="4" w:space="0" w:color="FFFFFF"/>
            </w:tcBorders>
            <w:shd w:val="clear" w:color="auto" w:fill="27518B" w:themeFill="text2" w:themeFillTint="BF"/>
            <w:vAlign w:val="center"/>
          </w:tcPr>
          <w:p w14:paraId="1F5D9A56" w14:textId="77777777" w:rsidR="00D92E3A" w:rsidRPr="00757876" w:rsidRDefault="00D92E3A" w:rsidP="00D92E3A">
            <w:pPr>
              <w:keepNext/>
              <w:rPr>
                <w:rFonts w:eastAsia="Times New Roman" w:cs="Segoe UI"/>
                <w:sz w:val="20"/>
                <w:szCs w:val="20"/>
              </w:rPr>
            </w:pPr>
            <w:r>
              <w:rPr>
                <w:rFonts w:eastAsia="Times New Roman" w:cs="Segoe UI"/>
                <w:color w:val="FFFFFF"/>
                <w:sz w:val="20"/>
                <w:szCs w:val="20"/>
              </w:rPr>
              <w:t>Rate</w:t>
            </w:r>
          </w:p>
        </w:tc>
        <w:tc>
          <w:tcPr>
            <w:tcW w:w="4536" w:type="dxa"/>
            <w:tcBorders>
              <w:top w:val="single" w:sz="4" w:space="0" w:color="FFFFFF"/>
              <w:left w:val="nil"/>
              <w:bottom w:val="single" w:sz="4" w:space="0" w:color="FFFFFF"/>
              <w:right w:val="nil"/>
            </w:tcBorders>
            <w:shd w:val="clear" w:color="auto" w:fill="27518B" w:themeFill="text2" w:themeFillTint="BF"/>
            <w:vAlign w:val="center"/>
          </w:tcPr>
          <w:p w14:paraId="64F6947B" w14:textId="77777777" w:rsidR="00D92E3A" w:rsidRDefault="00D92E3A" w:rsidP="00ED7D02">
            <w:pPr>
              <w:keepNext/>
              <w:rPr>
                <w:rFonts w:cs="Segoe UI"/>
                <w:bCs/>
                <w:color w:val="FFFFFF"/>
                <w:sz w:val="20"/>
                <w:szCs w:val="20"/>
              </w:rPr>
            </w:pPr>
            <w:r>
              <w:rPr>
                <w:rFonts w:eastAsia="Times New Roman" w:cs="Segoe UI"/>
                <w:color w:val="FFFFFF"/>
                <w:sz w:val="20"/>
                <w:szCs w:val="20"/>
              </w:rPr>
              <w:t>Description</w:t>
            </w:r>
          </w:p>
        </w:tc>
        <w:tc>
          <w:tcPr>
            <w:tcW w:w="1985" w:type="dxa"/>
            <w:tcBorders>
              <w:top w:val="single" w:sz="4" w:space="0" w:color="FFFFFF"/>
              <w:left w:val="nil"/>
              <w:bottom w:val="single" w:sz="4" w:space="0" w:color="FFFFFF"/>
              <w:right w:val="single" w:sz="4" w:space="0" w:color="FFFFFF"/>
            </w:tcBorders>
            <w:shd w:val="clear" w:color="auto" w:fill="27518B" w:themeFill="text2" w:themeFillTint="BF"/>
            <w:vAlign w:val="center"/>
          </w:tcPr>
          <w:p w14:paraId="62AB1836" w14:textId="77777777" w:rsidR="00D92E3A" w:rsidRPr="00ED7D02" w:rsidRDefault="00D92E3A" w:rsidP="00ED7D02">
            <w:pPr>
              <w:keepNext/>
              <w:rPr>
                <w:rFonts w:eastAsia="Times New Roman" w:cs="Segoe UI"/>
                <w:sz w:val="20"/>
                <w:szCs w:val="20"/>
              </w:rPr>
            </w:pPr>
            <w:r w:rsidRPr="00757876">
              <w:rPr>
                <w:rFonts w:eastAsia="Times New Roman" w:cs="Segoe UI"/>
                <w:color w:val="FFFFFF"/>
                <w:sz w:val="20"/>
                <w:szCs w:val="20"/>
              </w:rPr>
              <w:t>Option 2: Pooled redeployment plan (unlegislated)</w:t>
            </w:r>
          </w:p>
        </w:tc>
        <w:tc>
          <w:tcPr>
            <w:tcW w:w="1977" w:type="dxa"/>
            <w:tcBorders>
              <w:top w:val="single" w:sz="4" w:space="0" w:color="FFFFFF"/>
              <w:left w:val="nil"/>
              <w:bottom w:val="single" w:sz="4" w:space="0" w:color="FFFFFF"/>
              <w:right w:val="single" w:sz="4" w:space="0" w:color="FFFFFF"/>
            </w:tcBorders>
            <w:shd w:val="clear" w:color="auto" w:fill="27518B" w:themeFill="text2" w:themeFillTint="BF"/>
          </w:tcPr>
          <w:p w14:paraId="58CCAE2D" w14:textId="77777777" w:rsidR="00D92E3A" w:rsidRPr="00757876" w:rsidRDefault="00D92E3A" w:rsidP="00ED7D02">
            <w:pPr>
              <w:keepNext/>
              <w:rPr>
                <w:rFonts w:cs="Segoe UI"/>
                <w:bCs/>
                <w:color w:val="FFFFFF"/>
                <w:sz w:val="20"/>
                <w:szCs w:val="20"/>
              </w:rPr>
            </w:pPr>
            <w:r w:rsidRPr="00757876">
              <w:rPr>
                <w:rFonts w:eastAsia="Times New Roman" w:cs="Segoe UI"/>
                <w:color w:val="FFFFFF"/>
                <w:sz w:val="20"/>
                <w:szCs w:val="20"/>
              </w:rPr>
              <w:t>Option 3: Pooled redeployment plan (legislated)</w:t>
            </w:r>
          </w:p>
        </w:tc>
      </w:tr>
      <w:tr w:rsidR="00D92E3A" w:rsidRPr="003D290F" w14:paraId="681B035A" w14:textId="77777777" w:rsidTr="00ED7D02">
        <w:trPr>
          <w:trHeight w:val="350"/>
        </w:trPr>
        <w:tc>
          <w:tcPr>
            <w:tcW w:w="1696" w:type="dxa"/>
            <w:tcBorders>
              <w:top w:val="single" w:sz="4" w:space="0" w:color="FFFFFF"/>
              <w:left w:val="single" w:sz="4" w:space="0" w:color="FFFFFF"/>
              <w:bottom w:val="single" w:sz="4" w:space="0" w:color="FFFFFF"/>
              <w:right w:val="single" w:sz="4" w:space="0" w:color="FFFFFF"/>
            </w:tcBorders>
            <w:shd w:val="clear" w:color="auto" w:fill="E0E8F2"/>
            <w:vAlign w:val="center"/>
          </w:tcPr>
          <w:p w14:paraId="024009DA" w14:textId="77777777" w:rsidR="00D92E3A" w:rsidRPr="00757876" w:rsidRDefault="002918E5" w:rsidP="00ED7D02">
            <w:pPr>
              <w:keepNext/>
              <w:rPr>
                <w:rFonts w:eastAsia="Times New Roman" w:cs="Segoe UI"/>
                <w:sz w:val="20"/>
                <w:szCs w:val="20"/>
              </w:rPr>
            </w:pPr>
            <w:r>
              <w:rPr>
                <w:rFonts w:eastAsia="Times New Roman" w:cs="Segoe UI"/>
                <w:bCs/>
                <w:color w:val="000000"/>
                <w:sz w:val="20"/>
                <w:szCs w:val="20"/>
                <w:lang w:eastAsia="en-AU"/>
              </w:rPr>
              <w:t>Worker</w:t>
            </w:r>
            <w:r w:rsidR="00D92E3A" w:rsidRPr="00ED7D02">
              <w:rPr>
                <w:rFonts w:eastAsia="Times New Roman" w:cs="Segoe UI"/>
                <w:bCs/>
                <w:color w:val="000000"/>
                <w:sz w:val="20"/>
                <w:szCs w:val="20"/>
                <w:lang w:eastAsia="en-AU"/>
              </w:rPr>
              <w:t xml:space="preserve"> participation rate</w:t>
            </w:r>
            <w:r w:rsidR="00C56E6A">
              <w:rPr>
                <w:rStyle w:val="FootnoteReference"/>
                <w:rFonts w:eastAsia="Times New Roman" w:cs="Segoe UI"/>
                <w:bCs/>
                <w:color w:val="000000"/>
                <w:sz w:val="20"/>
                <w:szCs w:val="20"/>
                <w:lang w:eastAsia="en-AU"/>
              </w:rPr>
              <w:footnoteReference w:id="57"/>
            </w:r>
          </w:p>
        </w:tc>
        <w:tc>
          <w:tcPr>
            <w:tcW w:w="4536" w:type="dxa"/>
            <w:tcBorders>
              <w:top w:val="single" w:sz="4" w:space="0" w:color="FFFFFF"/>
              <w:left w:val="single" w:sz="4" w:space="0" w:color="FFFFFF"/>
              <w:bottom w:val="single" w:sz="4" w:space="0" w:color="FFFFFF"/>
              <w:right w:val="single" w:sz="4" w:space="0" w:color="FFFFFF"/>
            </w:tcBorders>
            <w:shd w:val="clear" w:color="auto" w:fill="E0E8F2"/>
          </w:tcPr>
          <w:p w14:paraId="7A4DBA77" w14:textId="77777777" w:rsidR="00D92E3A" w:rsidRPr="00476992" w:rsidRDefault="002918E5" w:rsidP="00D92E3A">
            <w:pPr>
              <w:keepNext/>
              <w:jc w:val="right"/>
              <w:rPr>
                <w:rFonts w:eastAsia="Times New Roman" w:cs="Segoe UI"/>
                <w:color w:val="000000"/>
                <w:sz w:val="20"/>
                <w:szCs w:val="20"/>
                <w:lang w:eastAsia="en-AU"/>
              </w:rPr>
            </w:pPr>
            <w:r w:rsidRPr="00ED7D02">
              <w:rPr>
                <w:sz w:val="20"/>
              </w:rPr>
              <w:t>Percentage of total closing employer workforce that seek to participate in pooled redeployment</w:t>
            </w:r>
          </w:p>
        </w:tc>
        <w:tc>
          <w:tcPr>
            <w:tcW w:w="1985" w:type="dxa"/>
            <w:tcBorders>
              <w:top w:val="single" w:sz="4" w:space="0" w:color="FFFFFF"/>
              <w:left w:val="single" w:sz="4" w:space="0" w:color="FFFFFF"/>
              <w:bottom w:val="single" w:sz="4" w:space="0" w:color="FFFFFF"/>
              <w:right w:val="single" w:sz="4" w:space="0" w:color="FFFFFF"/>
            </w:tcBorders>
            <w:shd w:val="clear" w:color="auto" w:fill="E0E8F2"/>
            <w:vAlign w:val="center"/>
          </w:tcPr>
          <w:p w14:paraId="12F75082" w14:textId="77777777" w:rsidR="00D92E3A" w:rsidRPr="003D290F" w:rsidRDefault="00D92E3A" w:rsidP="00D92E3A">
            <w:pPr>
              <w:keepNext/>
              <w:jc w:val="right"/>
              <w:rPr>
                <w:rFonts w:eastAsia="Times New Roman" w:cs="Segoe UI"/>
                <w:sz w:val="20"/>
                <w:szCs w:val="20"/>
              </w:rPr>
            </w:pPr>
            <w:r w:rsidRPr="00476992">
              <w:rPr>
                <w:rFonts w:eastAsia="Times New Roman" w:cs="Segoe UI"/>
                <w:color w:val="000000"/>
                <w:sz w:val="20"/>
                <w:szCs w:val="20"/>
                <w:lang w:eastAsia="en-AU"/>
              </w:rPr>
              <w:t>51%</w:t>
            </w:r>
          </w:p>
        </w:tc>
        <w:tc>
          <w:tcPr>
            <w:tcW w:w="1977" w:type="dxa"/>
            <w:tcBorders>
              <w:top w:val="single" w:sz="4" w:space="0" w:color="FFFFFF"/>
              <w:left w:val="single" w:sz="4" w:space="0" w:color="FFFFFF"/>
              <w:bottom w:val="single" w:sz="4" w:space="0" w:color="FFFFFF"/>
              <w:right w:val="single" w:sz="4" w:space="0" w:color="FFFFFF"/>
            </w:tcBorders>
            <w:shd w:val="clear" w:color="auto" w:fill="E0E8F2"/>
            <w:vAlign w:val="center"/>
          </w:tcPr>
          <w:p w14:paraId="34D846A5" w14:textId="77777777" w:rsidR="00D92E3A" w:rsidRPr="003D290F" w:rsidRDefault="00D92E3A" w:rsidP="00D92E3A">
            <w:pPr>
              <w:keepNext/>
              <w:jc w:val="right"/>
              <w:rPr>
                <w:rFonts w:cs="Segoe UI"/>
                <w:color w:val="000000"/>
                <w:sz w:val="20"/>
                <w:szCs w:val="20"/>
              </w:rPr>
            </w:pPr>
            <w:r w:rsidRPr="00476992">
              <w:rPr>
                <w:rFonts w:eastAsia="Times New Roman" w:cs="Segoe UI"/>
                <w:color w:val="000000"/>
                <w:sz w:val="20"/>
                <w:szCs w:val="20"/>
                <w:lang w:eastAsia="en-AU"/>
              </w:rPr>
              <w:t>60%</w:t>
            </w:r>
          </w:p>
        </w:tc>
      </w:tr>
      <w:tr w:rsidR="00D92E3A" w:rsidRPr="003D290F" w14:paraId="5E8BCBFA" w14:textId="77777777" w:rsidTr="00ED7D02">
        <w:trPr>
          <w:trHeight w:val="350"/>
        </w:trPr>
        <w:tc>
          <w:tcPr>
            <w:tcW w:w="169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F5C849C" w14:textId="77777777" w:rsidR="00D92E3A" w:rsidRPr="00757876" w:rsidRDefault="002918E5" w:rsidP="00ED7D02">
            <w:pPr>
              <w:keepNext/>
              <w:rPr>
                <w:rFonts w:eastAsia="Times New Roman" w:cs="Segoe UI"/>
                <w:sz w:val="20"/>
                <w:szCs w:val="20"/>
              </w:rPr>
            </w:pPr>
            <w:r>
              <w:rPr>
                <w:rFonts w:eastAsia="Times New Roman" w:cs="Segoe UI"/>
                <w:bCs/>
                <w:color w:val="000000"/>
                <w:sz w:val="20"/>
                <w:szCs w:val="20"/>
                <w:lang w:eastAsia="en-AU"/>
              </w:rPr>
              <w:t xml:space="preserve">Participant </w:t>
            </w:r>
            <w:r w:rsidR="00D92E3A" w:rsidRPr="00ED7D02">
              <w:rPr>
                <w:rFonts w:eastAsia="Times New Roman" w:cs="Segoe UI"/>
                <w:bCs/>
                <w:color w:val="000000"/>
                <w:sz w:val="20"/>
                <w:szCs w:val="20"/>
                <w:lang w:eastAsia="en-AU"/>
              </w:rPr>
              <w:t>success rate</w:t>
            </w:r>
          </w:p>
        </w:tc>
        <w:tc>
          <w:tcPr>
            <w:tcW w:w="4536" w:type="dxa"/>
            <w:tcBorders>
              <w:top w:val="single" w:sz="4" w:space="0" w:color="FFFFFF"/>
              <w:left w:val="single" w:sz="4" w:space="0" w:color="FFFFFF"/>
              <w:bottom w:val="single" w:sz="4" w:space="0" w:color="FFFFFF"/>
              <w:right w:val="single" w:sz="4" w:space="0" w:color="FFFFFF"/>
            </w:tcBorders>
          </w:tcPr>
          <w:p w14:paraId="4B584A9C" w14:textId="77777777" w:rsidR="00D92E3A" w:rsidRPr="00476992" w:rsidRDefault="002918E5" w:rsidP="00D92E3A">
            <w:pPr>
              <w:keepNext/>
              <w:jc w:val="right"/>
              <w:rPr>
                <w:rFonts w:eastAsia="Times New Roman" w:cs="Segoe UI"/>
                <w:color w:val="000000"/>
                <w:sz w:val="20"/>
                <w:szCs w:val="20"/>
                <w:lang w:eastAsia="en-AU"/>
              </w:rPr>
            </w:pPr>
            <w:r w:rsidRPr="00ED7D02">
              <w:rPr>
                <w:sz w:val="20"/>
              </w:rPr>
              <w:t>Of those who participate, percentage of workers transferred to new job through plan</w:t>
            </w:r>
          </w:p>
        </w:tc>
        <w:tc>
          <w:tcPr>
            <w:tcW w:w="198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53318EB" w14:textId="77777777" w:rsidR="00D92E3A" w:rsidRPr="003D290F" w:rsidRDefault="00D92E3A" w:rsidP="00D92E3A">
            <w:pPr>
              <w:keepNext/>
              <w:jc w:val="right"/>
              <w:rPr>
                <w:rFonts w:eastAsia="Times New Roman" w:cs="Segoe UI"/>
                <w:sz w:val="20"/>
                <w:szCs w:val="20"/>
              </w:rPr>
            </w:pPr>
            <w:r w:rsidRPr="00476992">
              <w:rPr>
                <w:rFonts w:eastAsia="Times New Roman" w:cs="Segoe UI"/>
                <w:color w:val="000000"/>
                <w:sz w:val="20"/>
                <w:szCs w:val="20"/>
                <w:lang w:eastAsia="en-AU"/>
              </w:rPr>
              <w:t>39%</w:t>
            </w:r>
          </w:p>
        </w:tc>
        <w:tc>
          <w:tcPr>
            <w:tcW w:w="1977" w:type="dxa"/>
            <w:tcBorders>
              <w:top w:val="single" w:sz="4" w:space="0" w:color="FFFFFF"/>
              <w:left w:val="single" w:sz="4" w:space="0" w:color="FFFFFF"/>
              <w:bottom w:val="single" w:sz="4" w:space="0" w:color="FFFFFF"/>
              <w:right w:val="single" w:sz="4" w:space="0" w:color="FFFFFF"/>
            </w:tcBorders>
            <w:vAlign w:val="center"/>
          </w:tcPr>
          <w:p w14:paraId="644FA578" w14:textId="77777777" w:rsidR="00D92E3A" w:rsidRPr="003D290F" w:rsidRDefault="00D92E3A" w:rsidP="00D92E3A">
            <w:pPr>
              <w:keepNext/>
              <w:jc w:val="right"/>
              <w:rPr>
                <w:rFonts w:cs="Segoe UI"/>
                <w:i/>
                <w:iCs/>
                <w:color w:val="000000"/>
                <w:sz w:val="20"/>
                <w:szCs w:val="20"/>
              </w:rPr>
            </w:pPr>
            <w:r w:rsidRPr="00476992">
              <w:rPr>
                <w:rFonts w:eastAsia="Times New Roman" w:cs="Segoe UI"/>
                <w:color w:val="000000"/>
                <w:sz w:val="20"/>
                <w:szCs w:val="20"/>
                <w:lang w:eastAsia="en-AU"/>
              </w:rPr>
              <w:t>85%</w:t>
            </w:r>
          </w:p>
        </w:tc>
      </w:tr>
      <w:tr w:rsidR="00D92E3A" w:rsidRPr="003D290F" w14:paraId="185E2485" w14:textId="77777777" w:rsidTr="00ED7D02">
        <w:trPr>
          <w:trHeight w:val="350"/>
        </w:trPr>
        <w:tc>
          <w:tcPr>
            <w:tcW w:w="1696" w:type="dxa"/>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341D186D" w14:textId="77777777" w:rsidR="00D92E3A" w:rsidRPr="00757876" w:rsidRDefault="00D92E3A" w:rsidP="00ED7D02">
            <w:pPr>
              <w:keepNext/>
              <w:rPr>
                <w:rFonts w:eastAsia="Times New Roman" w:cs="Segoe UI"/>
                <w:sz w:val="20"/>
                <w:szCs w:val="20"/>
              </w:rPr>
            </w:pPr>
            <w:r w:rsidRPr="00ED7D02">
              <w:rPr>
                <w:rFonts w:eastAsia="Times New Roman" w:cs="Segoe UI"/>
                <w:bCs/>
                <w:color w:val="000000"/>
                <w:sz w:val="20"/>
                <w:szCs w:val="20"/>
                <w:lang w:eastAsia="en-AU"/>
              </w:rPr>
              <w:t xml:space="preserve">Overall </w:t>
            </w:r>
            <w:r w:rsidR="002918E5">
              <w:rPr>
                <w:rFonts w:eastAsia="Times New Roman" w:cs="Segoe UI"/>
                <w:bCs/>
                <w:color w:val="000000"/>
                <w:sz w:val="20"/>
                <w:szCs w:val="20"/>
                <w:lang w:eastAsia="en-AU"/>
              </w:rPr>
              <w:t xml:space="preserve">worker </w:t>
            </w:r>
            <w:r w:rsidRPr="00ED7D02">
              <w:rPr>
                <w:rFonts w:eastAsia="Times New Roman" w:cs="Segoe UI"/>
                <w:bCs/>
                <w:color w:val="000000"/>
                <w:sz w:val="20"/>
                <w:szCs w:val="20"/>
                <w:lang w:eastAsia="en-AU"/>
              </w:rPr>
              <w:t>transfer rate</w:t>
            </w:r>
            <w:r w:rsidR="00EE7198">
              <w:rPr>
                <w:rStyle w:val="FootnoteReference"/>
                <w:rFonts w:eastAsia="Times New Roman" w:cs="Segoe UI"/>
                <w:bCs/>
                <w:color w:val="000000"/>
                <w:sz w:val="20"/>
                <w:szCs w:val="20"/>
                <w:lang w:eastAsia="en-AU"/>
              </w:rPr>
              <w:footnoteReference w:id="58"/>
            </w:r>
          </w:p>
        </w:tc>
        <w:tc>
          <w:tcPr>
            <w:tcW w:w="4536" w:type="dxa"/>
            <w:tcBorders>
              <w:top w:val="single" w:sz="4" w:space="0" w:color="FFFFFF"/>
              <w:left w:val="single" w:sz="4" w:space="0" w:color="FFFFFF"/>
              <w:bottom w:val="single" w:sz="4" w:space="0" w:color="FFFFFF"/>
              <w:right w:val="single" w:sz="4" w:space="0" w:color="FFFFFF"/>
            </w:tcBorders>
            <w:shd w:val="clear" w:color="auto" w:fill="E0E8F2" w:themeFill="background2"/>
          </w:tcPr>
          <w:p w14:paraId="177B02C7" w14:textId="77777777" w:rsidR="00D92E3A" w:rsidRPr="00476992" w:rsidRDefault="002918E5" w:rsidP="00D92E3A">
            <w:pPr>
              <w:keepNext/>
              <w:jc w:val="right"/>
              <w:rPr>
                <w:rFonts w:eastAsia="Times New Roman" w:cs="Segoe UI"/>
                <w:color w:val="000000"/>
                <w:sz w:val="20"/>
                <w:szCs w:val="20"/>
                <w:lang w:eastAsia="en-AU"/>
              </w:rPr>
            </w:pPr>
            <w:r w:rsidRPr="00ED7D02">
              <w:rPr>
                <w:sz w:val="20"/>
              </w:rPr>
              <w:t>Of the total closing employer workforce, percentage transferred to new job through plan</w:t>
            </w:r>
          </w:p>
        </w:tc>
        <w:tc>
          <w:tcPr>
            <w:tcW w:w="1985" w:type="dxa"/>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6526399F" w14:textId="77777777" w:rsidR="00D92E3A" w:rsidRPr="003D290F" w:rsidRDefault="00D92E3A" w:rsidP="00D92E3A">
            <w:pPr>
              <w:keepNext/>
              <w:jc w:val="right"/>
              <w:rPr>
                <w:rFonts w:eastAsia="Times New Roman" w:cs="Segoe UI"/>
                <w:sz w:val="20"/>
                <w:szCs w:val="20"/>
              </w:rPr>
            </w:pPr>
            <w:r w:rsidRPr="00476992">
              <w:rPr>
                <w:rFonts w:eastAsia="Times New Roman" w:cs="Segoe UI"/>
                <w:color w:val="000000"/>
                <w:sz w:val="20"/>
                <w:szCs w:val="20"/>
                <w:lang w:eastAsia="en-AU"/>
              </w:rPr>
              <w:t>20%</w:t>
            </w:r>
          </w:p>
        </w:tc>
        <w:tc>
          <w:tcPr>
            <w:tcW w:w="1977" w:type="dxa"/>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067D84D9" w14:textId="77777777" w:rsidR="00D92E3A" w:rsidRPr="003D290F" w:rsidRDefault="00D92E3A" w:rsidP="00D92E3A">
            <w:pPr>
              <w:keepNext/>
              <w:jc w:val="right"/>
              <w:rPr>
                <w:rFonts w:cs="Segoe UI"/>
                <w:color w:val="000000"/>
                <w:sz w:val="20"/>
                <w:szCs w:val="20"/>
              </w:rPr>
            </w:pPr>
            <w:r w:rsidRPr="00476992">
              <w:rPr>
                <w:rFonts w:eastAsia="Times New Roman" w:cs="Segoe UI"/>
                <w:color w:val="000000"/>
                <w:sz w:val="20"/>
                <w:szCs w:val="20"/>
                <w:lang w:eastAsia="en-AU"/>
              </w:rPr>
              <w:t>51%</w:t>
            </w:r>
          </w:p>
        </w:tc>
      </w:tr>
    </w:tbl>
    <w:p w14:paraId="6EABB1D2" w14:textId="77777777" w:rsidR="00B1350E" w:rsidRDefault="00B1350E" w:rsidP="00ED7D02">
      <w:pPr>
        <w:spacing w:before="240"/>
        <w:rPr>
          <w:rFonts w:eastAsia="Times New Roman"/>
          <w:b/>
          <w:color w:val="1B375C" w:themeColor="accent1"/>
        </w:rPr>
      </w:pPr>
    </w:p>
    <w:p w14:paraId="4BD1A546" w14:textId="77777777" w:rsidR="00355CA0" w:rsidRPr="003D290F" w:rsidRDefault="001804C6" w:rsidP="00ED7D02">
      <w:pPr>
        <w:spacing w:before="240"/>
        <w:rPr>
          <w:rFonts w:eastAsia="Times New Roman"/>
        </w:rPr>
      </w:pPr>
      <w:r w:rsidRPr="003D290F" w:rsidDel="00DD1249">
        <w:rPr>
          <w:rFonts w:eastAsia="Times New Roman"/>
          <w:b/>
          <w:color w:val="1B375C" w:themeColor="accent1"/>
        </w:rPr>
        <w:t>Table 4.</w:t>
      </w:r>
      <w:r w:rsidR="00D92E3A">
        <w:rPr>
          <w:rFonts w:eastAsia="Times New Roman"/>
          <w:b/>
          <w:color w:val="1B375C" w:themeColor="accent1"/>
        </w:rPr>
        <w:t>2</w:t>
      </w:r>
      <w:r w:rsidRPr="003D290F" w:rsidDel="00DD1249">
        <w:rPr>
          <w:rFonts w:eastAsia="Times New Roman"/>
        </w:rPr>
        <w:t xml:space="preserve"> </w:t>
      </w:r>
      <w:r w:rsidRPr="003D290F">
        <w:rPr>
          <w:rFonts w:eastAsia="Times New Roman"/>
        </w:rPr>
        <w:t xml:space="preserve">summarises </w:t>
      </w:r>
      <w:r w:rsidR="00090BCD" w:rsidRPr="003D290F">
        <w:rPr>
          <w:rFonts w:eastAsia="Times New Roman"/>
        </w:rPr>
        <w:t>the</w:t>
      </w:r>
      <w:r w:rsidRPr="003D290F">
        <w:rPr>
          <w:rFonts w:eastAsia="Times New Roman"/>
        </w:rPr>
        <w:t xml:space="preserve"> </w:t>
      </w:r>
      <w:r w:rsidR="00E82EF8" w:rsidRPr="003D290F">
        <w:rPr>
          <w:rFonts w:eastAsia="Times New Roman"/>
        </w:rPr>
        <w:t>impacts</w:t>
      </w:r>
      <w:r w:rsidR="00090BCD" w:rsidRPr="003D290F">
        <w:rPr>
          <w:rFonts w:eastAsia="Times New Roman"/>
        </w:rPr>
        <w:t xml:space="preserve"> which could be quantified in this analysis</w:t>
      </w:r>
      <w:r w:rsidRPr="003D290F">
        <w:rPr>
          <w:rFonts w:eastAsia="Times New Roman"/>
        </w:rPr>
        <w:t xml:space="preserve">. </w:t>
      </w:r>
      <w:r w:rsidR="005643F0" w:rsidRPr="003D290F">
        <w:rPr>
          <w:rFonts w:eastAsia="Times New Roman"/>
        </w:rPr>
        <w:t xml:space="preserve">The total </w:t>
      </w:r>
      <w:r w:rsidR="00D57FDF">
        <w:rPr>
          <w:rFonts w:eastAsia="Times New Roman"/>
        </w:rPr>
        <w:t>quantified</w:t>
      </w:r>
      <w:r w:rsidR="005643F0" w:rsidRPr="003D290F">
        <w:rPr>
          <w:rFonts w:eastAsia="Times New Roman"/>
        </w:rPr>
        <w:t xml:space="preserve"> </w:t>
      </w:r>
      <w:r w:rsidR="00A8779D" w:rsidRPr="003D290F">
        <w:rPr>
          <w:rFonts w:eastAsia="Times New Roman"/>
        </w:rPr>
        <w:t>NPV</w:t>
      </w:r>
      <w:r w:rsidR="005643F0" w:rsidRPr="003D290F">
        <w:rPr>
          <w:rFonts w:eastAsia="Times New Roman"/>
        </w:rPr>
        <w:t xml:space="preserve"> </w:t>
      </w:r>
      <w:r w:rsidR="00FC7E07" w:rsidRPr="003D290F">
        <w:rPr>
          <w:rFonts w:eastAsia="Times New Roman"/>
        </w:rPr>
        <w:t xml:space="preserve">over </w:t>
      </w:r>
      <w:r w:rsidR="00396A74" w:rsidRPr="003D290F">
        <w:rPr>
          <w:rFonts w:eastAsia="Times New Roman"/>
        </w:rPr>
        <w:t xml:space="preserve">11 years from </w:t>
      </w:r>
      <w:r w:rsidR="00FC7E07" w:rsidRPr="003D290F">
        <w:rPr>
          <w:rFonts w:eastAsia="Times New Roman"/>
        </w:rPr>
        <w:t xml:space="preserve">2024-25 to 2034-35 </w:t>
      </w:r>
      <w:r w:rsidR="00804024" w:rsidRPr="003D290F">
        <w:rPr>
          <w:rFonts w:eastAsia="Times New Roman"/>
        </w:rPr>
        <w:t>is</w:t>
      </w:r>
      <w:r w:rsidR="00AC0536" w:rsidRPr="003D290F">
        <w:rPr>
          <w:rFonts w:eastAsia="Times New Roman"/>
        </w:rPr>
        <w:t xml:space="preserve"> </w:t>
      </w:r>
      <w:r w:rsidR="005643F0" w:rsidRPr="003D290F">
        <w:rPr>
          <w:rFonts w:eastAsia="Times New Roman"/>
        </w:rPr>
        <w:t xml:space="preserve">estimated </w:t>
      </w:r>
      <w:r w:rsidR="00AC0536" w:rsidRPr="003D290F">
        <w:rPr>
          <w:rFonts w:eastAsia="Times New Roman"/>
        </w:rPr>
        <w:t>at</w:t>
      </w:r>
      <w:r w:rsidR="005643F0" w:rsidRPr="003D290F">
        <w:rPr>
          <w:rFonts w:eastAsia="Times New Roman"/>
        </w:rPr>
        <w:t xml:space="preserve"> </w:t>
      </w:r>
      <w:r w:rsidR="005643F0" w:rsidRPr="003D290F">
        <w:rPr>
          <w:rFonts w:eastAsia="Times New Roman"/>
        </w:rPr>
        <w:noBreakHyphen/>
        <w:t>$</w:t>
      </w:r>
      <w:r w:rsidR="0087593C">
        <w:rPr>
          <w:rFonts w:eastAsia="Times New Roman"/>
        </w:rPr>
        <w:t>16.3</w:t>
      </w:r>
      <w:r w:rsidR="005643F0" w:rsidRPr="003D290F">
        <w:rPr>
          <w:rFonts w:eastAsia="Times New Roman"/>
        </w:rPr>
        <w:t> million</w:t>
      </w:r>
      <w:r w:rsidR="00804024" w:rsidRPr="003D290F">
        <w:rPr>
          <w:rFonts w:eastAsia="Times New Roman"/>
        </w:rPr>
        <w:t xml:space="preserve"> for Option 2</w:t>
      </w:r>
      <w:r w:rsidR="005643F0" w:rsidRPr="003D290F">
        <w:rPr>
          <w:rFonts w:eastAsia="Times New Roman"/>
        </w:rPr>
        <w:t xml:space="preserve"> </w:t>
      </w:r>
      <w:r w:rsidRPr="003D290F">
        <w:rPr>
          <w:rFonts w:eastAsia="Times New Roman"/>
        </w:rPr>
        <w:t xml:space="preserve">and </w:t>
      </w:r>
      <w:r w:rsidR="005643F0" w:rsidRPr="003D290F">
        <w:rPr>
          <w:rFonts w:eastAsia="Times New Roman"/>
        </w:rPr>
        <w:noBreakHyphen/>
        <w:t>$</w:t>
      </w:r>
      <w:r w:rsidR="00785D85">
        <w:rPr>
          <w:rFonts w:eastAsia="Times New Roman"/>
        </w:rPr>
        <w:t>33.</w:t>
      </w:r>
      <w:r w:rsidR="0069619C">
        <w:rPr>
          <w:rFonts w:eastAsia="Times New Roman"/>
        </w:rPr>
        <w:t>1</w:t>
      </w:r>
      <w:r w:rsidR="005643F0" w:rsidRPr="003D290F">
        <w:rPr>
          <w:rFonts w:eastAsia="Times New Roman"/>
        </w:rPr>
        <w:t> million</w:t>
      </w:r>
      <w:r w:rsidR="00804024" w:rsidRPr="003D290F">
        <w:rPr>
          <w:rFonts w:eastAsia="Times New Roman"/>
        </w:rPr>
        <w:t xml:space="preserve"> for Option 3</w:t>
      </w:r>
      <w:r w:rsidR="008272E9" w:rsidRPr="003D290F">
        <w:rPr>
          <w:rFonts w:eastAsia="Times New Roman"/>
        </w:rPr>
        <w:t>,</w:t>
      </w:r>
      <w:r w:rsidRPr="003D290F">
        <w:rPr>
          <w:rFonts w:eastAsia="Times New Roman"/>
        </w:rPr>
        <w:t xml:space="preserve"> </w:t>
      </w:r>
      <w:r w:rsidR="00804024" w:rsidRPr="003D290F">
        <w:rPr>
          <w:rFonts w:eastAsia="Times New Roman"/>
        </w:rPr>
        <w:t>inclusive of</w:t>
      </w:r>
      <w:r w:rsidR="009B4DBE" w:rsidRPr="003D290F">
        <w:rPr>
          <w:rFonts w:eastAsia="Times New Roman"/>
        </w:rPr>
        <w:t xml:space="preserve"> regulatory costs</w:t>
      </w:r>
      <w:r w:rsidR="005643F0" w:rsidRPr="003D290F">
        <w:rPr>
          <w:rFonts w:eastAsia="Times New Roman"/>
        </w:rPr>
        <w:t>.</w:t>
      </w:r>
      <w:r w:rsidR="008347C1" w:rsidRPr="003D290F">
        <w:rPr>
          <w:rFonts w:eastAsia="Times New Roman"/>
        </w:rPr>
        <w:t xml:space="preserve"> </w:t>
      </w:r>
      <w:r w:rsidR="00271B87">
        <w:t xml:space="preserve">The overall quantified negative NPV of Option 3 is around twice as </w:t>
      </w:r>
      <w:r w:rsidR="00271B87">
        <w:rPr>
          <w:rFonts w:eastAsia="Times New Roman"/>
        </w:rPr>
        <w:t xml:space="preserve">large as </w:t>
      </w:r>
      <w:r w:rsidR="00271B87">
        <w:t xml:space="preserve">the overall quantified negative NPV of </w:t>
      </w:r>
      <w:r w:rsidR="00271B87">
        <w:rPr>
          <w:rFonts w:eastAsia="Times New Roman"/>
        </w:rPr>
        <w:t xml:space="preserve">Option 2, but this is expected to be more than offset by the greater unquantified benefits of Option 3. </w:t>
      </w:r>
      <w:r w:rsidR="00F90801">
        <w:rPr>
          <w:rFonts w:eastAsia="Times New Roman"/>
        </w:rPr>
        <w:t xml:space="preserve"> </w:t>
      </w:r>
      <w:r w:rsidR="00FC7E07" w:rsidRPr="003D290F">
        <w:rPr>
          <w:rFonts w:eastAsia="Times New Roman"/>
        </w:rPr>
        <w:t>Annualised, the NPV</w:t>
      </w:r>
      <w:r w:rsidR="008347C1" w:rsidRPr="003D290F">
        <w:rPr>
          <w:rFonts w:eastAsia="Times New Roman"/>
        </w:rPr>
        <w:t xml:space="preserve"> is -$</w:t>
      </w:r>
      <w:r w:rsidR="0087593C">
        <w:rPr>
          <w:rFonts w:eastAsia="Times New Roman"/>
        </w:rPr>
        <w:t>1.5</w:t>
      </w:r>
      <w:r w:rsidR="008347C1" w:rsidRPr="003D290F">
        <w:rPr>
          <w:rFonts w:eastAsia="Times New Roman"/>
        </w:rPr>
        <w:t xml:space="preserve"> million</w:t>
      </w:r>
      <w:r w:rsidR="00FC7E07" w:rsidRPr="003D290F">
        <w:rPr>
          <w:rFonts w:eastAsia="Times New Roman"/>
        </w:rPr>
        <w:t xml:space="preserve"> per annum</w:t>
      </w:r>
      <w:r w:rsidR="008347C1" w:rsidRPr="003D290F">
        <w:rPr>
          <w:rFonts w:eastAsia="Times New Roman"/>
        </w:rPr>
        <w:t xml:space="preserve"> for Option 2 and </w:t>
      </w:r>
      <w:r w:rsidR="000800FE" w:rsidRPr="003D290F">
        <w:rPr>
          <w:rFonts w:eastAsia="Times New Roman"/>
        </w:rPr>
        <w:noBreakHyphen/>
      </w:r>
      <w:r w:rsidR="008347C1" w:rsidRPr="003D290F">
        <w:rPr>
          <w:rFonts w:eastAsia="Times New Roman"/>
        </w:rPr>
        <w:t>$</w:t>
      </w:r>
      <w:r w:rsidR="000C4521" w:rsidRPr="003D290F">
        <w:rPr>
          <w:rFonts w:eastAsia="Times New Roman"/>
        </w:rPr>
        <w:t>3.</w:t>
      </w:r>
      <w:r w:rsidR="006C65B8">
        <w:rPr>
          <w:rFonts w:eastAsia="Times New Roman"/>
        </w:rPr>
        <w:t>0</w:t>
      </w:r>
      <w:r w:rsidR="008347C1" w:rsidRPr="003D290F">
        <w:rPr>
          <w:rFonts w:eastAsia="Times New Roman"/>
        </w:rPr>
        <w:t xml:space="preserve"> million </w:t>
      </w:r>
      <w:r w:rsidR="00FC7E07" w:rsidRPr="003D290F">
        <w:rPr>
          <w:rFonts w:eastAsia="Times New Roman"/>
        </w:rPr>
        <w:t xml:space="preserve">per annum </w:t>
      </w:r>
      <w:r w:rsidR="008347C1" w:rsidRPr="003D290F">
        <w:rPr>
          <w:rFonts w:eastAsia="Times New Roman"/>
        </w:rPr>
        <w:t>for Option 3.</w:t>
      </w:r>
      <w:r w:rsidR="00804024" w:rsidRPr="003D290F">
        <w:rPr>
          <w:rFonts w:eastAsia="Times New Roman"/>
        </w:rPr>
        <w:t xml:space="preserve"> </w:t>
      </w:r>
      <w:r w:rsidR="00804024" w:rsidRPr="003D290F">
        <w:t>To estimate the impact on stakeholders, outcomes under Option 2 and Option 3 are quantified relative to the status quo (Option 1). As such, the NPV for Option 1 is not quantified.</w:t>
      </w:r>
      <w:r w:rsidR="000C4521" w:rsidRPr="003D290F">
        <w:t xml:space="preserve"> The overall quantified impact of the plans are driven by the cost for the government to administer the plan and the regulatory costs faced by businesses that participate.</w:t>
      </w:r>
    </w:p>
    <w:p w14:paraId="44BE3C21" w14:textId="77777777" w:rsidR="00AC0536" w:rsidRPr="003D290F" w:rsidRDefault="00AC0536" w:rsidP="00B111C1">
      <w:pPr>
        <w:rPr>
          <w:rFonts w:eastAsia="Times New Roman"/>
        </w:rPr>
      </w:pPr>
      <w:r w:rsidRPr="003D290F">
        <w:rPr>
          <w:rFonts w:eastAsia="Times New Roman"/>
        </w:rPr>
        <w:t>Under both options, i</w:t>
      </w:r>
      <w:r w:rsidR="005643F0" w:rsidRPr="003D290F">
        <w:rPr>
          <w:rFonts w:eastAsia="Times New Roman"/>
        </w:rPr>
        <w:t xml:space="preserve">ndividuals are expected to experience a </w:t>
      </w:r>
      <w:r w:rsidR="00F53A32">
        <w:rPr>
          <w:rFonts w:eastAsia="Times New Roman"/>
        </w:rPr>
        <w:t xml:space="preserve">quantified </w:t>
      </w:r>
      <w:r w:rsidR="005643F0" w:rsidRPr="003D290F">
        <w:rPr>
          <w:rFonts w:eastAsia="Times New Roman"/>
        </w:rPr>
        <w:t>net benefit</w:t>
      </w:r>
      <w:r w:rsidR="00BF002F" w:rsidRPr="003D290F">
        <w:rPr>
          <w:rFonts w:eastAsia="Times New Roman"/>
        </w:rPr>
        <w:t xml:space="preserve"> due to the improved employment outcomes relative to the status quo</w:t>
      </w:r>
      <w:r w:rsidRPr="003D290F">
        <w:rPr>
          <w:rFonts w:eastAsia="Times New Roman"/>
        </w:rPr>
        <w:t xml:space="preserve">. This effect is greater under </w:t>
      </w:r>
      <w:r w:rsidR="001D25F0" w:rsidRPr="003D290F">
        <w:rPr>
          <w:rFonts w:eastAsia="Times New Roman"/>
        </w:rPr>
        <w:t>Option 3</w:t>
      </w:r>
      <w:r w:rsidRPr="003D290F">
        <w:rPr>
          <w:rFonts w:eastAsia="Times New Roman"/>
        </w:rPr>
        <w:t xml:space="preserve"> than </w:t>
      </w:r>
      <w:r w:rsidR="00210800" w:rsidRPr="003D290F">
        <w:rPr>
          <w:rFonts w:eastAsia="Times New Roman"/>
        </w:rPr>
        <w:t>under Option</w:t>
      </w:r>
      <w:r w:rsidR="006931BD" w:rsidRPr="003D290F">
        <w:rPr>
          <w:rFonts w:eastAsia="Times New Roman"/>
        </w:rPr>
        <w:t> </w:t>
      </w:r>
      <w:r w:rsidR="00210800" w:rsidRPr="003D290F">
        <w:rPr>
          <w:rFonts w:eastAsia="Times New Roman"/>
        </w:rPr>
        <w:t xml:space="preserve">2 </w:t>
      </w:r>
      <w:r w:rsidRPr="003D290F">
        <w:rPr>
          <w:rFonts w:eastAsia="Times New Roman"/>
        </w:rPr>
        <w:t>driven by greater participation in the community of interest</w:t>
      </w:r>
      <w:r w:rsidR="001E55BA">
        <w:rPr>
          <w:rFonts w:eastAsia="Times New Roman"/>
        </w:rPr>
        <w:t xml:space="preserve"> and higher rates of placement for directly</w:t>
      </w:r>
      <w:r w:rsidR="001C29ED">
        <w:rPr>
          <w:rFonts w:eastAsia="Times New Roman"/>
        </w:rPr>
        <w:t xml:space="preserve"> </w:t>
      </w:r>
      <w:r w:rsidR="001E55BA">
        <w:rPr>
          <w:rFonts w:eastAsia="Times New Roman"/>
        </w:rPr>
        <w:t>affected workers</w:t>
      </w:r>
      <w:r w:rsidRPr="003D290F">
        <w:rPr>
          <w:rFonts w:eastAsia="Times New Roman"/>
        </w:rPr>
        <w:t>.</w:t>
      </w:r>
      <w:r w:rsidR="00BF002F" w:rsidRPr="003D290F">
        <w:rPr>
          <w:rFonts w:eastAsia="Times New Roman"/>
        </w:rPr>
        <w:t xml:space="preserve"> </w:t>
      </w:r>
      <w:r w:rsidRPr="003D290F">
        <w:rPr>
          <w:rFonts w:eastAsia="Times New Roman"/>
        </w:rPr>
        <w:t>T</w:t>
      </w:r>
      <w:r w:rsidR="00BF002F" w:rsidRPr="003D290F">
        <w:rPr>
          <w:rFonts w:eastAsia="Times New Roman"/>
        </w:rPr>
        <w:t>he flow-on effects of sustained employment for communit</w:t>
      </w:r>
      <w:r w:rsidR="004F136D" w:rsidRPr="003D290F">
        <w:rPr>
          <w:rFonts w:eastAsia="Times New Roman"/>
        </w:rPr>
        <w:t>ies, including small businesses,</w:t>
      </w:r>
      <w:r w:rsidR="00BF002F" w:rsidRPr="003D290F">
        <w:rPr>
          <w:rFonts w:eastAsia="Times New Roman"/>
        </w:rPr>
        <w:t xml:space="preserve"> have not been quantified in the analysis but are expected to deliver </w:t>
      </w:r>
      <w:r w:rsidR="001054E0" w:rsidRPr="003D290F">
        <w:rPr>
          <w:rFonts w:eastAsia="Times New Roman"/>
        </w:rPr>
        <w:t>considera</w:t>
      </w:r>
      <w:r w:rsidR="00BF002F" w:rsidRPr="003D290F">
        <w:rPr>
          <w:rFonts w:eastAsia="Times New Roman"/>
        </w:rPr>
        <w:t>ble benefits</w:t>
      </w:r>
      <w:r w:rsidR="001054E0" w:rsidRPr="003D290F">
        <w:rPr>
          <w:rFonts w:eastAsia="Times New Roman"/>
        </w:rPr>
        <w:t xml:space="preserve"> beyond those accruing to directly</w:t>
      </w:r>
      <w:r w:rsidR="001C29ED">
        <w:rPr>
          <w:rFonts w:eastAsia="Times New Roman"/>
        </w:rPr>
        <w:t xml:space="preserve"> </w:t>
      </w:r>
      <w:r w:rsidR="001054E0" w:rsidRPr="003D290F">
        <w:rPr>
          <w:rFonts w:eastAsia="Times New Roman"/>
        </w:rPr>
        <w:t>affected workers</w:t>
      </w:r>
      <w:r w:rsidR="00BF002F" w:rsidRPr="003D290F">
        <w:rPr>
          <w:rFonts w:eastAsia="Times New Roman"/>
        </w:rPr>
        <w:t>.</w:t>
      </w:r>
    </w:p>
    <w:p w14:paraId="5115A5B0" w14:textId="77777777" w:rsidR="00B111C1" w:rsidRPr="003D290F" w:rsidRDefault="000C4521" w:rsidP="00B111C1">
      <w:pPr>
        <w:rPr>
          <w:rFonts w:eastAsia="Times New Roman"/>
        </w:rPr>
      </w:pPr>
      <w:r w:rsidRPr="003D290F">
        <w:rPr>
          <w:rFonts w:eastAsia="Times New Roman"/>
        </w:rPr>
        <w:t>When only considering</w:t>
      </w:r>
      <w:r w:rsidRPr="003D290F" w:rsidDel="00777D0D">
        <w:rPr>
          <w:rFonts w:eastAsia="Times New Roman"/>
        </w:rPr>
        <w:t xml:space="preserve"> </w:t>
      </w:r>
      <w:r w:rsidRPr="003D290F">
        <w:rPr>
          <w:rFonts w:eastAsia="Times New Roman"/>
        </w:rPr>
        <w:t xml:space="preserve">the </w:t>
      </w:r>
      <w:r w:rsidR="001D6F86" w:rsidRPr="003D290F">
        <w:rPr>
          <w:rFonts w:eastAsia="Times New Roman"/>
        </w:rPr>
        <w:t xml:space="preserve">quantified </w:t>
      </w:r>
      <w:r w:rsidRPr="003D290F">
        <w:rPr>
          <w:rFonts w:eastAsia="Times New Roman"/>
        </w:rPr>
        <w:t>impacts</w:t>
      </w:r>
      <w:r w:rsidR="00D47231" w:rsidRPr="003D290F">
        <w:rPr>
          <w:rFonts w:eastAsia="Times New Roman"/>
        </w:rPr>
        <w:t xml:space="preserve">, </w:t>
      </w:r>
      <w:r w:rsidR="001804C6" w:rsidRPr="003D290F">
        <w:rPr>
          <w:rFonts w:eastAsia="Times New Roman"/>
        </w:rPr>
        <w:t xml:space="preserve">closing and </w:t>
      </w:r>
      <w:r w:rsidR="001F471B" w:rsidRPr="003D290F">
        <w:rPr>
          <w:rFonts w:eastAsia="Times New Roman"/>
        </w:rPr>
        <w:t>receiving employers</w:t>
      </w:r>
      <w:r w:rsidR="001804C6" w:rsidRPr="003D290F">
        <w:rPr>
          <w:rFonts w:eastAsia="Times New Roman"/>
        </w:rPr>
        <w:t xml:space="preserve">, </w:t>
      </w:r>
      <w:r w:rsidR="00D47231" w:rsidRPr="003D290F">
        <w:rPr>
          <w:rFonts w:eastAsia="Times New Roman"/>
        </w:rPr>
        <w:t>and government are expected to experience a net cost from the proposal</w:t>
      </w:r>
      <w:r w:rsidRPr="003D290F">
        <w:rPr>
          <w:rFonts w:eastAsia="Times New Roman"/>
        </w:rPr>
        <w:t xml:space="preserve"> in each option</w:t>
      </w:r>
      <w:r w:rsidR="00D47231" w:rsidRPr="003D290F">
        <w:rPr>
          <w:rFonts w:eastAsia="Times New Roman"/>
        </w:rPr>
        <w:t xml:space="preserve">, predominantly driven by the need to fund early retirement packages and </w:t>
      </w:r>
      <w:r w:rsidR="001054E0" w:rsidRPr="003D290F">
        <w:rPr>
          <w:rFonts w:eastAsia="Times New Roman"/>
        </w:rPr>
        <w:t>other</w:t>
      </w:r>
      <w:r w:rsidR="00D47231" w:rsidRPr="003D290F">
        <w:rPr>
          <w:rFonts w:eastAsia="Times New Roman"/>
        </w:rPr>
        <w:t xml:space="preserve"> </w:t>
      </w:r>
      <w:r w:rsidR="00322F22">
        <w:rPr>
          <w:rFonts w:eastAsia="Times New Roman"/>
        </w:rPr>
        <w:t xml:space="preserve">plan delivery </w:t>
      </w:r>
      <w:r w:rsidR="00D47231" w:rsidRPr="003D290F">
        <w:rPr>
          <w:rFonts w:eastAsia="Times New Roman"/>
        </w:rPr>
        <w:t>costs.</w:t>
      </w:r>
      <w:r w:rsidR="00AC0536" w:rsidRPr="003D290F">
        <w:rPr>
          <w:rFonts w:eastAsia="Times New Roman"/>
        </w:rPr>
        <w:t xml:space="preserve"> These costs are greater under </w:t>
      </w:r>
      <w:r w:rsidR="00322F22">
        <w:rPr>
          <w:rFonts w:eastAsia="Times New Roman"/>
        </w:rPr>
        <w:t>O</w:t>
      </w:r>
      <w:r w:rsidR="001D25F0" w:rsidRPr="003D290F">
        <w:rPr>
          <w:rFonts w:eastAsia="Times New Roman"/>
        </w:rPr>
        <w:t>ption</w:t>
      </w:r>
      <w:r w:rsidR="008C0328">
        <w:rPr>
          <w:rFonts w:eastAsia="Times New Roman"/>
        </w:rPr>
        <w:t> </w:t>
      </w:r>
      <w:r w:rsidR="001D25F0" w:rsidRPr="003D290F">
        <w:rPr>
          <w:rFonts w:eastAsia="Times New Roman"/>
        </w:rPr>
        <w:t>3</w:t>
      </w:r>
      <w:r w:rsidR="00AC0536" w:rsidRPr="003D290F">
        <w:rPr>
          <w:rFonts w:eastAsia="Times New Roman"/>
        </w:rPr>
        <w:t xml:space="preserve"> than </w:t>
      </w:r>
      <w:r w:rsidR="009F48EC" w:rsidRPr="003D290F">
        <w:rPr>
          <w:rFonts w:eastAsia="Times New Roman"/>
        </w:rPr>
        <w:t xml:space="preserve">under Option 2 </w:t>
      </w:r>
      <w:r w:rsidR="00AC0536" w:rsidRPr="003D290F">
        <w:rPr>
          <w:rFonts w:eastAsia="Times New Roman"/>
        </w:rPr>
        <w:t xml:space="preserve">due to the scale of the </w:t>
      </w:r>
      <w:r w:rsidR="00E918E4" w:rsidRPr="003D290F">
        <w:rPr>
          <w:rFonts w:eastAsia="Times New Roman"/>
        </w:rPr>
        <w:t xml:space="preserve">plan </w:t>
      </w:r>
      <w:r w:rsidR="00AC0536" w:rsidRPr="003D290F">
        <w:rPr>
          <w:rFonts w:eastAsia="Times New Roman"/>
        </w:rPr>
        <w:t>with higher participation</w:t>
      </w:r>
      <w:r w:rsidR="00705561">
        <w:rPr>
          <w:rFonts w:eastAsia="Times New Roman"/>
        </w:rPr>
        <w:t xml:space="preserve"> and the </w:t>
      </w:r>
      <w:r w:rsidR="00705561" w:rsidRPr="003D290F">
        <w:rPr>
          <w:rFonts w:eastAsia="Times New Roman"/>
        </w:rPr>
        <w:t>compulsory element</w:t>
      </w:r>
      <w:r w:rsidR="00885634">
        <w:rPr>
          <w:rFonts w:eastAsia="Times New Roman"/>
        </w:rPr>
        <w:t>.</w:t>
      </w:r>
      <w:r w:rsidR="0087321E">
        <w:rPr>
          <w:rStyle w:val="FootnoteReference"/>
          <w:rFonts w:eastAsia="Times New Roman"/>
        </w:rPr>
        <w:footnoteReference w:id="59"/>
      </w:r>
    </w:p>
    <w:p w14:paraId="0CEECC1A" w14:textId="77777777" w:rsidR="00355CA0" w:rsidRPr="003D290F" w:rsidRDefault="00355CA0" w:rsidP="00B75357">
      <w:pPr>
        <w:keepNext/>
        <w:spacing w:before="120" w:after="120" w:line="240" w:lineRule="auto"/>
        <w:rPr>
          <w:rFonts w:eastAsia="Times New Roman" w:cs="Segoe UI"/>
          <w:b/>
          <w:sz w:val="24"/>
        </w:rPr>
      </w:pPr>
      <w:r w:rsidRPr="003D290F">
        <w:rPr>
          <w:rFonts w:eastAsia="Times New Roman" w:cs="Segoe UI"/>
          <w:b/>
          <w:sz w:val="24"/>
        </w:rPr>
        <w:lastRenderedPageBreak/>
        <w:t>TABLE 4.</w:t>
      </w:r>
      <w:r w:rsidR="00D92E3A">
        <w:rPr>
          <w:rFonts w:eastAsia="Times New Roman" w:cs="Segoe UI"/>
          <w:b/>
          <w:sz w:val="24"/>
        </w:rPr>
        <w:t>2</w:t>
      </w:r>
      <w:r w:rsidRPr="003D290F">
        <w:rPr>
          <w:rFonts w:eastAsia="Times New Roman" w:cs="Segoe UI"/>
          <w:b/>
          <w:sz w:val="24"/>
        </w:rPr>
        <w:t xml:space="preserve"> </w:t>
      </w:r>
      <w:r w:rsidR="00E82EF8" w:rsidRPr="003D290F">
        <w:rPr>
          <w:rFonts w:eastAsia="Times New Roman" w:cs="Segoe UI"/>
          <w:b/>
          <w:sz w:val="24"/>
        </w:rPr>
        <w:t xml:space="preserve">ESTIMATED </w:t>
      </w:r>
      <w:r w:rsidR="003965C9">
        <w:rPr>
          <w:rFonts w:eastAsia="Times New Roman" w:cs="Segoe UI"/>
          <w:b/>
          <w:sz w:val="24"/>
        </w:rPr>
        <w:t>QUANTIFIED</w:t>
      </w:r>
      <w:r w:rsidR="00E82EF8" w:rsidRPr="003D290F">
        <w:rPr>
          <w:rFonts w:eastAsia="Times New Roman" w:cs="Segoe UI"/>
          <w:b/>
          <w:sz w:val="24"/>
        </w:rPr>
        <w:t xml:space="preserve"> </w:t>
      </w:r>
      <w:r w:rsidRPr="003D290F">
        <w:rPr>
          <w:rFonts w:eastAsia="Times New Roman" w:cs="Segoe UI"/>
          <w:b/>
          <w:sz w:val="24"/>
        </w:rPr>
        <w:t>NET PRESENT VALUE OF POLICY OPTIONS</w:t>
      </w:r>
      <w:r w:rsidR="005A2F0F" w:rsidRPr="003D290F">
        <w:rPr>
          <w:rFonts w:eastAsia="Times New Roman" w:cs="Segoe UI"/>
          <w:b/>
          <w:sz w:val="24"/>
        </w:rPr>
        <w:t xml:space="preserve"> </w:t>
      </w:r>
      <w:r w:rsidR="00120313" w:rsidRPr="003D290F">
        <w:rPr>
          <w:rFonts w:eastAsia="Times New Roman" w:cs="Segoe UI"/>
          <w:b/>
          <w:sz w:val="24"/>
        </w:rPr>
        <w:t>RELATIVE TO OPTION 1</w:t>
      </w:r>
    </w:p>
    <w:tbl>
      <w:tblPr>
        <w:tblStyle w:val="Custom11"/>
        <w:tblW w:w="5000" w:type="pct"/>
        <w:tblBorders>
          <w:top w:val="none" w:sz="0" w:space="0" w:color="auto"/>
          <w:bottom w:val="none" w:sz="0" w:space="0" w:color="auto"/>
          <w:insideH w:val="none" w:sz="0" w:space="0" w:color="auto"/>
        </w:tblBorders>
        <w:tblLook w:val="0660" w:firstRow="1" w:lastRow="1" w:firstColumn="0" w:lastColumn="0" w:noHBand="1" w:noVBand="1"/>
      </w:tblPr>
      <w:tblGrid>
        <w:gridCol w:w="7792"/>
        <w:gridCol w:w="2402"/>
      </w:tblGrid>
      <w:tr w:rsidR="005F64FF" w:rsidRPr="003D290F" w14:paraId="21D78DF7" w14:textId="77777777" w:rsidTr="00BA2A3F">
        <w:trPr>
          <w:cnfStyle w:val="100000000000" w:firstRow="1" w:lastRow="0" w:firstColumn="0" w:lastColumn="0" w:oddVBand="0" w:evenVBand="0" w:oddHBand="0" w:evenHBand="0" w:firstRowFirstColumn="0" w:firstRowLastColumn="0" w:lastRowFirstColumn="0" w:lastRowLastColumn="0"/>
          <w:trHeight w:val="350"/>
          <w:tblHeader/>
        </w:trPr>
        <w:tc>
          <w:tcPr>
            <w:tcW w:w="3822" w:type="pct"/>
            <w:tcBorders>
              <w:top w:val="single" w:sz="4" w:space="0" w:color="FFFFFF"/>
              <w:left w:val="single" w:sz="4" w:space="0" w:color="FFFFFF"/>
              <w:bottom w:val="single" w:sz="4" w:space="0" w:color="FFFFFF"/>
            </w:tcBorders>
            <w:vAlign w:val="center"/>
          </w:tcPr>
          <w:p w14:paraId="4018C841" w14:textId="77777777" w:rsidR="005F64FF" w:rsidRPr="003D290F" w:rsidRDefault="005F64FF" w:rsidP="003F5E60">
            <w:pPr>
              <w:keepNext/>
              <w:rPr>
                <w:rFonts w:eastAsia="Times New Roman" w:cs="Segoe UI"/>
                <w:sz w:val="20"/>
                <w:szCs w:val="20"/>
              </w:rPr>
            </w:pPr>
          </w:p>
        </w:tc>
        <w:tc>
          <w:tcPr>
            <w:tcW w:w="1178" w:type="pct"/>
            <w:tcBorders>
              <w:top w:val="single" w:sz="4" w:space="0" w:color="FFFFFF"/>
              <w:left w:val="nil"/>
              <w:bottom w:val="single" w:sz="4" w:space="0" w:color="FFFFFF"/>
              <w:right w:val="single" w:sz="4" w:space="0" w:color="FFFFFF"/>
            </w:tcBorders>
            <w:vAlign w:val="center"/>
          </w:tcPr>
          <w:p w14:paraId="11C7320B" w14:textId="77777777" w:rsidR="005F64FF" w:rsidRPr="003D290F" w:rsidRDefault="005F64FF" w:rsidP="003F5E60">
            <w:pPr>
              <w:keepNext/>
              <w:jc w:val="center"/>
              <w:rPr>
                <w:rFonts w:eastAsia="Times New Roman" w:cs="Segoe UI"/>
                <w:sz w:val="20"/>
                <w:szCs w:val="20"/>
              </w:rPr>
            </w:pPr>
            <w:r w:rsidRPr="003D290F">
              <w:rPr>
                <w:rFonts w:eastAsia="Times New Roman" w:cs="Segoe UI"/>
                <w:sz w:val="20"/>
                <w:szCs w:val="20"/>
              </w:rPr>
              <w:t xml:space="preserve">NET </w:t>
            </w:r>
            <w:r w:rsidR="00646CE4" w:rsidRPr="003D290F">
              <w:rPr>
                <w:rFonts w:eastAsia="Times New Roman" w:cs="Segoe UI"/>
                <w:sz w:val="20"/>
                <w:szCs w:val="20"/>
              </w:rPr>
              <w:t>PRESENT VALUE</w:t>
            </w:r>
          </w:p>
        </w:tc>
      </w:tr>
      <w:tr w:rsidR="005F64FF" w:rsidRPr="003D290F" w14:paraId="3490315A" w14:textId="77777777" w:rsidTr="00407C28">
        <w:trPr>
          <w:trHeight w:val="350"/>
        </w:trPr>
        <w:tc>
          <w:tcPr>
            <w:tcW w:w="3822" w:type="pct"/>
            <w:tcBorders>
              <w:top w:val="single" w:sz="4" w:space="0" w:color="FFFFFF"/>
              <w:left w:val="single" w:sz="4" w:space="0" w:color="FFFFFF"/>
              <w:bottom w:val="single" w:sz="4" w:space="0" w:color="FFFFFF"/>
            </w:tcBorders>
            <w:shd w:val="clear" w:color="auto" w:fill="27518B" w:themeFill="text2" w:themeFillTint="BF"/>
            <w:vAlign w:val="center"/>
          </w:tcPr>
          <w:p w14:paraId="656DF885" w14:textId="77777777" w:rsidR="005F64FF" w:rsidRPr="003D290F" w:rsidRDefault="005F64FF" w:rsidP="00B75357">
            <w:pPr>
              <w:keepNext/>
              <w:rPr>
                <w:rFonts w:eastAsia="Times New Roman" w:cs="Segoe UI"/>
                <w:sz w:val="20"/>
                <w:szCs w:val="20"/>
              </w:rPr>
            </w:pPr>
            <w:r w:rsidRPr="003D290F">
              <w:rPr>
                <w:rFonts w:eastAsia="Times New Roman" w:cs="Segoe UI"/>
                <w:b/>
                <w:color w:val="FFFFFF"/>
                <w:sz w:val="20"/>
                <w:szCs w:val="20"/>
              </w:rPr>
              <w:t xml:space="preserve">Option 2: Pooled redeployment </w:t>
            </w:r>
            <w:r w:rsidR="00E918E4" w:rsidRPr="003D290F">
              <w:rPr>
                <w:rFonts w:eastAsia="Times New Roman" w:cs="Segoe UI"/>
                <w:b/>
                <w:color w:val="FFFFFF"/>
                <w:sz w:val="20"/>
                <w:szCs w:val="20"/>
              </w:rPr>
              <w:t xml:space="preserve">plan </w:t>
            </w:r>
            <w:r w:rsidRPr="003D290F">
              <w:rPr>
                <w:rFonts w:eastAsia="Times New Roman" w:cs="Segoe UI"/>
                <w:b/>
                <w:color w:val="FFFFFF"/>
                <w:sz w:val="20"/>
                <w:szCs w:val="20"/>
              </w:rPr>
              <w:t>(unlegislated)</w:t>
            </w:r>
          </w:p>
        </w:tc>
        <w:tc>
          <w:tcPr>
            <w:tcW w:w="1178" w:type="pct"/>
            <w:tcBorders>
              <w:top w:val="single" w:sz="4" w:space="0" w:color="FFFFFF"/>
              <w:left w:val="nil"/>
              <w:bottom w:val="single" w:sz="4" w:space="0" w:color="FFFFFF"/>
              <w:right w:val="single" w:sz="4" w:space="0" w:color="FFFFFF"/>
            </w:tcBorders>
            <w:shd w:val="clear" w:color="auto" w:fill="27518B" w:themeFill="text2" w:themeFillTint="BF"/>
            <w:vAlign w:val="center"/>
          </w:tcPr>
          <w:p w14:paraId="46E40492" w14:textId="77777777" w:rsidR="005F64FF" w:rsidRPr="003D290F" w:rsidRDefault="00AF26BA" w:rsidP="003F5E60">
            <w:pPr>
              <w:keepNext/>
              <w:jc w:val="right"/>
              <w:rPr>
                <w:rFonts w:eastAsia="Times New Roman" w:cs="Segoe UI"/>
                <w:b/>
                <w:sz w:val="20"/>
                <w:szCs w:val="20"/>
              </w:rPr>
            </w:pPr>
            <w:r w:rsidRPr="003D290F">
              <w:rPr>
                <w:rFonts w:cs="Segoe UI"/>
                <w:b/>
                <w:bCs/>
                <w:color w:val="FFFFFF"/>
                <w:sz w:val="20"/>
                <w:szCs w:val="20"/>
              </w:rPr>
              <w:t>-$</w:t>
            </w:r>
            <w:r w:rsidR="0087593C">
              <w:rPr>
                <w:rFonts w:cs="Segoe UI"/>
                <w:b/>
                <w:bCs/>
                <w:color w:val="FFFFFF"/>
                <w:sz w:val="20"/>
                <w:szCs w:val="20"/>
              </w:rPr>
              <w:t>16.3</w:t>
            </w:r>
            <w:r w:rsidRPr="003D290F">
              <w:rPr>
                <w:rFonts w:cs="Segoe UI"/>
                <w:b/>
                <w:bCs/>
                <w:color w:val="FFFFFF"/>
                <w:sz w:val="20"/>
                <w:szCs w:val="20"/>
              </w:rPr>
              <w:t xml:space="preserve"> million</w:t>
            </w:r>
          </w:p>
        </w:tc>
      </w:tr>
      <w:tr w:rsidR="005F64FF" w:rsidRPr="003D290F" w14:paraId="1DE744B0" w14:textId="77777777" w:rsidTr="00407C28">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E0E8F2"/>
            <w:vAlign w:val="center"/>
          </w:tcPr>
          <w:p w14:paraId="1AC21B25" w14:textId="77777777" w:rsidR="005F64FF" w:rsidRPr="003D290F" w:rsidRDefault="001804C6" w:rsidP="00B75357">
            <w:pPr>
              <w:keepNext/>
              <w:ind w:left="227"/>
              <w:rPr>
                <w:rFonts w:eastAsia="Times New Roman" w:cs="Segoe UI"/>
                <w:sz w:val="20"/>
                <w:szCs w:val="20"/>
              </w:rPr>
            </w:pPr>
            <w:r w:rsidRPr="003D290F">
              <w:rPr>
                <w:rFonts w:eastAsia="Times New Roman" w:cs="Segoe UI"/>
                <w:sz w:val="20"/>
                <w:szCs w:val="20"/>
              </w:rPr>
              <w:t xml:space="preserve">Closing and </w:t>
            </w:r>
            <w:r w:rsidR="001F471B" w:rsidRPr="003D290F">
              <w:rPr>
                <w:rFonts w:eastAsia="Times New Roman" w:cs="Segoe UI"/>
                <w:sz w:val="20"/>
                <w:szCs w:val="20"/>
              </w:rPr>
              <w:t>receiving employers</w:t>
            </w:r>
          </w:p>
        </w:tc>
        <w:tc>
          <w:tcPr>
            <w:tcW w:w="1178" w:type="pct"/>
            <w:tcBorders>
              <w:top w:val="single" w:sz="4" w:space="0" w:color="FFFFFF"/>
              <w:left w:val="single" w:sz="4" w:space="0" w:color="FFFFFF"/>
              <w:bottom w:val="single" w:sz="4" w:space="0" w:color="FFFFFF"/>
              <w:right w:val="single" w:sz="4" w:space="0" w:color="FFFFFF"/>
            </w:tcBorders>
            <w:shd w:val="clear" w:color="auto" w:fill="E0E8F2"/>
            <w:vAlign w:val="center"/>
          </w:tcPr>
          <w:p w14:paraId="23981EEE" w14:textId="77777777" w:rsidR="005F64FF" w:rsidRPr="003D290F" w:rsidRDefault="00AF26BA" w:rsidP="003F5E60">
            <w:pPr>
              <w:keepNext/>
              <w:jc w:val="right"/>
              <w:rPr>
                <w:rFonts w:eastAsia="Times New Roman" w:cs="Segoe UI"/>
                <w:sz w:val="20"/>
                <w:szCs w:val="20"/>
              </w:rPr>
            </w:pPr>
            <w:r w:rsidRPr="003D290F">
              <w:rPr>
                <w:rFonts w:cs="Segoe UI"/>
                <w:color w:val="000000"/>
                <w:sz w:val="20"/>
                <w:szCs w:val="20"/>
              </w:rPr>
              <w:t>-$</w:t>
            </w:r>
            <w:r w:rsidR="0087593C">
              <w:rPr>
                <w:rFonts w:cs="Segoe UI"/>
                <w:color w:val="000000"/>
                <w:sz w:val="20"/>
                <w:szCs w:val="20"/>
              </w:rPr>
              <w:t>3.6</w:t>
            </w:r>
            <w:r w:rsidRPr="003D290F">
              <w:rPr>
                <w:rFonts w:cs="Segoe UI"/>
                <w:color w:val="000000"/>
                <w:sz w:val="20"/>
                <w:szCs w:val="20"/>
              </w:rPr>
              <w:t xml:space="preserve"> million</w:t>
            </w:r>
          </w:p>
        </w:tc>
      </w:tr>
      <w:tr w:rsidR="008A3EA8" w:rsidRPr="003D290F" w14:paraId="78903150" w14:textId="77777777" w:rsidTr="00407C28">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auto"/>
            <w:vAlign w:val="center"/>
          </w:tcPr>
          <w:p w14:paraId="4C42DE91" w14:textId="77777777" w:rsidR="008A3EA8" w:rsidRPr="003D290F" w:rsidRDefault="00DC068D" w:rsidP="00B75357">
            <w:pPr>
              <w:keepNext/>
              <w:ind w:left="454"/>
              <w:rPr>
                <w:rFonts w:eastAsia="Times New Roman" w:cs="Segoe UI"/>
                <w:sz w:val="20"/>
                <w:szCs w:val="20"/>
              </w:rPr>
            </w:pPr>
            <w:r w:rsidRPr="003D290F">
              <w:rPr>
                <w:rFonts w:eastAsia="Times New Roman" w:cs="Segoe UI"/>
                <w:i/>
                <w:sz w:val="20"/>
                <w:szCs w:val="20"/>
              </w:rPr>
              <w:t xml:space="preserve">Of which: </w:t>
            </w:r>
            <w:r w:rsidR="008A3EA8" w:rsidRPr="003D290F">
              <w:rPr>
                <w:rFonts w:eastAsia="Times New Roman" w:cs="Segoe UI"/>
                <w:i/>
                <w:sz w:val="20"/>
                <w:szCs w:val="20"/>
              </w:rPr>
              <w:t xml:space="preserve">regulatory </w:t>
            </w:r>
            <w:r w:rsidR="001B4A06" w:rsidRPr="003D290F">
              <w:rPr>
                <w:rFonts w:eastAsia="Times New Roman" w:cs="Segoe UI"/>
                <w:i/>
                <w:sz w:val="20"/>
                <w:szCs w:val="20"/>
              </w:rPr>
              <w:t>costs</w:t>
            </w:r>
          </w:p>
        </w:tc>
        <w:tc>
          <w:tcPr>
            <w:tcW w:w="1178" w:type="pct"/>
            <w:tcBorders>
              <w:top w:val="single" w:sz="4" w:space="0" w:color="FFFFFF"/>
              <w:left w:val="single" w:sz="4" w:space="0" w:color="FFFFFF"/>
              <w:bottom w:val="single" w:sz="4" w:space="0" w:color="FFFFFF"/>
              <w:right w:val="single" w:sz="4" w:space="0" w:color="FFFFFF"/>
            </w:tcBorders>
            <w:shd w:val="clear" w:color="auto" w:fill="auto"/>
            <w:vAlign w:val="center"/>
          </w:tcPr>
          <w:p w14:paraId="3C613738" w14:textId="77777777" w:rsidR="008A3EA8" w:rsidRPr="003D290F" w:rsidRDefault="00AF26BA" w:rsidP="003F5E60">
            <w:pPr>
              <w:keepNext/>
              <w:jc w:val="right"/>
              <w:rPr>
                <w:rFonts w:eastAsia="Times New Roman" w:cs="Segoe UI"/>
                <w:sz w:val="20"/>
                <w:szCs w:val="20"/>
              </w:rPr>
            </w:pPr>
            <w:r w:rsidRPr="003D290F">
              <w:rPr>
                <w:rFonts w:cs="Segoe UI"/>
                <w:i/>
                <w:iCs/>
                <w:color w:val="000000"/>
                <w:sz w:val="20"/>
                <w:szCs w:val="20"/>
              </w:rPr>
              <w:t>-$</w:t>
            </w:r>
            <w:r w:rsidR="0087593C">
              <w:rPr>
                <w:rFonts w:cs="Segoe UI"/>
                <w:i/>
                <w:iCs/>
                <w:color w:val="000000"/>
                <w:sz w:val="20"/>
                <w:szCs w:val="20"/>
              </w:rPr>
              <w:t>3.6</w:t>
            </w:r>
            <w:r w:rsidRPr="003D290F">
              <w:rPr>
                <w:rFonts w:cs="Segoe UI"/>
                <w:i/>
                <w:iCs/>
                <w:color w:val="000000"/>
                <w:sz w:val="20"/>
                <w:szCs w:val="20"/>
              </w:rPr>
              <w:t xml:space="preserve"> million</w:t>
            </w:r>
          </w:p>
        </w:tc>
      </w:tr>
      <w:tr w:rsidR="008A3EA8" w:rsidRPr="003D290F" w14:paraId="591E0C19" w14:textId="77777777" w:rsidTr="008A3EA8">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4EC0BF53" w14:textId="77777777" w:rsidR="008A3EA8" w:rsidRPr="003D290F" w:rsidRDefault="008A3EA8" w:rsidP="00B75357">
            <w:pPr>
              <w:keepNext/>
              <w:ind w:left="227"/>
              <w:rPr>
                <w:rFonts w:eastAsia="Times New Roman" w:cs="Segoe UI"/>
                <w:sz w:val="20"/>
                <w:szCs w:val="20"/>
              </w:rPr>
            </w:pPr>
            <w:r w:rsidRPr="003D290F">
              <w:rPr>
                <w:rFonts w:eastAsia="Times New Roman" w:cs="Segoe UI"/>
                <w:sz w:val="20"/>
                <w:szCs w:val="20"/>
              </w:rPr>
              <w:t>Closing</w:t>
            </w:r>
            <w:r w:rsidR="00210800" w:rsidRPr="003D290F">
              <w:rPr>
                <w:rFonts w:eastAsia="Times New Roman" w:cs="Segoe UI"/>
                <w:sz w:val="20"/>
                <w:szCs w:val="20"/>
              </w:rPr>
              <w:t xml:space="preserve"> employer </w:t>
            </w:r>
            <w:r w:rsidR="009B1537" w:rsidRPr="003D290F">
              <w:rPr>
                <w:rFonts w:eastAsia="Times New Roman" w:cs="Segoe UI"/>
                <w:sz w:val="20"/>
                <w:szCs w:val="20"/>
              </w:rPr>
              <w:t xml:space="preserve">employees </w:t>
            </w:r>
            <w:r w:rsidRPr="003D290F">
              <w:rPr>
                <w:rFonts w:eastAsia="Times New Roman" w:cs="Segoe UI"/>
                <w:sz w:val="20"/>
                <w:szCs w:val="20"/>
              </w:rPr>
              <w:t xml:space="preserve">and receiving employer </w:t>
            </w:r>
            <w:r w:rsidR="00DC068D" w:rsidRPr="003D290F">
              <w:rPr>
                <w:rFonts w:eastAsia="Times New Roman" w:cs="Segoe UI"/>
                <w:sz w:val="20"/>
                <w:szCs w:val="20"/>
              </w:rPr>
              <w:t>employees</w:t>
            </w:r>
          </w:p>
        </w:tc>
        <w:tc>
          <w:tcPr>
            <w:tcW w:w="1178" w:type="pct"/>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5378B755" w14:textId="77777777" w:rsidR="008A3EA8" w:rsidRPr="003D290F" w:rsidRDefault="00AF26BA" w:rsidP="003F5E60">
            <w:pPr>
              <w:keepNext/>
              <w:jc w:val="right"/>
              <w:rPr>
                <w:rFonts w:eastAsia="Times New Roman" w:cs="Segoe UI"/>
                <w:sz w:val="20"/>
                <w:szCs w:val="20"/>
              </w:rPr>
            </w:pPr>
            <w:r w:rsidRPr="003D290F">
              <w:rPr>
                <w:rFonts w:cs="Segoe UI"/>
                <w:color w:val="000000"/>
                <w:sz w:val="20"/>
                <w:szCs w:val="20"/>
              </w:rPr>
              <w:t>+$</w:t>
            </w:r>
            <w:r w:rsidR="003965C9">
              <w:rPr>
                <w:rFonts w:cs="Segoe UI"/>
                <w:color w:val="000000"/>
                <w:sz w:val="20"/>
                <w:szCs w:val="20"/>
              </w:rPr>
              <w:t>40.5</w:t>
            </w:r>
            <w:r w:rsidRPr="003D290F">
              <w:rPr>
                <w:rFonts w:cs="Segoe UI"/>
                <w:color w:val="000000"/>
                <w:sz w:val="20"/>
                <w:szCs w:val="20"/>
              </w:rPr>
              <w:t xml:space="preserve"> million</w:t>
            </w:r>
          </w:p>
        </w:tc>
      </w:tr>
      <w:tr w:rsidR="008A3EA8" w:rsidRPr="003D290F" w14:paraId="54E7D523" w14:textId="77777777" w:rsidTr="008A3EA8">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auto"/>
            <w:vAlign w:val="center"/>
          </w:tcPr>
          <w:p w14:paraId="70C2FB36" w14:textId="77777777" w:rsidR="008A3EA8" w:rsidRPr="003D290F" w:rsidDel="009C2D66" w:rsidRDefault="008A3EA8" w:rsidP="00B75357">
            <w:pPr>
              <w:keepNext/>
              <w:ind w:left="227"/>
              <w:rPr>
                <w:rFonts w:eastAsia="Times New Roman" w:cs="Segoe UI"/>
                <w:sz w:val="20"/>
                <w:szCs w:val="20"/>
              </w:rPr>
            </w:pPr>
            <w:r w:rsidRPr="003D290F">
              <w:rPr>
                <w:rFonts w:eastAsia="Times New Roman" w:cs="Segoe UI"/>
                <w:sz w:val="20"/>
                <w:szCs w:val="20"/>
              </w:rPr>
              <w:t>Government</w:t>
            </w:r>
          </w:p>
        </w:tc>
        <w:tc>
          <w:tcPr>
            <w:tcW w:w="1178" w:type="pct"/>
            <w:tcBorders>
              <w:top w:val="single" w:sz="4" w:space="0" w:color="FFFFFF"/>
              <w:left w:val="single" w:sz="4" w:space="0" w:color="FFFFFF"/>
              <w:bottom w:val="single" w:sz="4" w:space="0" w:color="FFFFFF"/>
              <w:right w:val="single" w:sz="4" w:space="0" w:color="FFFFFF"/>
            </w:tcBorders>
            <w:shd w:val="clear" w:color="auto" w:fill="auto"/>
            <w:vAlign w:val="center"/>
          </w:tcPr>
          <w:p w14:paraId="032C488C" w14:textId="77777777" w:rsidR="008A3EA8" w:rsidRPr="003D290F" w:rsidDel="009C2D66" w:rsidRDefault="00AF26BA" w:rsidP="003F5E60">
            <w:pPr>
              <w:keepNext/>
              <w:jc w:val="right"/>
              <w:rPr>
                <w:rFonts w:eastAsia="Times New Roman" w:cs="Segoe UI"/>
                <w:sz w:val="20"/>
                <w:szCs w:val="20"/>
              </w:rPr>
            </w:pPr>
            <w:r w:rsidRPr="003D290F">
              <w:rPr>
                <w:rFonts w:cs="Segoe UI"/>
                <w:i/>
                <w:iCs/>
                <w:color w:val="000000"/>
                <w:sz w:val="20"/>
                <w:szCs w:val="20"/>
              </w:rPr>
              <w:t>-$</w:t>
            </w:r>
            <w:r w:rsidR="003965C9">
              <w:rPr>
                <w:rFonts w:cs="Segoe UI"/>
                <w:i/>
                <w:iCs/>
                <w:color w:val="000000"/>
                <w:sz w:val="20"/>
                <w:szCs w:val="20"/>
              </w:rPr>
              <w:t>53.2</w:t>
            </w:r>
            <w:r w:rsidRPr="003D290F">
              <w:rPr>
                <w:rFonts w:cs="Segoe UI"/>
                <w:i/>
                <w:iCs/>
                <w:color w:val="000000"/>
                <w:sz w:val="20"/>
                <w:szCs w:val="20"/>
              </w:rPr>
              <w:t xml:space="preserve"> million</w:t>
            </w:r>
          </w:p>
        </w:tc>
      </w:tr>
      <w:tr w:rsidR="00976B8D" w:rsidRPr="003D290F" w14:paraId="12FA6B71" w14:textId="77777777" w:rsidTr="00ED7D02">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5CE874FC" w14:textId="77777777" w:rsidR="00976B8D" w:rsidRPr="003D290F" w:rsidRDefault="00976B8D" w:rsidP="00976B8D">
            <w:pPr>
              <w:keepNext/>
              <w:ind w:left="227"/>
              <w:rPr>
                <w:rFonts w:eastAsia="Times New Roman" w:cs="Segoe UI"/>
                <w:sz w:val="20"/>
                <w:szCs w:val="20"/>
              </w:rPr>
            </w:pPr>
            <w:r>
              <w:rPr>
                <w:rFonts w:eastAsia="Times New Roman" w:cs="Segoe UI"/>
                <w:bCs/>
                <w:i/>
                <w:color w:val="000000"/>
                <w:sz w:val="20"/>
                <w:szCs w:val="20"/>
                <w:lang w:eastAsia="en-AU"/>
              </w:rPr>
              <w:t xml:space="preserve">Participant success rate </w:t>
            </w:r>
            <w:r w:rsidRPr="00CA3123">
              <w:rPr>
                <w:rFonts w:eastAsia="Times New Roman" w:cs="Segoe UI"/>
                <w:i/>
                <w:color w:val="000000"/>
                <w:sz w:val="20"/>
                <w:szCs w:val="20"/>
                <w:lang w:eastAsia="en-AU"/>
              </w:rPr>
              <w:t>(drives unquantified benefits)</w:t>
            </w:r>
            <w:r>
              <w:rPr>
                <w:rStyle w:val="FootnoteReference"/>
                <w:rFonts w:eastAsia="Times New Roman" w:cs="Segoe UI"/>
                <w:i/>
                <w:color w:val="000000"/>
                <w:sz w:val="20"/>
                <w:szCs w:val="20"/>
                <w:lang w:eastAsia="en-AU"/>
              </w:rPr>
              <w:footnoteReference w:id="60"/>
            </w:r>
          </w:p>
        </w:tc>
        <w:tc>
          <w:tcPr>
            <w:tcW w:w="1178" w:type="pct"/>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1DB71056" w14:textId="77777777" w:rsidR="00976B8D" w:rsidRPr="003D290F" w:rsidRDefault="00976B8D" w:rsidP="00976B8D">
            <w:pPr>
              <w:keepNext/>
              <w:jc w:val="right"/>
              <w:rPr>
                <w:rFonts w:cs="Segoe UI"/>
                <w:i/>
                <w:iCs/>
                <w:color w:val="000000"/>
                <w:sz w:val="20"/>
                <w:szCs w:val="20"/>
              </w:rPr>
            </w:pPr>
            <w:r>
              <w:rPr>
                <w:rFonts w:cs="Segoe UI"/>
                <w:i/>
                <w:iCs/>
                <w:color w:val="000000"/>
                <w:sz w:val="20"/>
                <w:szCs w:val="20"/>
              </w:rPr>
              <w:t>39%</w:t>
            </w:r>
          </w:p>
        </w:tc>
      </w:tr>
      <w:tr w:rsidR="008A3EA8" w:rsidRPr="003D290F" w14:paraId="6EC0B9F7" w14:textId="77777777" w:rsidTr="00407C28">
        <w:trPr>
          <w:trHeight w:val="350"/>
        </w:trPr>
        <w:tc>
          <w:tcPr>
            <w:tcW w:w="3822" w:type="pct"/>
            <w:tcBorders>
              <w:top w:val="single" w:sz="4" w:space="0" w:color="FFFFFF"/>
              <w:left w:val="single" w:sz="4" w:space="0" w:color="FFFFFF"/>
              <w:bottom w:val="single" w:sz="4" w:space="0" w:color="FFFFFF"/>
            </w:tcBorders>
            <w:shd w:val="clear" w:color="auto" w:fill="27518B" w:themeFill="text2" w:themeFillTint="BF"/>
            <w:vAlign w:val="center"/>
          </w:tcPr>
          <w:p w14:paraId="2BF88A5F" w14:textId="77777777" w:rsidR="008A3EA8" w:rsidRPr="003D290F" w:rsidRDefault="008A3EA8" w:rsidP="00B75357">
            <w:pPr>
              <w:keepNext/>
              <w:rPr>
                <w:rFonts w:eastAsia="Times New Roman" w:cs="Segoe UI"/>
                <w:sz w:val="20"/>
                <w:szCs w:val="20"/>
              </w:rPr>
            </w:pPr>
            <w:r w:rsidRPr="003D290F">
              <w:rPr>
                <w:rFonts w:eastAsia="Times New Roman" w:cs="Segoe UI"/>
                <w:b/>
                <w:color w:val="FFFFFF"/>
                <w:sz w:val="20"/>
                <w:szCs w:val="20"/>
              </w:rPr>
              <w:t xml:space="preserve">Option 3: Pooled redeployment </w:t>
            </w:r>
            <w:r w:rsidR="00E918E4" w:rsidRPr="003D290F">
              <w:rPr>
                <w:rFonts w:eastAsia="Times New Roman" w:cs="Segoe UI"/>
                <w:b/>
                <w:color w:val="FFFFFF"/>
                <w:sz w:val="20"/>
                <w:szCs w:val="20"/>
              </w:rPr>
              <w:t xml:space="preserve">plan </w:t>
            </w:r>
            <w:r w:rsidRPr="003D290F">
              <w:rPr>
                <w:rFonts w:eastAsia="Times New Roman" w:cs="Segoe UI"/>
                <w:b/>
                <w:color w:val="FFFFFF"/>
                <w:sz w:val="20"/>
                <w:szCs w:val="20"/>
              </w:rPr>
              <w:t>(legislated)</w:t>
            </w:r>
          </w:p>
        </w:tc>
        <w:tc>
          <w:tcPr>
            <w:tcW w:w="1178" w:type="pct"/>
            <w:tcBorders>
              <w:top w:val="single" w:sz="4" w:space="0" w:color="FFFFFF"/>
              <w:left w:val="nil"/>
              <w:bottom w:val="single" w:sz="4" w:space="0" w:color="FFFFFF"/>
              <w:right w:val="single" w:sz="4" w:space="0" w:color="FFFFFF"/>
            </w:tcBorders>
            <w:shd w:val="clear" w:color="auto" w:fill="27518B" w:themeFill="text2" w:themeFillTint="BF"/>
            <w:vAlign w:val="center"/>
          </w:tcPr>
          <w:p w14:paraId="78E11A74" w14:textId="77777777" w:rsidR="008A3EA8" w:rsidRPr="003D290F" w:rsidRDefault="00AF26BA" w:rsidP="003F5E60">
            <w:pPr>
              <w:keepNext/>
              <w:jc w:val="right"/>
              <w:rPr>
                <w:rFonts w:eastAsia="Times New Roman" w:cs="Segoe UI"/>
                <w:sz w:val="20"/>
                <w:szCs w:val="20"/>
              </w:rPr>
            </w:pPr>
            <w:r w:rsidRPr="003D290F">
              <w:rPr>
                <w:rFonts w:cs="Segoe UI"/>
                <w:b/>
                <w:bCs/>
                <w:color w:val="FFFFFF"/>
                <w:sz w:val="20"/>
                <w:szCs w:val="20"/>
              </w:rPr>
              <w:t>-$</w:t>
            </w:r>
            <w:r w:rsidR="0087593C">
              <w:rPr>
                <w:rFonts w:cs="Segoe UI"/>
                <w:b/>
                <w:bCs/>
                <w:color w:val="FFFFFF"/>
                <w:sz w:val="20"/>
                <w:szCs w:val="20"/>
              </w:rPr>
              <w:t>33.1</w:t>
            </w:r>
            <w:r w:rsidRPr="003D290F">
              <w:rPr>
                <w:rFonts w:cs="Segoe UI"/>
                <w:b/>
                <w:bCs/>
                <w:color w:val="FFFFFF"/>
                <w:sz w:val="20"/>
                <w:szCs w:val="20"/>
              </w:rPr>
              <w:t xml:space="preserve"> million</w:t>
            </w:r>
          </w:p>
        </w:tc>
      </w:tr>
      <w:tr w:rsidR="008A3EA8" w:rsidRPr="003D290F" w14:paraId="2FB923C8" w14:textId="77777777" w:rsidTr="00407C28">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E0E8F2"/>
            <w:vAlign w:val="center"/>
          </w:tcPr>
          <w:p w14:paraId="72AB333C" w14:textId="77777777" w:rsidR="008A3EA8" w:rsidRPr="003D290F" w:rsidDel="009C2D66" w:rsidRDefault="008A3EA8" w:rsidP="00B75357">
            <w:pPr>
              <w:keepNext/>
              <w:ind w:left="227"/>
              <w:rPr>
                <w:rFonts w:eastAsia="Times New Roman" w:cs="Segoe UI"/>
                <w:sz w:val="20"/>
                <w:szCs w:val="20"/>
              </w:rPr>
            </w:pPr>
            <w:r w:rsidRPr="003D290F">
              <w:rPr>
                <w:rFonts w:eastAsia="Times New Roman" w:cs="Segoe UI"/>
                <w:sz w:val="20"/>
                <w:szCs w:val="20"/>
              </w:rPr>
              <w:t>Closing and receiving employers</w:t>
            </w:r>
          </w:p>
        </w:tc>
        <w:tc>
          <w:tcPr>
            <w:tcW w:w="1178" w:type="pct"/>
            <w:tcBorders>
              <w:top w:val="single" w:sz="4" w:space="0" w:color="FFFFFF"/>
              <w:left w:val="single" w:sz="4" w:space="0" w:color="FFFFFF"/>
              <w:bottom w:val="single" w:sz="4" w:space="0" w:color="FFFFFF"/>
              <w:right w:val="single" w:sz="4" w:space="0" w:color="FFFFFF"/>
            </w:tcBorders>
            <w:shd w:val="clear" w:color="auto" w:fill="E0E8F2"/>
            <w:vAlign w:val="center"/>
          </w:tcPr>
          <w:p w14:paraId="2CD98467" w14:textId="77777777" w:rsidR="008A3EA8" w:rsidRPr="003D290F" w:rsidDel="009C2D66" w:rsidRDefault="00AF26BA" w:rsidP="003F5E60">
            <w:pPr>
              <w:keepNext/>
              <w:jc w:val="right"/>
              <w:rPr>
                <w:rFonts w:eastAsia="Times New Roman" w:cs="Segoe UI"/>
                <w:sz w:val="20"/>
                <w:szCs w:val="20"/>
              </w:rPr>
            </w:pPr>
            <w:r w:rsidRPr="003D290F">
              <w:rPr>
                <w:rFonts w:cs="Segoe UI"/>
                <w:color w:val="000000"/>
                <w:sz w:val="20"/>
                <w:szCs w:val="20"/>
              </w:rPr>
              <w:t>-$</w:t>
            </w:r>
            <w:r w:rsidR="0087593C">
              <w:rPr>
                <w:rFonts w:cs="Segoe UI"/>
                <w:color w:val="000000"/>
                <w:sz w:val="20"/>
                <w:szCs w:val="20"/>
              </w:rPr>
              <w:t>22.8</w:t>
            </w:r>
            <w:r w:rsidRPr="003D290F">
              <w:rPr>
                <w:rFonts w:cs="Segoe UI"/>
                <w:color w:val="000000"/>
                <w:sz w:val="20"/>
                <w:szCs w:val="20"/>
              </w:rPr>
              <w:t xml:space="preserve"> million</w:t>
            </w:r>
          </w:p>
        </w:tc>
      </w:tr>
      <w:tr w:rsidR="008A3EA8" w:rsidRPr="003D290F" w14:paraId="30B27906" w14:textId="77777777" w:rsidTr="00285EAD">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auto"/>
            <w:vAlign w:val="center"/>
          </w:tcPr>
          <w:p w14:paraId="6C9E8A9E" w14:textId="77777777" w:rsidR="008A3EA8" w:rsidRPr="003D290F" w:rsidRDefault="00DC068D" w:rsidP="00B75357">
            <w:pPr>
              <w:keepNext/>
              <w:ind w:left="454"/>
              <w:rPr>
                <w:rFonts w:eastAsia="Times New Roman" w:cs="Segoe UI"/>
                <w:i/>
                <w:sz w:val="20"/>
                <w:szCs w:val="20"/>
              </w:rPr>
            </w:pPr>
            <w:r w:rsidRPr="003D290F">
              <w:rPr>
                <w:rFonts w:eastAsia="Times New Roman" w:cs="Segoe UI"/>
                <w:i/>
                <w:sz w:val="20"/>
                <w:szCs w:val="20"/>
              </w:rPr>
              <w:t>Of which:</w:t>
            </w:r>
            <w:r w:rsidR="008A3EA8" w:rsidRPr="003D290F">
              <w:rPr>
                <w:rFonts w:eastAsia="Times New Roman" w:cs="Segoe UI"/>
                <w:i/>
                <w:sz w:val="20"/>
                <w:szCs w:val="20"/>
              </w:rPr>
              <w:t xml:space="preserve"> regulatory </w:t>
            </w:r>
            <w:r w:rsidR="001B4A06" w:rsidRPr="003D290F">
              <w:rPr>
                <w:rFonts w:eastAsia="Times New Roman" w:cs="Segoe UI"/>
                <w:i/>
                <w:sz w:val="20"/>
                <w:szCs w:val="20"/>
              </w:rPr>
              <w:t>costs</w:t>
            </w:r>
          </w:p>
        </w:tc>
        <w:tc>
          <w:tcPr>
            <w:tcW w:w="1178" w:type="pct"/>
            <w:tcBorders>
              <w:top w:val="single" w:sz="4" w:space="0" w:color="FFFFFF"/>
              <w:left w:val="single" w:sz="4" w:space="0" w:color="FFFFFF"/>
              <w:bottom w:val="single" w:sz="4" w:space="0" w:color="FFFFFF"/>
              <w:right w:val="single" w:sz="4" w:space="0" w:color="FFFFFF"/>
            </w:tcBorders>
            <w:shd w:val="clear" w:color="auto" w:fill="auto"/>
            <w:vAlign w:val="center"/>
          </w:tcPr>
          <w:p w14:paraId="1938BCDF" w14:textId="77777777" w:rsidR="008A3EA8" w:rsidRPr="003D290F" w:rsidRDefault="00AF26BA" w:rsidP="003F5E60">
            <w:pPr>
              <w:keepNext/>
              <w:jc w:val="right"/>
              <w:rPr>
                <w:rFonts w:eastAsia="Times New Roman" w:cs="Segoe UI"/>
                <w:i/>
                <w:sz w:val="20"/>
                <w:szCs w:val="20"/>
              </w:rPr>
            </w:pPr>
            <w:r w:rsidRPr="003D290F">
              <w:rPr>
                <w:rFonts w:cs="Segoe UI"/>
                <w:i/>
                <w:iCs/>
                <w:color w:val="000000"/>
                <w:sz w:val="20"/>
                <w:szCs w:val="20"/>
              </w:rPr>
              <w:t>-$</w:t>
            </w:r>
            <w:r w:rsidR="0087593C">
              <w:rPr>
                <w:rFonts w:cs="Segoe UI"/>
                <w:i/>
                <w:iCs/>
                <w:color w:val="000000"/>
                <w:sz w:val="20"/>
                <w:szCs w:val="20"/>
              </w:rPr>
              <w:t>10.7</w:t>
            </w:r>
            <w:r w:rsidRPr="003D290F">
              <w:rPr>
                <w:rFonts w:cs="Segoe UI"/>
                <w:i/>
                <w:iCs/>
                <w:color w:val="000000"/>
                <w:sz w:val="20"/>
                <w:szCs w:val="20"/>
              </w:rPr>
              <w:t xml:space="preserve"> million</w:t>
            </w:r>
          </w:p>
        </w:tc>
      </w:tr>
      <w:tr w:rsidR="008A3EA8" w:rsidRPr="003D290F" w14:paraId="4DB6BF61" w14:textId="77777777" w:rsidTr="00285EAD">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49D9B5FE" w14:textId="77777777" w:rsidR="008A3EA8" w:rsidRPr="003D290F" w:rsidDel="009C2D66" w:rsidRDefault="008A3EA8" w:rsidP="00B75357">
            <w:pPr>
              <w:keepNext/>
              <w:ind w:left="227"/>
              <w:rPr>
                <w:rFonts w:eastAsia="Times New Roman" w:cs="Segoe UI"/>
                <w:sz w:val="20"/>
                <w:szCs w:val="20"/>
              </w:rPr>
            </w:pPr>
            <w:r w:rsidRPr="003D290F">
              <w:rPr>
                <w:rFonts w:eastAsia="Times New Roman" w:cs="Segoe UI"/>
                <w:sz w:val="20"/>
                <w:szCs w:val="20"/>
              </w:rPr>
              <w:t xml:space="preserve">Closing </w:t>
            </w:r>
            <w:r w:rsidR="00210800" w:rsidRPr="003D290F">
              <w:rPr>
                <w:rFonts w:eastAsia="Times New Roman" w:cs="Segoe UI"/>
                <w:sz w:val="20"/>
                <w:szCs w:val="20"/>
              </w:rPr>
              <w:t xml:space="preserve">employer </w:t>
            </w:r>
            <w:r w:rsidR="009B1537" w:rsidRPr="003D290F">
              <w:rPr>
                <w:rFonts w:eastAsia="Times New Roman" w:cs="Segoe UI"/>
                <w:sz w:val="20"/>
                <w:szCs w:val="20"/>
              </w:rPr>
              <w:t xml:space="preserve">employees </w:t>
            </w:r>
            <w:r w:rsidRPr="003D290F">
              <w:rPr>
                <w:rFonts w:eastAsia="Times New Roman" w:cs="Segoe UI"/>
                <w:sz w:val="20"/>
                <w:szCs w:val="20"/>
              </w:rPr>
              <w:t xml:space="preserve">and receiving employer </w:t>
            </w:r>
            <w:r w:rsidR="00DC068D" w:rsidRPr="003D290F">
              <w:rPr>
                <w:rFonts w:eastAsia="Times New Roman" w:cs="Segoe UI"/>
                <w:sz w:val="20"/>
                <w:szCs w:val="20"/>
              </w:rPr>
              <w:t>employees</w:t>
            </w:r>
          </w:p>
        </w:tc>
        <w:tc>
          <w:tcPr>
            <w:tcW w:w="1178" w:type="pct"/>
            <w:tcBorders>
              <w:top w:val="single" w:sz="4" w:space="0" w:color="FFFFFF"/>
              <w:left w:val="single" w:sz="4" w:space="0" w:color="FFFFFF"/>
              <w:bottom w:val="single" w:sz="4" w:space="0" w:color="FFFFFF"/>
              <w:right w:val="single" w:sz="4" w:space="0" w:color="FFFFFF"/>
            </w:tcBorders>
            <w:shd w:val="clear" w:color="auto" w:fill="E0E8F2" w:themeFill="background2"/>
            <w:vAlign w:val="center"/>
          </w:tcPr>
          <w:p w14:paraId="4027B0CF" w14:textId="77777777" w:rsidR="008A3EA8" w:rsidRPr="003D290F" w:rsidDel="009C2D66" w:rsidRDefault="00AF26BA" w:rsidP="003F5E60">
            <w:pPr>
              <w:keepNext/>
              <w:jc w:val="right"/>
              <w:rPr>
                <w:rFonts w:eastAsia="Times New Roman" w:cs="Segoe UI"/>
                <w:sz w:val="20"/>
                <w:szCs w:val="20"/>
              </w:rPr>
            </w:pPr>
            <w:r w:rsidRPr="003D290F">
              <w:rPr>
                <w:rFonts w:cs="Segoe UI"/>
                <w:color w:val="000000"/>
                <w:sz w:val="20"/>
                <w:szCs w:val="20"/>
              </w:rPr>
              <w:t>+$</w:t>
            </w:r>
            <w:r w:rsidR="003965C9">
              <w:rPr>
                <w:rFonts w:cs="Segoe UI"/>
                <w:color w:val="000000"/>
                <w:sz w:val="20"/>
                <w:szCs w:val="20"/>
              </w:rPr>
              <w:t>119.4</w:t>
            </w:r>
            <w:r w:rsidRPr="003D290F">
              <w:rPr>
                <w:rFonts w:cs="Segoe UI"/>
                <w:color w:val="000000"/>
                <w:sz w:val="20"/>
                <w:szCs w:val="20"/>
              </w:rPr>
              <w:t xml:space="preserve"> million</w:t>
            </w:r>
          </w:p>
        </w:tc>
      </w:tr>
      <w:tr w:rsidR="008A3EA8" w:rsidRPr="003D290F" w14:paraId="186F9C6C" w14:textId="77777777" w:rsidTr="00ED7D02">
        <w:trPr>
          <w:trHeight w:val="350"/>
        </w:trPr>
        <w:tc>
          <w:tcPr>
            <w:tcW w:w="3822" w:type="pct"/>
            <w:tcBorders>
              <w:top w:val="single" w:sz="4" w:space="0" w:color="FFFFFF"/>
              <w:left w:val="single" w:sz="4" w:space="0" w:color="FFFFFF"/>
              <w:bottom w:val="single" w:sz="4" w:space="0" w:color="FFFFFF"/>
              <w:right w:val="single" w:sz="4" w:space="0" w:color="FFFFFF"/>
            </w:tcBorders>
            <w:shd w:val="clear" w:color="auto" w:fill="auto"/>
            <w:vAlign w:val="center"/>
          </w:tcPr>
          <w:p w14:paraId="76D8BF55" w14:textId="77777777" w:rsidR="008A3EA8" w:rsidRPr="003D290F" w:rsidDel="009C2D66" w:rsidRDefault="008A3EA8" w:rsidP="00B75357">
            <w:pPr>
              <w:keepNext/>
              <w:ind w:left="227"/>
              <w:rPr>
                <w:rFonts w:eastAsia="Times New Roman" w:cs="Segoe UI"/>
                <w:sz w:val="20"/>
                <w:szCs w:val="20"/>
              </w:rPr>
            </w:pPr>
            <w:r w:rsidRPr="003D290F">
              <w:rPr>
                <w:rFonts w:eastAsia="Times New Roman" w:cs="Segoe UI"/>
                <w:sz w:val="20"/>
                <w:szCs w:val="20"/>
              </w:rPr>
              <w:t>Government</w:t>
            </w:r>
          </w:p>
        </w:tc>
        <w:tc>
          <w:tcPr>
            <w:tcW w:w="1178" w:type="pct"/>
            <w:tcBorders>
              <w:top w:val="single" w:sz="4" w:space="0" w:color="FFFFFF"/>
              <w:left w:val="single" w:sz="4" w:space="0" w:color="FFFFFF"/>
              <w:bottom w:val="single" w:sz="4" w:space="0" w:color="FFFFFF"/>
              <w:right w:val="single" w:sz="4" w:space="0" w:color="FFFFFF"/>
            </w:tcBorders>
            <w:shd w:val="clear" w:color="auto" w:fill="auto"/>
            <w:vAlign w:val="center"/>
          </w:tcPr>
          <w:p w14:paraId="74310A93" w14:textId="77777777" w:rsidR="008A3EA8" w:rsidRPr="003D290F" w:rsidDel="009C2D66" w:rsidRDefault="00AF26BA" w:rsidP="003F5E60">
            <w:pPr>
              <w:keepNext/>
              <w:jc w:val="right"/>
              <w:rPr>
                <w:rFonts w:eastAsia="Times New Roman" w:cs="Segoe UI"/>
                <w:sz w:val="20"/>
                <w:szCs w:val="20"/>
              </w:rPr>
            </w:pPr>
            <w:r w:rsidRPr="003D290F">
              <w:rPr>
                <w:rFonts w:cs="Segoe UI"/>
                <w:color w:val="000000"/>
                <w:sz w:val="20"/>
                <w:szCs w:val="20"/>
              </w:rPr>
              <w:t>-$</w:t>
            </w:r>
            <w:r w:rsidR="003965C9">
              <w:rPr>
                <w:rFonts w:cs="Segoe UI"/>
                <w:color w:val="000000"/>
                <w:sz w:val="20"/>
                <w:szCs w:val="20"/>
              </w:rPr>
              <w:t>129.7</w:t>
            </w:r>
            <w:r w:rsidRPr="003D290F">
              <w:rPr>
                <w:rFonts w:cs="Segoe UI"/>
                <w:color w:val="000000"/>
                <w:sz w:val="20"/>
                <w:szCs w:val="20"/>
              </w:rPr>
              <w:t xml:space="preserve"> million</w:t>
            </w:r>
          </w:p>
        </w:tc>
      </w:tr>
      <w:tr w:rsidR="00F75ACA" w:rsidRPr="003D290F" w14:paraId="456CE9D5" w14:textId="77777777" w:rsidTr="00ED7D02">
        <w:trPr>
          <w:trHeight w:val="350"/>
        </w:trPr>
        <w:tc>
          <w:tcPr>
            <w:tcW w:w="3822" w:type="pct"/>
            <w:tcBorders>
              <w:top w:val="single" w:sz="4" w:space="0" w:color="FFFFFF"/>
              <w:left w:val="single" w:sz="4" w:space="0" w:color="FFFFFF"/>
              <w:bottom w:val="single" w:sz="12" w:space="0" w:color="auto"/>
              <w:right w:val="single" w:sz="4" w:space="0" w:color="FFFFFF"/>
            </w:tcBorders>
            <w:shd w:val="clear" w:color="auto" w:fill="E0E8F2" w:themeFill="background2"/>
            <w:vAlign w:val="center"/>
          </w:tcPr>
          <w:p w14:paraId="0CD087D2" w14:textId="77777777" w:rsidR="00F75ACA" w:rsidRPr="00ED7D02" w:rsidRDefault="00976B8D" w:rsidP="00F75ACA">
            <w:pPr>
              <w:keepNext/>
              <w:ind w:left="227"/>
              <w:rPr>
                <w:rFonts w:eastAsia="Times New Roman" w:cs="Segoe UI"/>
                <w:i/>
                <w:sz w:val="20"/>
                <w:szCs w:val="20"/>
              </w:rPr>
            </w:pPr>
            <w:r>
              <w:rPr>
                <w:rFonts w:eastAsia="Times New Roman" w:cs="Segoe UI"/>
                <w:bCs/>
                <w:i/>
                <w:color w:val="000000"/>
                <w:sz w:val="20"/>
                <w:szCs w:val="20"/>
                <w:lang w:eastAsia="en-AU"/>
              </w:rPr>
              <w:t xml:space="preserve">Participant success rate </w:t>
            </w:r>
            <w:r w:rsidRPr="00CA3123">
              <w:rPr>
                <w:rFonts w:eastAsia="Times New Roman" w:cs="Segoe UI"/>
                <w:i/>
                <w:color w:val="000000"/>
                <w:sz w:val="20"/>
                <w:szCs w:val="20"/>
                <w:lang w:eastAsia="en-AU"/>
              </w:rPr>
              <w:t>(drives unquantified benefits)</w:t>
            </w:r>
          </w:p>
        </w:tc>
        <w:tc>
          <w:tcPr>
            <w:tcW w:w="1178" w:type="pct"/>
            <w:tcBorders>
              <w:top w:val="single" w:sz="4" w:space="0" w:color="FFFFFF"/>
              <w:left w:val="single" w:sz="4" w:space="0" w:color="FFFFFF"/>
              <w:bottom w:val="single" w:sz="12" w:space="0" w:color="auto"/>
              <w:right w:val="single" w:sz="4" w:space="0" w:color="FFFFFF"/>
            </w:tcBorders>
            <w:shd w:val="clear" w:color="auto" w:fill="E0E8F2" w:themeFill="background2"/>
            <w:vAlign w:val="center"/>
          </w:tcPr>
          <w:p w14:paraId="36F739B0" w14:textId="77777777" w:rsidR="00F75ACA" w:rsidRPr="00ED7D02" w:rsidRDefault="00976B8D" w:rsidP="00F75ACA">
            <w:pPr>
              <w:keepNext/>
              <w:jc w:val="right"/>
              <w:rPr>
                <w:rFonts w:cs="Segoe UI"/>
                <w:color w:val="000000"/>
                <w:sz w:val="20"/>
                <w:szCs w:val="20"/>
              </w:rPr>
            </w:pPr>
            <w:r>
              <w:rPr>
                <w:rFonts w:cs="Segoe UI"/>
                <w:i/>
                <w:color w:val="000000"/>
                <w:sz w:val="20"/>
                <w:szCs w:val="20"/>
              </w:rPr>
              <w:t>85</w:t>
            </w:r>
            <w:r w:rsidRPr="00ED7D02">
              <w:rPr>
                <w:rFonts w:cs="Segoe UI"/>
                <w:i/>
                <w:color w:val="000000"/>
                <w:sz w:val="20"/>
                <w:szCs w:val="20"/>
              </w:rPr>
              <w:t>%</w:t>
            </w:r>
          </w:p>
        </w:tc>
      </w:tr>
    </w:tbl>
    <w:p w14:paraId="7E53627F" w14:textId="77777777" w:rsidR="00A90808" w:rsidRPr="003D290F" w:rsidRDefault="00825212" w:rsidP="005D46F4">
      <w:pPr>
        <w:pStyle w:val="Heading3"/>
        <w:spacing w:line="276" w:lineRule="auto"/>
        <w:rPr>
          <w:rFonts w:eastAsia="Times New Roman"/>
        </w:rPr>
      </w:pPr>
      <w:bookmarkStart w:id="231" w:name="_Toc155604628"/>
      <w:bookmarkStart w:id="232" w:name="_Toc161395983"/>
      <w:bookmarkStart w:id="233" w:name="_Toc161403519"/>
      <w:bookmarkStart w:id="234" w:name="_Toc161694798"/>
      <w:bookmarkStart w:id="235" w:name="_Toc161752253"/>
      <w:bookmarkStart w:id="236" w:name="_Toc161759691"/>
      <w:r w:rsidRPr="003D290F">
        <w:rPr>
          <w:rFonts w:eastAsia="Times New Roman"/>
        </w:rPr>
        <w:t xml:space="preserve">4.1.1 </w:t>
      </w:r>
      <w:r w:rsidR="00A90808" w:rsidRPr="003D290F">
        <w:rPr>
          <w:rFonts w:eastAsia="Times New Roman"/>
        </w:rPr>
        <w:t>Quantifying regulatory costs</w:t>
      </w:r>
      <w:bookmarkEnd w:id="231"/>
      <w:bookmarkEnd w:id="232"/>
      <w:bookmarkEnd w:id="233"/>
      <w:bookmarkEnd w:id="234"/>
      <w:bookmarkEnd w:id="235"/>
      <w:bookmarkEnd w:id="236"/>
    </w:p>
    <w:p w14:paraId="5FF6A556" w14:textId="77777777" w:rsidR="00C0721A" w:rsidRPr="003D290F" w:rsidRDefault="00A90808" w:rsidP="00C0721A">
      <w:pPr>
        <w:rPr>
          <w:rFonts w:eastAsia="Times New Roman"/>
        </w:rPr>
      </w:pPr>
      <w:r w:rsidRPr="003D290F">
        <w:rPr>
          <w:rFonts w:eastAsia="Times New Roman"/>
        </w:rPr>
        <w:t xml:space="preserve">The </w:t>
      </w:r>
      <w:r w:rsidR="0069619C">
        <w:rPr>
          <w:rFonts w:eastAsia="Times New Roman"/>
        </w:rPr>
        <w:t>quantified</w:t>
      </w:r>
      <w:r w:rsidR="00C0721A" w:rsidRPr="003D290F">
        <w:rPr>
          <w:rFonts w:eastAsia="Times New Roman"/>
        </w:rPr>
        <w:t xml:space="preserve"> </w:t>
      </w:r>
      <w:r w:rsidRPr="003D290F">
        <w:rPr>
          <w:rFonts w:eastAsia="Times New Roman"/>
        </w:rPr>
        <w:t>NPV</w:t>
      </w:r>
      <w:r w:rsidR="00C0721A" w:rsidRPr="003D290F">
        <w:rPr>
          <w:rFonts w:eastAsia="Times New Roman"/>
        </w:rPr>
        <w:t xml:space="preserve"> for each option</w:t>
      </w:r>
      <w:r w:rsidRPr="003D290F">
        <w:rPr>
          <w:rFonts w:eastAsia="Times New Roman"/>
        </w:rPr>
        <w:t xml:space="preserve"> include</w:t>
      </w:r>
      <w:r w:rsidR="00C0721A" w:rsidRPr="003D290F">
        <w:rPr>
          <w:rFonts w:eastAsia="Times New Roman"/>
        </w:rPr>
        <w:t>s</w:t>
      </w:r>
      <w:r w:rsidRPr="003D290F">
        <w:rPr>
          <w:rFonts w:eastAsia="Times New Roman"/>
        </w:rPr>
        <w:t xml:space="preserve"> regulatory </w:t>
      </w:r>
      <w:r w:rsidR="00892F15" w:rsidRPr="003D290F">
        <w:rPr>
          <w:rFonts w:eastAsia="Times New Roman"/>
        </w:rPr>
        <w:t>costs estimated consistent with the Office of Impact Analysis (OIA) regulatory burden measurement framework</w:t>
      </w:r>
      <w:r w:rsidRPr="003D290F" w:rsidDel="00892F15">
        <w:rPr>
          <w:rFonts w:eastAsia="Times New Roman"/>
        </w:rPr>
        <w:t>,</w:t>
      </w:r>
      <w:r w:rsidR="00905D74" w:rsidRPr="003D290F">
        <w:rPr>
          <w:rFonts w:eastAsia="Times New Roman"/>
        </w:rPr>
        <w:t xml:space="preserve"> defined</w:t>
      </w:r>
      <w:r w:rsidR="00892F15" w:rsidRPr="003D290F">
        <w:rPr>
          <w:rFonts w:eastAsia="Times New Roman"/>
        </w:rPr>
        <w:t xml:space="preserve"> as</w:t>
      </w:r>
      <w:r w:rsidRPr="003D290F">
        <w:rPr>
          <w:rFonts w:eastAsia="Times New Roman"/>
        </w:rPr>
        <w:t xml:space="preserve"> the costs imposed on businesses, community organisations, and individuals due to new policies or changes to existing policies.</w:t>
      </w:r>
      <w:r w:rsidRPr="003D290F">
        <w:rPr>
          <w:rStyle w:val="FootnoteReference"/>
          <w:rFonts w:eastAsia="Times New Roman"/>
        </w:rPr>
        <w:footnoteReference w:id="61"/>
      </w:r>
      <w:r w:rsidRPr="003D290F">
        <w:rPr>
          <w:rFonts w:eastAsia="Times New Roman"/>
        </w:rPr>
        <w:t xml:space="preserve"> </w:t>
      </w:r>
      <w:r w:rsidR="00892F15" w:rsidRPr="003D290F">
        <w:rPr>
          <w:rFonts w:eastAsia="Times New Roman"/>
        </w:rPr>
        <w:t>R</w:t>
      </w:r>
      <w:r w:rsidRPr="003D290F">
        <w:rPr>
          <w:rFonts w:eastAsia="Times New Roman"/>
        </w:rPr>
        <w:t>egulatory</w:t>
      </w:r>
      <w:r w:rsidRPr="003D290F" w:rsidDel="00892F15">
        <w:rPr>
          <w:rFonts w:eastAsia="Times New Roman"/>
        </w:rPr>
        <w:t xml:space="preserve"> </w:t>
      </w:r>
      <w:r w:rsidR="00892F15" w:rsidRPr="003D290F">
        <w:rPr>
          <w:rFonts w:eastAsia="Times New Roman"/>
        </w:rPr>
        <w:t xml:space="preserve">costs </w:t>
      </w:r>
      <w:r w:rsidRPr="003D290F">
        <w:rPr>
          <w:rFonts w:eastAsia="Times New Roman"/>
        </w:rPr>
        <w:t>include the costs incurred by entities to demonstrate compliance with the policy (‘administrative costs’) and deliver outcomes sought by the policy (‘substantive compliance costs’).</w:t>
      </w:r>
      <w:r w:rsidR="00C0721A" w:rsidRPr="003D290F">
        <w:rPr>
          <w:rFonts w:eastAsia="Times New Roman"/>
        </w:rPr>
        <w:t xml:space="preserve"> Under </w:t>
      </w:r>
      <w:r w:rsidR="00D44ABC" w:rsidRPr="003D290F">
        <w:rPr>
          <w:rFonts w:eastAsia="Times New Roman"/>
        </w:rPr>
        <w:t>O</w:t>
      </w:r>
      <w:r w:rsidR="00C0721A" w:rsidRPr="003D290F">
        <w:rPr>
          <w:rFonts w:eastAsia="Times New Roman"/>
        </w:rPr>
        <w:t xml:space="preserve">ption </w:t>
      </w:r>
      <w:r w:rsidR="00D44ABC" w:rsidRPr="003D290F">
        <w:rPr>
          <w:rFonts w:eastAsia="Times New Roman"/>
        </w:rPr>
        <w:t>2</w:t>
      </w:r>
      <w:r w:rsidR="00C0721A" w:rsidRPr="003D290F">
        <w:rPr>
          <w:rFonts w:eastAsia="Times New Roman"/>
        </w:rPr>
        <w:t xml:space="preserve"> and </w:t>
      </w:r>
      <w:r w:rsidR="00D44ABC" w:rsidRPr="003D290F">
        <w:rPr>
          <w:rFonts w:eastAsia="Times New Roman"/>
        </w:rPr>
        <w:t>O</w:t>
      </w:r>
      <w:r w:rsidR="00C0721A" w:rsidRPr="003D290F">
        <w:rPr>
          <w:rFonts w:eastAsia="Times New Roman"/>
        </w:rPr>
        <w:t xml:space="preserve">ption </w:t>
      </w:r>
      <w:r w:rsidR="00D44ABC" w:rsidRPr="003D290F">
        <w:rPr>
          <w:rFonts w:eastAsia="Times New Roman"/>
        </w:rPr>
        <w:t>3</w:t>
      </w:r>
      <w:r w:rsidR="00C0721A" w:rsidRPr="003D290F">
        <w:rPr>
          <w:rFonts w:eastAsia="Times New Roman"/>
        </w:rPr>
        <w:t xml:space="preserve">, administrative </w:t>
      </w:r>
      <w:r w:rsidR="00892F15" w:rsidRPr="003D290F">
        <w:rPr>
          <w:rFonts w:eastAsia="Times New Roman"/>
        </w:rPr>
        <w:t xml:space="preserve">compliance costs </w:t>
      </w:r>
      <w:r w:rsidR="00C0721A" w:rsidRPr="003D290F">
        <w:rPr>
          <w:rFonts w:eastAsia="Times New Roman"/>
        </w:rPr>
        <w:t>and substantive compliance costs for closing and receiving employers are quantified.</w:t>
      </w:r>
      <w:r w:rsidR="006C65B8" w:rsidRPr="006C65B8">
        <w:t xml:space="preserve"> </w:t>
      </w:r>
      <w:r w:rsidR="006C65B8">
        <w:t xml:space="preserve">The </w:t>
      </w:r>
      <w:r w:rsidR="0041131D">
        <w:t xml:space="preserve">total </w:t>
      </w:r>
      <w:r w:rsidR="006C65B8">
        <w:t>annual regulatory burden for employers under Option 2 is $0.</w:t>
      </w:r>
      <w:r w:rsidR="00186104">
        <w:t xml:space="preserve">5 </w:t>
      </w:r>
      <w:r w:rsidR="006C65B8">
        <w:t>million and the</w:t>
      </w:r>
      <w:r w:rsidR="0041131D">
        <w:t xml:space="preserve"> total</w:t>
      </w:r>
      <w:r w:rsidR="006C65B8">
        <w:t xml:space="preserve"> annual regulatory burden for employers under Option 3 is $1</w:t>
      </w:r>
      <w:r w:rsidR="00867890">
        <w:t>.</w:t>
      </w:r>
      <w:r w:rsidR="00186104">
        <w:t>5</w:t>
      </w:r>
      <w:r w:rsidR="006C65B8">
        <w:t xml:space="preserve"> million</w:t>
      </w:r>
      <w:r w:rsidR="0033370C">
        <w:t>.</w:t>
      </w:r>
      <w:r w:rsidR="0041131D">
        <w:rPr>
          <w:rStyle w:val="FootnoteReference"/>
        </w:rPr>
        <w:footnoteReference w:id="62"/>
      </w:r>
    </w:p>
    <w:p w14:paraId="38BA514D" w14:textId="77777777" w:rsidR="00A90808" w:rsidRPr="003D290F" w:rsidRDefault="00A90808" w:rsidP="00FA1723">
      <w:r w:rsidRPr="003D290F">
        <w:rPr>
          <w:rFonts w:eastAsia="Times New Roman"/>
        </w:rPr>
        <w:t>Although the</w:t>
      </w:r>
      <w:r w:rsidRPr="003D290F" w:rsidDel="00E918E4">
        <w:rPr>
          <w:rFonts w:eastAsia="Times New Roman"/>
        </w:rPr>
        <w:t xml:space="preserve"> </w:t>
      </w:r>
      <w:r w:rsidR="00E918E4" w:rsidRPr="003D290F">
        <w:rPr>
          <w:rFonts w:eastAsia="Times New Roman"/>
        </w:rPr>
        <w:t xml:space="preserve">plan </w:t>
      </w:r>
      <w:r w:rsidRPr="003D290F">
        <w:rPr>
          <w:rFonts w:eastAsia="Times New Roman"/>
        </w:rPr>
        <w:t xml:space="preserve">is voluntary </w:t>
      </w:r>
      <w:r w:rsidRPr="003D290F">
        <w:t xml:space="preserve">under Option 2 and </w:t>
      </w:r>
      <w:r w:rsidR="00F4765D" w:rsidRPr="003D290F">
        <w:t>g</w:t>
      </w:r>
      <w:r w:rsidR="00C0721A" w:rsidRPr="003D290F">
        <w:t>overnment would</w:t>
      </w:r>
      <w:r w:rsidRPr="003D290F">
        <w:t xml:space="preserve"> not compel businesses to </w:t>
      </w:r>
      <w:r w:rsidR="00C0721A" w:rsidRPr="003D290F">
        <w:t>participate</w:t>
      </w:r>
      <w:r w:rsidRPr="003D290F">
        <w:t xml:space="preserve">, regulatory </w:t>
      </w:r>
      <w:r w:rsidR="00892F15" w:rsidRPr="003D290F">
        <w:t xml:space="preserve">costs </w:t>
      </w:r>
      <w:r w:rsidR="009E73FA" w:rsidRPr="003D290F">
        <w:t>remain</w:t>
      </w:r>
      <w:r w:rsidRPr="003D290F">
        <w:t xml:space="preserve"> </w:t>
      </w:r>
      <w:r w:rsidR="00892F15" w:rsidRPr="003D290F">
        <w:t>present</w:t>
      </w:r>
      <w:r w:rsidRPr="003D290F">
        <w:t xml:space="preserve"> due to </w:t>
      </w:r>
      <w:r w:rsidR="00C0721A" w:rsidRPr="003D290F">
        <w:t xml:space="preserve">the associated </w:t>
      </w:r>
      <w:r w:rsidRPr="003D290F">
        <w:t>administrative costs</w:t>
      </w:r>
      <w:r w:rsidR="00C0721A" w:rsidRPr="003D290F">
        <w:t xml:space="preserve">. Activities included under </w:t>
      </w:r>
      <w:r w:rsidR="00892F15" w:rsidRPr="003D290F">
        <w:t xml:space="preserve">the </w:t>
      </w:r>
      <w:r w:rsidR="00C0721A" w:rsidRPr="003D290F">
        <w:t xml:space="preserve">regulatory burden for closing and receiving employers in Option 2 include identifying and </w:t>
      </w:r>
      <w:r w:rsidR="00C0721A" w:rsidRPr="003D290F">
        <w:lastRenderedPageBreak/>
        <w:t xml:space="preserve">engaging interested employees, </w:t>
      </w:r>
      <w:r w:rsidR="003B1B86" w:rsidRPr="003D290F">
        <w:t>educating</w:t>
      </w:r>
      <w:r w:rsidR="009E73FA" w:rsidRPr="003D290F">
        <w:t xml:space="preserve"> employees on the </w:t>
      </w:r>
      <w:r w:rsidR="00F6294A" w:rsidRPr="003D290F">
        <w:t>plan</w:t>
      </w:r>
      <w:r w:rsidR="009E73FA" w:rsidRPr="003D290F">
        <w:t xml:space="preserve">, </w:t>
      </w:r>
      <w:r w:rsidRPr="003D290F">
        <w:t>engag</w:t>
      </w:r>
      <w:r w:rsidR="003B1B86" w:rsidRPr="003D290F">
        <w:t>ing</w:t>
      </w:r>
      <w:r w:rsidRPr="003D290F">
        <w:t xml:space="preserve"> with </w:t>
      </w:r>
      <w:r w:rsidR="00F4765D" w:rsidRPr="003D290F">
        <w:t>g</w:t>
      </w:r>
      <w:r w:rsidRPr="003D290F">
        <w:t xml:space="preserve">overnment and the community of interest, </w:t>
      </w:r>
      <w:r w:rsidR="00C0721A" w:rsidRPr="003D290F">
        <w:t xml:space="preserve">and </w:t>
      </w:r>
      <w:r w:rsidRPr="003D290F">
        <w:t>solicit</w:t>
      </w:r>
      <w:r w:rsidR="003B1B86" w:rsidRPr="003D290F">
        <w:t>ing</w:t>
      </w:r>
      <w:r w:rsidRPr="003D290F">
        <w:t xml:space="preserve"> professional services, such as legal advice</w:t>
      </w:r>
      <w:r w:rsidR="00C0721A" w:rsidRPr="003D290F">
        <w:t xml:space="preserve"> where required. </w:t>
      </w:r>
      <w:r w:rsidR="00DC1394">
        <w:t>Under Option 3, closing employers have higher regulatory costs while receiving employers have the same regulatory costs as under Option 2</w:t>
      </w:r>
      <w:r w:rsidR="00EC3361">
        <w:t>.</w:t>
      </w:r>
      <w:r w:rsidR="00DC1394">
        <w:rPr>
          <w:rStyle w:val="FootnoteReference"/>
        </w:rPr>
        <w:footnoteReference w:id="63"/>
      </w:r>
    </w:p>
    <w:p w14:paraId="18A56F2D" w14:textId="77777777" w:rsidR="004F75FA" w:rsidRPr="003D290F" w:rsidRDefault="00BC7B3A" w:rsidP="00BC7B3A">
      <w:pPr>
        <w:rPr>
          <w:rFonts w:eastAsia="Times New Roman" w:cs="Segoe UI"/>
        </w:rPr>
      </w:pPr>
      <w:r w:rsidRPr="003D290F">
        <w:rPr>
          <w:rFonts w:eastAsia="Times New Roman" w:cs="Segoe UI"/>
        </w:rPr>
        <w:t xml:space="preserve">Employees who participate in the </w:t>
      </w:r>
      <w:r w:rsidR="00E918E4" w:rsidRPr="003D290F">
        <w:rPr>
          <w:rFonts w:eastAsia="Times New Roman" w:cs="Segoe UI"/>
        </w:rPr>
        <w:t xml:space="preserve">plan </w:t>
      </w:r>
      <w:r w:rsidR="00892F15" w:rsidRPr="003D290F">
        <w:rPr>
          <w:rFonts w:eastAsia="Times New Roman" w:cs="Segoe UI"/>
        </w:rPr>
        <w:t>may</w:t>
      </w:r>
      <w:r w:rsidRPr="003D290F">
        <w:rPr>
          <w:rFonts w:eastAsia="Times New Roman" w:cs="Segoe UI"/>
        </w:rPr>
        <w:t xml:space="preserve"> experience a regulatory burden from </w:t>
      </w:r>
      <w:r w:rsidR="00E918E4" w:rsidRPr="003D290F">
        <w:rPr>
          <w:rFonts w:eastAsia="Times New Roman" w:cs="Segoe UI"/>
        </w:rPr>
        <w:t xml:space="preserve">their engagement </w:t>
      </w:r>
      <w:r w:rsidRPr="003D290F">
        <w:rPr>
          <w:rFonts w:eastAsia="Times New Roman" w:cs="Segoe UI"/>
        </w:rPr>
        <w:t xml:space="preserve">under Options 2 and 3, </w:t>
      </w:r>
      <w:r w:rsidR="00892F15" w:rsidRPr="003D290F">
        <w:rPr>
          <w:rFonts w:eastAsia="Times New Roman" w:cs="Segoe UI"/>
        </w:rPr>
        <w:t xml:space="preserve">but are </w:t>
      </w:r>
      <w:r w:rsidRPr="003D290F">
        <w:rPr>
          <w:rFonts w:eastAsia="Times New Roman" w:cs="Segoe UI"/>
        </w:rPr>
        <w:t>excluded from the quantitative estimate</w:t>
      </w:r>
      <w:r w:rsidR="00892F15" w:rsidRPr="003D290F">
        <w:rPr>
          <w:rFonts w:eastAsia="Times New Roman" w:cs="Segoe UI"/>
        </w:rPr>
        <w:t>. The regulatory cost</w:t>
      </w:r>
      <w:r w:rsidRPr="003D290F">
        <w:rPr>
          <w:rFonts w:eastAsia="Times New Roman" w:cs="Segoe UI"/>
        </w:rPr>
        <w:t xml:space="preserve"> </w:t>
      </w:r>
      <w:r w:rsidR="00892F15" w:rsidRPr="003D290F">
        <w:rPr>
          <w:rFonts w:eastAsia="Times New Roman" w:cs="Segoe UI"/>
        </w:rPr>
        <w:t xml:space="preserve">for individuals is </w:t>
      </w:r>
      <w:r w:rsidRPr="003D290F">
        <w:rPr>
          <w:rFonts w:eastAsia="Times New Roman" w:cs="Segoe UI"/>
        </w:rPr>
        <w:t>expected to be small</w:t>
      </w:r>
      <w:r w:rsidR="00892F15" w:rsidRPr="003D290F">
        <w:rPr>
          <w:rFonts w:eastAsia="Times New Roman" w:cs="Segoe UI"/>
        </w:rPr>
        <w:t xml:space="preserve"> and</w:t>
      </w:r>
      <w:r w:rsidR="009E73FA" w:rsidRPr="003D290F">
        <w:rPr>
          <w:rFonts w:eastAsia="Times New Roman" w:cs="Segoe UI"/>
        </w:rPr>
        <w:t xml:space="preserve">, compared to the status quo, </w:t>
      </w:r>
      <w:r w:rsidRPr="003D290F">
        <w:rPr>
          <w:rFonts w:eastAsia="Times New Roman" w:cs="Segoe UI"/>
        </w:rPr>
        <w:t>employees would benefit from lower search costs associated with finding alternate employment</w:t>
      </w:r>
      <w:r w:rsidR="008964AE">
        <w:rPr>
          <w:rFonts w:eastAsia="Times New Roman" w:cs="Segoe UI"/>
        </w:rPr>
        <w:t xml:space="preserve"> due to the jobs and skills matching services being offered by government</w:t>
      </w:r>
      <w:r w:rsidR="009E73FA" w:rsidRPr="003D290F">
        <w:rPr>
          <w:rFonts w:eastAsia="Times New Roman" w:cs="Segoe UI"/>
        </w:rPr>
        <w:t>. This is assumed to offset the small regulatory burden equally.</w:t>
      </w:r>
      <w:r w:rsidR="009E73FA" w:rsidRPr="003D290F" w:rsidDel="009E73FA">
        <w:rPr>
          <w:rFonts w:eastAsia="Times New Roman" w:cs="Segoe UI"/>
        </w:rPr>
        <w:t xml:space="preserve"> </w:t>
      </w:r>
    </w:p>
    <w:p w14:paraId="1DA6DBD4" w14:textId="77777777" w:rsidR="00355CA0" w:rsidRPr="003D290F" w:rsidRDefault="00355CA0" w:rsidP="007D2AED">
      <w:pPr>
        <w:pStyle w:val="Heading2"/>
      </w:pPr>
      <w:bookmarkStart w:id="237" w:name="_Toc161395984"/>
      <w:bookmarkStart w:id="238" w:name="_Toc161403520"/>
      <w:bookmarkStart w:id="239" w:name="_Toc161752254"/>
      <w:bookmarkStart w:id="240" w:name="_Toc161759692"/>
      <w:r w:rsidRPr="003D290F">
        <w:t>4.2 Approach</w:t>
      </w:r>
      <w:bookmarkEnd w:id="237"/>
      <w:bookmarkEnd w:id="238"/>
      <w:bookmarkEnd w:id="239"/>
      <w:bookmarkEnd w:id="240"/>
    </w:p>
    <w:p w14:paraId="254C1CA0" w14:textId="77777777" w:rsidR="00003311" w:rsidRPr="003D290F" w:rsidRDefault="00076E5E" w:rsidP="00FE3DEC">
      <w:r w:rsidRPr="003D290F">
        <w:rPr>
          <w:rFonts w:eastAsia="Times New Roman" w:cs="Segoe UI"/>
        </w:rPr>
        <w:t xml:space="preserve">Net benefits of the two options have been estimated using a combination of quantitative and qualitative analysis. </w:t>
      </w:r>
      <w:r w:rsidR="00F0629B" w:rsidRPr="003D290F">
        <w:rPr>
          <w:rFonts w:eastAsia="Times New Roman"/>
        </w:rPr>
        <w:t>The analytical framework selected is an abridged cost benefit analysis (CBA)</w:t>
      </w:r>
      <w:r w:rsidR="00003311" w:rsidRPr="003D290F">
        <w:rPr>
          <w:rFonts w:eastAsia="Times New Roman"/>
        </w:rPr>
        <w:t xml:space="preserve">, a </w:t>
      </w:r>
      <w:r w:rsidR="008617F0">
        <w:rPr>
          <w:rFonts w:eastAsia="Times New Roman"/>
        </w:rPr>
        <w:t>process</w:t>
      </w:r>
      <w:r w:rsidR="008617F0" w:rsidRPr="003D290F">
        <w:rPr>
          <w:rFonts w:eastAsia="Times New Roman"/>
        </w:rPr>
        <w:t xml:space="preserve"> </w:t>
      </w:r>
      <w:r w:rsidR="00003311" w:rsidRPr="003D290F">
        <w:rPr>
          <w:rFonts w:eastAsia="Times New Roman"/>
        </w:rPr>
        <w:t xml:space="preserve">used to systematically evaluate all impacts of a proposal on the community and economy, </w:t>
      </w:r>
      <w:r w:rsidR="00003311" w:rsidRPr="003D290F">
        <w:t>expressing the gains and losses in monetary terms to the extent possible.</w:t>
      </w:r>
    </w:p>
    <w:p w14:paraId="73F2D9F9" w14:textId="77777777" w:rsidR="003313E0" w:rsidRPr="003D290F" w:rsidRDefault="003313E0" w:rsidP="00FE3DEC">
      <w:r w:rsidRPr="003D290F">
        <w:t xml:space="preserve">The analysis uses an abridged CBA as the </w:t>
      </w:r>
      <w:r w:rsidR="003921A0" w:rsidRPr="003D290F">
        <w:t xml:space="preserve">most appropriate </w:t>
      </w:r>
      <w:r w:rsidR="001C29ED">
        <w:rPr>
          <w:rFonts w:eastAsia="Times New Roman"/>
        </w:rPr>
        <w:t>way</w:t>
      </w:r>
      <w:r w:rsidR="003921A0" w:rsidRPr="003D290F">
        <w:t xml:space="preserve"> </w:t>
      </w:r>
      <w:r w:rsidRPr="003D290F">
        <w:t xml:space="preserve">to </w:t>
      </w:r>
      <w:r w:rsidR="003921A0" w:rsidRPr="003D290F">
        <w:t xml:space="preserve">consider </w:t>
      </w:r>
      <w:r w:rsidRPr="003D290F">
        <w:t xml:space="preserve">the distribution of costs and benefits </w:t>
      </w:r>
      <w:r w:rsidR="003921A0" w:rsidRPr="003D290F">
        <w:t>among stakeholders</w:t>
      </w:r>
      <w:r w:rsidRPr="003D290F">
        <w:t xml:space="preserve">. Other </w:t>
      </w:r>
      <w:r w:rsidRPr="003D290F">
        <w:rPr>
          <w:rFonts w:eastAsia="Times New Roman"/>
        </w:rPr>
        <w:t>alternative analytical frameworks were considered. In particular, the regulatory burden measurement framework</w:t>
      </w:r>
      <w:r w:rsidR="00F91D1F" w:rsidRPr="003D290F">
        <w:rPr>
          <w:rFonts w:eastAsia="Times New Roman"/>
        </w:rPr>
        <w:t>, which restricts analysis to administrative and compliance cost</w:t>
      </w:r>
      <w:r w:rsidR="003921A0" w:rsidRPr="003D290F">
        <w:rPr>
          <w:rFonts w:eastAsia="Times New Roman"/>
        </w:rPr>
        <w:t>s</w:t>
      </w:r>
      <w:r w:rsidR="00F91D1F" w:rsidRPr="003D290F">
        <w:rPr>
          <w:rFonts w:eastAsia="Times New Roman"/>
        </w:rPr>
        <w:t xml:space="preserve"> for each stakeholder group,</w:t>
      </w:r>
      <w:r w:rsidRPr="003D290F">
        <w:rPr>
          <w:rFonts w:eastAsia="Times New Roman"/>
        </w:rPr>
        <w:t xml:space="preserve"> has not been used due to its exclusion of non-compliance and enforcement costs, </w:t>
      </w:r>
      <w:r w:rsidR="001C29ED">
        <w:rPr>
          <w:rFonts w:eastAsia="Times New Roman"/>
        </w:rPr>
        <w:t xml:space="preserve">which are </w:t>
      </w:r>
      <w:r w:rsidRPr="003D290F">
        <w:rPr>
          <w:rFonts w:eastAsia="Times New Roman"/>
        </w:rPr>
        <w:t xml:space="preserve">integral to the findings of the analysis. </w:t>
      </w:r>
      <w:r w:rsidR="00255B6D" w:rsidRPr="003D290F">
        <w:rPr>
          <w:rFonts w:eastAsia="Times New Roman"/>
        </w:rPr>
        <w:t>An approach reliant on the regulatory burden measurement framework</w:t>
      </w:r>
      <w:r w:rsidRPr="003D290F">
        <w:rPr>
          <w:rFonts w:eastAsia="Times New Roman"/>
        </w:rPr>
        <w:t xml:space="preserve"> </w:t>
      </w:r>
      <w:r w:rsidR="00255B6D" w:rsidRPr="003D290F">
        <w:rPr>
          <w:rFonts w:eastAsia="Times New Roman"/>
        </w:rPr>
        <w:t xml:space="preserve">would significantly underestimate costs and benefits to stakeholders. </w:t>
      </w:r>
      <w:r w:rsidR="003921A0" w:rsidRPr="003D290F">
        <w:rPr>
          <w:rFonts w:eastAsia="Times New Roman"/>
        </w:rPr>
        <w:t>As above, t</w:t>
      </w:r>
      <w:r w:rsidRPr="003D290F">
        <w:t>he</w:t>
      </w:r>
      <w:r w:rsidR="008118AB" w:rsidRPr="003D290F">
        <w:t xml:space="preserve">se factors </w:t>
      </w:r>
      <w:r w:rsidR="00A11EE8" w:rsidRPr="003D290F">
        <w:t>explain</w:t>
      </w:r>
      <w:r w:rsidR="008118AB" w:rsidRPr="003D290F">
        <w:t xml:space="preserve"> important differences </w:t>
      </w:r>
      <w:r w:rsidRPr="003D290F">
        <w:t xml:space="preserve">between </w:t>
      </w:r>
      <w:r w:rsidR="003921A0" w:rsidRPr="003D290F">
        <w:t>Options 2 and 3</w:t>
      </w:r>
      <w:r w:rsidRPr="003D290F">
        <w:rPr>
          <w:rFonts w:eastAsia="Times New Roman"/>
        </w:rPr>
        <w:t xml:space="preserve">. </w:t>
      </w:r>
    </w:p>
    <w:p w14:paraId="46A119F8" w14:textId="77777777" w:rsidR="003313E0" w:rsidRPr="003D290F" w:rsidRDefault="001C386C" w:rsidP="00FE3DEC">
      <w:pPr>
        <w:rPr>
          <w:rFonts w:eastAsia="Times New Roman" w:cs="Segoe UI"/>
        </w:rPr>
      </w:pPr>
      <w:r w:rsidRPr="003D290F">
        <w:t>The adopted approach differs from a CBA in that it limits quantification to</w:t>
      </w:r>
      <w:r w:rsidRPr="003D290F">
        <w:rPr>
          <w:rFonts w:eastAsia="Times New Roman" w:cs="Segoe UI"/>
        </w:rPr>
        <w:t xml:space="preserve"> the direct costs and benefits to each impacted stakeholder group</w:t>
      </w:r>
      <w:r w:rsidR="007269BD" w:rsidRPr="003D290F">
        <w:rPr>
          <w:rFonts w:eastAsia="Times New Roman" w:cs="Segoe UI"/>
        </w:rPr>
        <w:t>, and does not always seek to monetise non-financial gains</w:t>
      </w:r>
      <w:r w:rsidRPr="003D290F">
        <w:rPr>
          <w:rFonts w:eastAsia="Times New Roman" w:cs="Segoe UI"/>
        </w:rPr>
        <w:t>.</w:t>
      </w:r>
      <w:r w:rsidRPr="003D290F">
        <w:t xml:space="preserve"> The abridged approach has been selected due to the availability of data and relative size of</w:t>
      </w:r>
      <w:r w:rsidRPr="003D290F">
        <w:rPr>
          <w:rFonts w:eastAsia="Times New Roman" w:cs="Segoe UI"/>
        </w:rPr>
        <w:t xml:space="preserve"> the</w:t>
      </w:r>
      <w:r w:rsidRPr="003D290F">
        <w:t xml:space="preserve"> affected cohort to the size of the economy (less than 0.1 per cent of the labour force).</w:t>
      </w:r>
      <w:r w:rsidRPr="003D290F">
        <w:rPr>
          <w:vertAlign w:val="superscript"/>
        </w:rPr>
        <w:footnoteReference w:id="64"/>
      </w:r>
      <w:r w:rsidRPr="003D290F">
        <w:t xml:space="preserve"> Despite the limited macroeconomic effects of the proposed policy, the potential impacts to local regions and communities</w:t>
      </w:r>
      <w:r w:rsidR="00FF717B" w:rsidRPr="003D290F">
        <w:t xml:space="preserve"> </w:t>
      </w:r>
      <w:r w:rsidRPr="003D290F">
        <w:t>surr</w:t>
      </w:r>
      <w:r w:rsidR="001C29ED">
        <w:t>ounding</w:t>
      </w:r>
      <w:r w:rsidRPr="003D290F">
        <w:t xml:space="preserve"> power stations </w:t>
      </w:r>
      <w:r w:rsidR="001D3BFC" w:rsidRPr="003D290F">
        <w:t xml:space="preserve">identified in </w:t>
      </w:r>
      <w:r w:rsidR="001D3BFC" w:rsidRPr="003D290F">
        <w:rPr>
          <w:b/>
          <w:color w:val="1B375C" w:themeColor="accent1"/>
        </w:rPr>
        <w:t xml:space="preserve">Chapter 1 </w:t>
      </w:r>
      <w:r w:rsidRPr="003D290F">
        <w:t>would be notable. As such,</w:t>
      </w:r>
      <w:r w:rsidRPr="003D290F">
        <w:rPr>
          <w:rFonts w:eastAsia="Times New Roman" w:cs="Segoe UI"/>
        </w:rPr>
        <w:t xml:space="preserve"> indirect and distributional effects have been identified qualitatively and substantiated with available literature and evidence </w:t>
      </w:r>
      <w:r w:rsidR="001D3BFC" w:rsidRPr="003D290F">
        <w:rPr>
          <w:rFonts w:eastAsia="Times New Roman" w:cs="Segoe UI"/>
        </w:rPr>
        <w:t xml:space="preserve">throughout </w:t>
      </w:r>
      <w:r w:rsidR="001D3BFC" w:rsidRPr="003D290F">
        <w:rPr>
          <w:rFonts w:eastAsia="Times New Roman" w:cs="Segoe UI"/>
          <w:b/>
          <w:color w:val="1B375C" w:themeColor="accent1"/>
        </w:rPr>
        <w:t>Chapter 4</w:t>
      </w:r>
      <w:r w:rsidR="001D3BFC" w:rsidRPr="003D290F">
        <w:rPr>
          <w:rFonts w:eastAsia="Times New Roman" w:cs="Segoe UI"/>
        </w:rPr>
        <w:t xml:space="preserve"> </w:t>
      </w:r>
      <w:r w:rsidRPr="003D290F">
        <w:rPr>
          <w:rFonts w:eastAsia="Times New Roman" w:cs="Segoe UI"/>
        </w:rPr>
        <w:t>to the extent possible.</w:t>
      </w:r>
    </w:p>
    <w:p w14:paraId="765A3C7D" w14:textId="77777777" w:rsidR="009D5720" w:rsidRPr="003D290F" w:rsidRDefault="009D5720" w:rsidP="009D5720">
      <w:pPr>
        <w:rPr>
          <w:rFonts w:eastAsia="Times New Roman" w:cs="Segoe UI"/>
        </w:rPr>
      </w:pPr>
      <w:r w:rsidRPr="003D290F">
        <w:rPr>
          <w:rFonts w:eastAsia="Times New Roman" w:cs="Segoe UI"/>
        </w:rPr>
        <w:t xml:space="preserve">For the purpose of this analysis, it is assumed that any pooled redeployment </w:t>
      </w:r>
      <w:r w:rsidR="00E918E4" w:rsidRPr="003D290F">
        <w:rPr>
          <w:rFonts w:eastAsia="Times New Roman" w:cs="Segoe UI"/>
        </w:rPr>
        <w:t xml:space="preserve">plan </w:t>
      </w:r>
      <w:r w:rsidRPr="003D290F">
        <w:rPr>
          <w:rFonts w:eastAsia="Times New Roman" w:cs="Segoe UI"/>
        </w:rPr>
        <w:t xml:space="preserve">would operate from 2024-25 to at least 2034-35. This time period supports a robust policy assessment across a range of closure instances, including in different regions and with different employment figures. While a longer timeframe would capture additional closures, there is considerable uncertainty in determining employer </w:t>
      </w:r>
      <w:r w:rsidRPr="003D290F">
        <w:rPr>
          <w:rFonts w:eastAsia="Times New Roman" w:cs="Segoe UI"/>
        </w:rPr>
        <w:lastRenderedPageBreak/>
        <w:t xml:space="preserve">and employee decision-making beyond 2034-35. </w:t>
      </w:r>
      <w:r w:rsidR="00255B6D" w:rsidRPr="003D290F">
        <w:rPr>
          <w:rFonts w:eastAsia="Times New Roman" w:cs="Segoe UI"/>
        </w:rPr>
        <w:t xml:space="preserve">A shorter time period would capture </w:t>
      </w:r>
      <w:r w:rsidR="00054826" w:rsidRPr="003D290F">
        <w:rPr>
          <w:rFonts w:eastAsia="Times New Roman" w:cs="Segoe UI"/>
        </w:rPr>
        <w:t>too few</w:t>
      </w:r>
      <w:r w:rsidR="00255B6D" w:rsidRPr="003D290F">
        <w:rPr>
          <w:rFonts w:eastAsia="Times New Roman" w:cs="Segoe UI"/>
        </w:rPr>
        <w:t xml:space="preserve"> facility closures </w:t>
      </w:r>
      <w:r w:rsidR="00054826" w:rsidRPr="003D290F">
        <w:rPr>
          <w:rFonts w:eastAsia="Times New Roman" w:cs="Segoe UI"/>
        </w:rPr>
        <w:t>to</w:t>
      </w:r>
      <w:r w:rsidR="00255B6D" w:rsidRPr="003D290F">
        <w:rPr>
          <w:rFonts w:eastAsia="Times New Roman" w:cs="Segoe UI"/>
        </w:rPr>
        <w:t xml:space="preserve"> reasonably estimate the impact of the proposal. </w:t>
      </w:r>
      <w:r w:rsidRPr="003D290F">
        <w:rPr>
          <w:rFonts w:eastAsia="Times New Roman" w:cs="Segoe UI"/>
        </w:rPr>
        <w:t>This is particularly the case where the nature of employment in coal-related industries is likely to have changed by this time.</w:t>
      </w:r>
    </w:p>
    <w:p w14:paraId="7ECF8A28" w14:textId="77777777" w:rsidR="009D5720" w:rsidRPr="003D290F" w:rsidRDefault="00DC6355" w:rsidP="009D5720">
      <w:pPr>
        <w:rPr>
          <w:rFonts w:eastAsia="Times New Roman" w:cs="Segoe UI"/>
        </w:rPr>
      </w:pPr>
      <w:r w:rsidRPr="003D290F">
        <w:rPr>
          <w:rFonts w:eastAsia="Times New Roman" w:cs="Segoe UI"/>
        </w:rPr>
        <w:t>In t</w:t>
      </w:r>
      <w:r w:rsidR="009D5720" w:rsidRPr="003D290F">
        <w:rPr>
          <w:rFonts w:eastAsia="Times New Roman" w:cs="Segoe UI"/>
        </w:rPr>
        <w:t>he presentation of final results</w:t>
      </w:r>
      <w:r w:rsidRPr="003D290F">
        <w:rPr>
          <w:rFonts w:eastAsia="Times New Roman" w:cs="Segoe UI"/>
        </w:rPr>
        <w:t>,</w:t>
      </w:r>
      <w:r w:rsidR="009D5720" w:rsidRPr="003D290F" w:rsidDel="00DC6355">
        <w:rPr>
          <w:rFonts w:eastAsia="Times New Roman" w:cs="Segoe UI"/>
        </w:rPr>
        <w:t xml:space="preserve"> </w:t>
      </w:r>
      <w:r w:rsidR="009D5720" w:rsidRPr="003D290F">
        <w:rPr>
          <w:rFonts w:eastAsia="Times New Roman" w:cs="Segoe UI"/>
        </w:rPr>
        <w:t xml:space="preserve">a constant discount rate of seven per cent is assumed to estimate the NPV to each stakeholder group under each policy option, the standard rate used for all Australian Government </w:t>
      </w:r>
      <w:r w:rsidR="001C29ED">
        <w:rPr>
          <w:rFonts w:eastAsia="Times New Roman" w:cs="Segoe UI"/>
        </w:rPr>
        <w:t>CBAs</w:t>
      </w:r>
      <w:r w:rsidR="009D5720" w:rsidRPr="003D290F">
        <w:rPr>
          <w:rFonts w:eastAsia="Times New Roman" w:cs="Segoe UI"/>
        </w:rPr>
        <w:t>.</w:t>
      </w:r>
      <w:r w:rsidR="009D5720" w:rsidRPr="003D290F">
        <w:rPr>
          <w:rStyle w:val="FootnoteReference"/>
          <w:rFonts w:eastAsia="Times New Roman" w:cs="Segoe UI"/>
        </w:rPr>
        <w:footnoteReference w:id="65"/>
      </w:r>
      <w:r w:rsidR="009D5720" w:rsidRPr="003D290F">
        <w:rPr>
          <w:rFonts w:eastAsia="Times New Roman" w:cs="Segoe UI"/>
        </w:rPr>
        <w:t xml:space="preserve"> </w:t>
      </w:r>
      <w:r w:rsidR="00F27EDD" w:rsidRPr="003D290F">
        <w:rPr>
          <w:rFonts w:eastAsia="Times New Roman" w:cs="Segoe UI"/>
        </w:rPr>
        <w:t>Consideration of the sensitivity of results to the discount rate assumption and</w:t>
      </w:r>
      <w:r w:rsidR="00054826" w:rsidRPr="003D290F">
        <w:rPr>
          <w:rFonts w:eastAsia="Times New Roman" w:cs="Segoe UI"/>
        </w:rPr>
        <w:t xml:space="preserve"> </w:t>
      </w:r>
      <w:r w:rsidR="00F27EDD" w:rsidRPr="003D290F">
        <w:rPr>
          <w:rFonts w:eastAsia="Times New Roman" w:cs="Segoe UI"/>
        </w:rPr>
        <w:t>estimated impact</w:t>
      </w:r>
      <w:r w:rsidR="00054826" w:rsidRPr="003D290F">
        <w:rPr>
          <w:rFonts w:eastAsia="Times New Roman" w:cs="Segoe UI"/>
        </w:rPr>
        <w:t>s</w:t>
      </w:r>
      <w:r w:rsidR="00F27EDD" w:rsidRPr="003D290F">
        <w:rPr>
          <w:rFonts w:eastAsia="Times New Roman" w:cs="Segoe UI"/>
        </w:rPr>
        <w:t xml:space="preserve"> under a 4 per cent and 10 per cent assumption is considered in </w:t>
      </w:r>
      <w:r w:rsidR="001C29ED">
        <w:rPr>
          <w:rFonts w:eastAsia="Times New Roman" w:cs="Segoe UI"/>
          <w:b/>
          <w:color w:val="1B375C"/>
        </w:rPr>
        <w:t>S</w:t>
      </w:r>
      <w:r w:rsidR="00F27EDD" w:rsidRPr="003D290F">
        <w:rPr>
          <w:rFonts w:eastAsia="Times New Roman" w:cs="Segoe UI"/>
          <w:b/>
          <w:color w:val="1B375C"/>
        </w:rPr>
        <w:t>ection 4.</w:t>
      </w:r>
      <w:r w:rsidR="00F15242">
        <w:rPr>
          <w:rFonts w:eastAsia="Times New Roman" w:cs="Segoe UI"/>
          <w:b/>
          <w:color w:val="1B375C"/>
        </w:rPr>
        <w:t>8</w:t>
      </w:r>
      <w:r w:rsidR="00F27EDD" w:rsidRPr="003D290F">
        <w:rPr>
          <w:rFonts w:eastAsia="Times New Roman" w:cs="Segoe UI"/>
          <w:b/>
          <w:color w:val="1B375C"/>
        </w:rPr>
        <w:t>.1</w:t>
      </w:r>
      <w:r w:rsidR="00F27EDD" w:rsidRPr="003D290F">
        <w:rPr>
          <w:rFonts w:eastAsia="Times New Roman" w:cs="Segoe UI"/>
        </w:rPr>
        <w:t xml:space="preserve">. </w:t>
      </w:r>
      <w:r w:rsidR="009D5720" w:rsidRPr="003D290F">
        <w:rPr>
          <w:rFonts w:eastAsia="Times New Roman" w:cs="Segoe UI"/>
        </w:rPr>
        <w:t xml:space="preserve">In line with the proposed policy, </w:t>
      </w:r>
      <w:r w:rsidR="00E918E4" w:rsidRPr="003D290F">
        <w:rPr>
          <w:rFonts w:eastAsia="Times New Roman" w:cs="Segoe UI"/>
        </w:rPr>
        <w:t>pooled redeployment will be</w:t>
      </w:r>
      <w:r w:rsidR="009D5720" w:rsidRPr="003D290F">
        <w:rPr>
          <w:rFonts w:eastAsia="Times New Roman" w:cs="Segoe UI"/>
        </w:rPr>
        <w:t xml:space="preserve"> administered in the lead up to power station closures. Relevant costs and benefits relating to each instance of a closure are estimated, aggregated to reflect a total position across the time horizon. </w:t>
      </w:r>
    </w:p>
    <w:p w14:paraId="0264E060" w14:textId="77777777" w:rsidR="009D5720" w:rsidRPr="003D290F" w:rsidRDefault="009D5720" w:rsidP="00FE3DEC">
      <w:r w:rsidRPr="003D290F">
        <w:rPr>
          <w:rFonts w:eastAsia="Times New Roman" w:cs="Segoe UI"/>
        </w:rPr>
        <w:t xml:space="preserve">Further detail on the assumptions underlying the analysis is included at </w:t>
      </w:r>
      <w:r w:rsidRPr="003D290F">
        <w:rPr>
          <w:rFonts w:eastAsia="Times New Roman" w:cs="Segoe UI"/>
          <w:b/>
          <w:color w:val="1B375C"/>
        </w:rPr>
        <w:t>Appendix C</w:t>
      </w:r>
      <w:r w:rsidRPr="003D290F">
        <w:rPr>
          <w:rFonts w:eastAsia="Times New Roman" w:cs="Segoe UI"/>
        </w:rPr>
        <w:t>.</w:t>
      </w:r>
    </w:p>
    <w:p w14:paraId="73007A65" w14:textId="77777777" w:rsidR="00E639A0" w:rsidRPr="003D290F" w:rsidRDefault="00E639A0" w:rsidP="00E639A0">
      <w:pPr>
        <w:pStyle w:val="Heading2"/>
      </w:pPr>
      <w:bookmarkStart w:id="241" w:name="_Toc161395985"/>
      <w:bookmarkStart w:id="242" w:name="_Toc161403521"/>
      <w:bookmarkStart w:id="243" w:name="_Toc161752255"/>
      <w:bookmarkStart w:id="244" w:name="_Toc161759693"/>
      <w:r w:rsidRPr="003D290F">
        <w:t>4.3 Stakeholders</w:t>
      </w:r>
      <w:bookmarkEnd w:id="241"/>
      <w:bookmarkEnd w:id="242"/>
      <w:bookmarkEnd w:id="243"/>
      <w:bookmarkEnd w:id="244"/>
    </w:p>
    <w:p w14:paraId="74646562" w14:textId="77777777" w:rsidR="0057415D" w:rsidRDefault="00076E5E" w:rsidP="00FE3DEC">
      <w:pPr>
        <w:rPr>
          <w:rFonts w:eastAsia="Times New Roman" w:cs="Segoe UI"/>
        </w:rPr>
      </w:pPr>
      <w:r w:rsidRPr="003D290F">
        <w:rPr>
          <w:rFonts w:eastAsia="Times New Roman" w:cs="Segoe UI"/>
          <w:b/>
          <w:color w:val="1B375C"/>
        </w:rPr>
        <w:t>Table 4.</w:t>
      </w:r>
      <w:r w:rsidR="00757876">
        <w:rPr>
          <w:rFonts w:eastAsia="Times New Roman" w:cs="Segoe UI"/>
          <w:b/>
          <w:color w:val="1B375C"/>
        </w:rPr>
        <w:t>3</w:t>
      </w:r>
      <w:r w:rsidRPr="003D290F">
        <w:rPr>
          <w:rFonts w:eastAsia="Times New Roman" w:cs="Segoe UI"/>
        </w:rPr>
        <w:t xml:space="preserve"> outlines the identified stakeholders likely to be impacted under the three options. </w:t>
      </w:r>
    </w:p>
    <w:p w14:paraId="4A9258B6" w14:textId="77777777" w:rsidR="00076E5E" w:rsidRPr="003D290F" w:rsidRDefault="00076E5E" w:rsidP="00076E5E">
      <w:pPr>
        <w:keepNext/>
        <w:spacing w:before="120" w:after="120" w:line="240" w:lineRule="auto"/>
        <w:rPr>
          <w:rFonts w:eastAsia="Times New Roman" w:cs="Segoe UI"/>
          <w:b/>
          <w:sz w:val="24"/>
        </w:rPr>
      </w:pPr>
      <w:r w:rsidRPr="003D290F">
        <w:rPr>
          <w:rFonts w:eastAsia="Times New Roman" w:cs="Segoe UI"/>
          <w:b/>
          <w:sz w:val="24"/>
        </w:rPr>
        <w:t>TABLE 4.</w:t>
      </w:r>
      <w:r w:rsidR="00757876">
        <w:rPr>
          <w:rFonts w:eastAsia="Times New Roman" w:cs="Segoe UI"/>
          <w:b/>
          <w:sz w:val="24"/>
        </w:rPr>
        <w:t>3</w:t>
      </w:r>
      <w:r w:rsidRPr="003D290F">
        <w:rPr>
          <w:rFonts w:eastAsia="Times New Roman" w:cs="Segoe UI"/>
          <w:b/>
          <w:sz w:val="24"/>
        </w:rPr>
        <w:t xml:space="preserve"> STAKEHOLDER GROUPS</w:t>
      </w:r>
    </w:p>
    <w:tbl>
      <w:tblPr>
        <w:tblStyle w:val="TableGrid1"/>
        <w:tblW w:w="5000" w:type="pct"/>
        <w:tblBorders>
          <w:top w:val="single" w:sz="12" w:space="0" w:color="auto"/>
          <w:left w:val="single" w:sz="12" w:space="0" w:color="auto"/>
          <w:bottom w:val="single" w:sz="12" w:space="0" w:color="auto"/>
          <w:right w:val="single" w:sz="12" w:space="0" w:color="auto"/>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253"/>
        <w:gridCol w:w="7921"/>
      </w:tblGrid>
      <w:tr w:rsidR="00076E5E" w:rsidRPr="003D290F" w14:paraId="2288A3C4" w14:textId="77777777" w:rsidTr="00BC7B3A">
        <w:trPr>
          <w:trHeight w:val="57"/>
          <w:tblHeader/>
        </w:trPr>
        <w:tc>
          <w:tcPr>
            <w:tcW w:w="1107" w:type="pct"/>
            <w:tcBorders>
              <w:top w:val="single" w:sz="12" w:space="0" w:color="auto"/>
              <w:left w:val="single" w:sz="12" w:space="0" w:color="auto"/>
              <w:bottom w:val="nil"/>
              <w:right w:val="nil"/>
            </w:tcBorders>
            <w:shd w:val="clear" w:color="auto" w:fill="1B375C"/>
          </w:tcPr>
          <w:p w14:paraId="6B621E8C" w14:textId="77777777" w:rsidR="00076E5E" w:rsidRPr="003D290F" w:rsidRDefault="00076E5E" w:rsidP="00C80C07">
            <w:pPr>
              <w:keepNext/>
              <w:rPr>
                <w:rFonts w:eastAsia="Times New Roman" w:cs="Segoe UI"/>
                <w:b/>
                <w:sz w:val="20"/>
              </w:rPr>
            </w:pPr>
            <w:r w:rsidRPr="003D290F">
              <w:rPr>
                <w:rFonts w:eastAsia="Times New Roman" w:cs="Segoe UI"/>
                <w:b/>
                <w:sz w:val="20"/>
              </w:rPr>
              <w:t>STAKEHOLDER</w:t>
            </w:r>
          </w:p>
        </w:tc>
        <w:tc>
          <w:tcPr>
            <w:tcW w:w="3893" w:type="pct"/>
            <w:tcBorders>
              <w:top w:val="single" w:sz="12" w:space="0" w:color="auto"/>
              <w:left w:val="nil"/>
              <w:bottom w:val="nil"/>
              <w:right w:val="single" w:sz="12" w:space="0" w:color="auto"/>
            </w:tcBorders>
            <w:shd w:val="clear" w:color="auto" w:fill="1B375C"/>
          </w:tcPr>
          <w:p w14:paraId="2E3AD84C" w14:textId="77777777" w:rsidR="00076E5E" w:rsidRPr="003D290F" w:rsidRDefault="00076E5E" w:rsidP="00C80C07">
            <w:pPr>
              <w:keepNext/>
              <w:rPr>
                <w:rFonts w:eastAsia="Times New Roman" w:cs="Segoe UI"/>
                <w:b/>
                <w:sz w:val="20"/>
              </w:rPr>
            </w:pPr>
            <w:r w:rsidRPr="003D290F">
              <w:rPr>
                <w:rFonts w:eastAsia="Times New Roman" w:cs="Segoe UI"/>
                <w:b/>
                <w:sz w:val="20"/>
              </w:rPr>
              <w:t>DESCRIPTION</w:t>
            </w:r>
          </w:p>
        </w:tc>
      </w:tr>
      <w:tr w:rsidR="00076E5E" w:rsidRPr="003D290F" w14:paraId="668E0B5F" w14:textId="77777777" w:rsidTr="00BC7B3A">
        <w:trPr>
          <w:trHeight w:val="57"/>
        </w:trPr>
        <w:tc>
          <w:tcPr>
            <w:tcW w:w="1107" w:type="pct"/>
            <w:tcBorders>
              <w:top w:val="nil"/>
              <w:left w:val="nil"/>
              <w:bottom w:val="single" w:sz="4" w:space="0" w:color="FFFFFF"/>
              <w:right w:val="nil"/>
            </w:tcBorders>
            <w:shd w:val="clear" w:color="auto" w:fill="E0E8F2"/>
          </w:tcPr>
          <w:p w14:paraId="6EFF6CF8" w14:textId="77777777" w:rsidR="00076E5E" w:rsidRPr="003D290F" w:rsidRDefault="00076E5E" w:rsidP="00C80C07">
            <w:pPr>
              <w:keepNext/>
              <w:rPr>
                <w:rFonts w:eastAsia="Times New Roman" w:cs="Segoe UI"/>
                <w:b/>
                <w:sz w:val="20"/>
              </w:rPr>
            </w:pPr>
            <w:r w:rsidRPr="003D290F">
              <w:rPr>
                <w:rFonts w:eastAsia="Times New Roman" w:cs="Segoe UI"/>
                <w:b/>
                <w:sz w:val="20"/>
              </w:rPr>
              <w:t>Closing employers</w:t>
            </w:r>
          </w:p>
        </w:tc>
        <w:tc>
          <w:tcPr>
            <w:tcW w:w="3893" w:type="pct"/>
            <w:tcBorders>
              <w:top w:val="nil"/>
              <w:left w:val="nil"/>
              <w:bottom w:val="single" w:sz="4" w:space="0" w:color="FFFFFF"/>
              <w:right w:val="nil"/>
            </w:tcBorders>
            <w:shd w:val="clear" w:color="auto" w:fill="E0E8F2"/>
          </w:tcPr>
          <w:p w14:paraId="58044CF8" w14:textId="77777777" w:rsidR="00076E5E" w:rsidRPr="003D290F" w:rsidRDefault="000A309F" w:rsidP="00C80C07">
            <w:pPr>
              <w:keepNext/>
              <w:rPr>
                <w:rFonts w:eastAsia="Times New Roman" w:cs="Segoe UI"/>
                <w:sz w:val="20"/>
              </w:rPr>
            </w:pPr>
            <w:r w:rsidRPr="003D290F">
              <w:rPr>
                <w:rFonts w:eastAsia="Times New Roman" w:cs="Segoe UI"/>
                <w:sz w:val="20"/>
              </w:rPr>
              <w:t>Employers that own</w:t>
            </w:r>
            <w:r w:rsidR="00895F74" w:rsidRPr="003D290F">
              <w:rPr>
                <w:rFonts w:eastAsia="Times New Roman" w:cs="Segoe UI"/>
                <w:sz w:val="20"/>
              </w:rPr>
              <w:t xml:space="preserve"> </w:t>
            </w:r>
            <w:r w:rsidR="00076E5E" w:rsidRPr="003D290F">
              <w:rPr>
                <w:rFonts w:eastAsia="Times New Roman" w:cs="Segoe UI"/>
                <w:sz w:val="20"/>
              </w:rPr>
              <w:t xml:space="preserve">power stations and dependent </w:t>
            </w:r>
            <w:r w:rsidR="002B298D">
              <w:rPr>
                <w:rFonts w:eastAsia="Times New Roman" w:cs="Segoe UI"/>
                <w:sz w:val="20"/>
              </w:rPr>
              <w:t>employers</w:t>
            </w:r>
            <w:r w:rsidR="00076E5E" w:rsidRPr="003D290F">
              <w:rPr>
                <w:rFonts w:eastAsia="Times New Roman" w:cs="Segoe UI"/>
                <w:sz w:val="20"/>
              </w:rPr>
              <w:t xml:space="preserve"> (in particular, associated coal mines)</w:t>
            </w:r>
            <w:r w:rsidR="00A8779D" w:rsidRPr="003D290F">
              <w:rPr>
                <w:rFonts w:eastAsia="Times New Roman" w:cs="Segoe UI"/>
                <w:sz w:val="20"/>
              </w:rPr>
              <w:t xml:space="preserve">, </w:t>
            </w:r>
            <w:r w:rsidR="0008347F" w:rsidRPr="003D290F">
              <w:rPr>
                <w:rFonts w:eastAsia="Times New Roman" w:cs="Segoe UI"/>
                <w:sz w:val="20"/>
              </w:rPr>
              <w:t>including large businesses (power stations and coal mines) and some medium to large enterprises (</w:t>
            </w:r>
            <w:r w:rsidR="002B298D">
              <w:rPr>
                <w:rFonts w:eastAsia="Times New Roman" w:cs="Segoe UI"/>
                <w:sz w:val="20"/>
              </w:rPr>
              <w:t xml:space="preserve">other </w:t>
            </w:r>
            <w:r w:rsidR="0008347F" w:rsidRPr="003D290F">
              <w:rPr>
                <w:rFonts w:eastAsia="Times New Roman" w:cs="Segoe UI"/>
                <w:sz w:val="20"/>
              </w:rPr>
              <w:t xml:space="preserve">dependent </w:t>
            </w:r>
            <w:r w:rsidR="002B298D">
              <w:rPr>
                <w:rFonts w:eastAsia="Times New Roman" w:cs="Segoe UI"/>
                <w:sz w:val="20"/>
              </w:rPr>
              <w:t>employers</w:t>
            </w:r>
            <w:r w:rsidR="0008347F" w:rsidRPr="003D290F">
              <w:rPr>
                <w:rFonts w:eastAsia="Times New Roman" w:cs="Segoe UI"/>
                <w:sz w:val="20"/>
              </w:rPr>
              <w:t>).</w:t>
            </w:r>
            <w:r w:rsidR="002B298D">
              <w:rPr>
                <w:rStyle w:val="FootnoteReference"/>
                <w:rFonts w:eastAsia="Times New Roman" w:cs="Segoe UI"/>
                <w:sz w:val="20"/>
              </w:rPr>
              <w:footnoteReference w:id="66"/>
            </w:r>
            <w:r w:rsidR="0008347F" w:rsidRPr="003D290F" w:rsidDel="0008347F">
              <w:rPr>
                <w:rFonts w:eastAsia="Times New Roman" w:cs="Segoe UI"/>
                <w:sz w:val="20"/>
              </w:rPr>
              <w:t xml:space="preserve"> </w:t>
            </w:r>
          </w:p>
        </w:tc>
      </w:tr>
      <w:tr w:rsidR="00076E5E" w:rsidRPr="003D290F" w14:paraId="57D2FA81" w14:textId="77777777" w:rsidTr="00BC7B3A">
        <w:trPr>
          <w:trHeight w:val="57"/>
        </w:trPr>
        <w:tc>
          <w:tcPr>
            <w:tcW w:w="1107" w:type="pct"/>
            <w:tcBorders>
              <w:top w:val="single" w:sz="4" w:space="0" w:color="FFFFFF"/>
              <w:left w:val="nil"/>
              <w:bottom w:val="single" w:sz="4" w:space="0" w:color="FFFFFF"/>
              <w:right w:val="nil"/>
            </w:tcBorders>
          </w:tcPr>
          <w:p w14:paraId="72572070" w14:textId="77777777" w:rsidR="00076E5E" w:rsidRPr="003D290F" w:rsidRDefault="001F471B" w:rsidP="00C80C07">
            <w:pPr>
              <w:keepNext/>
              <w:rPr>
                <w:rFonts w:eastAsia="Times New Roman" w:cs="Segoe UI"/>
                <w:b/>
                <w:sz w:val="20"/>
              </w:rPr>
            </w:pPr>
            <w:r w:rsidRPr="003D290F">
              <w:rPr>
                <w:rFonts w:eastAsia="Times New Roman" w:cs="Segoe UI"/>
                <w:b/>
                <w:sz w:val="20"/>
              </w:rPr>
              <w:t>Receiving employers</w:t>
            </w:r>
          </w:p>
        </w:tc>
        <w:tc>
          <w:tcPr>
            <w:tcW w:w="3893" w:type="pct"/>
            <w:tcBorders>
              <w:top w:val="single" w:sz="4" w:space="0" w:color="FFFFFF"/>
              <w:left w:val="nil"/>
              <w:bottom w:val="single" w:sz="4" w:space="0" w:color="FFFFFF"/>
              <w:right w:val="nil"/>
            </w:tcBorders>
          </w:tcPr>
          <w:p w14:paraId="13845C3B" w14:textId="77777777" w:rsidR="00076E5E" w:rsidRPr="003D290F" w:rsidRDefault="00076E5E" w:rsidP="00C80C07">
            <w:pPr>
              <w:keepNext/>
              <w:rPr>
                <w:rFonts w:eastAsia="Times New Roman" w:cs="Segoe UI"/>
                <w:sz w:val="20"/>
              </w:rPr>
            </w:pPr>
            <w:r w:rsidRPr="003D290F">
              <w:rPr>
                <w:rFonts w:eastAsia="Times New Roman" w:cs="Segoe UI"/>
                <w:sz w:val="20"/>
              </w:rPr>
              <w:t xml:space="preserve">Employers </w:t>
            </w:r>
            <w:r w:rsidR="00895F74" w:rsidRPr="003D290F">
              <w:rPr>
                <w:rFonts w:eastAsia="Times New Roman" w:cs="Segoe UI"/>
                <w:sz w:val="20"/>
              </w:rPr>
              <w:t xml:space="preserve">in the </w:t>
            </w:r>
            <w:r w:rsidRPr="003D290F">
              <w:rPr>
                <w:rFonts w:eastAsia="Times New Roman" w:cs="Segoe UI"/>
                <w:sz w:val="20"/>
              </w:rPr>
              <w:t>same or related industries in the area, including mining, manufacturing, construction, energy, and transport.</w:t>
            </w:r>
            <w:r w:rsidR="00A8779D" w:rsidRPr="003D290F">
              <w:rPr>
                <w:rFonts w:eastAsia="Times New Roman" w:cs="Segoe UI"/>
                <w:sz w:val="20"/>
              </w:rPr>
              <w:t xml:space="preserve"> </w:t>
            </w:r>
            <w:r w:rsidR="001F471B" w:rsidRPr="003D290F">
              <w:rPr>
                <w:rFonts w:eastAsia="Times New Roman" w:cs="Segoe UI"/>
                <w:sz w:val="20"/>
              </w:rPr>
              <w:t>Receiving employers</w:t>
            </w:r>
            <w:r w:rsidR="00A8779D" w:rsidRPr="003D290F">
              <w:rPr>
                <w:rFonts w:eastAsia="Times New Roman" w:cs="Segoe UI"/>
                <w:sz w:val="20"/>
              </w:rPr>
              <w:t xml:space="preserve"> are expected to be mostly medium to large enterprises.</w:t>
            </w:r>
          </w:p>
        </w:tc>
      </w:tr>
      <w:tr w:rsidR="00076E5E" w:rsidRPr="003D290F" w14:paraId="6A8C1FE2" w14:textId="77777777" w:rsidTr="00BC7B3A">
        <w:trPr>
          <w:trHeight w:val="57"/>
        </w:trPr>
        <w:tc>
          <w:tcPr>
            <w:tcW w:w="1107" w:type="pct"/>
            <w:tcBorders>
              <w:top w:val="single" w:sz="4" w:space="0" w:color="FFFFFF"/>
              <w:left w:val="nil"/>
              <w:bottom w:val="single" w:sz="4" w:space="0" w:color="FFFFFF"/>
              <w:right w:val="nil"/>
            </w:tcBorders>
            <w:shd w:val="clear" w:color="auto" w:fill="E0E8F2"/>
          </w:tcPr>
          <w:p w14:paraId="53E1141C" w14:textId="77777777" w:rsidR="00076E5E" w:rsidRPr="003D290F" w:rsidRDefault="00076E5E" w:rsidP="00264E02">
            <w:pPr>
              <w:rPr>
                <w:rFonts w:eastAsia="Times New Roman" w:cs="Segoe UI"/>
                <w:b/>
                <w:sz w:val="20"/>
              </w:rPr>
            </w:pPr>
            <w:r w:rsidRPr="003D290F">
              <w:rPr>
                <w:rFonts w:eastAsia="Times New Roman" w:cs="Segoe UI"/>
                <w:b/>
                <w:sz w:val="20"/>
              </w:rPr>
              <w:t xml:space="preserve">Closing employer </w:t>
            </w:r>
            <w:r w:rsidR="00DC068D" w:rsidRPr="003D290F">
              <w:rPr>
                <w:rFonts w:eastAsia="Times New Roman" w:cs="Segoe UI"/>
                <w:b/>
                <w:sz w:val="20"/>
              </w:rPr>
              <w:t>employees</w:t>
            </w:r>
          </w:p>
        </w:tc>
        <w:tc>
          <w:tcPr>
            <w:tcW w:w="3893" w:type="pct"/>
            <w:tcBorders>
              <w:top w:val="single" w:sz="4" w:space="0" w:color="FFFFFF"/>
              <w:left w:val="nil"/>
              <w:bottom w:val="single" w:sz="4" w:space="0" w:color="FFFFFF"/>
              <w:right w:val="nil"/>
            </w:tcBorders>
            <w:shd w:val="clear" w:color="auto" w:fill="E0E8F2"/>
          </w:tcPr>
          <w:p w14:paraId="7CCD4990" w14:textId="77777777" w:rsidR="00076E5E" w:rsidRPr="003D290F" w:rsidRDefault="00D94167" w:rsidP="00F6294A">
            <w:pPr>
              <w:rPr>
                <w:rFonts w:eastAsia="Times New Roman" w:cs="Segoe UI"/>
                <w:sz w:val="20"/>
              </w:rPr>
            </w:pPr>
            <w:r w:rsidRPr="003D290F">
              <w:rPr>
                <w:rFonts w:eastAsia="Times New Roman" w:cs="Segoe UI"/>
                <w:sz w:val="20"/>
              </w:rPr>
              <w:t xml:space="preserve">Employees </w:t>
            </w:r>
            <w:r w:rsidR="00076E5E" w:rsidRPr="003D290F">
              <w:rPr>
                <w:rFonts w:eastAsia="Times New Roman" w:cs="Segoe UI"/>
                <w:sz w:val="20"/>
              </w:rPr>
              <w:t>employed by closing employers</w:t>
            </w:r>
            <w:r w:rsidR="003921A0" w:rsidRPr="003D290F">
              <w:rPr>
                <w:rFonts w:eastAsia="Times New Roman" w:cs="Segoe UI"/>
                <w:sz w:val="20"/>
              </w:rPr>
              <w:t xml:space="preserve"> at the time of closure</w:t>
            </w:r>
            <w:r w:rsidR="00644C2D" w:rsidRPr="003D290F">
              <w:rPr>
                <w:rFonts w:eastAsia="Times New Roman" w:cs="Segoe UI"/>
                <w:sz w:val="20"/>
              </w:rPr>
              <w:t xml:space="preserve"> that would be eligible for participating in a pooled redeployment </w:t>
            </w:r>
            <w:r w:rsidR="00F6294A" w:rsidRPr="003D290F">
              <w:rPr>
                <w:rFonts w:eastAsia="Times New Roman" w:cs="Segoe UI"/>
                <w:sz w:val="20"/>
              </w:rPr>
              <w:t>plan</w:t>
            </w:r>
            <w:r w:rsidR="00076E5E" w:rsidRPr="003D290F">
              <w:rPr>
                <w:rFonts w:eastAsia="Times New Roman" w:cs="Segoe UI"/>
                <w:sz w:val="20"/>
              </w:rPr>
              <w:t>.</w:t>
            </w:r>
          </w:p>
        </w:tc>
      </w:tr>
      <w:tr w:rsidR="00076E5E" w:rsidRPr="003D290F" w14:paraId="2EFB7C6A" w14:textId="77777777" w:rsidTr="00BC7B3A">
        <w:trPr>
          <w:trHeight w:val="57"/>
        </w:trPr>
        <w:tc>
          <w:tcPr>
            <w:tcW w:w="1107" w:type="pct"/>
            <w:tcBorders>
              <w:top w:val="single" w:sz="4" w:space="0" w:color="FFFFFF"/>
              <w:left w:val="nil"/>
              <w:bottom w:val="single" w:sz="4" w:space="0" w:color="FFFFFF"/>
              <w:right w:val="nil"/>
            </w:tcBorders>
          </w:tcPr>
          <w:p w14:paraId="1CB003A2" w14:textId="77777777" w:rsidR="00076E5E" w:rsidRPr="003D290F" w:rsidRDefault="00B2277E" w:rsidP="00264E02">
            <w:pPr>
              <w:rPr>
                <w:rFonts w:eastAsia="Times New Roman" w:cs="Segoe UI"/>
                <w:b/>
                <w:sz w:val="20"/>
              </w:rPr>
            </w:pPr>
            <w:r w:rsidRPr="003D290F">
              <w:rPr>
                <w:rFonts w:eastAsia="Times New Roman" w:cs="Segoe UI"/>
                <w:b/>
                <w:sz w:val="20"/>
              </w:rPr>
              <w:t>Receiving employer</w:t>
            </w:r>
            <w:r w:rsidR="00076E5E" w:rsidRPr="003D290F">
              <w:rPr>
                <w:rFonts w:eastAsia="Times New Roman" w:cs="Segoe UI"/>
                <w:b/>
                <w:sz w:val="20"/>
              </w:rPr>
              <w:t xml:space="preserve"> </w:t>
            </w:r>
            <w:r w:rsidR="00DC068D" w:rsidRPr="003D290F">
              <w:rPr>
                <w:rFonts w:eastAsia="Times New Roman" w:cs="Segoe UI"/>
                <w:b/>
                <w:sz w:val="20"/>
              </w:rPr>
              <w:t>employees</w:t>
            </w:r>
          </w:p>
        </w:tc>
        <w:tc>
          <w:tcPr>
            <w:tcW w:w="3893" w:type="pct"/>
            <w:tcBorders>
              <w:top w:val="single" w:sz="4" w:space="0" w:color="FFFFFF"/>
              <w:left w:val="nil"/>
              <w:bottom w:val="single" w:sz="4" w:space="0" w:color="FFFFFF"/>
              <w:right w:val="nil"/>
            </w:tcBorders>
          </w:tcPr>
          <w:p w14:paraId="27883239" w14:textId="77777777" w:rsidR="00076E5E" w:rsidRPr="003D290F" w:rsidRDefault="00D94167" w:rsidP="00F6294A">
            <w:pPr>
              <w:rPr>
                <w:rFonts w:eastAsia="Times New Roman" w:cs="Segoe UI"/>
                <w:sz w:val="20"/>
              </w:rPr>
            </w:pPr>
            <w:r w:rsidRPr="003D290F">
              <w:rPr>
                <w:rFonts w:eastAsia="Times New Roman" w:cs="Segoe UI"/>
                <w:sz w:val="20"/>
              </w:rPr>
              <w:t>Employees</w:t>
            </w:r>
            <w:r w:rsidR="00076E5E" w:rsidRPr="003D290F">
              <w:rPr>
                <w:rFonts w:eastAsia="Times New Roman" w:cs="Segoe UI"/>
                <w:sz w:val="20"/>
              </w:rPr>
              <w:t xml:space="preserve"> employed by </w:t>
            </w:r>
            <w:r w:rsidR="001F471B" w:rsidRPr="003D290F">
              <w:rPr>
                <w:rFonts w:eastAsia="Times New Roman" w:cs="Segoe UI"/>
                <w:sz w:val="20"/>
              </w:rPr>
              <w:t>receiving employers</w:t>
            </w:r>
            <w:r w:rsidR="00076E5E" w:rsidRPr="003D290F">
              <w:rPr>
                <w:rFonts w:eastAsia="Times New Roman" w:cs="Segoe UI"/>
                <w:sz w:val="20"/>
              </w:rPr>
              <w:t xml:space="preserve"> </w:t>
            </w:r>
            <w:r w:rsidRPr="003D290F">
              <w:rPr>
                <w:rFonts w:eastAsia="Times New Roman" w:cs="Segoe UI"/>
                <w:sz w:val="20"/>
              </w:rPr>
              <w:t xml:space="preserve">at the time of closure </w:t>
            </w:r>
            <w:r w:rsidR="00076E5E" w:rsidRPr="003D290F">
              <w:rPr>
                <w:rFonts w:eastAsia="Times New Roman" w:cs="Segoe UI"/>
                <w:sz w:val="20"/>
              </w:rPr>
              <w:t xml:space="preserve">that could be eligible for early retirement under a pooled redeployment </w:t>
            </w:r>
            <w:r w:rsidR="00F6294A" w:rsidRPr="003D290F">
              <w:rPr>
                <w:rFonts w:eastAsia="Times New Roman" w:cs="Segoe UI"/>
                <w:sz w:val="20"/>
              </w:rPr>
              <w:t>plan</w:t>
            </w:r>
            <w:r w:rsidR="00076E5E" w:rsidRPr="003D290F">
              <w:rPr>
                <w:rFonts w:eastAsia="Times New Roman" w:cs="Segoe UI"/>
                <w:sz w:val="20"/>
              </w:rPr>
              <w:t>.</w:t>
            </w:r>
          </w:p>
        </w:tc>
      </w:tr>
      <w:tr w:rsidR="00076E5E" w:rsidRPr="003D290F" w14:paraId="37B49344" w14:textId="77777777" w:rsidTr="00BC7B3A">
        <w:trPr>
          <w:trHeight w:val="57"/>
        </w:trPr>
        <w:tc>
          <w:tcPr>
            <w:tcW w:w="1107" w:type="pct"/>
            <w:tcBorders>
              <w:top w:val="single" w:sz="4" w:space="0" w:color="FFFFFF"/>
              <w:left w:val="nil"/>
              <w:bottom w:val="single" w:sz="4" w:space="0" w:color="FFFFFF"/>
              <w:right w:val="nil"/>
            </w:tcBorders>
            <w:shd w:val="clear" w:color="auto" w:fill="E0E8F2"/>
          </w:tcPr>
          <w:p w14:paraId="00E0C1D5" w14:textId="77777777" w:rsidR="00076E5E" w:rsidRPr="003D290F" w:rsidRDefault="00076E5E" w:rsidP="00264E02">
            <w:pPr>
              <w:rPr>
                <w:rFonts w:eastAsia="Times New Roman" w:cs="Segoe UI"/>
                <w:b/>
                <w:sz w:val="20"/>
              </w:rPr>
            </w:pPr>
            <w:r w:rsidRPr="003D290F">
              <w:rPr>
                <w:rFonts w:eastAsia="Times New Roman" w:cs="Segoe UI"/>
                <w:b/>
                <w:sz w:val="20"/>
              </w:rPr>
              <w:t>Government</w:t>
            </w:r>
          </w:p>
        </w:tc>
        <w:tc>
          <w:tcPr>
            <w:tcW w:w="3893" w:type="pct"/>
            <w:tcBorders>
              <w:top w:val="single" w:sz="4" w:space="0" w:color="FFFFFF"/>
              <w:left w:val="nil"/>
              <w:bottom w:val="single" w:sz="4" w:space="0" w:color="FFFFFF"/>
              <w:right w:val="nil"/>
            </w:tcBorders>
            <w:shd w:val="clear" w:color="auto" w:fill="E0E8F2"/>
          </w:tcPr>
          <w:p w14:paraId="4978BB41" w14:textId="77777777" w:rsidR="00076E5E" w:rsidRPr="003D290F" w:rsidRDefault="00895F74" w:rsidP="00895F74">
            <w:pPr>
              <w:rPr>
                <w:rFonts w:eastAsia="Times New Roman" w:cs="Segoe UI"/>
                <w:sz w:val="20"/>
              </w:rPr>
            </w:pPr>
            <w:r w:rsidRPr="003D290F">
              <w:rPr>
                <w:rFonts w:eastAsia="Times New Roman" w:cs="Segoe UI"/>
                <w:sz w:val="20"/>
              </w:rPr>
              <w:t>Commonwealth</w:t>
            </w:r>
            <w:r w:rsidR="00076E5E" w:rsidRPr="003D290F">
              <w:rPr>
                <w:rFonts w:eastAsia="Times New Roman" w:cs="Segoe UI"/>
                <w:sz w:val="20"/>
              </w:rPr>
              <w:t xml:space="preserve">, </w:t>
            </w:r>
            <w:r w:rsidRPr="003D290F">
              <w:rPr>
                <w:rFonts w:eastAsia="Times New Roman" w:cs="Segoe UI"/>
                <w:sz w:val="20"/>
              </w:rPr>
              <w:t xml:space="preserve">state </w:t>
            </w:r>
            <w:r w:rsidR="00076E5E" w:rsidRPr="003D290F">
              <w:rPr>
                <w:rFonts w:eastAsia="Times New Roman" w:cs="Segoe UI"/>
                <w:sz w:val="20"/>
              </w:rPr>
              <w:t xml:space="preserve">and </w:t>
            </w:r>
            <w:r w:rsidRPr="003D290F">
              <w:rPr>
                <w:rFonts w:eastAsia="Times New Roman" w:cs="Segoe UI"/>
                <w:sz w:val="20"/>
              </w:rPr>
              <w:t>territory</w:t>
            </w:r>
            <w:r w:rsidR="00076E5E" w:rsidRPr="003D290F">
              <w:rPr>
                <w:rFonts w:eastAsia="Times New Roman" w:cs="Segoe UI"/>
                <w:sz w:val="20"/>
              </w:rPr>
              <w:t xml:space="preserve">, and local government entities. </w:t>
            </w:r>
          </w:p>
        </w:tc>
      </w:tr>
      <w:tr w:rsidR="00076E5E" w:rsidRPr="003D290F" w14:paraId="536957CF" w14:textId="77777777" w:rsidTr="00BC7B3A">
        <w:trPr>
          <w:trHeight w:val="57"/>
        </w:trPr>
        <w:tc>
          <w:tcPr>
            <w:tcW w:w="1107" w:type="pct"/>
            <w:tcBorders>
              <w:top w:val="single" w:sz="4" w:space="0" w:color="FFFFFF"/>
              <w:left w:val="nil"/>
              <w:bottom w:val="single" w:sz="12" w:space="0" w:color="auto"/>
              <w:right w:val="nil"/>
            </w:tcBorders>
          </w:tcPr>
          <w:p w14:paraId="2582772A" w14:textId="77777777" w:rsidR="00076E5E" w:rsidRPr="003D290F" w:rsidRDefault="00076E5E" w:rsidP="00264E02">
            <w:pPr>
              <w:rPr>
                <w:rFonts w:eastAsia="Times New Roman" w:cs="Segoe UI"/>
                <w:b/>
                <w:sz w:val="20"/>
              </w:rPr>
            </w:pPr>
            <w:r w:rsidRPr="003D290F">
              <w:rPr>
                <w:rFonts w:eastAsia="Times New Roman" w:cs="Segoe UI"/>
                <w:b/>
                <w:sz w:val="20"/>
              </w:rPr>
              <w:t>Community</w:t>
            </w:r>
          </w:p>
        </w:tc>
        <w:tc>
          <w:tcPr>
            <w:tcW w:w="3893" w:type="pct"/>
            <w:tcBorders>
              <w:top w:val="single" w:sz="4" w:space="0" w:color="FFFFFF"/>
              <w:left w:val="nil"/>
              <w:bottom w:val="single" w:sz="12" w:space="0" w:color="auto"/>
              <w:right w:val="nil"/>
            </w:tcBorders>
          </w:tcPr>
          <w:p w14:paraId="19224979" w14:textId="77777777" w:rsidR="00076E5E" w:rsidRPr="003D290F" w:rsidRDefault="00076E5E" w:rsidP="00A8779D">
            <w:pPr>
              <w:rPr>
                <w:rFonts w:eastAsia="Times New Roman" w:cs="Segoe UI"/>
                <w:sz w:val="20"/>
              </w:rPr>
            </w:pPr>
            <w:r w:rsidRPr="003D290F">
              <w:rPr>
                <w:rFonts w:eastAsia="Times New Roman" w:cs="Segoe UI"/>
                <w:sz w:val="20"/>
              </w:rPr>
              <w:t xml:space="preserve">The population and stakeholders in the regional area of the closing employer, including </w:t>
            </w:r>
            <w:r w:rsidR="00A8779D" w:rsidRPr="003D290F">
              <w:rPr>
                <w:rFonts w:eastAsia="Times New Roman" w:cs="Segoe UI"/>
                <w:sz w:val="20"/>
              </w:rPr>
              <w:t>small</w:t>
            </w:r>
            <w:r w:rsidRPr="003D290F">
              <w:rPr>
                <w:rFonts w:eastAsia="Times New Roman" w:cs="Segoe UI"/>
                <w:sz w:val="20"/>
              </w:rPr>
              <w:t xml:space="preserve"> businesses.</w:t>
            </w:r>
          </w:p>
        </w:tc>
      </w:tr>
    </w:tbl>
    <w:p w14:paraId="0B5A8A87" w14:textId="77777777" w:rsidR="008C0328" w:rsidRDefault="008C0328" w:rsidP="001E79E2">
      <w:pPr>
        <w:spacing w:after="0"/>
        <w:rPr>
          <w:rFonts w:eastAsia="Times New Roman" w:cs="Segoe UI"/>
        </w:rPr>
      </w:pPr>
      <w:bookmarkStart w:id="245" w:name="_Toc155604631"/>
    </w:p>
    <w:p w14:paraId="2B8106DB" w14:textId="77777777" w:rsidR="00584FE4" w:rsidRPr="00584FE4" w:rsidRDefault="0057415D">
      <w:pPr>
        <w:rPr>
          <w:rFonts w:eastAsia="Times New Roman" w:cs="Segoe UI"/>
        </w:rPr>
      </w:pPr>
      <w:r w:rsidRPr="003D290F">
        <w:rPr>
          <w:rFonts w:eastAsia="Times New Roman" w:cs="Segoe UI"/>
        </w:rPr>
        <w:t>The impact on employers and employees who do not directly interact with the plan</w:t>
      </w:r>
      <w:r>
        <w:rPr>
          <w:rFonts w:eastAsia="Times New Roman" w:cs="Segoe UI"/>
        </w:rPr>
        <w:t xml:space="preserve"> </w:t>
      </w:r>
      <w:r w:rsidRPr="003D290F">
        <w:rPr>
          <w:rFonts w:eastAsia="Times New Roman" w:cs="Segoe UI"/>
        </w:rPr>
        <w:t xml:space="preserve">have not been </w:t>
      </w:r>
      <w:r>
        <w:rPr>
          <w:rFonts w:eastAsia="Times New Roman" w:cs="Segoe UI"/>
        </w:rPr>
        <w:t>included in the analysis</w:t>
      </w:r>
      <w:r w:rsidRPr="003D290F">
        <w:rPr>
          <w:rFonts w:eastAsia="Times New Roman" w:cs="Segoe UI"/>
        </w:rPr>
        <w:t>.</w:t>
      </w:r>
      <w:r w:rsidRPr="003D290F" w:rsidDel="00E976B8">
        <w:rPr>
          <w:rFonts w:eastAsia="Times New Roman" w:cs="Segoe UI"/>
        </w:rPr>
        <w:t xml:space="preserve"> </w:t>
      </w:r>
    </w:p>
    <w:p w14:paraId="0FF0C0AD" w14:textId="77777777" w:rsidR="009C0F82" w:rsidRPr="003D290F" w:rsidRDefault="00825212" w:rsidP="005D46F4">
      <w:pPr>
        <w:pStyle w:val="Heading3"/>
        <w:spacing w:line="276" w:lineRule="auto"/>
        <w:rPr>
          <w:rFonts w:eastAsia="Times New Roman"/>
        </w:rPr>
      </w:pPr>
      <w:bookmarkStart w:id="246" w:name="_Toc161395986"/>
      <w:bookmarkStart w:id="247" w:name="_Toc161403522"/>
      <w:bookmarkStart w:id="248" w:name="_Toc161694801"/>
      <w:bookmarkStart w:id="249" w:name="_Toc161752256"/>
      <w:bookmarkStart w:id="250" w:name="_Toc161759694"/>
      <w:r w:rsidRPr="003D290F">
        <w:rPr>
          <w:rFonts w:eastAsia="Times New Roman"/>
        </w:rPr>
        <w:lastRenderedPageBreak/>
        <w:t xml:space="preserve">4.3.1 </w:t>
      </w:r>
      <w:r w:rsidR="009C0F82" w:rsidRPr="003D290F">
        <w:rPr>
          <w:rFonts w:eastAsia="Times New Roman"/>
        </w:rPr>
        <w:t>Closing employers</w:t>
      </w:r>
      <w:bookmarkEnd w:id="245"/>
      <w:bookmarkEnd w:id="246"/>
      <w:bookmarkEnd w:id="247"/>
      <w:bookmarkEnd w:id="248"/>
      <w:bookmarkEnd w:id="249"/>
      <w:bookmarkEnd w:id="250"/>
    </w:p>
    <w:p w14:paraId="221C5A68" w14:textId="77777777" w:rsidR="001D050E" w:rsidRDefault="00A978E0" w:rsidP="00FE3DEC">
      <w:pPr>
        <w:rPr>
          <w:rFonts w:eastAsia="Times New Roman" w:cs="Segoe UI"/>
        </w:rPr>
      </w:pPr>
      <w:r w:rsidRPr="003D290F">
        <w:rPr>
          <w:rFonts w:eastAsia="Times New Roman" w:cs="Segoe UI"/>
        </w:rPr>
        <w:t>T</w:t>
      </w:r>
      <w:r w:rsidR="00076E5E" w:rsidRPr="003D290F">
        <w:rPr>
          <w:rFonts w:eastAsia="Times New Roman" w:cs="Segoe UI"/>
        </w:rPr>
        <w:t>he analysis</w:t>
      </w:r>
      <w:r w:rsidRPr="003D290F">
        <w:rPr>
          <w:rFonts w:eastAsia="Times New Roman" w:cs="Segoe UI"/>
        </w:rPr>
        <w:t xml:space="preserve"> </w:t>
      </w:r>
      <w:r w:rsidR="00076E5E" w:rsidRPr="003D290F">
        <w:rPr>
          <w:rFonts w:eastAsia="Times New Roman" w:cs="Segoe UI"/>
        </w:rPr>
        <w:t xml:space="preserve">considers all coal-fired power stations expected to close by end-2035 </w:t>
      </w:r>
      <w:r w:rsidR="00785D85">
        <w:rPr>
          <w:rFonts w:eastAsia="Times New Roman" w:cs="Segoe UI"/>
        </w:rPr>
        <w:t>and all gas-fired power stations</w:t>
      </w:r>
      <w:r w:rsidR="00BB1CE6" w:rsidRPr="00BB1CE6">
        <w:rPr>
          <w:rFonts w:eastAsia="Times New Roman" w:cs="Segoe UI"/>
        </w:rPr>
        <w:t xml:space="preserve"> </w:t>
      </w:r>
      <w:r w:rsidR="008C0328">
        <w:rPr>
          <w:rFonts w:eastAsia="Times New Roman" w:cs="Segoe UI"/>
        </w:rPr>
        <w:t xml:space="preserve">with significant workforces </w:t>
      </w:r>
      <w:r w:rsidR="00BB1CE6">
        <w:rPr>
          <w:rFonts w:eastAsia="Times New Roman" w:cs="Segoe UI"/>
        </w:rPr>
        <w:t>closing</w:t>
      </w:r>
      <w:r w:rsidR="00BB1CE6" w:rsidRPr="003D290F">
        <w:rPr>
          <w:rFonts w:eastAsia="Times New Roman" w:cs="Segoe UI"/>
        </w:rPr>
        <w:t xml:space="preserve"> by end-2035</w:t>
      </w:r>
      <w:r w:rsidR="00785D85">
        <w:rPr>
          <w:rFonts w:eastAsia="Times New Roman" w:cs="Segoe UI"/>
        </w:rPr>
        <w:t xml:space="preserve"> to be </w:t>
      </w:r>
      <w:r w:rsidR="008C0328">
        <w:rPr>
          <w:rFonts w:eastAsia="Times New Roman" w:cs="Segoe UI"/>
        </w:rPr>
        <w:t xml:space="preserve">potentially </w:t>
      </w:r>
      <w:r w:rsidR="00785D85">
        <w:rPr>
          <w:rFonts w:eastAsia="Times New Roman" w:cs="Segoe UI"/>
        </w:rPr>
        <w:t>in-scope</w:t>
      </w:r>
      <w:r w:rsidR="00076E5E" w:rsidRPr="003D290F">
        <w:rPr>
          <w:rFonts w:eastAsia="Times New Roman" w:cs="Segoe UI"/>
        </w:rPr>
        <w:t>.</w:t>
      </w:r>
      <w:r w:rsidR="003F3D67" w:rsidRPr="003D290F">
        <w:rPr>
          <w:rFonts w:eastAsia="Times New Roman" w:cs="Segoe UI"/>
        </w:rPr>
        <w:t xml:space="preserve"> </w:t>
      </w:r>
      <w:r w:rsidR="00785D85">
        <w:rPr>
          <w:rFonts w:eastAsia="Times New Roman" w:cs="Segoe UI"/>
        </w:rPr>
        <w:t>P</w:t>
      </w:r>
      <w:r w:rsidR="009D5720" w:rsidRPr="003D290F">
        <w:rPr>
          <w:rFonts w:eastAsia="Times New Roman" w:cs="Segoe UI"/>
        </w:rPr>
        <w:t>ower stations with an expected closure outside of the specified time horizon are excluded from the analysis</w:t>
      </w:r>
      <w:r w:rsidR="008C0328">
        <w:rPr>
          <w:rFonts w:eastAsia="Times New Roman" w:cs="Segoe UI"/>
        </w:rPr>
        <w:t>.</w:t>
      </w:r>
      <w:r w:rsidR="009D5720" w:rsidRPr="003D290F">
        <w:rPr>
          <w:rFonts w:eastAsia="Times New Roman" w:cs="Segoe UI"/>
        </w:rPr>
        <w:t xml:space="preserve"> </w:t>
      </w:r>
    </w:p>
    <w:p w14:paraId="34C50C0B" w14:textId="77777777" w:rsidR="008B7EE8" w:rsidRDefault="00885634" w:rsidP="00FE3DEC">
      <w:pPr>
        <w:rPr>
          <w:rFonts w:eastAsia="Times New Roman" w:cs="Segoe UI"/>
        </w:rPr>
      </w:pPr>
      <w:r>
        <w:rPr>
          <w:rFonts w:eastAsia="Times New Roman" w:cs="Segoe UI"/>
        </w:rPr>
        <w:t xml:space="preserve">Under Options 2 and 3, the Authority CEO will </w:t>
      </w:r>
      <w:r w:rsidR="008B7EE8">
        <w:rPr>
          <w:rFonts w:eastAsia="Times New Roman" w:cs="Segoe UI"/>
        </w:rPr>
        <w:t>assess</w:t>
      </w:r>
      <w:r>
        <w:rPr>
          <w:rFonts w:eastAsia="Times New Roman" w:cs="Segoe UI"/>
        </w:rPr>
        <w:t xml:space="preserve"> whether a pooled redeployment plan is needed in response to an upcoming power station closure, </w:t>
      </w:r>
      <w:r w:rsidR="008B7EE8">
        <w:rPr>
          <w:rFonts w:eastAsia="Times New Roman" w:cs="Segoe UI"/>
        </w:rPr>
        <w:t xml:space="preserve">informed by </w:t>
      </w:r>
      <w:r>
        <w:rPr>
          <w:rFonts w:eastAsia="Times New Roman" w:cs="Segoe UI"/>
        </w:rPr>
        <w:t>a</w:t>
      </w:r>
      <w:r w:rsidR="008B7EE8">
        <w:rPr>
          <w:rFonts w:eastAsia="Times New Roman" w:cs="Segoe UI"/>
        </w:rPr>
        <w:t xml:space="preserve"> number</w:t>
      </w:r>
      <w:r>
        <w:rPr>
          <w:rFonts w:eastAsia="Times New Roman" w:cs="Segoe UI"/>
        </w:rPr>
        <w:t xml:space="preserve"> of relevant factors (as outlined in </w:t>
      </w:r>
      <w:r w:rsidRPr="001E79E2">
        <w:rPr>
          <w:rFonts w:eastAsia="Times New Roman" w:cs="Segoe UI"/>
          <w:b/>
          <w:color w:val="1B375C"/>
        </w:rPr>
        <w:t>Chapter 3</w:t>
      </w:r>
      <w:r>
        <w:rPr>
          <w:rFonts w:eastAsia="Times New Roman" w:cs="Segoe UI"/>
        </w:rPr>
        <w:t xml:space="preserve"> at </w:t>
      </w:r>
      <w:r w:rsidRPr="001C29ED">
        <w:rPr>
          <w:rFonts w:eastAsia="Times New Roman" w:cs="Segoe UI"/>
          <w:b/>
          <w:color w:val="1B375C"/>
        </w:rPr>
        <w:t>Sections</w:t>
      </w:r>
      <w:r>
        <w:rPr>
          <w:rFonts w:eastAsia="Times New Roman" w:cs="Segoe UI"/>
        </w:rPr>
        <w:t xml:space="preserve"> </w:t>
      </w:r>
      <w:r w:rsidRPr="001C29ED">
        <w:rPr>
          <w:rFonts w:eastAsia="Times New Roman" w:cs="Segoe UI"/>
          <w:b/>
          <w:color w:val="1B375C"/>
        </w:rPr>
        <w:t>3</w:t>
      </w:r>
      <w:r w:rsidRPr="00C208EE">
        <w:rPr>
          <w:rFonts w:eastAsia="Times New Roman" w:cs="Segoe UI"/>
          <w:b/>
          <w:color w:val="1B375C"/>
        </w:rPr>
        <w:t>.4.1</w:t>
      </w:r>
      <w:r>
        <w:rPr>
          <w:rFonts w:eastAsia="Times New Roman" w:cs="Segoe UI"/>
        </w:rPr>
        <w:t xml:space="preserve"> and </w:t>
      </w:r>
      <w:r w:rsidRPr="00C208EE">
        <w:rPr>
          <w:rFonts w:eastAsia="Times New Roman" w:cs="Segoe UI"/>
          <w:b/>
          <w:color w:val="1B375C"/>
        </w:rPr>
        <w:t>3.5.1</w:t>
      </w:r>
      <w:r>
        <w:rPr>
          <w:rFonts w:eastAsia="Times New Roman" w:cs="Segoe UI"/>
        </w:rPr>
        <w:t>).</w:t>
      </w:r>
      <w:r w:rsidR="00FB10DD">
        <w:rPr>
          <w:rStyle w:val="FootnoteReference"/>
          <w:rFonts w:eastAsia="Times New Roman" w:cs="Segoe UI"/>
        </w:rPr>
        <w:footnoteReference w:id="67"/>
      </w:r>
      <w:r w:rsidR="008B7EE8">
        <w:rPr>
          <w:rFonts w:eastAsia="Times New Roman" w:cs="Segoe UI"/>
        </w:rPr>
        <w:t xml:space="preserve"> </w:t>
      </w:r>
      <w:r w:rsidR="00FB10DD">
        <w:rPr>
          <w:rFonts w:eastAsia="Times New Roman" w:cs="Segoe UI"/>
        </w:rPr>
        <w:t xml:space="preserve">On this basis, </w:t>
      </w:r>
      <w:r w:rsidR="008B7EE8">
        <w:rPr>
          <w:rFonts w:eastAsia="Times New Roman" w:cs="Segoe UI"/>
        </w:rPr>
        <w:t xml:space="preserve">the analysis makes the following </w:t>
      </w:r>
      <w:r w:rsidR="00FB10DD">
        <w:rPr>
          <w:rFonts w:eastAsia="Times New Roman" w:cs="Segoe UI"/>
        </w:rPr>
        <w:t xml:space="preserve">additional </w:t>
      </w:r>
      <w:r w:rsidR="008B7EE8">
        <w:rPr>
          <w:rFonts w:eastAsia="Times New Roman" w:cs="Segoe UI"/>
        </w:rPr>
        <w:t>assumptions</w:t>
      </w:r>
      <w:r w:rsidR="00FB10DD">
        <w:rPr>
          <w:rFonts w:eastAsia="Times New Roman" w:cs="Segoe UI"/>
        </w:rPr>
        <w:t xml:space="preserve"> about closing employers</w:t>
      </w:r>
      <w:r w:rsidR="008B7EE8">
        <w:rPr>
          <w:rFonts w:eastAsia="Times New Roman" w:cs="Segoe UI"/>
        </w:rPr>
        <w:t>:</w:t>
      </w:r>
    </w:p>
    <w:p w14:paraId="6FD83533" w14:textId="77777777" w:rsidR="00FB10DD" w:rsidRDefault="008B7EE8" w:rsidP="00ED7D02">
      <w:pPr>
        <w:pStyle w:val="ListParagraph"/>
        <w:numPr>
          <w:ilvl w:val="0"/>
          <w:numId w:val="26"/>
        </w:numPr>
        <w:rPr>
          <w:rFonts w:eastAsia="Times New Roman" w:cs="Segoe UI"/>
        </w:rPr>
      </w:pPr>
      <w:r>
        <w:rPr>
          <w:rFonts w:eastAsia="Times New Roman" w:cs="Segoe UI"/>
        </w:rPr>
        <w:t>State-owned coal-fired power stations in Queensland and Western Australia are assumed to be out-of-scope for the purpose of this analysis, as workers at these facilitie</w:t>
      </w:r>
      <w:r w:rsidR="00FB10DD">
        <w:rPr>
          <w:rFonts w:eastAsia="Times New Roman" w:cs="Segoe UI"/>
        </w:rPr>
        <w:t xml:space="preserve">s are covered by significant transition support measures in place under current state government policy settings (as detailed in </w:t>
      </w:r>
      <w:r w:rsidR="00FB10DD" w:rsidRPr="00ED7D02">
        <w:rPr>
          <w:rFonts w:eastAsia="Times New Roman" w:cs="Segoe UI"/>
          <w:b/>
          <w:color w:val="1B375C"/>
        </w:rPr>
        <w:t>Chapter 1</w:t>
      </w:r>
      <w:r w:rsidR="00FB10DD">
        <w:rPr>
          <w:rFonts w:eastAsia="Times New Roman" w:cs="Segoe UI"/>
        </w:rPr>
        <w:t>)</w:t>
      </w:r>
    </w:p>
    <w:p w14:paraId="547DE14F" w14:textId="77777777" w:rsidR="008B7EE8" w:rsidRPr="00FB10DD" w:rsidRDefault="00FB10DD" w:rsidP="00ED7D02">
      <w:pPr>
        <w:pStyle w:val="ListParagraph"/>
        <w:numPr>
          <w:ilvl w:val="0"/>
          <w:numId w:val="26"/>
        </w:numPr>
        <w:rPr>
          <w:rFonts w:eastAsia="Times New Roman" w:cs="Segoe UI"/>
        </w:rPr>
      </w:pPr>
      <w:r>
        <w:rPr>
          <w:rFonts w:eastAsia="Times New Roman" w:cs="Segoe UI"/>
        </w:rPr>
        <w:t>Only one gas-fired power station</w:t>
      </w:r>
      <w:r w:rsidR="008B7EE8">
        <w:rPr>
          <w:rFonts w:eastAsia="Times New Roman" w:cs="Segoe UI"/>
        </w:rPr>
        <w:t xml:space="preserve"> </w:t>
      </w:r>
      <w:r>
        <w:rPr>
          <w:rFonts w:eastAsia="Times New Roman" w:cs="Segoe UI"/>
        </w:rPr>
        <w:t>(</w:t>
      </w:r>
      <w:r w:rsidRPr="00FB10DD">
        <w:rPr>
          <w:rFonts w:eastAsia="Times New Roman" w:cs="Segoe UI"/>
        </w:rPr>
        <w:t>Torrens Island B</w:t>
      </w:r>
      <w:r>
        <w:rPr>
          <w:rFonts w:eastAsia="Times New Roman" w:cs="Segoe UI"/>
        </w:rPr>
        <w:t>) is assumed to be in-scope for the purpose of this analysis,</w:t>
      </w:r>
      <w:r w:rsidRPr="00FB10DD">
        <w:rPr>
          <w:rFonts w:eastAsia="Times New Roman" w:cs="Segoe UI"/>
        </w:rPr>
        <w:t xml:space="preserve"> </w:t>
      </w:r>
      <w:r>
        <w:rPr>
          <w:rFonts w:eastAsia="Times New Roman" w:cs="Segoe UI"/>
        </w:rPr>
        <w:t xml:space="preserve">as it </w:t>
      </w:r>
      <w:r w:rsidRPr="00FB10DD">
        <w:rPr>
          <w:rFonts w:eastAsia="Times New Roman" w:cs="Segoe UI"/>
        </w:rPr>
        <w:t xml:space="preserve">is the only gas-fired power station with an announced closure by end-2035 that </w:t>
      </w:r>
      <w:r>
        <w:rPr>
          <w:rFonts w:eastAsia="Times New Roman" w:cs="Segoe UI"/>
        </w:rPr>
        <w:t>employs</w:t>
      </w:r>
      <w:r w:rsidRPr="00FB10DD">
        <w:rPr>
          <w:rFonts w:eastAsia="Times New Roman" w:cs="Segoe UI"/>
        </w:rPr>
        <w:t xml:space="preserve"> more than 25 workers</w:t>
      </w:r>
      <w:r>
        <w:rPr>
          <w:rFonts w:eastAsia="Times New Roman" w:cs="Segoe UI"/>
        </w:rPr>
        <w:t>.</w:t>
      </w:r>
    </w:p>
    <w:p w14:paraId="7C39703B" w14:textId="77777777" w:rsidR="00606B2C" w:rsidRDefault="00606B2C" w:rsidP="00FE3DEC">
      <w:pPr>
        <w:rPr>
          <w:rFonts w:eastAsia="Times New Roman" w:cs="Segoe UI"/>
        </w:rPr>
      </w:pPr>
      <w:r>
        <w:rPr>
          <w:rFonts w:eastAsia="Times New Roman" w:cs="Segoe UI"/>
        </w:rPr>
        <w:t xml:space="preserve">A list of power stations included as in-scope </w:t>
      </w:r>
      <w:r w:rsidR="007E60BB">
        <w:rPr>
          <w:rFonts w:eastAsia="Times New Roman" w:cs="Segoe UI"/>
        </w:rPr>
        <w:t xml:space="preserve">for </w:t>
      </w:r>
      <w:r>
        <w:rPr>
          <w:rFonts w:eastAsia="Times New Roman" w:cs="Segoe UI"/>
        </w:rPr>
        <w:t xml:space="preserve">this analysis is at </w:t>
      </w:r>
      <w:r w:rsidRPr="003D290F">
        <w:rPr>
          <w:rFonts w:eastAsia="Times New Roman" w:cs="Segoe UI"/>
          <w:b/>
          <w:color w:val="1B375C"/>
        </w:rPr>
        <w:t>Table 4.</w:t>
      </w:r>
      <w:r w:rsidR="00757876">
        <w:rPr>
          <w:rFonts w:eastAsia="Times New Roman" w:cs="Segoe UI"/>
          <w:b/>
          <w:color w:val="1B375C"/>
        </w:rPr>
        <w:t>4</w:t>
      </w:r>
      <w:r>
        <w:rPr>
          <w:rFonts w:eastAsia="Times New Roman" w:cs="Segoe UI"/>
        </w:rPr>
        <w:t>.</w:t>
      </w:r>
    </w:p>
    <w:p w14:paraId="42939426" w14:textId="77777777" w:rsidR="00355CA0" w:rsidRPr="003D290F" w:rsidRDefault="00355CA0" w:rsidP="001E79E2">
      <w:pPr>
        <w:rPr>
          <w:rFonts w:eastAsia="Times New Roman" w:cs="Segoe UI"/>
          <w:sz w:val="24"/>
        </w:rPr>
      </w:pPr>
      <w:r w:rsidRPr="003D290F">
        <w:rPr>
          <w:rFonts w:eastAsia="Times New Roman" w:cs="Segoe UI"/>
          <w:b/>
          <w:sz w:val="24"/>
        </w:rPr>
        <w:t>TABLE 4.</w:t>
      </w:r>
      <w:r w:rsidR="00757876">
        <w:rPr>
          <w:rFonts w:eastAsia="Times New Roman" w:cs="Segoe UI"/>
          <w:b/>
          <w:sz w:val="24"/>
        </w:rPr>
        <w:t>4</w:t>
      </w:r>
      <w:r w:rsidRPr="003D290F">
        <w:rPr>
          <w:rFonts w:eastAsia="Times New Roman" w:cs="Segoe UI"/>
          <w:b/>
          <w:sz w:val="24"/>
        </w:rPr>
        <w:t xml:space="preserve"> </w:t>
      </w:r>
      <w:r w:rsidR="001D050E">
        <w:rPr>
          <w:rFonts w:eastAsia="Times New Roman" w:cs="Segoe UI"/>
          <w:b/>
          <w:sz w:val="24"/>
        </w:rPr>
        <w:t xml:space="preserve">POWER STATIONS </w:t>
      </w:r>
      <w:r w:rsidRPr="003D290F">
        <w:rPr>
          <w:rFonts w:eastAsia="Times New Roman" w:cs="Segoe UI"/>
          <w:b/>
          <w:sz w:val="24"/>
        </w:rPr>
        <w:t xml:space="preserve">IN-SCOPE </w:t>
      </w:r>
      <w:r w:rsidR="001D050E">
        <w:rPr>
          <w:rFonts w:eastAsia="Times New Roman" w:cs="Segoe UI"/>
          <w:b/>
          <w:sz w:val="24"/>
        </w:rPr>
        <w:t>FOR THIS ANALYSIS</w:t>
      </w:r>
    </w:p>
    <w:tbl>
      <w:tblPr>
        <w:tblStyle w:val="TableGrid1"/>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652"/>
        <w:gridCol w:w="1554"/>
        <w:gridCol w:w="2661"/>
      </w:tblGrid>
      <w:tr w:rsidR="00355CA0" w:rsidRPr="003D290F" w14:paraId="3DBDBECD" w14:textId="77777777" w:rsidTr="00ED7D02">
        <w:trPr>
          <w:trHeight w:val="376"/>
          <w:tblHeader/>
        </w:trPr>
        <w:tc>
          <w:tcPr>
            <w:tcW w:w="0" w:type="auto"/>
            <w:tcBorders>
              <w:top w:val="single" w:sz="12" w:space="0" w:color="auto"/>
              <w:bottom w:val="nil"/>
            </w:tcBorders>
            <w:shd w:val="clear" w:color="auto" w:fill="1B375C"/>
            <w:vAlign w:val="center"/>
          </w:tcPr>
          <w:p w14:paraId="32A75471" w14:textId="77777777" w:rsidR="00355CA0" w:rsidRPr="003D290F" w:rsidRDefault="00355CA0" w:rsidP="00730C04">
            <w:pPr>
              <w:keepNext/>
              <w:keepLines/>
              <w:widowControl w:val="0"/>
              <w:rPr>
                <w:rFonts w:eastAsia="Times New Roman" w:cs="Segoe UI"/>
                <w:b/>
                <w:sz w:val="20"/>
              </w:rPr>
            </w:pPr>
            <w:r w:rsidRPr="003D290F">
              <w:rPr>
                <w:rFonts w:eastAsia="Times New Roman" w:cs="Segoe UI"/>
                <w:b/>
                <w:sz w:val="20"/>
              </w:rPr>
              <w:t>FACILITY</w:t>
            </w:r>
          </w:p>
        </w:tc>
        <w:tc>
          <w:tcPr>
            <w:tcW w:w="0" w:type="auto"/>
            <w:tcBorders>
              <w:top w:val="single" w:sz="12" w:space="0" w:color="auto"/>
              <w:bottom w:val="nil"/>
            </w:tcBorders>
            <w:shd w:val="clear" w:color="auto" w:fill="1B375C"/>
            <w:vAlign w:val="center"/>
          </w:tcPr>
          <w:p w14:paraId="585F3656" w14:textId="77777777" w:rsidR="00355CA0" w:rsidRPr="003D290F" w:rsidRDefault="00355CA0" w:rsidP="00E41342">
            <w:pPr>
              <w:keepNext/>
              <w:keepLines/>
              <w:widowControl w:val="0"/>
              <w:rPr>
                <w:rFonts w:eastAsia="Times New Roman" w:cs="Segoe UI"/>
                <w:b/>
                <w:sz w:val="20"/>
              </w:rPr>
            </w:pPr>
            <w:r w:rsidRPr="003D290F">
              <w:rPr>
                <w:rFonts w:eastAsia="Times New Roman" w:cs="Segoe UI"/>
                <w:b/>
                <w:sz w:val="20"/>
              </w:rPr>
              <w:t>REGION</w:t>
            </w:r>
          </w:p>
        </w:tc>
        <w:tc>
          <w:tcPr>
            <w:tcW w:w="0" w:type="auto"/>
            <w:tcBorders>
              <w:top w:val="single" w:sz="12" w:space="0" w:color="auto"/>
              <w:bottom w:val="nil"/>
            </w:tcBorders>
            <w:shd w:val="clear" w:color="auto" w:fill="1B375C"/>
            <w:vAlign w:val="center"/>
          </w:tcPr>
          <w:p w14:paraId="57B45F6D" w14:textId="77777777" w:rsidR="00355CA0" w:rsidRPr="003D290F" w:rsidRDefault="00355CA0" w:rsidP="00F93244">
            <w:pPr>
              <w:keepNext/>
              <w:keepLines/>
              <w:widowControl w:val="0"/>
              <w:jc w:val="center"/>
              <w:rPr>
                <w:rFonts w:eastAsia="Times New Roman" w:cs="Segoe UI"/>
                <w:b/>
                <w:sz w:val="20"/>
              </w:rPr>
            </w:pPr>
            <w:r w:rsidRPr="003D290F">
              <w:rPr>
                <w:rFonts w:eastAsia="Times New Roman" w:cs="Segoe UI"/>
                <w:b/>
                <w:sz w:val="20"/>
              </w:rPr>
              <w:t>EXPECTED CLOSURE YEAR</w:t>
            </w:r>
          </w:p>
        </w:tc>
      </w:tr>
      <w:tr w:rsidR="00355CA0" w:rsidRPr="003D290F" w14:paraId="26A8DC05" w14:textId="77777777" w:rsidTr="00ED7D02">
        <w:trPr>
          <w:trHeight w:val="238"/>
        </w:trPr>
        <w:tc>
          <w:tcPr>
            <w:tcW w:w="0" w:type="auto"/>
            <w:tcBorders>
              <w:top w:val="nil"/>
              <w:left w:val="nil"/>
              <w:bottom w:val="nil"/>
              <w:right w:val="nil"/>
            </w:tcBorders>
            <w:shd w:val="clear" w:color="auto" w:fill="E0E8F2"/>
          </w:tcPr>
          <w:p w14:paraId="334D8F06" w14:textId="77777777" w:rsidR="00355CA0" w:rsidRPr="003D290F" w:rsidRDefault="00355CA0" w:rsidP="00730C04">
            <w:pPr>
              <w:keepNext/>
              <w:keepLines/>
              <w:widowControl w:val="0"/>
              <w:rPr>
                <w:rFonts w:eastAsia="Times New Roman" w:cs="Segoe UI"/>
                <w:b/>
                <w:sz w:val="20"/>
              </w:rPr>
            </w:pPr>
            <w:r w:rsidRPr="003D290F">
              <w:rPr>
                <w:rFonts w:eastAsia="Times New Roman" w:cs="Segoe UI"/>
                <w:b/>
                <w:sz w:val="20"/>
              </w:rPr>
              <w:t>Eraring Power Station</w:t>
            </w:r>
          </w:p>
        </w:tc>
        <w:tc>
          <w:tcPr>
            <w:tcW w:w="0" w:type="auto"/>
            <w:tcBorders>
              <w:top w:val="nil"/>
              <w:left w:val="nil"/>
              <w:bottom w:val="nil"/>
              <w:right w:val="nil"/>
            </w:tcBorders>
            <w:shd w:val="clear" w:color="auto" w:fill="E0E8F2"/>
          </w:tcPr>
          <w:p w14:paraId="417496C5" w14:textId="77777777" w:rsidR="00355CA0" w:rsidRPr="003D290F" w:rsidRDefault="00355CA0" w:rsidP="00E41342">
            <w:pPr>
              <w:keepNext/>
              <w:keepLines/>
              <w:widowControl w:val="0"/>
              <w:rPr>
                <w:rFonts w:eastAsia="Times New Roman" w:cs="Segoe UI"/>
                <w:sz w:val="20"/>
              </w:rPr>
            </w:pPr>
            <w:r w:rsidRPr="003D290F">
              <w:rPr>
                <w:rFonts w:eastAsia="Times New Roman" w:cs="Segoe UI"/>
                <w:sz w:val="20"/>
              </w:rPr>
              <w:t>Hunter Valley</w:t>
            </w:r>
          </w:p>
        </w:tc>
        <w:tc>
          <w:tcPr>
            <w:tcW w:w="0" w:type="auto"/>
            <w:tcBorders>
              <w:top w:val="nil"/>
              <w:left w:val="nil"/>
              <w:bottom w:val="nil"/>
              <w:right w:val="nil"/>
            </w:tcBorders>
            <w:shd w:val="clear" w:color="auto" w:fill="E0E8F2"/>
            <w:vAlign w:val="center"/>
          </w:tcPr>
          <w:p w14:paraId="30C8E93F" w14:textId="77777777" w:rsidR="00355CA0" w:rsidRPr="003D290F" w:rsidRDefault="00355CA0" w:rsidP="00F93244">
            <w:pPr>
              <w:keepNext/>
              <w:keepLines/>
              <w:widowControl w:val="0"/>
              <w:jc w:val="right"/>
              <w:rPr>
                <w:rFonts w:eastAsia="Times New Roman" w:cs="Segoe UI"/>
                <w:color w:val="000000"/>
                <w:sz w:val="20"/>
              </w:rPr>
            </w:pPr>
            <w:r w:rsidRPr="003D290F">
              <w:rPr>
                <w:rFonts w:eastAsia="Times New Roman" w:cs="Segoe UI"/>
                <w:color w:val="000000"/>
                <w:sz w:val="20"/>
              </w:rPr>
              <w:t>August 2025</w:t>
            </w:r>
          </w:p>
        </w:tc>
      </w:tr>
      <w:tr w:rsidR="00982EEF" w:rsidRPr="003D290F" w14:paraId="1DB69982" w14:textId="77777777" w:rsidTr="00ED7D02">
        <w:trPr>
          <w:trHeight w:val="238"/>
        </w:trPr>
        <w:tc>
          <w:tcPr>
            <w:tcW w:w="0" w:type="auto"/>
            <w:tcBorders>
              <w:top w:val="nil"/>
              <w:left w:val="nil"/>
              <w:bottom w:val="single" w:sz="4" w:space="0" w:color="FFFFFF"/>
            </w:tcBorders>
            <w:shd w:val="clear" w:color="auto" w:fill="FFFFFF" w:themeFill="background1"/>
            <w:vAlign w:val="center"/>
          </w:tcPr>
          <w:p w14:paraId="370D8641" w14:textId="77777777" w:rsidR="00982EEF" w:rsidRPr="003D290F" w:rsidRDefault="00982EEF" w:rsidP="00730C04">
            <w:pPr>
              <w:keepNext/>
              <w:keepLines/>
              <w:widowControl w:val="0"/>
              <w:rPr>
                <w:rFonts w:eastAsia="Times New Roman" w:cs="Segoe UI"/>
                <w:b/>
                <w:sz w:val="20"/>
              </w:rPr>
            </w:pPr>
            <w:r>
              <w:rPr>
                <w:rFonts w:eastAsia="Times New Roman" w:cs="Segoe UI"/>
                <w:b/>
                <w:color w:val="000000"/>
                <w:sz w:val="20"/>
              </w:rPr>
              <w:t>Torrens Island B</w:t>
            </w:r>
          </w:p>
        </w:tc>
        <w:tc>
          <w:tcPr>
            <w:tcW w:w="0" w:type="auto"/>
            <w:tcBorders>
              <w:top w:val="nil"/>
              <w:bottom w:val="single" w:sz="4" w:space="0" w:color="FFFFFF"/>
            </w:tcBorders>
            <w:shd w:val="clear" w:color="auto" w:fill="FFFFFF" w:themeFill="background1"/>
            <w:vAlign w:val="center"/>
          </w:tcPr>
          <w:p w14:paraId="1CE44EAC" w14:textId="77777777" w:rsidR="00982EEF" w:rsidRPr="003D290F" w:rsidRDefault="00982EEF" w:rsidP="00E41342">
            <w:pPr>
              <w:keepNext/>
              <w:keepLines/>
              <w:widowControl w:val="0"/>
              <w:rPr>
                <w:rFonts w:eastAsia="Times New Roman" w:cs="Segoe UI"/>
                <w:sz w:val="20"/>
              </w:rPr>
            </w:pPr>
            <w:r>
              <w:rPr>
                <w:rFonts w:eastAsia="Times New Roman" w:cs="Segoe UI"/>
                <w:color w:val="000000"/>
                <w:sz w:val="20"/>
              </w:rPr>
              <w:t>South Australia</w:t>
            </w:r>
          </w:p>
        </w:tc>
        <w:tc>
          <w:tcPr>
            <w:tcW w:w="0" w:type="auto"/>
            <w:tcBorders>
              <w:top w:val="nil"/>
              <w:bottom w:val="single" w:sz="4" w:space="0" w:color="FFFFFF"/>
              <w:right w:val="nil"/>
            </w:tcBorders>
            <w:shd w:val="clear" w:color="auto" w:fill="FFFFFF" w:themeFill="background1"/>
            <w:vAlign w:val="center"/>
          </w:tcPr>
          <w:p w14:paraId="7DAAD4E7" w14:textId="77777777" w:rsidR="00982EEF" w:rsidRPr="003D290F" w:rsidRDefault="00982EEF" w:rsidP="00F93244">
            <w:pPr>
              <w:keepNext/>
              <w:keepLines/>
              <w:widowControl w:val="0"/>
              <w:jc w:val="right"/>
              <w:rPr>
                <w:rFonts w:eastAsia="Times New Roman" w:cs="Segoe UI"/>
                <w:color w:val="000000"/>
                <w:sz w:val="20"/>
              </w:rPr>
            </w:pPr>
            <w:r>
              <w:rPr>
                <w:rFonts w:eastAsia="Times New Roman" w:cs="Segoe UI"/>
                <w:color w:val="000000"/>
                <w:sz w:val="20"/>
              </w:rPr>
              <w:t>2026</w:t>
            </w:r>
          </w:p>
        </w:tc>
      </w:tr>
      <w:tr w:rsidR="00355CA0" w:rsidRPr="003D290F" w14:paraId="1EC86F12" w14:textId="77777777" w:rsidTr="001E79E2">
        <w:trPr>
          <w:trHeight w:val="230"/>
        </w:trPr>
        <w:tc>
          <w:tcPr>
            <w:tcW w:w="0" w:type="auto"/>
            <w:tcBorders>
              <w:top w:val="nil"/>
              <w:left w:val="nil"/>
              <w:bottom w:val="nil"/>
              <w:right w:val="nil"/>
            </w:tcBorders>
            <w:shd w:val="clear" w:color="auto" w:fill="E0E8F2" w:themeFill="background2"/>
          </w:tcPr>
          <w:p w14:paraId="012BBFCF" w14:textId="77777777" w:rsidR="00355CA0" w:rsidRPr="003D290F" w:rsidRDefault="00355CA0" w:rsidP="00730C04">
            <w:pPr>
              <w:keepNext/>
              <w:keepLines/>
              <w:widowControl w:val="0"/>
              <w:rPr>
                <w:rFonts w:eastAsia="Times New Roman" w:cs="Segoe UI"/>
                <w:b/>
                <w:sz w:val="20"/>
              </w:rPr>
            </w:pPr>
            <w:r w:rsidRPr="003D290F">
              <w:rPr>
                <w:rFonts w:eastAsia="Times New Roman" w:cs="Segoe UI"/>
                <w:b/>
                <w:sz w:val="20"/>
              </w:rPr>
              <w:t>Yallourn Power Station</w:t>
            </w:r>
          </w:p>
        </w:tc>
        <w:tc>
          <w:tcPr>
            <w:tcW w:w="0" w:type="auto"/>
            <w:tcBorders>
              <w:top w:val="nil"/>
              <w:left w:val="nil"/>
              <w:bottom w:val="nil"/>
              <w:right w:val="nil"/>
            </w:tcBorders>
            <w:shd w:val="clear" w:color="auto" w:fill="E0E8F2" w:themeFill="background2"/>
          </w:tcPr>
          <w:p w14:paraId="066A28CB" w14:textId="77777777" w:rsidR="00355CA0" w:rsidRPr="003D290F" w:rsidRDefault="00355CA0" w:rsidP="00E41342">
            <w:pPr>
              <w:keepNext/>
              <w:keepLines/>
              <w:widowControl w:val="0"/>
              <w:rPr>
                <w:rFonts w:eastAsia="Times New Roman" w:cs="Segoe UI"/>
                <w:color w:val="000000"/>
                <w:sz w:val="20"/>
              </w:rPr>
            </w:pPr>
            <w:r w:rsidRPr="003D290F">
              <w:rPr>
                <w:rFonts w:eastAsia="Times New Roman" w:cs="Segoe UI"/>
                <w:sz w:val="20"/>
              </w:rPr>
              <w:t>Latrobe Valley</w:t>
            </w:r>
          </w:p>
        </w:tc>
        <w:tc>
          <w:tcPr>
            <w:tcW w:w="0" w:type="auto"/>
            <w:tcBorders>
              <w:top w:val="nil"/>
              <w:left w:val="nil"/>
              <w:bottom w:val="nil"/>
              <w:right w:val="nil"/>
            </w:tcBorders>
            <w:shd w:val="clear" w:color="auto" w:fill="E0E8F2" w:themeFill="background2"/>
            <w:vAlign w:val="center"/>
          </w:tcPr>
          <w:p w14:paraId="31AB96E4" w14:textId="77777777" w:rsidR="00355CA0" w:rsidRPr="003D290F" w:rsidRDefault="00355CA0" w:rsidP="00F93244">
            <w:pPr>
              <w:keepNext/>
              <w:keepLines/>
              <w:widowControl w:val="0"/>
              <w:jc w:val="right"/>
              <w:rPr>
                <w:rFonts w:eastAsia="Times New Roman" w:cs="Segoe UI"/>
                <w:color w:val="000000"/>
                <w:sz w:val="20"/>
              </w:rPr>
            </w:pPr>
            <w:r w:rsidRPr="003D290F">
              <w:rPr>
                <w:rFonts w:eastAsia="Times New Roman" w:cs="Segoe UI"/>
                <w:color w:val="000000"/>
                <w:sz w:val="20"/>
              </w:rPr>
              <w:t>2028</w:t>
            </w:r>
          </w:p>
        </w:tc>
      </w:tr>
      <w:tr w:rsidR="00355CA0" w:rsidRPr="003D290F" w14:paraId="73256DCF" w14:textId="77777777" w:rsidTr="001E79E2">
        <w:trPr>
          <w:trHeight w:val="230"/>
        </w:trPr>
        <w:tc>
          <w:tcPr>
            <w:tcW w:w="0" w:type="auto"/>
            <w:tcBorders>
              <w:top w:val="nil"/>
              <w:left w:val="nil"/>
              <w:bottom w:val="single" w:sz="4" w:space="0" w:color="FFFFFF"/>
            </w:tcBorders>
            <w:shd w:val="clear" w:color="auto" w:fill="FFFFFF" w:themeFill="background1"/>
            <w:vAlign w:val="center"/>
          </w:tcPr>
          <w:p w14:paraId="0A59CF9C" w14:textId="77777777" w:rsidR="00355CA0" w:rsidRPr="003D290F" w:rsidRDefault="00355CA0" w:rsidP="00730C04">
            <w:pPr>
              <w:keepNext/>
              <w:keepLines/>
              <w:widowControl w:val="0"/>
              <w:rPr>
                <w:rFonts w:eastAsia="Times New Roman" w:cs="Segoe UI"/>
                <w:b/>
                <w:sz w:val="20"/>
              </w:rPr>
            </w:pPr>
            <w:r w:rsidRPr="003D290F">
              <w:rPr>
                <w:rFonts w:eastAsia="Times New Roman" w:cs="Segoe UI"/>
                <w:b/>
                <w:color w:val="000000"/>
                <w:sz w:val="20"/>
              </w:rPr>
              <w:t>Bayswater Power Station</w:t>
            </w:r>
          </w:p>
        </w:tc>
        <w:tc>
          <w:tcPr>
            <w:tcW w:w="0" w:type="auto"/>
            <w:tcBorders>
              <w:top w:val="nil"/>
              <w:bottom w:val="single" w:sz="4" w:space="0" w:color="FFFFFF"/>
            </w:tcBorders>
            <w:shd w:val="clear" w:color="auto" w:fill="FFFFFF" w:themeFill="background1"/>
          </w:tcPr>
          <w:p w14:paraId="327E4922" w14:textId="77777777" w:rsidR="00355CA0" w:rsidRPr="003D290F" w:rsidRDefault="00355CA0" w:rsidP="00E41342">
            <w:pPr>
              <w:keepNext/>
              <w:keepLines/>
              <w:widowControl w:val="0"/>
              <w:rPr>
                <w:rFonts w:eastAsia="Times New Roman" w:cs="Segoe UI"/>
                <w:color w:val="000000"/>
                <w:sz w:val="20"/>
              </w:rPr>
            </w:pPr>
            <w:r w:rsidRPr="003D290F">
              <w:rPr>
                <w:rFonts w:eastAsia="Times New Roman" w:cs="Segoe UI"/>
                <w:sz w:val="20"/>
              </w:rPr>
              <w:t>Hunter Valley</w:t>
            </w:r>
          </w:p>
        </w:tc>
        <w:tc>
          <w:tcPr>
            <w:tcW w:w="0" w:type="auto"/>
            <w:tcBorders>
              <w:top w:val="nil"/>
              <w:bottom w:val="single" w:sz="4" w:space="0" w:color="FFFFFF"/>
              <w:right w:val="nil"/>
            </w:tcBorders>
            <w:shd w:val="clear" w:color="auto" w:fill="FFFFFF" w:themeFill="background1"/>
            <w:vAlign w:val="center"/>
          </w:tcPr>
          <w:p w14:paraId="31C87B0D" w14:textId="77777777" w:rsidR="00355CA0" w:rsidRPr="003D290F" w:rsidRDefault="00355CA0" w:rsidP="00F93244">
            <w:pPr>
              <w:keepNext/>
              <w:keepLines/>
              <w:widowControl w:val="0"/>
              <w:jc w:val="right"/>
              <w:rPr>
                <w:rFonts w:eastAsia="Times New Roman" w:cs="Segoe UI"/>
                <w:color w:val="000000"/>
                <w:sz w:val="20"/>
              </w:rPr>
            </w:pPr>
            <w:r w:rsidRPr="003D290F">
              <w:rPr>
                <w:rFonts w:eastAsia="Times New Roman" w:cs="Segoe UI"/>
                <w:color w:val="000000"/>
                <w:sz w:val="20"/>
              </w:rPr>
              <w:t>2033</w:t>
            </w:r>
          </w:p>
        </w:tc>
      </w:tr>
      <w:tr w:rsidR="00355CA0" w:rsidRPr="003D290F" w14:paraId="55C73DC1" w14:textId="77777777" w:rsidTr="001E79E2">
        <w:trPr>
          <w:trHeight w:val="230"/>
        </w:trPr>
        <w:tc>
          <w:tcPr>
            <w:tcW w:w="0" w:type="auto"/>
            <w:tcBorders>
              <w:top w:val="single" w:sz="4" w:space="0" w:color="FFFFFF"/>
              <w:left w:val="nil"/>
              <w:bottom w:val="single" w:sz="4" w:space="0" w:color="FFFFFF"/>
            </w:tcBorders>
            <w:shd w:val="clear" w:color="auto" w:fill="E0E8F2" w:themeFill="background2"/>
            <w:vAlign w:val="center"/>
          </w:tcPr>
          <w:p w14:paraId="7DF29CB6" w14:textId="77777777" w:rsidR="00355CA0" w:rsidRPr="003D290F" w:rsidRDefault="00355CA0" w:rsidP="00730C04">
            <w:pPr>
              <w:keepNext/>
              <w:keepLines/>
              <w:widowControl w:val="0"/>
              <w:rPr>
                <w:rFonts w:eastAsia="Times New Roman" w:cs="Segoe UI"/>
                <w:b/>
                <w:color w:val="000000"/>
                <w:sz w:val="20"/>
              </w:rPr>
            </w:pPr>
            <w:r w:rsidRPr="003D290F">
              <w:rPr>
                <w:rFonts w:eastAsia="Times New Roman" w:cs="Segoe UI"/>
                <w:b/>
                <w:color w:val="000000"/>
                <w:sz w:val="20"/>
              </w:rPr>
              <w:t>Vales Point Power Station</w:t>
            </w:r>
          </w:p>
        </w:tc>
        <w:tc>
          <w:tcPr>
            <w:tcW w:w="0" w:type="auto"/>
            <w:tcBorders>
              <w:top w:val="single" w:sz="4" w:space="0" w:color="FFFFFF"/>
              <w:bottom w:val="single" w:sz="4" w:space="0" w:color="FFFFFF"/>
            </w:tcBorders>
            <w:shd w:val="clear" w:color="auto" w:fill="E0E8F2" w:themeFill="background2"/>
          </w:tcPr>
          <w:p w14:paraId="5F72FA1C" w14:textId="77777777" w:rsidR="00355CA0" w:rsidRPr="003D290F" w:rsidRDefault="00355CA0" w:rsidP="00E41342">
            <w:pPr>
              <w:keepNext/>
              <w:keepLines/>
              <w:widowControl w:val="0"/>
              <w:rPr>
                <w:rFonts w:eastAsia="Times New Roman" w:cs="Segoe UI"/>
                <w:sz w:val="20"/>
              </w:rPr>
            </w:pPr>
            <w:r w:rsidRPr="003D290F">
              <w:rPr>
                <w:rFonts w:eastAsia="Times New Roman" w:cs="Segoe UI"/>
                <w:sz w:val="20"/>
              </w:rPr>
              <w:t>Hunter Valley</w:t>
            </w:r>
          </w:p>
        </w:tc>
        <w:tc>
          <w:tcPr>
            <w:tcW w:w="0" w:type="auto"/>
            <w:tcBorders>
              <w:top w:val="single" w:sz="4" w:space="0" w:color="FFFFFF"/>
              <w:bottom w:val="single" w:sz="4" w:space="0" w:color="FFFFFF"/>
              <w:right w:val="nil"/>
            </w:tcBorders>
            <w:shd w:val="clear" w:color="auto" w:fill="E0E8F2" w:themeFill="background2"/>
            <w:vAlign w:val="center"/>
          </w:tcPr>
          <w:p w14:paraId="58F1F816" w14:textId="77777777" w:rsidR="00355CA0" w:rsidRPr="003D290F" w:rsidRDefault="00355CA0" w:rsidP="00F93244">
            <w:pPr>
              <w:keepNext/>
              <w:keepLines/>
              <w:widowControl w:val="0"/>
              <w:jc w:val="right"/>
              <w:rPr>
                <w:rFonts w:eastAsia="Times New Roman" w:cs="Segoe UI"/>
                <w:color w:val="000000"/>
                <w:sz w:val="20"/>
              </w:rPr>
            </w:pPr>
            <w:r w:rsidRPr="003D290F">
              <w:rPr>
                <w:rFonts w:eastAsia="Times New Roman" w:cs="Segoe UI"/>
                <w:color w:val="000000"/>
                <w:sz w:val="20"/>
              </w:rPr>
              <w:t>2033</w:t>
            </w:r>
          </w:p>
        </w:tc>
      </w:tr>
      <w:tr w:rsidR="00355CA0" w:rsidRPr="003D290F" w14:paraId="685DA539" w14:textId="77777777" w:rsidTr="001E79E2">
        <w:trPr>
          <w:trHeight w:val="222"/>
        </w:trPr>
        <w:tc>
          <w:tcPr>
            <w:tcW w:w="0" w:type="auto"/>
            <w:tcBorders>
              <w:top w:val="single" w:sz="4" w:space="0" w:color="FFFFFF"/>
              <w:left w:val="nil"/>
              <w:bottom w:val="single" w:sz="4" w:space="0" w:color="FFFFFF"/>
            </w:tcBorders>
            <w:shd w:val="clear" w:color="auto" w:fill="FFFFFF" w:themeFill="background1"/>
            <w:vAlign w:val="center"/>
          </w:tcPr>
          <w:p w14:paraId="5799062E" w14:textId="77777777" w:rsidR="00355CA0" w:rsidRPr="003D290F" w:rsidRDefault="00355CA0" w:rsidP="00730C04">
            <w:pPr>
              <w:keepNext/>
              <w:keepLines/>
              <w:widowControl w:val="0"/>
              <w:rPr>
                <w:rFonts w:eastAsia="Times New Roman" w:cs="Segoe UI"/>
                <w:b/>
                <w:color w:val="000000"/>
                <w:sz w:val="20"/>
              </w:rPr>
            </w:pPr>
            <w:r w:rsidRPr="003D290F">
              <w:rPr>
                <w:rFonts w:eastAsia="Times New Roman" w:cs="Segoe UI"/>
                <w:b/>
                <w:color w:val="000000"/>
                <w:sz w:val="20"/>
              </w:rPr>
              <w:t>Gladstone Power Station</w:t>
            </w:r>
          </w:p>
        </w:tc>
        <w:tc>
          <w:tcPr>
            <w:tcW w:w="0" w:type="auto"/>
            <w:tcBorders>
              <w:top w:val="single" w:sz="4" w:space="0" w:color="FFFFFF"/>
              <w:bottom w:val="single" w:sz="4" w:space="0" w:color="FFFFFF"/>
            </w:tcBorders>
            <w:shd w:val="clear" w:color="auto" w:fill="FFFFFF" w:themeFill="background1"/>
            <w:vAlign w:val="center"/>
          </w:tcPr>
          <w:p w14:paraId="248EF039" w14:textId="77777777" w:rsidR="00355CA0" w:rsidRPr="003D290F" w:rsidRDefault="00355CA0" w:rsidP="00E41342">
            <w:pPr>
              <w:keepNext/>
              <w:keepLines/>
              <w:widowControl w:val="0"/>
              <w:rPr>
                <w:rFonts w:eastAsia="Times New Roman" w:cs="Segoe UI"/>
                <w:sz w:val="20"/>
              </w:rPr>
            </w:pPr>
            <w:r w:rsidRPr="003D290F">
              <w:rPr>
                <w:rFonts w:eastAsia="Times New Roman" w:cs="Segoe UI"/>
                <w:color w:val="000000"/>
                <w:sz w:val="20"/>
              </w:rPr>
              <w:t>Gladstone</w:t>
            </w:r>
          </w:p>
        </w:tc>
        <w:tc>
          <w:tcPr>
            <w:tcW w:w="0" w:type="auto"/>
            <w:tcBorders>
              <w:top w:val="single" w:sz="4" w:space="0" w:color="FFFFFF"/>
              <w:bottom w:val="single" w:sz="4" w:space="0" w:color="FFFFFF"/>
              <w:right w:val="nil"/>
            </w:tcBorders>
            <w:shd w:val="clear" w:color="auto" w:fill="FFFFFF" w:themeFill="background1"/>
            <w:vAlign w:val="center"/>
          </w:tcPr>
          <w:p w14:paraId="1AA2888F" w14:textId="77777777" w:rsidR="00355CA0" w:rsidRPr="003D290F" w:rsidRDefault="00355CA0" w:rsidP="00F93244">
            <w:pPr>
              <w:keepNext/>
              <w:keepLines/>
              <w:widowControl w:val="0"/>
              <w:jc w:val="right"/>
              <w:rPr>
                <w:rFonts w:eastAsia="Times New Roman" w:cs="Segoe UI"/>
                <w:color w:val="000000"/>
                <w:sz w:val="20"/>
              </w:rPr>
            </w:pPr>
            <w:r w:rsidRPr="003D290F">
              <w:rPr>
                <w:rFonts w:eastAsia="Times New Roman" w:cs="Segoe UI"/>
                <w:color w:val="000000"/>
                <w:sz w:val="20"/>
              </w:rPr>
              <w:t>2035</w:t>
            </w:r>
          </w:p>
        </w:tc>
      </w:tr>
      <w:tr w:rsidR="00355CA0" w:rsidRPr="003D290F" w14:paraId="2E347996" w14:textId="77777777" w:rsidTr="001E79E2">
        <w:trPr>
          <w:trHeight w:val="230"/>
        </w:trPr>
        <w:tc>
          <w:tcPr>
            <w:tcW w:w="0" w:type="auto"/>
            <w:tcBorders>
              <w:top w:val="single" w:sz="4" w:space="0" w:color="FFFFFF"/>
              <w:left w:val="nil"/>
              <w:bottom w:val="single" w:sz="4" w:space="0" w:color="FFFFFF"/>
            </w:tcBorders>
            <w:shd w:val="clear" w:color="auto" w:fill="E0E8F2" w:themeFill="background2"/>
            <w:vAlign w:val="center"/>
          </w:tcPr>
          <w:p w14:paraId="6B985C4A" w14:textId="77777777" w:rsidR="00355CA0" w:rsidRPr="003D290F" w:rsidRDefault="00355CA0" w:rsidP="00730C04">
            <w:pPr>
              <w:keepNext/>
              <w:keepLines/>
              <w:widowControl w:val="0"/>
              <w:rPr>
                <w:rFonts w:eastAsia="Times New Roman" w:cs="Segoe UI"/>
                <w:b/>
                <w:color w:val="000000"/>
                <w:sz w:val="20"/>
              </w:rPr>
            </w:pPr>
            <w:r w:rsidRPr="003D290F">
              <w:rPr>
                <w:rFonts w:eastAsia="Times New Roman" w:cs="Segoe UI"/>
                <w:b/>
                <w:color w:val="000000"/>
                <w:sz w:val="20"/>
              </w:rPr>
              <w:t>Loy Yang Power Station A</w:t>
            </w:r>
          </w:p>
        </w:tc>
        <w:tc>
          <w:tcPr>
            <w:tcW w:w="0" w:type="auto"/>
            <w:tcBorders>
              <w:top w:val="single" w:sz="4" w:space="0" w:color="FFFFFF"/>
              <w:bottom w:val="single" w:sz="4" w:space="0" w:color="FFFFFF"/>
            </w:tcBorders>
            <w:shd w:val="clear" w:color="auto" w:fill="E0E8F2" w:themeFill="background2"/>
            <w:vAlign w:val="center"/>
          </w:tcPr>
          <w:p w14:paraId="4F1961E4" w14:textId="77777777" w:rsidR="00355CA0" w:rsidRPr="003D290F" w:rsidRDefault="00355CA0" w:rsidP="00E41342">
            <w:pPr>
              <w:keepNext/>
              <w:keepLines/>
              <w:widowControl w:val="0"/>
              <w:rPr>
                <w:rFonts w:eastAsia="Times New Roman" w:cs="Segoe UI"/>
                <w:sz w:val="20"/>
              </w:rPr>
            </w:pPr>
            <w:r w:rsidRPr="003D290F">
              <w:rPr>
                <w:rFonts w:eastAsia="Times New Roman" w:cs="Segoe UI"/>
                <w:color w:val="000000"/>
                <w:sz w:val="20"/>
              </w:rPr>
              <w:t>Latrobe Valley</w:t>
            </w:r>
          </w:p>
        </w:tc>
        <w:tc>
          <w:tcPr>
            <w:tcW w:w="0" w:type="auto"/>
            <w:tcBorders>
              <w:top w:val="single" w:sz="4" w:space="0" w:color="FFFFFF"/>
              <w:bottom w:val="single" w:sz="4" w:space="0" w:color="FFFFFF"/>
              <w:right w:val="nil"/>
            </w:tcBorders>
            <w:shd w:val="clear" w:color="auto" w:fill="E0E8F2" w:themeFill="background2"/>
            <w:vAlign w:val="center"/>
          </w:tcPr>
          <w:p w14:paraId="1BCD4DF5" w14:textId="77777777" w:rsidR="00355CA0" w:rsidRPr="003D290F" w:rsidRDefault="00355CA0" w:rsidP="00F93244">
            <w:pPr>
              <w:keepNext/>
              <w:keepLines/>
              <w:widowControl w:val="0"/>
              <w:jc w:val="right"/>
              <w:rPr>
                <w:rFonts w:eastAsia="Times New Roman" w:cs="Segoe UI"/>
                <w:color w:val="000000"/>
                <w:sz w:val="20"/>
              </w:rPr>
            </w:pPr>
            <w:r w:rsidRPr="003D290F">
              <w:rPr>
                <w:rFonts w:eastAsia="Times New Roman" w:cs="Segoe UI"/>
                <w:color w:val="000000"/>
                <w:sz w:val="20"/>
              </w:rPr>
              <w:t>2035</w:t>
            </w:r>
          </w:p>
        </w:tc>
      </w:tr>
    </w:tbl>
    <w:p w14:paraId="2E293135" w14:textId="77777777" w:rsidR="00355CA0" w:rsidRPr="003D290F" w:rsidRDefault="007E2DFE" w:rsidP="00F22896">
      <w:pPr>
        <w:keepNext/>
        <w:keepLines/>
        <w:widowControl w:val="0"/>
        <w:spacing w:before="40" w:after="120" w:line="240" w:lineRule="auto"/>
        <w:rPr>
          <w:rFonts w:eastAsia="Times New Roman" w:cs="Segoe UI"/>
          <w:sz w:val="18"/>
        </w:rPr>
      </w:pPr>
      <w:r>
        <w:rPr>
          <w:rFonts w:eastAsia="Times New Roman" w:cs="Segoe UI"/>
          <w:b/>
          <w:sz w:val="18"/>
        </w:rPr>
        <w:br w:type="textWrapping" w:clear="all"/>
      </w:r>
      <w:r w:rsidR="00355CA0" w:rsidRPr="003D290F">
        <w:rPr>
          <w:rFonts w:eastAsia="Times New Roman" w:cs="Segoe UI"/>
          <w:b/>
          <w:sz w:val="18"/>
        </w:rPr>
        <w:t>Source:</w:t>
      </w:r>
      <w:r w:rsidR="00355CA0" w:rsidRPr="003D290F">
        <w:rPr>
          <w:rFonts w:eastAsia="Times New Roman" w:cs="Segoe UI"/>
          <w:sz w:val="18"/>
        </w:rPr>
        <w:t xml:space="preserve"> Australian Energy Market Operator (13 July 2023), </w:t>
      </w:r>
      <w:hyperlink r:id="rId31" w:history="1">
        <w:r w:rsidR="00355CA0" w:rsidRPr="003D290F">
          <w:rPr>
            <w:rFonts w:eastAsia="Times New Roman" w:cs="Segoe UI"/>
            <w:i/>
            <w:color w:val="0563C6"/>
            <w:sz w:val="18"/>
            <w:u w:val="single"/>
          </w:rPr>
          <w:t>Generation information</w:t>
        </w:r>
      </w:hyperlink>
      <w:r w:rsidR="00076E5E" w:rsidRPr="003D290F">
        <w:rPr>
          <w:rFonts w:eastAsia="Times New Roman" w:cs="Segoe UI"/>
          <w:sz w:val="18"/>
        </w:rPr>
        <w:t>.</w:t>
      </w:r>
    </w:p>
    <w:p w14:paraId="7D517D31" w14:textId="77777777" w:rsidR="00076E5E" w:rsidRPr="003D290F" w:rsidRDefault="00076E5E" w:rsidP="005D46F4">
      <w:pPr>
        <w:spacing w:before="240"/>
        <w:rPr>
          <w:rFonts w:eastAsia="Times New Roman" w:cs="Segoe UI"/>
        </w:rPr>
      </w:pPr>
      <w:r w:rsidRPr="003D290F">
        <w:rPr>
          <w:rFonts w:eastAsia="Times New Roman" w:cs="Segoe UI"/>
        </w:rPr>
        <w:t xml:space="preserve">It is expected that some thermal coal mines </w:t>
      </w:r>
      <w:r w:rsidR="004C7E12" w:rsidRPr="003D290F">
        <w:rPr>
          <w:rFonts w:eastAsia="Times New Roman" w:cs="Segoe UI"/>
        </w:rPr>
        <w:t xml:space="preserve">may </w:t>
      </w:r>
      <w:r w:rsidRPr="003D290F">
        <w:rPr>
          <w:rFonts w:eastAsia="Times New Roman" w:cs="Segoe UI"/>
        </w:rPr>
        <w:t xml:space="preserve">close as coal-fired power generation winds down in Australia. While many of Australia’s thermal coal mines will continue to operate and sell to international markets, some are more limited in terms of export infrastructure and export viability. Coal mine closures will be dependent on market conditions and individual business decision-making. </w:t>
      </w:r>
    </w:p>
    <w:p w14:paraId="3A3CB0D2" w14:textId="77777777" w:rsidR="00076E5E" w:rsidRPr="003D290F" w:rsidRDefault="00076E5E" w:rsidP="00FE3DEC">
      <w:pPr>
        <w:rPr>
          <w:rFonts w:eastAsia="Times New Roman" w:cs="Segoe UI"/>
        </w:rPr>
      </w:pPr>
      <w:r w:rsidRPr="003D290F">
        <w:rPr>
          <w:rFonts w:eastAsia="Times New Roman" w:cs="Segoe UI"/>
        </w:rPr>
        <w:lastRenderedPageBreak/>
        <w:t xml:space="preserve">At the time of this Impact Analysis, there is limited indication as to which captured coal mines </w:t>
      </w:r>
      <w:r w:rsidR="004C7E12" w:rsidRPr="003D290F">
        <w:rPr>
          <w:rFonts w:eastAsia="Times New Roman" w:cs="Segoe UI"/>
        </w:rPr>
        <w:t xml:space="preserve">may </w:t>
      </w:r>
      <w:r w:rsidRPr="003D290F">
        <w:rPr>
          <w:rFonts w:eastAsia="Times New Roman" w:cs="Segoe UI"/>
        </w:rPr>
        <w:t xml:space="preserve">close as a result of coal-fired power </w:t>
      </w:r>
      <w:r w:rsidR="00895F74" w:rsidRPr="003D290F">
        <w:rPr>
          <w:rFonts w:eastAsia="Times New Roman" w:cs="Segoe UI"/>
        </w:rPr>
        <w:t xml:space="preserve">station </w:t>
      </w:r>
      <w:r w:rsidRPr="003D290F">
        <w:rPr>
          <w:rFonts w:eastAsia="Times New Roman" w:cs="Segoe UI"/>
        </w:rPr>
        <w:t xml:space="preserve">closures (noting that coal mines are not required to report </w:t>
      </w:r>
      <w:r w:rsidR="004C7E12" w:rsidRPr="003D290F">
        <w:rPr>
          <w:rFonts w:eastAsia="Times New Roman" w:cs="Segoe UI"/>
        </w:rPr>
        <w:t xml:space="preserve">any </w:t>
      </w:r>
      <w:r w:rsidRPr="003D290F">
        <w:rPr>
          <w:rFonts w:eastAsia="Times New Roman" w:cs="Segoe UI"/>
        </w:rPr>
        <w:t>intended closure date).</w:t>
      </w:r>
      <w:r w:rsidRPr="003D290F">
        <w:t xml:space="preserve"> </w:t>
      </w:r>
      <w:r w:rsidR="00366BF4" w:rsidRPr="003D290F">
        <w:t>For the purpose of</w:t>
      </w:r>
      <w:r w:rsidRPr="003D290F">
        <w:t xml:space="preserve"> this analysis</w:t>
      </w:r>
      <w:r w:rsidR="00366BF4" w:rsidRPr="003D290F">
        <w:t xml:space="preserve">, it is assumed </w:t>
      </w:r>
      <w:r w:rsidR="00D25EEC" w:rsidRPr="003D290F">
        <w:t xml:space="preserve">four coal mines </w:t>
      </w:r>
      <w:r w:rsidR="00366BF4" w:rsidRPr="003D290F">
        <w:t>directly supply</w:t>
      </w:r>
      <w:r w:rsidR="00D25EEC" w:rsidRPr="003D290F">
        <w:t>ing to these</w:t>
      </w:r>
      <w:r w:rsidRPr="003D290F">
        <w:t xml:space="preserve"> coal-fired power stations</w:t>
      </w:r>
      <w:r w:rsidR="00366BF4" w:rsidRPr="003D290F">
        <w:t xml:space="preserve"> </w:t>
      </w:r>
      <w:r w:rsidRPr="003D290F">
        <w:t>close</w:t>
      </w:r>
      <w:r w:rsidR="00366BF4" w:rsidRPr="003D290F">
        <w:t xml:space="preserve"> when the </w:t>
      </w:r>
      <w:r w:rsidR="00D25EEC" w:rsidRPr="003D290F">
        <w:t xml:space="preserve">associated power station </w:t>
      </w:r>
      <w:r w:rsidR="00366BF4" w:rsidRPr="003D290F">
        <w:t>closes</w:t>
      </w:r>
      <w:r w:rsidR="00895F74" w:rsidRPr="003D290F">
        <w:t>.</w:t>
      </w:r>
      <w:r w:rsidRPr="003D290F">
        <w:rPr>
          <w:rFonts w:eastAsia="Times New Roman" w:cs="Segoe UI"/>
        </w:rPr>
        <w:t xml:space="preserve"> </w:t>
      </w:r>
      <w:r w:rsidR="00DC068D" w:rsidRPr="003D290F">
        <w:rPr>
          <w:rFonts w:eastAsia="Times New Roman" w:cs="Segoe UI"/>
        </w:rPr>
        <w:t xml:space="preserve">Employees </w:t>
      </w:r>
      <w:r w:rsidRPr="003D290F">
        <w:rPr>
          <w:rFonts w:eastAsia="Times New Roman" w:cs="Segoe UI"/>
        </w:rPr>
        <w:t xml:space="preserve">at these coal mines would be eligible to participate in the </w:t>
      </w:r>
      <w:r w:rsidR="00F6294A" w:rsidRPr="003D290F">
        <w:rPr>
          <w:rFonts w:eastAsia="Times New Roman" w:cs="Segoe UI"/>
        </w:rPr>
        <w:t>plan</w:t>
      </w:r>
      <w:r w:rsidRPr="003D290F">
        <w:rPr>
          <w:rFonts w:eastAsia="Times New Roman" w:cs="Segoe UI"/>
        </w:rPr>
        <w:t>.</w:t>
      </w:r>
    </w:p>
    <w:p w14:paraId="4558310B" w14:textId="77777777" w:rsidR="00982EEF" w:rsidRPr="003D290F" w:rsidRDefault="00982EEF" w:rsidP="00FE3DEC">
      <w:pPr>
        <w:rPr>
          <w:rFonts w:eastAsia="Times New Roman" w:cs="Segoe UI"/>
        </w:rPr>
      </w:pPr>
      <w:r>
        <w:rPr>
          <w:rFonts w:eastAsia="Times New Roman" w:cs="Segoe UI"/>
        </w:rPr>
        <w:t>Power stations</w:t>
      </w:r>
      <w:r w:rsidR="00B8570C">
        <w:rPr>
          <w:rFonts w:eastAsia="Times New Roman" w:cs="Segoe UI"/>
        </w:rPr>
        <w:t xml:space="preserve"> also</w:t>
      </w:r>
      <w:r>
        <w:rPr>
          <w:rFonts w:eastAsia="Times New Roman" w:cs="Segoe UI"/>
        </w:rPr>
        <w:t xml:space="preserve"> have a number of additional dependent </w:t>
      </w:r>
      <w:r w:rsidR="00FE4582">
        <w:rPr>
          <w:rFonts w:eastAsia="Times New Roman" w:cs="Segoe UI"/>
        </w:rPr>
        <w:t>employers</w:t>
      </w:r>
      <w:r w:rsidR="00B8570C">
        <w:rPr>
          <w:rFonts w:eastAsia="Times New Roman" w:cs="Segoe UI"/>
        </w:rPr>
        <w:t xml:space="preserve"> related to their operations</w:t>
      </w:r>
      <w:r w:rsidR="00D10572">
        <w:rPr>
          <w:rFonts w:eastAsia="Times New Roman" w:cs="Segoe UI"/>
        </w:rPr>
        <w:t xml:space="preserve">, as noted at </w:t>
      </w:r>
      <w:r w:rsidR="00C208EE" w:rsidRPr="00C208EE">
        <w:rPr>
          <w:rFonts w:eastAsia="Times New Roman" w:cs="Segoe UI"/>
          <w:b/>
          <w:color w:val="1B375C"/>
        </w:rPr>
        <w:t>Section</w:t>
      </w:r>
      <w:r w:rsidR="00C208EE">
        <w:rPr>
          <w:rFonts w:eastAsia="Times New Roman" w:cs="Segoe UI"/>
        </w:rPr>
        <w:t xml:space="preserve"> </w:t>
      </w:r>
      <w:r w:rsidR="00D10572" w:rsidRPr="00C208EE">
        <w:rPr>
          <w:rFonts w:eastAsia="Times New Roman" w:cs="Segoe UI"/>
          <w:b/>
          <w:color w:val="1B375C"/>
        </w:rPr>
        <w:t>3.4.</w:t>
      </w:r>
      <w:r w:rsidR="00E600EA" w:rsidRPr="00C208EE">
        <w:rPr>
          <w:rFonts w:eastAsia="Times New Roman" w:cs="Segoe UI"/>
          <w:b/>
          <w:color w:val="1B375C"/>
        </w:rPr>
        <w:t>2</w:t>
      </w:r>
      <w:r w:rsidR="00B8570C">
        <w:rPr>
          <w:rFonts w:eastAsia="Times New Roman" w:cs="Segoe UI"/>
        </w:rPr>
        <w:t xml:space="preserve">. </w:t>
      </w:r>
      <w:r w:rsidR="00C02B0D">
        <w:rPr>
          <w:rFonts w:eastAsia="Times New Roman" w:cs="Segoe UI"/>
        </w:rPr>
        <w:t>Our analysis assumes that, on average, each power station will have one dependent supplier captured by the unlegislated plan and three dependent suppliers in the legislated plan</w:t>
      </w:r>
      <w:r w:rsidR="0033370C">
        <w:rPr>
          <w:rFonts w:eastAsia="Times New Roman" w:cs="Segoe UI"/>
        </w:rPr>
        <w:t>.</w:t>
      </w:r>
      <w:r w:rsidR="00E05E10">
        <w:rPr>
          <w:rStyle w:val="FootnoteReference"/>
          <w:rFonts w:eastAsia="Times New Roman" w:cs="Segoe UI"/>
        </w:rPr>
        <w:footnoteReference w:id="68"/>
      </w:r>
    </w:p>
    <w:p w14:paraId="35DB86B7" w14:textId="77777777" w:rsidR="00F94BFE" w:rsidRPr="003D290F" w:rsidRDefault="00825212" w:rsidP="005D46F4">
      <w:pPr>
        <w:pStyle w:val="Heading3"/>
        <w:spacing w:line="276" w:lineRule="auto"/>
        <w:rPr>
          <w:rFonts w:eastAsia="Times New Roman"/>
        </w:rPr>
      </w:pPr>
      <w:bookmarkStart w:id="251" w:name="_Toc155604632"/>
      <w:bookmarkStart w:id="252" w:name="_Toc161395987"/>
      <w:bookmarkStart w:id="253" w:name="_Toc161403523"/>
      <w:bookmarkStart w:id="254" w:name="_Toc161694802"/>
      <w:bookmarkStart w:id="255" w:name="_Toc161752257"/>
      <w:bookmarkStart w:id="256" w:name="_Toc161759695"/>
      <w:r w:rsidRPr="003D290F">
        <w:rPr>
          <w:rFonts w:eastAsia="Times New Roman"/>
        </w:rPr>
        <w:t xml:space="preserve">4.3.2 </w:t>
      </w:r>
      <w:r w:rsidR="00F94BFE" w:rsidRPr="003D290F">
        <w:rPr>
          <w:rFonts w:eastAsia="Times New Roman"/>
        </w:rPr>
        <w:t>Receiving employers</w:t>
      </w:r>
      <w:bookmarkEnd w:id="251"/>
      <w:bookmarkEnd w:id="252"/>
      <w:bookmarkEnd w:id="253"/>
      <w:bookmarkEnd w:id="254"/>
      <w:bookmarkEnd w:id="255"/>
      <w:bookmarkEnd w:id="256"/>
    </w:p>
    <w:p w14:paraId="41CBE004" w14:textId="77777777" w:rsidR="009C0F82" w:rsidRPr="003D290F" w:rsidRDefault="003459C0" w:rsidP="000D4368">
      <w:pPr>
        <w:rPr>
          <w:rFonts w:eastAsia="Times New Roman"/>
        </w:rPr>
      </w:pPr>
      <w:r w:rsidRPr="003D290F">
        <w:rPr>
          <w:rFonts w:eastAsia="Times New Roman"/>
        </w:rPr>
        <w:t xml:space="preserve">The proposed policy </w:t>
      </w:r>
      <w:r w:rsidR="003A2655">
        <w:rPr>
          <w:rFonts w:eastAsia="Times New Roman"/>
        </w:rPr>
        <w:t>indicates that the Authority would prioritise identifying possible</w:t>
      </w:r>
      <w:r w:rsidRPr="003D290F">
        <w:rPr>
          <w:rFonts w:eastAsia="Times New Roman"/>
        </w:rPr>
        <w:t xml:space="preserve"> </w:t>
      </w:r>
      <w:r w:rsidR="00A51DAE" w:rsidRPr="003D290F">
        <w:rPr>
          <w:rFonts w:eastAsia="Times New Roman"/>
        </w:rPr>
        <w:t xml:space="preserve">receiving </w:t>
      </w:r>
      <w:r w:rsidRPr="003D290F">
        <w:rPr>
          <w:rFonts w:eastAsia="Times New Roman"/>
        </w:rPr>
        <w:t>employers from the same industr</w:t>
      </w:r>
      <w:r w:rsidR="009C0F82" w:rsidRPr="003D290F">
        <w:rPr>
          <w:rFonts w:eastAsia="Times New Roman"/>
        </w:rPr>
        <w:t>y</w:t>
      </w:r>
      <w:r w:rsidRPr="003D290F">
        <w:rPr>
          <w:rFonts w:eastAsia="Times New Roman"/>
        </w:rPr>
        <w:t xml:space="preserve"> </w:t>
      </w:r>
      <w:r w:rsidR="00A51DAE" w:rsidRPr="003D290F">
        <w:rPr>
          <w:rFonts w:eastAsia="Times New Roman"/>
        </w:rPr>
        <w:t>or</w:t>
      </w:r>
      <w:r w:rsidRPr="003D290F">
        <w:rPr>
          <w:rFonts w:eastAsia="Times New Roman"/>
        </w:rPr>
        <w:t xml:space="preserve"> employers in ‘like’ industries in the same geographic region.</w:t>
      </w:r>
      <w:r w:rsidR="007F1B00" w:rsidRPr="003D290F">
        <w:rPr>
          <w:rFonts w:eastAsia="Times New Roman"/>
        </w:rPr>
        <w:t xml:space="preserve"> </w:t>
      </w:r>
      <w:r w:rsidRPr="003D290F">
        <w:rPr>
          <w:rFonts w:eastAsia="Times New Roman"/>
        </w:rPr>
        <w:t xml:space="preserve">The analysis </w:t>
      </w:r>
      <w:r w:rsidR="00A51DAE" w:rsidRPr="003D290F">
        <w:rPr>
          <w:rFonts w:eastAsia="Times New Roman"/>
        </w:rPr>
        <w:t xml:space="preserve">estimates </w:t>
      </w:r>
      <w:r w:rsidRPr="003D290F">
        <w:rPr>
          <w:rFonts w:eastAsia="Times New Roman"/>
        </w:rPr>
        <w:t xml:space="preserve">the </w:t>
      </w:r>
      <w:r w:rsidR="000D4368" w:rsidRPr="003D290F">
        <w:rPr>
          <w:rFonts w:eastAsia="Times New Roman"/>
        </w:rPr>
        <w:t xml:space="preserve">potential </w:t>
      </w:r>
      <w:r w:rsidRPr="003D290F">
        <w:rPr>
          <w:rFonts w:eastAsia="Times New Roman"/>
        </w:rPr>
        <w:t xml:space="preserve">pool </w:t>
      </w:r>
      <w:r w:rsidR="00A51DAE" w:rsidRPr="003D290F">
        <w:rPr>
          <w:rFonts w:eastAsia="Times New Roman"/>
        </w:rPr>
        <w:t>of</w:t>
      </w:r>
      <w:r w:rsidRPr="003D290F">
        <w:rPr>
          <w:rFonts w:eastAsia="Times New Roman"/>
        </w:rPr>
        <w:t xml:space="preserve"> receiving employers to identify the </w:t>
      </w:r>
      <w:r w:rsidR="009C0F82" w:rsidRPr="003D290F">
        <w:rPr>
          <w:rFonts w:eastAsia="Times New Roman"/>
        </w:rPr>
        <w:t xml:space="preserve">potential community of interest, and by result, potential </w:t>
      </w:r>
      <w:r w:rsidR="000D4368" w:rsidRPr="003D290F">
        <w:rPr>
          <w:rFonts w:eastAsia="Times New Roman"/>
        </w:rPr>
        <w:t>destinations for closing employee workers seeking alternate employment.</w:t>
      </w:r>
      <w:r w:rsidR="009C0F82" w:rsidRPr="003D290F">
        <w:rPr>
          <w:rFonts w:eastAsia="Times New Roman"/>
        </w:rPr>
        <w:t xml:space="preserve"> The following factors are considered:</w:t>
      </w:r>
    </w:p>
    <w:p w14:paraId="455DC282" w14:textId="77777777" w:rsidR="001B3949" w:rsidRPr="003D290F" w:rsidRDefault="00834887" w:rsidP="00B82A86">
      <w:pPr>
        <w:pStyle w:val="BulletedList-Level1"/>
        <w:numPr>
          <w:ilvl w:val="0"/>
          <w:numId w:val="16"/>
        </w:numPr>
        <w:spacing w:line="276" w:lineRule="auto"/>
      </w:pPr>
      <w:r>
        <w:t xml:space="preserve">For </w:t>
      </w:r>
      <w:r w:rsidR="00805A2E" w:rsidRPr="003D290F">
        <w:t xml:space="preserve">coal-fired power stations and coal mines </w:t>
      </w:r>
      <w:r w:rsidR="00805A2E">
        <w:t>(</w:t>
      </w:r>
      <w:r>
        <w:t>coal sector</w:t>
      </w:r>
      <w:r w:rsidR="00805A2E">
        <w:t>)</w:t>
      </w:r>
      <w:r>
        <w:t xml:space="preserve"> workers, e</w:t>
      </w:r>
      <w:r w:rsidR="009C0F82" w:rsidRPr="003D290F">
        <w:t>mployee decision-making is likely to balance higher coal-related incomes and their existing skills with longer-term considerations around prospects within the coal industry, particularly in the later years of the analysis where the number of coal-fired power stations decreases.</w:t>
      </w:r>
      <w:r w:rsidR="007B09B9">
        <w:t xml:space="preserve"> This effect is weaker for gas-fired power stations as they, on average, earn lower wages than coal sector workers</w:t>
      </w:r>
      <w:r w:rsidR="00557407">
        <w:t>.</w:t>
      </w:r>
      <w:r w:rsidR="007B09B9">
        <w:rPr>
          <w:rStyle w:val="FootnoteReference"/>
        </w:rPr>
        <w:footnoteReference w:id="69"/>
      </w:r>
    </w:p>
    <w:p w14:paraId="2FD62A41" w14:textId="77777777" w:rsidR="006F7734" w:rsidRPr="003D290F" w:rsidRDefault="00A51DAE" w:rsidP="00B82A86">
      <w:pPr>
        <w:pStyle w:val="BulletedList-Level1"/>
        <w:numPr>
          <w:ilvl w:val="0"/>
          <w:numId w:val="16"/>
        </w:numPr>
        <w:spacing w:line="276" w:lineRule="auto"/>
      </w:pPr>
      <w:r w:rsidRPr="003D290F">
        <w:t xml:space="preserve">Geography will </w:t>
      </w:r>
      <w:r w:rsidR="009C0F82" w:rsidRPr="003D290F">
        <w:t xml:space="preserve">have some implications on </w:t>
      </w:r>
      <w:r w:rsidRPr="003D290F">
        <w:t>redeployment options</w:t>
      </w:r>
      <w:r w:rsidR="009C0F82" w:rsidRPr="003D290F">
        <w:t xml:space="preserve"> within the same industry</w:t>
      </w:r>
      <w:r w:rsidRPr="003D290F">
        <w:t xml:space="preserve">. </w:t>
      </w:r>
      <w:r w:rsidR="009C0F82" w:rsidRPr="003D290F">
        <w:t xml:space="preserve">The number of coal-fired power stations and coal mines vary considerably across </w:t>
      </w:r>
      <w:r w:rsidRPr="003D290F">
        <w:t>Latrobe Valley</w:t>
      </w:r>
      <w:r w:rsidR="009C0F82" w:rsidRPr="003D290F">
        <w:t xml:space="preserve">, </w:t>
      </w:r>
      <w:r w:rsidRPr="003D290F">
        <w:t xml:space="preserve">Gladstone </w:t>
      </w:r>
      <w:r w:rsidR="009C0F82" w:rsidRPr="003D290F">
        <w:t>and</w:t>
      </w:r>
      <w:r w:rsidRPr="003D290F">
        <w:t xml:space="preserve"> Central Queensland</w:t>
      </w:r>
      <w:r w:rsidR="008F63B9" w:rsidRPr="003D290F">
        <w:t>,</w:t>
      </w:r>
      <w:r w:rsidR="009C0F82" w:rsidRPr="003D290F">
        <w:t xml:space="preserve"> and Hunter Valley, and these will change over time. </w:t>
      </w:r>
      <w:r w:rsidR="00CF0697" w:rsidRPr="003D290F">
        <w:t>For example, by 2035, there will no longer be operational coal-fired power stations in the Hunter Valley and just one in the Latrobe Valley (see</w:t>
      </w:r>
      <w:r w:rsidR="00CF0697" w:rsidRPr="003D290F">
        <w:rPr>
          <w:rFonts w:eastAsia="Times New Roman" w:cs="Segoe UI"/>
          <w:b/>
          <w:color w:val="1B375C"/>
        </w:rPr>
        <w:t xml:space="preserve"> Figure 4.1</w:t>
      </w:r>
      <w:r w:rsidR="00CF0697" w:rsidRPr="003D290F">
        <w:t>).</w:t>
      </w:r>
    </w:p>
    <w:p w14:paraId="461FC6A5" w14:textId="77777777" w:rsidR="00CF0697" w:rsidRPr="003D290F" w:rsidRDefault="00CF0697" w:rsidP="00B75357">
      <w:pPr>
        <w:keepNext/>
        <w:spacing w:before="200" w:after="0"/>
        <w:rPr>
          <w:rFonts w:eastAsia="Times New Roman" w:cs="Segoe UI"/>
          <w:b/>
          <w:sz w:val="28"/>
        </w:rPr>
      </w:pPr>
      <w:r w:rsidRPr="003D290F">
        <w:rPr>
          <w:rFonts w:eastAsia="Times New Roman" w:cs="Segoe UI"/>
          <w:b/>
          <w:sz w:val="28"/>
        </w:rPr>
        <w:lastRenderedPageBreak/>
        <w:t>FIGURE 4.1 COAL-FIRED POWER STATION FACILITIES BY REGION TO 2035</w:t>
      </w:r>
    </w:p>
    <w:p w14:paraId="4C148946" w14:textId="70CA524C" w:rsidR="00CF0697" w:rsidRPr="003D290F" w:rsidRDefault="00386CE3" w:rsidP="003F5E60">
      <w:pPr>
        <w:keepNext/>
        <w:spacing w:after="0"/>
      </w:pPr>
      <w:r>
        <w:rPr>
          <w:noProof/>
          <w:lang w:eastAsia="en-AU"/>
        </w:rPr>
        <w:drawing>
          <wp:inline distT="0" distB="0" distL="0" distR="0" wp14:anchorId="35B98623" wp14:editId="1CC420C7">
            <wp:extent cx="6469380" cy="33604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9380" cy="3360420"/>
                    </a:xfrm>
                    <a:prstGeom prst="rect">
                      <a:avLst/>
                    </a:prstGeom>
                    <a:noFill/>
                  </pic:spPr>
                </pic:pic>
              </a:graphicData>
            </a:graphic>
          </wp:inline>
        </w:drawing>
      </w:r>
    </w:p>
    <w:p w14:paraId="4AE31A65" w14:textId="77777777" w:rsidR="00B344D9" w:rsidRPr="003D290F" w:rsidRDefault="00B344D9" w:rsidP="003F5E60">
      <w:pPr>
        <w:keepNext/>
        <w:spacing w:before="40" w:after="120" w:line="240" w:lineRule="auto"/>
        <w:rPr>
          <w:rFonts w:eastAsia="Times New Roman" w:cs="Segoe UI"/>
          <w:sz w:val="18"/>
        </w:rPr>
      </w:pPr>
      <w:r w:rsidRPr="003D290F">
        <w:rPr>
          <w:rFonts w:eastAsia="Times New Roman" w:cs="Segoe UI"/>
          <w:b/>
          <w:sz w:val="18"/>
        </w:rPr>
        <w:t>Source:</w:t>
      </w:r>
      <w:r w:rsidRPr="003D290F">
        <w:rPr>
          <w:rStyle w:val="Hyperlink"/>
          <w:rFonts w:cs="Segoe UI"/>
          <w:sz w:val="18"/>
          <w:szCs w:val="18"/>
          <w:u w:val="none"/>
        </w:rPr>
        <w:t xml:space="preserve"> </w:t>
      </w:r>
      <w:r w:rsidRPr="003D290F">
        <w:rPr>
          <w:rFonts w:eastAsia="Times New Roman" w:cs="Segoe UI"/>
          <w:sz w:val="18"/>
        </w:rPr>
        <w:t xml:space="preserve">Australian Energy Market Operator (13 July 2023), </w:t>
      </w:r>
      <w:hyperlink r:id="rId33" w:history="1">
        <w:r w:rsidRPr="003D290F">
          <w:rPr>
            <w:rFonts w:eastAsia="Times New Roman" w:cs="Segoe UI"/>
            <w:color w:val="0563C6"/>
            <w:sz w:val="18"/>
            <w:u w:val="single"/>
          </w:rPr>
          <w:t>Generation information</w:t>
        </w:r>
      </w:hyperlink>
      <w:r w:rsidRPr="003D290F">
        <w:rPr>
          <w:rFonts w:eastAsia="Times New Roman" w:cs="Segoe UI"/>
          <w:sz w:val="18"/>
        </w:rPr>
        <w:t>.</w:t>
      </w:r>
    </w:p>
    <w:p w14:paraId="057877FA" w14:textId="77777777" w:rsidR="0029281B" w:rsidRPr="003D290F" w:rsidRDefault="001D3EB4" w:rsidP="00051DB6">
      <w:r w:rsidRPr="003D290F">
        <w:t xml:space="preserve">Analysis of these drivers indicates that, over time, it is reasonable to assume a relatively equal balance of redeployment in coal-related jobs and alternative industries for </w:t>
      </w:r>
      <w:r w:rsidR="00834887">
        <w:t>coal sector</w:t>
      </w:r>
      <w:r w:rsidR="00834887" w:rsidRPr="003D290F">
        <w:t xml:space="preserve"> </w:t>
      </w:r>
      <w:r w:rsidRPr="003D290F">
        <w:t xml:space="preserve">workers. </w:t>
      </w:r>
    </w:p>
    <w:p w14:paraId="799F58C8" w14:textId="77777777" w:rsidR="00D4191E" w:rsidRPr="003D290F" w:rsidRDefault="001D3EB4" w:rsidP="00051DB6">
      <w:pPr>
        <w:rPr>
          <w:rFonts w:eastAsia="Times New Roman" w:cs="Segoe UI"/>
        </w:rPr>
      </w:pPr>
      <w:r w:rsidRPr="003D290F">
        <w:t>Additional information on community of interest assumptions</w:t>
      </w:r>
      <w:r w:rsidR="00393DE1" w:rsidRPr="003D290F">
        <w:t xml:space="preserve"> relating to each policy option</w:t>
      </w:r>
      <w:r w:rsidRPr="003D290F">
        <w:t xml:space="preserve"> is provided in </w:t>
      </w:r>
      <w:r w:rsidRPr="003D290F">
        <w:rPr>
          <w:b/>
          <w:color w:val="1B375C" w:themeColor="accent1"/>
        </w:rPr>
        <w:t>Section</w:t>
      </w:r>
      <w:r w:rsidR="006931BD" w:rsidRPr="003D290F">
        <w:rPr>
          <w:b/>
          <w:color w:val="1B375C" w:themeColor="accent1"/>
        </w:rPr>
        <w:t> </w:t>
      </w:r>
      <w:r w:rsidRPr="003D290F">
        <w:rPr>
          <w:b/>
          <w:color w:val="1B375C" w:themeColor="accent1"/>
        </w:rPr>
        <w:t>4.</w:t>
      </w:r>
      <w:r w:rsidR="007727EE" w:rsidRPr="003D290F">
        <w:rPr>
          <w:b/>
          <w:color w:val="1B375C" w:themeColor="accent1"/>
        </w:rPr>
        <w:t>5</w:t>
      </w:r>
      <w:r w:rsidR="00A6741C" w:rsidRPr="003D290F">
        <w:t xml:space="preserve">, </w:t>
      </w:r>
      <w:r w:rsidRPr="003D290F">
        <w:rPr>
          <w:b/>
          <w:color w:val="1B375C" w:themeColor="accent1"/>
        </w:rPr>
        <w:t>Sect</w:t>
      </w:r>
      <w:r w:rsidR="0029281B" w:rsidRPr="003D290F">
        <w:rPr>
          <w:b/>
          <w:color w:val="1B375C" w:themeColor="accent1"/>
        </w:rPr>
        <w:t>ion </w:t>
      </w:r>
      <w:r w:rsidRPr="003D290F">
        <w:rPr>
          <w:b/>
          <w:color w:val="1B375C" w:themeColor="accent1"/>
        </w:rPr>
        <w:t>4.</w:t>
      </w:r>
      <w:r w:rsidR="007727EE" w:rsidRPr="003D290F">
        <w:rPr>
          <w:b/>
          <w:color w:val="1B375C" w:themeColor="accent1"/>
        </w:rPr>
        <w:t>6</w:t>
      </w:r>
      <w:r w:rsidR="00A6741C" w:rsidRPr="003D290F">
        <w:rPr>
          <w:b/>
          <w:color w:val="1B375C" w:themeColor="accent1"/>
        </w:rPr>
        <w:t xml:space="preserve"> </w:t>
      </w:r>
      <w:r w:rsidR="00A6741C" w:rsidRPr="003D290F">
        <w:t>and</w:t>
      </w:r>
      <w:r w:rsidR="00A6741C" w:rsidRPr="003D290F">
        <w:rPr>
          <w:b/>
          <w:color w:val="1B375C" w:themeColor="accent1"/>
        </w:rPr>
        <w:t xml:space="preserve"> Section 6.1</w:t>
      </w:r>
      <w:r w:rsidRPr="003D290F">
        <w:t>.</w:t>
      </w:r>
    </w:p>
    <w:p w14:paraId="711DDBE0" w14:textId="77777777" w:rsidR="00214D27" w:rsidRPr="003D290F" w:rsidRDefault="00214D27" w:rsidP="00214D27">
      <w:pPr>
        <w:pStyle w:val="Heading3"/>
        <w:spacing w:line="276" w:lineRule="auto"/>
        <w:rPr>
          <w:rFonts w:eastAsia="Times New Roman"/>
        </w:rPr>
      </w:pPr>
      <w:bookmarkStart w:id="257" w:name="_Toc161395988"/>
      <w:bookmarkStart w:id="258" w:name="_Toc161403524"/>
      <w:bookmarkStart w:id="259" w:name="_Toc161694803"/>
      <w:bookmarkStart w:id="260" w:name="_Toc161752258"/>
      <w:bookmarkStart w:id="261" w:name="_Toc161759696"/>
      <w:r w:rsidRPr="003D290F">
        <w:rPr>
          <w:rFonts w:eastAsia="Times New Roman"/>
        </w:rPr>
        <w:t>4.3.</w:t>
      </w:r>
      <w:r>
        <w:rPr>
          <w:rFonts w:eastAsia="Times New Roman"/>
        </w:rPr>
        <w:t>3</w:t>
      </w:r>
      <w:r w:rsidRPr="003D290F">
        <w:rPr>
          <w:rFonts w:eastAsia="Times New Roman"/>
        </w:rPr>
        <w:t xml:space="preserve"> </w:t>
      </w:r>
      <w:r>
        <w:rPr>
          <w:rFonts w:eastAsia="Times New Roman"/>
        </w:rPr>
        <w:t>Government</w:t>
      </w:r>
      <w:bookmarkEnd w:id="257"/>
      <w:bookmarkEnd w:id="258"/>
      <w:bookmarkEnd w:id="259"/>
      <w:bookmarkEnd w:id="260"/>
      <w:bookmarkEnd w:id="261"/>
    </w:p>
    <w:p w14:paraId="21891DE2" w14:textId="77777777" w:rsidR="00214D27" w:rsidRDefault="00214D27" w:rsidP="00051DB6">
      <w:r>
        <w:t>Impacts for Government include impacts to</w:t>
      </w:r>
      <w:r w:rsidRPr="001E79E2">
        <w:t xml:space="preserve"> Commonwealth, state and territory, and local government entities. </w:t>
      </w:r>
      <w:r>
        <w:t xml:space="preserve">As of March 2024, decisions around the source of </w:t>
      </w:r>
      <w:r w:rsidRPr="00214D27">
        <w:t xml:space="preserve">expenditure to subsidise </w:t>
      </w:r>
      <w:r w:rsidR="00DE7915">
        <w:t>government payments to assist receiving employers create vacancies</w:t>
      </w:r>
      <w:r w:rsidRPr="00214D27">
        <w:t xml:space="preserve"> </w:t>
      </w:r>
      <w:r>
        <w:t xml:space="preserve">(the largest component of government impacts) in the plan have not been finalised. This decision will affect how Government impacts will be distributed across levels of government. For example, under a model where costs are equally shared between the Commonwealth and State levels of Government, </w:t>
      </w:r>
      <w:r w:rsidR="00DE7915">
        <w:t xml:space="preserve">overall </w:t>
      </w:r>
      <w:r>
        <w:t>government impacts would be almost equally spread across Commonwealth and State governments.</w:t>
      </w:r>
    </w:p>
    <w:p w14:paraId="244C242C" w14:textId="77777777" w:rsidR="00584FE4" w:rsidRPr="003D290F" w:rsidRDefault="00584FE4" w:rsidP="00584FE4">
      <w:pPr>
        <w:pStyle w:val="Heading3"/>
        <w:spacing w:line="276" w:lineRule="auto"/>
        <w:rPr>
          <w:rFonts w:eastAsia="Times New Roman"/>
        </w:rPr>
      </w:pPr>
      <w:bookmarkStart w:id="262" w:name="_Toc161395989"/>
      <w:bookmarkStart w:id="263" w:name="_Toc161403525"/>
      <w:bookmarkStart w:id="264" w:name="_Toc161694804"/>
      <w:bookmarkStart w:id="265" w:name="_Toc161752259"/>
      <w:bookmarkStart w:id="266" w:name="_Toc161759697"/>
      <w:r w:rsidRPr="003D290F">
        <w:rPr>
          <w:rFonts w:eastAsia="Times New Roman"/>
        </w:rPr>
        <w:t>4.3.</w:t>
      </w:r>
      <w:r>
        <w:rPr>
          <w:rFonts w:eastAsia="Times New Roman"/>
        </w:rPr>
        <w:t>4</w:t>
      </w:r>
      <w:r w:rsidRPr="003D290F">
        <w:rPr>
          <w:rFonts w:eastAsia="Times New Roman"/>
        </w:rPr>
        <w:t xml:space="preserve"> </w:t>
      </w:r>
      <w:r>
        <w:rPr>
          <w:rFonts w:eastAsia="Times New Roman"/>
        </w:rPr>
        <w:t>Out-of-scope stakeholders</w:t>
      </w:r>
      <w:bookmarkEnd w:id="262"/>
      <w:bookmarkEnd w:id="263"/>
      <w:bookmarkEnd w:id="264"/>
      <w:bookmarkEnd w:id="265"/>
      <w:bookmarkEnd w:id="266"/>
      <w:r>
        <w:rPr>
          <w:rFonts w:eastAsia="Times New Roman"/>
        </w:rPr>
        <w:t xml:space="preserve"> </w:t>
      </w:r>
    </w:p>
    <w:p w14:paraId="181460E3" w14:textId="77777777" w:rsidR="00584FE4" w:rsidRDefault="00584FE4" w:rsidP="00584FE4">
      <w:pPr>
        <w:rPr>
          <w:rFonts w:eastAsia="Times New Roman" w:cs="Segoe UI"/>
        </w:rPr>
      </w:pPr>
      <w:r w:rsidRPr="0057415D">
        <w:rPr>
          <w:rFonts w:eastAsia="Times New Roman" w:cs="Segoe UI"/>
        </w:rPr>
        <w:t xml:space="preserve">Impacts on </w:t>
      </w:r>
      <w:r w:rsidR="00805A2E">
        <w:rPr>
          <w:rFonts w:eastAsia="Times New Roman" w:cs="Segoe UI"/>
        </w:rPr>
        <w:t>out-of-scope</w:t>
      </w:r>
      <w:r w:rsidR="00805A2E" w:rsidRPr="0057415D">
        <w:rPr>
          <w:rFonts w:eastAsia="Times New Roman" w:cs="Segoe UI"/>
        </w:rPr>
        <w:t xml:space="preserve"> </w:t>
      </w:r>
      <w:r w:rsidRPr="0057415D">
        <w:rPr>
          <w:rFonts w:eastAsia="Times New Roman" w:cs="Segoe UI"/>
        </w:rPr>
        <w:t xml:space="preserve">employers and employees are not included </w:t>
      </w:r>
      <w:r w:rsidR="00805A2E">
        <w:rPr>
          <w:rFonts w:eastAsia="Times New Roman" w:cs="Segoe UI"/>
        </w:rPr>
        <w:t>in</w:t>
      </w:r>
      <w:r w:rsidR="00805A2E" w:rsidRPr="0057415D">
        <w:rPr>
          <w:rFonts w:eastAsia="Times New Roman" w:cs="Segoe UI"/>
        </w:rPr>
        <w:t xml:space="preserve"> </w:t>
      </w:r>
      <w:r w:rsidRPr="0057415D">
        <w:rPr>
          <w:rFonts w:eastAsia="Times New Roman" w:cs="Segoe UI"/>
        </w:rPr>
        <w:t xml:space="preserve">the analysis as the net impact on these stakeholders are expected to be minor. </w:t>
      </w:r>
      <w:r>
        <w:rPr>
          <w:rFonts w:eastAsia="Times New Roman" w:cs="Segoe UI"/>
        </w:rPr>
        <w:t>Stakeholders outside of the scope of the analysis and the anticipated impact on them</w:t>
      </w:r>
      <w:r w:rsidR="00805A2E">
        <w:rPr>
          <w:rFonts w:eastAsia="Times New Roman" w:cs="Segoe UI"/>
        </w:rPr>
        <w:t xml:space="preserve">, under Option 2 or Option 3 compared to the status quo, </w:t>
      </w:r>
      <w:r>
        <w:rPr>
          <w:rFonts w:eastAsia="Times New Roman" w:cs="Segoe UI"/>
        </w:rPr>
        <w:t>are considered below:</w:t>
      </w:r>
    </w:p>
    <w:p w14:paraId="60D5A115" w14:textId="77777777" w:rsidR="00584FE4" w:rsidRDefault="00584FE4" w:rsidP="00B82A86">
      <w:pPr>
        <w:pStyle w:val="ListParagraph"/>
        <w:numPr>
          <w:ilvl w:val="0"/>
          <w:numId w:val="23"/>
        </w:numPr>
        <w:rPr>
          <w:rFonts w:eastAsia="Times New Roman" w:cs="Segoe UI"/>
        </w:rPr>
      </w:pPr>
      <w:r>
        <w:rPr>
          <w:rFonts w:eastAsia="Times New Roman" w:cs="Segoe UI"/>
        </w:rPr>
        <w:t>E</w:t>
      </w:r>
      <w:r w:rsidRPr="0057415D">
        <w:rPr>
          <w:rFonts w:eastAsia="Times New Roman" w:cs="Segoe UI"/>
        </w:rPr>
        <w:t xml:space="preserve">mployers in </w:t>
      </w:r>
      <w:r>
        <w:rPr>
          <w:rFonts w:eastAsia="Times New Roman" w:cs="Segoe UI"/>
        </w:rPr>
        <w:t xml:space="preserve">affected </w:t>
      </w:r>
      <w:r w:rsidRPr="0057415D">
        <w:rPr>
          <w:rFonts w:eastAsia="Times New Roman" w:cs="Segoe UI"/>
        </w:rPr>
        <w:t>region</w:t>
      </w:r>
      <w:r>
        <w:rPr>
          <w:rFonts w:eastAsia="Times New Roman" w:cs="Segoe UI"/>
        </w:rPr>
        <w:t>s</w:t>
      </w:r>
      <w:r w:rsidRPr="0057415D">
        <w:rPr>
          <w:rFonts w:eastAsia="Times New Roman" w:cs="Segoe UI"/>
        </w:rPr>
        <w:t xml:space="preserve"> that </w:t>
      </w:r>
      <w:r>
        <w:rPr>
          <w:rFonts w:eastAsia="Times New Roman" w:cs="Segoe UI"/>
        </w:rPr>
        <w:t>are not closing employers or receiving employers:</w:t>
      </w:r>
      <w:r w:rsidRPr="0057415D">
        <w:rPr>
          <w:rFonts w:eastAsia="Times New Roman" w:cs="Segoe UI"/>
        </w:rPr>
        <w:t xml:space="preserve"> are likely to benefit from greater certainty around workforce and lower search costs. </w:t>
      </w:r>
    </w:p>
    <w:p w14:paraId="7E917A71" w14:textId="77777777" w:rsidR="00584FE4" w:rsidRDefault="00584FE4" w:rsidP="00B82A86">
      <w:pPr>
        <w:pStyle w:val="ListParagraph"/>
        <w:numPr>
          <w:ilvl w:val="0"/>
          <w:numId w:val="23"/>
        </w:numPr>
        <w:rPr>
          <w:rFonts w:eastAsia="Times New Roman" w:cs="Segoe UI"/>
        </w:rPr>
      </w:pPr>
      <w:r>
        <w:rPr>
          <w:rFonts w:eastAsia="Times New Roman" w:cs="Segoe UI"/>
        </w:rPr>
        <w:lastRenderedPageBreak/>
        <w:t>E</w:t>
      </w:r>
      <w:r w:rsidRPr="0057415D">
        <w:rPr>
          <w:rFonts w:eastAsia="Times New Roman" w:cs="Segoe UI"/>
        </w:rPr>
        <w:t>mploye</w:t>
      </w:r>
      <w:r>
        <w:rPr>
          <w:rFonts w:eastAsia="Times New Roman" w:cs="Segoe UI"/>
        </w:rPr>
        <w:t>e</w:t>
      </w:r>
      <w:r w:rsidRPr="0057415D">
        <w:rPr>
          <w:rFonts w:eastAsia="Times New Roman" w:cs="Segoe UI"/>
        </w:rPr>
        <w:t xml:space="preserve">s in </w:t>
      </w:r>
      <w:r>
        <w:rPr>
          <w:rFonts w:eastAsia="Times New Roman" w:cs="Segoe UI"/>
        </w:rPr>
        <w:t xml:space="preserve">affected </w:t>
      </w:r>
      <w:r w:rsidRPr="0057415D">
        <w:rPr>
          <w:rFonts w:eastAsia="Times New Roman" w:cs="Segoe UI"/>
        </w:rPr>
        <w:t>region</w:t>
      </w:r>
      <w:r>
        <w:rPr>
          <w:rFonts w:eastAsia="Times New Roman" w:cs="Segoe UI"/>
        </w:rPr>
        <w:t>s</w:t>
      </w:r>
      <w:r w:rsidRPr="0057415D">
        <w:rPr>
          <w:rFonts w:eastAsia="Times New Roman" w:cs="Segoe UI"/>
        </w:rPr>
        <w:t xml:space="preserve"> that </w:t>
      </w:r>
      <w:r>
        <w:rPr>
          <w:rFonts w:eastAsia="Times New Roman" w:cs="Segoe UI"/>
        </w:rPr>
        <w:t xml:space="preserve">do not work for closing employers or receiving employers: </w:t>
      </w:r>
      <w:r w:rsidRPr="0057415D">
        <w:rPr>
          <w:rFonts w:eastAsia="Times New Roman" w:cs="Segoe UI"/>
        </w:rPr>
        <w:t xml:space="preserve">are likely to benefit from greater economic prospects and social cohesion within the region. </w:t>
      </w:r>
    </w:p>
    <w:p w14:paraId="2E133CC2" w14:textId="77777777" w:rsidR="00584FE4" w:rsidRDefault="00584FE4" w:rsidP="00B82A86">
      <w:pPr>
        <w:pStyle w:val="ListParagraph"/>
        <w:numPr>
          <w:ilvl w:val="0"/>
          <w:numId w:val="23"/>
        </w:numPr>
        <w:rPr>
          <w:rFonts w:eastAsia="Times New Roman" w:cs="Segoe UI"/>
        </w:rPr>
      </w:pPr>
      <w:r>
        <w:rPr>
          <w:rFonts w:eastAsia="Times New Roman" w:cs="Segoe UI"/>
        </w:rPr>
        <w:t xml:space="preserve">Existing and prospective workers: may experience </w:t>
      </w:r>
      <w:r w:rsidRPr="0057415D">
        <w:rPr>
          <w:rFonts w:eastAsia="Times New Roman" w:cs="Segoe UI"/>
        </w:rPr>
        <w:t xml:space="preserve">a minor cost </w:t>
      </w:r>
      <w:r>
        <w:rPr>
          <w:rFonts w:eastAsia="Times New Roman" w:cs="Segoe UI"/>
        </w:rPr>
        <w:t>if</w:t>
      </w:r>
      <w:r w:rsidRPr="0057415D">
        <w:rPr>
          <w:rFonts w:eastAsia="Times New Roman" w:cs="Segoe UI"/>
        </w:rPr>
        <w:t xml:space="preserve"> recipient employer employees who participate in the </w:t>
      </w:r>
      <w:r>
        <w:rPr>
          <w:rFonts w:eastAsia="Times New Roman" w:cs="Segoe UI"/>
        </w:rPr>
        <w:t>plan</w:t>
      </w:r>
      <w:r w:rsidRPr="0057415D">
        <w:rPr>
          <w:rFonts w:eastAsia="Times New Roman" w:cs="Segoe UI"/>
        </w:rPr>
        <w:t xml:space="preserve"> </w:t>
      </w:r>
      <w:r>
        <w:rPr>
          <w:rFonts w:eastAsia="Times New Roman" w:cs="Segoe UI"/>
        </w:rPr>
        <w:t>seek</w:t>
      </w:r>
      <w:r w:rsidRPr="0057415D">
        <w:rPr>
          <w:rFonts w:eastAsia="Times New Roman" w:cs="Segoe UI"/>
        </w:rPr>
        <w:t xml:space="preserve"> another job (rather than retiring) </w:t>
      </w:r>
      <w:r>
        <w:rPr>
          <w:rFonts w:eastAsia="Times New Roman" w:cs="Segoe UI"/>
        </w:rPr>
        <w:t>and compete with this cohort</w:t>
      </w:r>
      <w:r w:rsidRPr="0057415D">
        <w:rPr>
          <w:rFonts w:eastAsia="Times New Roman" w:cs="Segoe UI"/>
        </w:rPr>
        <w:t>.</w:t>
      </w:r>
    </w:p>
    <w:p w14:paraId="330EB41F" w14:textId="77777777" w:rsidR="00584FE4" w:rsidRPr="00584FE4" w:rsidRDefault="00584FE4" w:rsidP="00051DB6">
      <w:pPr>
        <w:rPr>
          <w:rFonts w:eastAsia="Times New Roman" w:cs="Segoe UI"/>
        </w:rPr>
      </w:pPr>
      <w:r>
        <w:rPr>
          <w:rFonts w:eastAsia="Times New Roman" w:cs="Segoe UI"/>
        </w:rPr>
        <w:t>If the gender composition of those employees who participate in the plan is different to those above, the plan may have gender impacts within the affected regions.</w:t>
      </w:r>
      <w:r>
        <w:t xml:space="preserve"> </w:t>
      </w:r>
    </w:p>
    <w:p w14:paraId="5620D457" w14:textId="77777777" w:rsidR="00355CA0" w:rsidRPr="003D290F" w:rsidRDefault="00355CA0" w:rsidP="007D2AED">
      <w:pPr>
        <w:pStyle w:val="Heading2"/>
      </w:pPr>
      <w:bookmarkStart w:id="267" w:name="_Toc161395990"/>
      <w:bookmarkStart w:id="268" w:name="_Toc161403526"/>
      <w:bookmarkStart w:id="269" w:name="_Toc161752260"/>
      <w:bookmarkStart w:id="270" w:name="_Toc161759698"/>
      <w:r w:rsidRPr="003D290F">
        <w:t>4.</w:t>
      </w:r>
      <w:r w:rsidR="007727EE" w:rsidRPr="003D290F">
        <w:t>4</w:t>
      </w:r>
      <w:r w:rsidRPr="003D290F">
        <w:t xml:space="preserve"> Option </w:t>
      </w:r>
      <w:r w:rsidR="00D44ABC" w:rsidRPr="003D290F">
        <w:t>1</w:t>
      </w:r>
      <w:r w:rsidRPr="003D290F">
        <w:t>: status quo</w:t>
      </w:r>
      <w:bookmarkEnd w:id="267"/>
      <w:bookmarkEnd w:id="268"/>
      <w:bookmarkEnd w:id="269"/>
      <w:bookmarkEnd w:id="270"/>
    </w:p>
    <w:p w14:paraId="447EE798" w14:textId="77777777" w:rsidR="00355CA0" w:rsidRPr="003D290F" w:rsidRDefault="00355CA0" w:rsidP="00FE3DEC">
      <w:pPr>
        <w:rPr>
          <w:rFonts w:eastAsia="Times New Roman" w:cs="Segoe UI"/>
        </w:rPr>
      </w:pPr>
      <w:r w:rsidRPr="003D290F">
        <w:rPr>
          <w:rFonts w:eastAsia="Times New Roman" w:cs="Segoe UI"/>
        </w:rPr>
        <w:t xml:space="preserve">Under the status quo, the closing employer, </w:t>
      </w:r>
      <w:r w:rsidR="00665069" w:rsidRPr="003D290F">
        <w:rPr>
          <w:rFonts w:eastAsia="Times New Roman" w:cs="Segoe UI"/>
        </w:rPr>
        <w:t xml:space="preserve">Australian </w:t>
      </w:r>
      <w:r w:rsidR="00B2277E" w:rsidRPr="003D290F">
        <w:rPr>
          <w:rFonts w:eastAsia="Times New Roman" w:cs="Segoe UI"/>
        </w:rPr>
        <w:t xml:space="preserve">Government and state governments offer supports in line with existing approaches, as discussed in </w:t>
      </w:r>
      <w:r w:rsidR="000C2EE5" w:rsidRPr="003D290F">
        <w:rPr>
          <w:rFonts w:eastAsia="Times New Roman" w:cs="Segoe UI"/>
          <w:b/>
          <w:color w:val="1B375C"/>
        </w:rPr>
        <w:t>S</w:t>
      </w:r>
      <w:r w:rsidR="00F30C41" w:rsidRPr="003D290F">
        <w:rPr>
          <w:rFonts w:eastAsia="Times New Roman" w:cs="Segoe UI"/>
          <w:b/>
          <w:color w:val="1B375C"/>
        </w:rPr>
        <w:t>ection 1.3</w:t>
      </w:r>
      <w:r w:rsidR="00B2277E" w:rsidRPr="003D290F">
        <w:rPr>
          <w:rFonts w:eastAsia="Times New Roman" w:cs="Segoe UI"/>
        </w:rPr>
        <w:t xml:space="preserve">, without a pooled redeployment </w:t>
      </w:r>
      <w:r w:rsidR="00F6294A" w:rsidRPr="003D290F">
        <w:rPr>
          <w:rFonts w:eastAsia="Times New Roman" w:cs="Segoe UI"/>
        </w:rPr>
        <w:t>plan</w:t>
      </w:r>
      <w:r w:rsidRPr="003D290F">
        <w:rPr>
          <w:rFonts w:eastAsia="Times New Roman" w:cs="Segoe UI"/>
        </w:rPr>
        <w:t>.</w:t>
      </w:r>
      <w:r w:rsidR="00591052">
        <w:rPr>
          <w:rStyle w:val="FootnoteReference"/>
          <w:rFonts w:eastAsia="Times New Roman" w:cs="Segoe UI"/>
        </w:rPr>
        <w:footnoteReference w:id="70"/>
      </w:r>
      <w:r w:rsidRPr="003D290F">
        <w:rPr>
          <w:rFonts w:ascii="Times New Roman" w:eastAsia="Times New Roman" w:hAnsi="Times New Roman" w:cs="Segoe UI Light"/>
          <w:color w:val="1B375C"/>
          <w:sz w:val="24"/>
          <w:szCs w:val="24"/>
        </w:rPr>
        <w:t xml:space="preserve"> </w:t>
      </w:r>
      <w:r w:rsidRPr="003D290F">
        <w:rPr>
          <w:rFonts w:eastAsia="Times New Roman" w:cs="Segoe UI"/>
        </w:rPr>
        <w:t>Outcomes under the status quo are estimated to give a baseline that can be compared against outcomes under other options.</w:t>
      </w:r>
    </w:p>
    <w:p w14:paraId="12F2432B" w14:textId="77777777" w:rsidR="00076E5E" w:rsidRPr="003D290F" w:rsidRDefault="00CB08F5" w:rsidP="005D46F4">
      <w:pPr>
        <w:pStyle w:val="Heading3"/>
        <w:spacing w:line="276" w:lineRule="auto"/>
      </w:pPr>
      <w:bookmarkStart w:id="271" w:name="_Toc155604634"/>
      <w:bookmarkStart w:id="272" w:name="_Toc161395991"/>
      <w:bookmarkStart w:id="273" w:name="_Toc161403527"/>
      <w:bookmarkStart w:id="274" w:name="_Toc161694806"/>
      <w:bookmarkStart w:id="275" w:name="_Toc161752261"/>
      <w:bookmarkStart w:id="276" w:name="_Toc161759699"/>
      <w:r w:rsidRPr="003D290F">
        <w:rPr>
          <w:rFonts w:eastAsia="Times New Roman"/>
        </w:rPr>
        <w:t>4.</w:t>
      </w:r>
      <w:r w:rsidR="007727EE" w:rsidRPr="003D290F">
        <w:rPr>
          <w:rFonts w:eastAsia="Times New Roman"/>
        </w:rPr>
        <w:t>4</w:t>
      </w:r>
      <w:r w:rsidRPr="003D290F">
        <w:rPr>
          <w:rFonts w:eastAsia="Times New Roman"/>
        </w:rPr>
        <w:t>.1</w:t>
      </w:r>
      <w:r w:rsidR="00076E5E" w:rsidRPr="003D290F">
        <w:t xml:space="preserve"> Stakeholder outcomes under the status quo</w:t>
      </w:r>
      <w:bookmarkEnd w:id="271"/>
      <w:bookmarkEnd w:id="272"/>
      <w:bookmarkEnd w:id="273"/>
      <w:bookmarkEnd w:id="274"/>
      <w:bookmarkEnd w:id="275"/>
      <w:bookmarkEnd w:id="276"/>
      <w:r w:rsidR="00076E5E" w:rsidRPr="003D290F">
        <w:t xml:space="preserve"> </w:t>
      </w:r>
    </w:p>
    <w:p w14:paraId="7307713B" w14:textId="77777777" w:rsidR="00076E5E" w:rsidRPr="003D290F" w:rsidRDefault="00076E5E" w:rsidP="00FE3DEC">
      <w:pPr>
        <w:rPr>
          <w:rFonts w:eastAsia="Times New Roman" w:cs="Segoe UI"/>
        </w:rPr>
      </w:pPr>
      <w:r w:rsidRPr="003D290F">
        <w:rPr>
          <w:rFonts w:eastAsia="Times New Roman" w:cs="Segoe UI"/>
        </w:rPr>
        <w:t xml:space="preserve">To quantify the costs and benefits under </w:t>
      </w:r>
      <w:r w:rsidR="00E9766D">
        <w:rPr>
          <w:rFonts w:eastAsia="Times New Roman" w:cs="Segoe UI"/>
        </w:rPr>
        <w:t>O</w:t>
      </w:r>
      <w:r w:rsidRPr="003D290F">
        <w:rPr>
          <w:rFonts w:eastAsia="Times New Roman" w:cs="Segoe UI"/>
        </w:rPr>
        <w:t xml:space="preserve">ptions </w:t>
      </w:r>
      <w:r w:rsidR="00E9766D">
        <w:rPr>
          <w:rFonts w:eastAsia="Times New Roman" w:cs="Segoe UI"/>
        </w:rPr>
        <w:t>2</w:t>
      </w:r>
      <w:r w:rsidRPr="003D290F">
        <w:rPr>
          <w:rFonts w:eastAsia="Times New Roman" w:cs="Segoe UI"/>
        </w:rPr>
        <w:t xml:space="preserve"> and </w:t>
      </w:r>
      <w:r w:rsidR="00E9766D">
        <w:rPr>
          <w:rFonts w:eastAsia="Times New Roman" w:cs="Segoe UI"/>
        </w:rPr>
        <w:t>3</w:t>
      </w:r>
      <w:r w:rsidRPr="003D290F">
        <w:rPr>
          <w:rFonts w:eastAsia="Times New Roman" w:cs="Segoe UI"/>
        </w:rPr>
        <w:t>, the potential outcomes for each stakeholder group under the status quo must be established. Past experiences indicate fragmented stakeholder outcomes, linked closely to national and local economic and labour market conditions at the time of the closure.</w:t>
      </w:r>
      <w:r w:rsidR="00CF0697" w:rsidRPr="003D290F">
        <w:rPr>
          <w:rStyle w:val="FootnoteReference"/>
          <w:rFonts w:eastAsia="Times New Roman" w:cs="Segoe UI"/>
        </w:rPr>
        <w:footnoteReference w:id="71"/>
      </w:r>
      <w:r w:rsidRPr="003D290F">
        <w:rPr>
          <w:rFonts w:eastAsia="Times New Roman" w:cs="Segoe UI"/>
        </w:rPr>
        <w:t xml:space="preserve"> Assumptions under the status quo are informed by the range of past experiences to the extent possible.</w:t>
      </w:r>
    </w:p>
    <w:p w14:paraId="4B18776E" w14:textId="77777777" w:rsidR="00076E5E" w:rsidRPr="003D290F" w:rsidRDefault="00076E5E" w:rsidP="00FE3DEC">
      <w:pPr>
        <w:rPr>
          <w:rFonts w:eastAsia="Times New Roman" w:cs="Segoe UI"/>
        </w:rPr>
      </w:pPr>
      <w:r w:rsidRPr="003D290F">
        <w:rPr>
          <w:rFonts w:eastAsia="Times New Roman" w:cs="Segoe UI"/>
        </w:rPr>
        <w:t>Under the status quo option,</w:t>
      </w:r>
      <w:r w:rsidRPr="003D290F">
        <w:rPr>
          <w:rFonts w:eastAsia="Times New Roman" w:cs="Segoe UI"/>
          <w:b/>
          <w:color w:val="1B375C"/>
        </w:rPr>
        <w:t xml:space="preserve"> closing employers</w:t>
      </w:r>
      <w:r w:rsidRPr="003D290F">
        <w:rPr>
          <w:rFonts w:eastAsia="Times New Roman" w:cs="Segoe UI"/>
          <w:b/>
        </w:rPr>
        <w:t xml:space="preserve"> </w:t>
      </w:r>
      <w:r w:rsidRPr="003D290F">
        <w:rPr>
          <w:rFonts w:eastAsia="Times New Roman" w:cs="Segoe UI"/>
        </w:rPr>
        <w:t xml:space="preserve">would lay-off their workforces at the time of facility closure (noting some may be retained for a fixed period to support decommissioning and site remediation activities). All leave and genuine redundancy entitlements would be paid in line with </w:t>
      </w:r>
      <w:r w:rsidR="006F7734" w:rsidRPr="003D290F">
        <w:rPr>
          <w:rFonts w:eastAsia="Times New Roman" w:cs="Segoe UI"/>
        </w:rPr>
        <w:t>the relevant industrial instrument</w:t>
      </w:r>
      <w:r w:rsidRPr="003D290F">
        <w:rPr>
          <w:rFonts w:eastAsia="Times New Roman" w:cs="Segoe UI"/>
        </w:rPr>
        <w:t xml:space="preserve">. The closing employer would likely allocate funding to provide some worker transition support services. As discussed in </w:t>
      </w:r>
      <w:r w:rsidR="00146EE8" w:rsidRPr="00EE27B7">
        <w:rPr>
          <w:rFonts w:eastAsia="Times New Roman" w:cs="Segoe UI"/>
          <w:b/>
          <w:color w:val="1B375C"/>
        </w:rPr>
        <w:t>Chapte</w:t>
      </w:r>
      <w:r w:rsidR="0033370C" w:rsidRPr="00EE27B7">
        <w:rPr>
          <w:rFonts w:eastAsia="Times New Roman" w:cs="Segoe UI"/>
          <w:b/>
          <w:color w:val="1B375C"/>
        </w:rPr>
        <w:t>r</w:t>
      </w:r>
      <w:r w:rsidR="0033370C">
        <w:rPr>
          <w:rFonts w:eastAsia="Times New Roman" w:cs="Segoe UI"/>
          <w:b/>
          <w:color w:val="1B375C"/>
        </w:rPr>
        <w:t xml:space="preserve"> 1</w:t>
      </w:r>
      <w:r w:rsidRPr="003D290F">
        <w:rPr>
          <w:rFonts w:eastAsia="Times New Roman" w:cs="Segoe UI"/>
        </w:rPr>
        <w:t>, some employers have already announced extensive transition programs, such as Energy Australia and AGL. The analysis assumes closing employers provide transition support under all three options</w:t>
      </w:r>
      <w:r w:rsidR="00A509FB">
        <w:rPr>
          <w:rFonts w:eastAsia="Times New Roman" w:cs="Segoe UI"/>
        </w:rPr>
        <w:t>, but these are unlikely to include formal redeployment plans</w:t>
      </w:r>
      <w:r w:rsidRPr="003D290F">
        <w:rPr>
          <w:rFonts w:eastAsia="Times New Roman" w:cs="Segoe UI"/>
        </w:rPr>
        <w:t>.</w:t>
      </w:r>
    </w:p>
    <w:p w14:paraId="04AAA2A3" w14:textId="77777777" w:rsidR="00076E5E" w:rsidRPr="003D290F" w:rsidRDefault="00076E5E" w:rsidP="00FE3DEC">
      <w:pPr>
        <w:rPr>
          <w:rFonts w:eastAsia="Times New Roman" w:cs="Segoe UI"/>
        </w:rPr>
      </w:pPr>
      <w:r w:rsidRPr="003D290F">
        <w:rPr>
          <w:rFonts w:eastAsia="Times New Roman" w:cs="Segoe UI"/>
        </w:rPr>
        <w:t>Direct effects for</w:t>
      </w:r>
      <w:r w:rsidRPr="003D290F">
        <w:rPr>
          <w:rFonts w:eastAsia="Times New Roman" w:cs="Segoe UI"/>
          <w:b/>
        </w:rPr>
        <w:t xml:space="preserve"> </w:t>
      </w:r>
      <w:r w:rsidR="001F471B" w:rsidRPr="003D290F">
        <w:rPr>
          <w:rFonts w:eastAsia="Times New Roman" w:cs="Segoe UI"/>
          <w:b/>
          <w:color w:val="1B375C"/>
        </w:rPr>
        <w:t>receiving employers</w:t>
      </w:r>
      <w:r w:rsidRPr="003D290F">
        <w:rPr>
          <w:rFonts w:eastAsia="Times New Roman" w:cs="Segoe UI"/>
          <w:b/>
          <w:color w:val="1B375C"/>
        </w:rPr>
        <w:t xml:space="preserve"> </w:t>
      </w:r>
      <w:r w:rsidRPr="003D290F">
        <w:rPr>
          <w:rFonts w:eastAsia="Times New Roman" w:cs="Segoe UI"/>
        </w:rPr>
        <w:t xml:space="preserve">are likely to be minimal under the status quo. The </w:t>
      </w:r>
      <w:r w:rsidR="00B2277E" w:rsidRPr="003D290F">
        <w:rPr>
          <w:rFonts w:eastAsia="Times New Roman" w:cs="Segoe UI"/>
        </w:rPr>
        <w:t>receiving employer</w:t>
      </w:r>
      <w:r w:rsidRPr="003D290F">
        <w:rPr>
          <w:rFonts w:eastAsia="Times New Roman" w:cs="Segoe UI"/>
        </w:rPr>
        <w:t xml:space="preserve"> would benefit from the increase in local labour supply at the time of closure, making it easier to fill vacancies. </w:t>
      </w:r>
      <w:r w:rsidR="002948E0">
        <w:rPr>
          <w:rFonts w:eastAsia="Times New Roman" w:cs="Segoe UI"/>
        </w:rPr>
        <w:t>For simplification, t</w:t>
      </w:r>
      <w:r w:rsidRPr="003D290F">
        <w:rPr>
          <w:rFonts w:eastAsia="Times New Roman" w:cs="Segoe UI"/>
        </w:rPr>
        <w:t xml:space="preserve">he analysis assumes existing vacancies at </w:t>
      </w:r>
      <w:r w:rsidR="001F471B" w:rsidRPr="003D290F">
        <w:rPr>
          <w:rFonts w:eastAsia="Times New Roman" w:cs="Segoe UI"/>
        </w:rPr>
        <w:t>receiving employers</w:t>
      </w:r>
      <w:r w:rsidRPr="003D290F">
        <w:rPr>
          <w:rFonts w:eastAsia="Times New Roman" w:cs="Segoe UI"/>
        </w:rPr>
        <w:t xml:space="preserve"> are filled by </w:t>
      </w:r>
      <w:r w:rsidR="00DC068D" w:rsidRPr="003D290F">
        <w:rPr>
          <w:rFonts w:eastAsia="Times New Roman" w:cs="Segoe UI"/>
        </w:rPr>
        <w:t xml:space="preserve">employees </w:t>
      </w:r>
      <w:r w:rsidR="00B2277E" w:rsidRPr="003D290F">
        <w:rPr>
          <w:rFonts w:eastAsia="Times New Roman" w:cs="Segoe UI"/>
        </w:rPr>
        <w:t xml:space="preserve">from </w:t>
      </w:r>
      <w:r w:rsidRPr="003D290F">
        <w:rPr>
          <w:rFonts w:eastAsia="Times New Roman" w:cs="Segoe UI"/>
        </w:rPr>
        <w:t>closing employer</w:t>
      </w:r>
      <w:r w:rsidR="00B2277E" w:rsidRPr="003D290F">
        <w:rPr>
          <w:rFonts w:eastAsia="Times New Roman" w:cs="Segoe UI"/>
        </w:rPr>
        <w:t>s</w:t>
      </w:r>
      <w:r w:rsidRPr="003D290F">
        <w:rPr>
          <w:rFonts w:eastAsia="Times New Roman" w:cs="Segoe UI"/>
        </w:rPr>
        <w:t xml:space="preserve"> </w:t>
      </w:r>
      <w:r w:rsidR="00B2277E" w:rsidRPr="003D290F">
        <w:rPr>
          <w:rFonts w:eastAsia="Times New Roman" w:cs="Segoe UI"/>
        </w:rPr>
        <w:t>in the community of interest</w:t>
      </w:r>
      <w:r w:rsidRPr="003D290F">
        <w:rPr>
          <w:rFonts w:eastAsia="Times New Roman" w:cs="Segoe UI"/>
        </w:rPr>
        <w:t xml:space="preserve"> </w:t>
      </w:r>
      <w:r w:rsidR="00233559" w:rsidRPr="003D290F">
        <w:rPr>
          <w:rFonts w:eastAsia="Times New Roman" w:cs="Segoe UI"/>
        </w:rPr>
        <w:t xml:space="preserve">equally </w:t>
      </w:r>
      <w:r w:rsidRPr="003D290F">
        <w:rPr>
          <w:rFonts w:eastAsia="Times New Roman" w:cs="Segoe UI"/>
        </w:rPr>
        <w:t>under all three options.</w:t>
      </w:r>
    </w:p>
    <w:p w14:paraId="212DFB5E" w14:textId="77777777" w:rsidR="00076E5E" w:rsidRPr="003D290F" w:rsidRDefault="00076E5E" w:rsidP="000F3400">
      <w:pPr>
        <w:rPr>
          <w:rFonts w:eastAsia="Times New Roman" w:cs="Segoe UI"/>
        </w:rPr>
      </w:pPr>
      <w:r w:rsidRPr="003D290F">
        <w:rPr>
          <w:rFonts w:eastAsia="Times New Roman" w:cs="Segoe UI"/>
          <w:b/>
          <w:color w:val="1B375C"/>
        </w:rPr>
        <w:t xml:space="preserve">Closing employer </w:t>
      </w:r>
      <w:r w:rsidR="00DC068D" w:rsidRPr="003D290F">
        <w:rPr>
          <w:rFonts w:eastAsia="Times New Roman" w:cs="Segoe UI"/>
          <w:b/>
          <w:color w:val="1B375C"/>
        </w:rPr>
        <w:t xml:space="preserve">employees </w:t>
      </w:r>
      <w:r w:rsidRPr="003D290F">
        <w:rPr>
          <w:rFonts w:eastAsia="Times New Roman" w:cs="Segoe UI"/>
        </w:rPr>
        <w:t xml:space="preserve">would be made redundant at the time of closure, noting a small cohort may be retained for a fixed period to support decommissioning and site remediation activities. </w:t>
      </w:r>
      <w:r w:rsidR="00233559" w:rsidRPr="003D290F">
        <w:rPr>
          <w:rFonts w:eastAsia="Times New Roman" w:cs="Segoe UI"/>
        </w:rPr>
        <w:t>It is assumed, for the purpose of this analysis, that all workers end their employment with the power station</w:t>
      </w:r>
      <w:r w:rsidR="00AA1535">
        <w:rPr>
          <w:rFonts w:eastAsia="Times New Roman" w:cs="Segoe UI"/>
        </w:rPr>
        <w:t xml:space="preserve">, </w:t>
      </w:r>
      <w:r w:rsidR="00233559" w:rsidRPr="003D290F">
        <w:rPr>
          <w:rFonts w:eastAsia="Times New Roman" w:cs="Segoe UI"/>
        </w:rPr>
        <w:lastRenderedPageBreak/>
        <w:t xml:space="preserve">coal mine </w:t>
      </w:r>
      <w:r w:rsidR="00AA1535">
        <w:rPr>
          <w:rFonts w:eastAsia="Times New Roman" w:cs="Segoe UI"/>
        </w:rPr>
        <w:t xml:space="preserve">or dependent supplier </w:t>
      </w:r>
      <w:r w:rsidR="00233559" w:rsidRPr="003D290F">
        <w:rPr>
          <w:rFonts w:eastAsia="Times New Roman" w:cs="Segoe UI"/>
        </w:rPr>
        <w:t xml:space="preserve">at the time of closure. </w:t>
      </w:r>
      <w:r w:rsidR="00DC068D" w:rsidRPr="003D290F">
        <w:rPr>
          <w:rFonts w:eastAsia="Times New Roman" w:cs="Segoe UI"/>
        </w:rPr>
        <w:t xml:space="preserve">Employees </w:t>
      </w:r>
      <w:r w:rsidRPr="003D290F">
        <w:rPr>
          <w:rFonts w:eastAsia="Times New Roman" w:cs="Segoe UI"/>
        </w:rPr>
        <w:t xml:space="preserve">would </w:t>
      </w:r>
      <w:r w:rsidRPr="003D290F">
        <w:rPr>
          <w:rFonts w:eastAsia="Times New Roman"/>
        </w:rPr>
        <w:t>need to invest the time, energy, and resources associated with finding alternat</w:t>
      </w:r>
      <w:r w:rsidR="00800853" w:rsidRPr="003D290F">
        <w:rPr>
          <w:rFonts w:eastAsia="Times New Roman"/>
        </w:rPr>
        <w:t>iv</w:t>
      </w:r>
      <w:r w:rsidRPr="003D290F">
        <w:rPr>
          <w:rFonts w:eastAsia="Times New Roman"/>
        </w:rPr>
        <w:t xml:space="preserve">e employment (‘search costs’). </w:t>
      </w:r>
      <w:r w:rsidRPr="003D290F">
        <w:rPr>
          <w:rFonts w:eastAsia="Times New Roman" w:cs="Segoe UI"/>
        </w:rPr>
        <w:t xml:space="preserve">Accrued leave and redundancy entitlements would be paid out to </w:t>
      </w:r>
      <w:r w:rsidR="00DC068D" w:rsidRPr="003D290F">
        <w:rPr>
          <w:rFonts w:eastAsia="Times New Roman" w:cs="Segoe UI"/>
        </w:rPr>
        <w:t>employees</w:t>
      </w:r>
      <w:r w:rsidRPr="003D290F">
        <w:rPr>
          <w:rFonts w:eastAsia="Times New Roman" w:cs="Segoe UI"/>
        </w:rPr>
        <w:t xml:space="preserve"> in line with enterprise agreements</w:t>
      </w:r>
      <w:r w:rsidR="00B2277E" w:rsidRPr="003D290F">
        <w:rPr>
          <w:rFonts w:eastAsia="Times New Roman" w:cs="Segoe UI"/>
        </w:rPr>
        <w:t xml:space="preserve"> (or other applicable industrial instrument)</w:t>
      </w:r>
      <w:r w:rsidRPr="003D290F">
        <w:rPr>
          <w:rFonts w:eastAsia="Times New Roman" w:cs="Segoe UI"/>
        </w:rPr>
        <w:t>.</w:t>
      </w:r>
    </w:p>
    <w:p w14:paraId="7C1108CE" w14:textId="77777777" w:rsidR="00CB08F5" w:rsidRPr="003D290F" w:rsidRDefault="00076E5E" w:rsidP="00FE3DEC">
      <w:pPr>
        <w:rPr>
          <w:rFonts w:ascii="Segoe UI Light" w:eastAsia="Times New Roman" w:hAnsi="Segoe UI Light" w:cs="Times New Roman"/>
        </w:rPr>
      </w:pPr>
      <w:r w:rsidRPr="003D290F">
        <w:rPr>
          <w:rFonts w:eastAsia="Times New Roman" w:cs="Segoe UI"/>
        </w:rPr>
        <w:t xml:space="preserve">Employment outcomes for these </w:t>
      </w:r>
      <w:r w:rsidR="00DC068D" w:rsidRPr="003D290F">
        <w:rPr>
          <w:rFonts w:eastAsia="Times New Roman" w:cs="Segoe UI"/>
        </w:rPr>
        <w:t>employees</w:t>
      </w:r>
      <w:r w:rsidRPr="003D290F">
        <w:rPr>
          <w:rFonts w:eastAsia="Times New Roman" w:cs="Segoe UI"/>
        </w:rPr>
        <w:t xml:space="preserve"> include securing alternat</w:t>
      </w:r>
      <w:r w:rsidR="00800853" w:rsidRPr="003D290F">
        <w:rPr>
          <w:rFonts w:eastAsia="Times New Roman" w:cs="Segoe UI"/>
        </w:rPr>
        <w:t>iv</w:t>
      </w:r>
      <w:r w:rsidRPr="003D290F">
        <w:rPr>
          <w:rFonts w:eastAsia="Times New Roman" w:cs="Segoe UI"/>
        </w:rPr>
        <w:t xml:space="preserve">e employment, becoming unemployed, or exiting the labour force, including to retire. </w:t>
      </w:r>
      <w:r w:rsidR="00DC068D" w:rsidRPr="003D290F">
        <w:rPr>
          <w:rFonts w:eastAsia="Times New Roman" w:cs="Segoe UI"/>
        </w:rPr>
        <w:t>Employees</w:t>
      </w:r>
      <w:r w:rsidRPr="003D290F">
        <w:rPr>
          <w:rFonts w:eastAsia="Times New Roman" w:cs="Segoe UI"/>
        </w:rPr>
        <w:t xml:space="preserve"> that do not secure alternat</w:t>
      </w:r>
      <w:r w:rsidR="00800853" w:rsidRPr="003D290F">
        <w:rPr>
          <w:rFonts w:eastAsia="Times New Roman" w:cs="Segoe UI"/>
        </w:rPr>
        <w:t>iv</w:t>
      </w:r>
      <w:r w:rsidRPr="003D290F">
        <w:rPr>
          <w:rFonts w:eastAsia="Times New Roman" w:cs="Segoe UI"/>
        </w:rPr>
        <w:t>e employment</w:t>
      </w:r>
      <w:r w:rsidR="00B2277E" w:rsidRPr="003D290F">
        <w:rPr>
          <w:rFonts w:eastAsia="Times New Roman" w:cs="Segoe UI"/>
        </w:rPr>
        <w:t>,</w:t>
      </w:r>
      <w:r w:rsidRPr="003D290F">
        <w:rPr>
          <w:rFonts w:eastAsia="Times New Roman" w:cs="Segoe UI"/>
        </w:rPr>
        <w:t xml:space="preserve"> or exit the labour force, would lose their income at the time of closure.</w:t>
      </w:r>
      <w:r w:rsidR="00CB08F5" w:rsidRPr="003D290F">
        <w:rPr>
          <w:rFonts w:eastAsia="Times New Roman" w:cs="Segoe UI"/>
        </w:rPr>
        <w:t xml:space="preserve"> The analysis considers past experiences in </w:t>
      </w:r>
      <w:r w:rsidR="00834887">
        <w:rPr>
          <w:rFonts w:eastAsia="Times New Roman" w:cs="Segoe UI"/>
        </w:rPr>
        <w:t>power</w:t>
      </w:r>
      <w:r w:rsidR="00CB08F5" w:rsidRPr="003D290F">
        <w:rPr>
          <w:rFonts w:eastAsia="Times New Roman" w:cs="Segoe UI"/>
        </w:rPr>
        <w:t xml:space="preserve"> stations, coal mines, and comparable industries to identify the expected impacts to stakeholders in the absence of a redeployment </w:t>
      </w:r>
      <w:r w:rsidR="00F6294A" w:rsidRPr="003D290F">
        <w:rPr>
          <w:rFonts w:eastAsia="Times New Roman" w:cs="Segoe UI"/>
        </w:rPr>
        <w:t>plan</w:t>
      </w:r>
      <w:r w:rsidR="00CB08F5" w:rsidRPr="003D290F">
        <w:rPr>
          <w:rFonts w:eastAsia="Times New Roman" w:cs="Segoe UI"/>
        </w:rPr>
        <w:t>.</w:t>
      </w:r>
      <w:r w:rsidR="00CB08F5" w:rsidRPr="003D290F">
        <w:rPr>
          <w:rFonts w:ascii="Segoe UI Light" w:eastAsia="Times New Roman" w:hAnsi="Segoe UI Light" w:cs="Times New Roman"/>
        </w:rPr>
        <w:t xml:space="preserve"> </w:t>
      </w:r>
    </w:p>
    <w:p w14:paraId="348BC7DD" w14:textId="77777777" w:rsidR="00CB08F5" w:rsidRPr="003D290F" w:rsidRDefault="00CB08F5" w:rsidP="00FE3DEC">
      <w:pPr>
        <w:rPr>
          <w:rFonts w:eastAsia="Times New Roman" w:cs="Segoe UI"/>
          <w:color w:val="000000"/>
        </w:rPr>
      </w:pPr>
      <w:r w:rsidRPr="003D290F">
        <w:rPr>
          <w:rFonts w:eastAsia="Times New Roman" w:cs="Segoe UI"/>
        </w:rPr>
        <w:t>The Port August</w:t>
      </w:r>
      <w:r w:rsidR="00B973D0" w:rsidRPr="003D290F">
        <w:rPr>
          <w:rFonts w:eastAsia="Times New Roman" w:cs="Segoe UI"/>
        </w:rPr>
        <w:t>a</w:t>
      </w:r>
      <w:r w:rsidRPr="003D290F">
        <w:rPr>
          <w:rFonts w:eastAsia="Times New Roman" w:cs="Segoe UI"/>
        </w:rPr>
        <w:t xml:space="preserve"> case study in </w:t>
      </w:r>
      <w:r w:rsidRPr="003D290F">
        <w:rPr>
          <w:rFonts w:eastAsia="Times New Roman" w:cs="Segoe UI"/>
          <w:b/>
          <w:color w:val="1B375C" w:themeColor="accent1"/>
        </w:rPr>
        <w:t>Box 4.1</w:t>
      </w:r>
      <w:r w:rsidRPr="003D290F">
        <w:rPr>
          <w:rFonts w:eastAsia="Times New Roman" w:cs="Segoe UI"/>
        </w:rPr>
        <w:t xml:space="preserve"> suggests the unemployed cohort one year after a facility closure could be as large as one third of affected </w:t>
      </w:r>
      <w:r w:rsidR="00DC068D" w:rsidRPr="003D290F">
        <w:rPr>
          <w:rFonts w:eastAsia="Times New Roman" w:cs="Segoe UI"/>
        </w:rPr>
        <w:t>employees</w:t>
      </w:r>
      <w:r w:rsidRPr="003D290F">
        <w:rPr>
          <w:rFonts w:eastAsia="Times New Roman" w:cs="Segoe UI"/>
        </w:rPr>
        <w:t xml:space="preserve">. </w:t>
      </w:r>
      <w:r w:rsidRPr="003D290F">
        <w:rPr>
          <w:rFonts w:eastAsia="Times New Roman" w:cs="Segoe UI"/>
          <w:color w:val="000000"/>
        </w:rPr>
        <w:t>Further evidence can be gleaned from the manufacturing industry. Between 2016 and 2017, three multinational car manufacturers (Ford, Toyota, and Holden) closed operations in Australia resulting in an estimated loss of 4,305 jobs.</w:t>
      </w:r>
      <w:r w:rsidRPr="003D290F">
        <w:rPr>
          <w:rFonts w:eastAsia="Times New Roman" w:cs="Segoe UI"/>
          <w:color w:val="000000"/>
          <w:vertAlign w:val="superscript"/>
        </w:rPr>
        <w:footnoteReference w:id="72"/>
      </w:r>
      <w:r w:rsidRPr="003D290F">
        <w:rPr>
          <w:rFonts w:eastAsia="Times New Roman" w:cs="Segoe UI"/>
          <w:color w:val="000000"/>
        </w:rPr>
        <w:t xml:space="preserve"> </w:t>
      </w:r>
      <w:r w:rsidR="00A07421" w:rsidRPr="003D290F">
        <w:rPr>
          <w:rFonts w:eastAsia="Times New Roman" w:cs="Segoe UI"/>
          <w:color w:val="000000"/>
        </w:rPr>
        <w:t xml:space="preserve">Out of </w:t>
      </w:r>
      <w:r w:rsidR="0043649B" w:rsidRPr="003D290F">
        <w:rPr>
          <w:rFonts w:eastAsia="Times New Roman" w:cs="Segoe UI"/>
          <w:color w:val="000000"/>
        </w:rPr>
        <w:t>this</w:t>
      </w:r>
      <w:r w:rsidR="00A07421" w:rsidRPr="003D290F">
        <w:rPr>
          <w:rFonts w:eastAsia="Times New Roman" w:cs="Segoe UI"/>
          <w:color w:val="000000"/>
        </w:rPr>
        <w:t xml:space="preserve"> affected </w:t>
      </w:r>
      <w:r w:rsidR="00644C2D" w:rsidRPr="003D290F">
        <w:rPr>
          <w:rFonts w:eastAsia="Times New Roman" w:cs="Segoe UI"/>
          <w:color w:val="000000"/>
        </w:rPr>
        <w:t xml:space="preserve">cohort in the </w:t>
      </w:r>
      <w:r w:rsidR="00A07421" w:rsidRPr="003D290F">
        <w:rPr>
          <w:rFonts w:eastAsia="Times New Roman" w:cs="Segoe UI"/>
          <w:color w:val="000000"/>
        </w:rPr>
        <w:t>automotive industry</w:t>
      </w:r>
      <w:r w:rsidR="00C70FBF" w:rsidRPr="003D290F">
        <w:rPr>
          <w:rFonts w:eastAsia="Times New Roman" w:cs="Segoe UI"/>
          <w:color w:val="000000"/>
        </w:rPr>
        <w:t>,</w:t>
      </w:r>
      <w:r w:rsidRPr="003D290F">
        <w:rPr>
          <w:rFonts w:eastAsia="Times New Roman" w:cs="Segoe UI"/>
          <w:color w:val="000000"/>
        </w:rPr>
        <w:t xml:space="preserve"> 45 per cent </w:t>
      </w:r>
      <w:r w:rsidR="00C70FBF" w:rsidRPr="003D290F">
        <w:rPr>
          <w:rFonts w:eastAsia="Times New Roman" w:cs="Segoe UI"/>
          <w:color w:val="000000"/>
        </w:rPr>
        <w:t xml:space="preserve">were </w:t>
      </w:r>
      <w:r w:rsidRPr="003D290F">
        <w:rPr>
          <w:rFonts w:eastAsia="Times New Roman" w:cs="Segoe UI"/>
          <w:color w:val="000000"/>
        </w:rPr>
        <w:t>unemployed three months after closure</w:t>
      </w:r>
      <w:r w:rsidR="00A07421" w:rsidRPr="003D290F">
        <w:rPr>
          <w:rFonts w:eastAsia="Times New Roman" w:cs="Segoe UI"/>
          <w:color w:val="000000"/>
        </w:rPr>
        <w:t xml:space="preserve"> and </w:t>
      </w:r>
      <w:r w:rsidRPr="003D290F">
        <w:rPr>
          <w:rFonts w:eastAsia="Times New Roman" w:cs="Segoe UI"/>
          <w:color w:val="000000"/>
        </w:rPr>
        <w:t xml:space="preserve">16 per cent </w:t>
      </w:r>
      <w:r w:rsidR="00A07421" w:rsidRPr="003D290F">
        <w:rPr>
          <w:rFonts w:eastAsia="Times New Roman" w:cs="Segoe UI"/>
          <w:color w:val="000000"/>
        </w:rPr>
        <w:t xml:space="preserve">were unemployed </w:t>
      </w:r>
      <w:r w:rsidRPr="003D290F">
        <w:rPr>
          <w:rFonts w:eastAsia="Times New Roman" w:cs="Segoe UI"/>
          <w:color w:val="000000"/>
        </w:rPr>
        <w:t>after a year.</w:t>
      </w:r>
    </w:p>
    <w:p w14:paraId="39088244" w14:textId="77777777" w:rsidR="00CB08F5" w:rsidRPr="003D290F" w:rsidRDefault="00CB08F5" w:rsidP="00CB08F5">
      <w:pPr>
        <w:pBdr>
          <w:top w:val="single" w:sz="48" w:space="1" w:color="E0E8F2"/>
          <w:left w:val="single" w:sz="48" w:space="4" w:color="E0E8F2"/>
          <w:bottom w:val="single" w:sz="48" w:space="1" w:color="E0E8F2"/>
          <w:right w:val="single" w:sz="48" w:space="4" w:color="E0E8F2"/>
        </w:pBdr>
        <w:shd w:val="clear" w:color="auto" w:fill="E0E8F2"/>
        <w:tabs>
          <w:tab w:val="left" w:pos="3300"/>
        </w:tabs>
        <w:spacing w:line="240" w:lineRule="auto"/>
        <w:ind w:left="227" w:right="227"/>
        <w:rPr>
          <w:rFonts w:eastAsia="Times New Roman" w:cs="Times New Roman"/>
          <w:b/>
          <w:color w:val="000000"/>
          <w:szCs w:val="20"/>
        </w:rPr>
      </w:pPr>
      <w:r w:rsidRPr="003D290F">
        <w:rPr>
          <w:rFonts w:eastAsia="Times New Roman" w:cs="Times New Roman"/>
          <w:b/>
          <w:color w:val="000000"/>
          <w:szCs w:val="20"/>
        </w:rPr>
        <w:t xml:space="preserve">BOX 4.1 NORTHERN COAL-FIRED POWER STATION AND LEIGH CREEK MINE CLOSURE </w:t>
      </w:r>
    </w:p>
    <w:p w14:paraId="167A34F6" w14:textId="77777777" w:rsidR="00355CA0" w:rsidRPr="003D290F" w:rsidRDefault="00355CA0" w:rsidP="00FE3DEC">
      <w:pPr>
        <w:pBdr>
          <w:top w:val="single" w:sz="48" w:space="1" w:color="E0E8F2"/>
          <w:left w:val="single" w:sz="48" w:space="4" w:color="E0E8F2"/>
          <w:bottom w:val="single" w:sz="48" w:space="1" w:color="E0E8F2"/>
          <w:right w:val="single" w:sz="48" w:space="4" w:color="E0E8F2"/>
        </w:pBdr>
        <w:shd w:val="clear" w:color="auto" w:fill="E0E8F2"/>
        <w:tabs>
          <w:tab w:val="left" w:pos="3300"/>
        </w:tabs>
        <w:spacing w:after="120"/>
        <w:ind w:left="227" w:right="227"/>
        <w:rPr>
          <w:rFonts w:ascii="Segoe UI Light" w:eastAsia="Times New Roman" w:hAnsi="Segoe UI Light" w:cs="Times New Roman"/>
          <w:sz w:val="20"/>
        </w:rPr>
      </w:pPr>
      <w:r w:rsidRPr="003D290F">
        <w:rPr>
          <w:rFonts w:eastAsia="Times New Roman" w:cs="Times New Roman"/>
          <w:sz w:val="20"/>
          <w:szCs w:val="20"/>
        </w:rPr>
        <w:t>The Northern Power Station and associated Leigh Creek Coal Mine in Port Augusta, South Australia, operated and maintained by Alinta Energy, closed in 2016 and 2015</w:t>
      </w:r>
      <w:r w:rsidR="00557407">
        <w:rPr>
          <w:rFonts w:eastAsia="Times New Roman" w:cs="Times New Roman"/>
          <w:sz w:val="20"/>
          <w:szCs w:val="20"/>
        </w:rPr>
        <w:t>,</w:t>
      </w:r>
      <w:r w:rsidRPr="003D290F">
        <w:rPr>
          <w:rFonts w:eastAsia="Times New Roman" w:cs="Times New Roman"/>
          <w:sz w:val="20"/>
          <w:szCs w:val="20"/>
        </w:rPr>
        <w:t xml:space="preserve"> respectively. Approximately 440 ongoing </w:t>
      </w:r>
      <w:r w:rsidR="00DC068D" w:rsidRPr="003D290F">
        <w:rPr>
          <w:rFonts w:eastAsia="Times New Roman" w:cs="Times New Roman"/>
          <w:sz w:val="20"/>
          <w:szCs w:val="20"/>
        </w:rPr>
        <w:t>employees</w:t>
      </w:r>
      <w:r w:rsidRPr="003D290F">
        <w:rPr>
          <w:rFonts w:eastAsia="Times New Roman" w:cs="Times New Roman"/>
          <w:sz w:val="20"/>
          <w:szCs w:val="20"/>
        </w:rPr>
        <w:t xml:space="preserve"> were employed at these facilities at the time.</w:t>
      </w:r>
      <w:bookmarkStart w:id="277" w:name="_Ref147504973"/>
      <w:r w:rsidRPr="003D290F">
        <w:rPr>
          <w:rFonts w:eastAsia="Times New Roman" w:cs="Segoe UI"/>
          <w:sz w:val="20"/>
          <w:szCs w:val="20"/>
          <w:vertAlign w:val="superscript"/>
        </w:rPr>
        <w:footnoteReference w:id="73"/>
      </w:r>
      <w:bookmarkEnd w:id="277"/>
      <w:r w:rsidRPr="003D290F">
        <w:rPr>
          <w:rFonts w:eastAsia="Segoe UI Light" w:cs="Segoe UI"/>
          <w:sz w:val="20"/>
          <w:szCs w:val="20"/>
        </w:rPr>
        <w:t xml:space="preserve"> An estimated one </w:t>
      </w:r>
      <w:r w:rsidRPr="003D290F">
        <w:rPr>
          <w:rFonts w:eastAsia="Times New Roman" w:cs="Segoe UI"/>
          <w:sz w:val="20"/>
          <w:szCs w:val="20"/>
        </w:rPr>
        <w:t xml:space="preserve">third of these </w:t>
      </w:r>
      <w:r w:rsidR="00DC068D" w:rsidRPr="003D290F">
        <w:rPr>
          <w:rFonts w:eastAsia="Times New Roman" w:cs="Segoe UI"/>
          <w:sz w:val="20"/>
          <w:szCs w:val="20"/>
        </w:rPr>
        <w:t>employees</w:t>
      </w:r>
      <w:r w:rsidRPr="003D290F">
        <w:rPr>
          <w:rFonts w:eastAsia="Times New Roman" w:cs="Segoe UI"/>
          <w:sz w:val="20"/>
          <w:szCs w:val="20"/>
        </w:rPr>
        <w:t xml:space="preserve"> secured new jobs in the area, one third left the workforce, and the residual relocated to look for employment.</w:t>
      </w:r>
      <w:r w:rsidRPr="003D290F">
        <w:rPr>
          <w:rFonts w:eastAsia="Times New Roman" w:cs="Segoe UI"/>
          <w:sz w:val="20"/>
          <w:szCs w:val="20"/>
          <w:vertAlign w:val="superscript"/>
        </w:rPr>
        <w:footnoteReference w:id="74"/>
      </w:r>
    </w:p>
    <w:p w14:paraId="20AD0024" w14:textId="77777777" w:rsidR="00355CA0" w:rsidRPr="003D290F" w:rsidRDefault="00355CA0" w:rsidP="00FE3DEC">
      <w:pPr>
        <w:pBdr>
          <w:top w:val="single" w:sz="48" w:space="1" w:color="E0E8F2"/>
          <w:left w:val="single" w:sz="48" w:space="4" w:color="E0E8F2"/>
          <w:bottom w:val="single" w:sz="48" w:space="1" w:color="E0E8F2"/>
          <w:right w:val="single" w:sz="48" w:space="4" w:color="E0E8F2"/>
        </w:pBdr>
        <w:shd w:val="clear" w:color="auto" w:fill="E0E8F2"/>
        <w:tabs>
          <w:tab w:val="left" w:pos="3300"/>
        </w:tabs>
        <w:spacing w:after="120"/>
        <w:ind w:left="227" w:right="227"/>
        <w:rPr>
          <w:rFonts w:ascii="Segoe UI Light" w:eastAsia="Segoe UI Light" w:hAnsi="Segoe UI Light" w:cs="Segoe UI"/>
          <w:sz w:val="20"/>
          <w:szCs w:val="20"/>
        </w:rPr>
      </w:pPr>
      <w:r w:rsidRPr="003D290F">
        <w:rPr>
          <w:rFonts w:eastAsia="Times New Roman" w:cs="Times New Roman"/>
          <w:sz w:val="20"/>
          <w:szCs w:val="20"/>
        </w:rPr>
        <w:t>The employer</w:t>
      </w:r>
      <w:r w:rsidR="001D3BFC" w:rsidRPr="003D290F">
        <w:rPr>
          <w:rFonts w:eastAsia="Times New Roman" w:cs="Times New Roman"/>
          <w:sz w:val="20"/>
          <w:szCs w:val="20"/>
        </w:rPr>
        <w:t xml:space="preserve">, with support from the </w:t>
      </w:r>
      <w:r w:rsidR="00665069" w:rsidRPr="003D290F">
        <w:rPr>
          <w:rFonts w:eastAsia="Times New Roman" w:cs="Times New Roman"/>
          <w:sz w:val="20"/>
          <w:szCs w:val="20"/>
        </w:rPr>
        <w:t xml:space="preserve">Australian </w:t>
      </w:r>
      <w:r w:rsidR="001D3BFC" w:rsidRPr="003D290F">
        <w:rPr>
          <w:rFonts w:eastAsia="Times New Roman" w:cs="Times New Roman"/>
          <w:sz w:val="20"/>
          <w:szCs w:val="20"/>
        </w:rPr>
        <w:t>Government,</w:t>
      </w:r>
      <w:r w:rsidRPr="003D290F">
        <w:rPr>
          <w:rFonts w:eastAsia="Times New Roman" w:cs="Times New Roman"/>
          <w:sz w:val="20"/>
          <w:szCs w:val="20"/>
        </w:rPr>
        <w:t xml:space="preserve"> and </w:t>
      </w:r>
      <w:r w:rsidR="00F14A46" w:rsidRPr="003D290F">
        <w:rPr>
          <w:rFonts w:eastAsia="Times New Roman" w:cs="Times New Roman"/>
          <w:sz w:val="20"/>
          <w:szCs w:val="20"/>
        </w:rPr>
        <w:t xml:space="preserve">Government of South Australia </w:t>
      </w:r>
      <w:r w:rsidRPr="003D290F">
        <w:rPr>
          <w:rFonts w:eastAsia="Times New Roman" w:cs="Times New Roman"/>
          <w:sz w:val="20"/>
          <w:szCs w:val="20"/>
        </w:rPr>
        <w:t>provided some transition support. Alinta funded a $3.5</w:t>
      </w:r>
      <w:r w:rsidR="006931BD" w:rsidRPr="003D290F">
        <w:rPr>
          <w:rFonts w:eastAsia="Times New Roman" w:cs="Times New Roman"/>
          <w:sz w:val="20"/>
          <w:szCs w:val="20"/>
        </w:rPr>
        <w:t> </w:t>
      </w:r>
      <w:r w:rsidRPr="003D290F">
        <w:rPr>
          <w:rFonts w:eastAsia="Times New Roman" w:cs="Times New Roman"/>
          <w:sz w:val="20"/>
          <w:szCs w:val="20"/>
        </w:rPr>
        <w:t>million package of support services, including retraining and reskilling assistance, financial advisory services, career counselling, and wellbeing support.</w:t>
      </w:r>
      <w:r w:rsidRPr="003D290F">
        <w:rPr>
          <w:rFonts w:eastAsia="Times New Roman" w:cs="Segoe UI"/>
          <w:sz w:val="20"/>
          <w:szCs w:val="20"/>
          <w:vertAlign w:val="superscript"/>
        </w:rPr>
        <w:footnoteReference w:id="75"/>
      </w:r>
      <w:r w:rsidRPr="003D290F">
        <w:rPr>
          <w:rFonts w:eastAsia="Times New Roman" w:cs="Times New Roman"/>
          <w:sz w:val="20"/>
          <w:szCs w:val="20"/>
        </w:rPr>
        <w:t xml:space="preserve"> The </w:t>
      </w:r>
      <w:r w:rsidR="00644C2D" w:rsidRPr="003D290F">
        <w:rPr>
          <w:rFonts w:eastAsia="Times New Roman" w:cs="Times New Roman"/>
          <w:sz w:val="20"/>
          <w:szCs w:val="20"/>
        </w:rPr>
        <w:t>state g</w:t>
      </w:r>
      <w:r w:rsidR="00F14A46" w:rsidRPr="003D290F">
        <w:rPr>
          <w:rFonts w:eastAsia="Times New Roman" w:cs="Times New Roman"/>
          <w:sz w:val="20"/>
          <w:szCs w:val="20"/>
        </w:rPr>
        <w:t>overnment</w:t>
      </w:r>
      <w:r w:rsidRPr="003D290F">
        <w:rPr>
          <w:rFonts w:eastAsia="Times New Roman" w:cs="Times New Roman"/>
          <w:sz w:val="20"/>
          <w:szCs w:val="20"/>
        </w:rPr>
        <w:t xml:space="preserve"> provided career and job services, established a regional grant program for local businesses to stimulate job creation, and employed some affected </w:t>
      </w:r>
      <w:r w:rsidR="00DC068D" w:rsidRPr="003D290F">
        <w:rPr>
          <w:rFonts w:eastAsia="Times New Roman" w:cs="Times New Roman"/>
          <w:sz w:val="20"/>
          <w:szCs w:val="20"/>
        </w:rPr>
        <w:t>employees</w:t>
      </w:r>
      <w:r w:rsidRPr="003D290F">
        <w:rPr>
          <w:rFonts w:eastAsia="Times New Roman" w:cs="Times New Roman"/>
          <w:sz w:val="20"/>
          <w:szCs w:val="20"/>
        </w:rPr>
        <w:t xml:space="preserve"> in the </w:t>
      </w:r>
      <w:r w:rsidR="00761167" w:rsidRPr="003D290F">
        <w:rPr>
          <w:rFonts w:eastAsia="Times New Roman" w:cs="Times New Roman"/>
          <w:sz w:val="20"/>
          <w:szCs w:val="20"/>
        </w:rPr>
        <w:t>s</w:t>
      </w:r>
      <w:r w:rsidRPr="003D290F">
        <w:rPr>
          <w:rFonts w:eastAsia="Times New Roman" w:cs="Times New Roman"/>
          <w:sz w:val="20"/>
          <w:szCs w:val="20"/>
        </w:rPr>
        <w:t>tate public service.</w:t>
      </w:r>
      <w:r w:rsidRPr="003D290F">
        <w:rPr>
          <w:rFonts w:eastAsia="Segoe UI Light" w:cs="Segoe UI"/>
          <w:sz w:val="20"/>
          <w:szCs w:val="20"/>
        </w:rPr>
        <w:t xml:space="preserve"> </w:t>
      </w:r>
    </w:p>
    <w:p w14:paraId="05473828" w14:textId="77777777" w:rsidR="00CB08F5" w:rsidRPr="003D290F" w:rsidRDefault="00CB08F5" w:rsidP="00FE3DEC">
      <w:pPr>
        <w:rPr>
          <w:rFonts w:ascii="Segoe UI Light" w:eastAsia="Times New Roman" w:hAnsi="Segoe UI Light" w:cs="Times New Roman"/>
        </w:rPr>
      </w:pPr>
      <w:r w:rsidRPr="003D290F">
        <w:rPr>
          <w:rFonts w:eastAsia="Times New Roman"/>
        </w:rPr>
        <w:t>A longitudinal survey of employees following the closure of the Mitsubishi plant in Tons</w:t>
      </w:r>
      <w:r w:rsidR="00427744">
        <w:rPr>
          <w:rFonts w:eastAsia="Times New Roman"/>
        </w:rPr>
        <w:t>l</w:t>
      </w:r>
      <w:r w:rsidRPr="003D290F">
        <w:rPr>
          <w:rFonts w:eastAsia="Times New Roman"/>
        </w:rPr>
        <w:t>ey, South Australia in 2008 found one third of the affected workforce were unemployed or underemployed after three years.</w:t>
      </w:r>
      <w:r w:rsidRPr="003D290F">
        <w:rPr>
          <w:rFonts w:eastAsia="Times New Roman"/>
          <w:vertAlign w:val="superscript"/>
        </w:rPr>
        <w:footnoteReference w:id="76"/>
      </w:r>
      <w:r w:rsidRPr="003D290F">
        <w:rPr>
          <w:rFonts w:eastAsia="Times New Roman"/>
        </w:rPr>
        <w:t xml:space="preserve"> </w:t>
      </w:r>
    </w:p>
    <w:p w14:paraId="37532E3D" w14:textId="77777777" w:rsidR="00076E5E" w:rsidRPr="003D290F" w:rsidRDefault="009F0AC1" w:rsidP="00FE3DEC">
      <w:pPr>
        <w:rPr>
          <w:rFonts w:eastAsia="Times New Roman"/>
        </w:rPr>
      </w:pPr>
      <w:r w:rsidRPr="003D290F">
        <w:rPr>
          <w:rFonts w:eastAsia="Times New Roman"/>
        </w:rPr>
        <w:lastRenderedPageBreak/>
        <w:t xml:space="preserve">As established in </w:t>
      </w:r>
      <w:r w:rsidR="00146EE8" w:rsidRPr="00EE27B7">
        <w:rPr>
          <w:rFonts w:eastAsia="Times New Roman" w:cs="Segoe UI"/>
          <w:b/>
          <w:color w:val="1B375C"/>
          <w:szCs w:val="22"/>
        </w:rPr>
        <w:t>Chapte</w:t>
      </w:r>
      <w:r w:rsidR="00E9766D">
        <w:rPr>
          <w:rFonts w:eastAsia="Times New Roman" w:cs="Segoe UI"/>
          <w:b/>
          <w:color w:val="1B375C"/>
          <w:szCs w:val="22"/>
        </w:rPr>
        <w:t>r 1</w:t>
      </w:r>
      <w:r w:rsidRPr="003D290F">
        <w:rPr>
          <w:rFonts w:eastAsia="Times New Roman"/>
        </w:rPr>
        <w:t>, c</w:t>
      </w:r>
      <w:r w:rsidRPr="003D290F">
        <w:rPr>
          <w:rFonts w:eastAsia="Times New Roman" w:cs="Segoe UI"/>
        </w:rPr>
        <w:t xml:space="preserve">losing employer </w:t>
      </w:r>
      <w:r w:rsidR="00DC068D" w:rsidRPr="003D290F">
        <w:rPr>
          <w:rFonts w:eastAsia="Times New Roman" w:cs="Segoe UI"/>
        </w:rPr>
        <w:t>employees</w:t>
      </w:r>
      <w:r w:rsidRPr="003D290F">
        <w:rPr>
          <w:rFonts w:eastAsia="Times New Roman" w:cs="Segoe UI"/>
        </w:rPr>
        <w:t xml:space="preserve"> </w:t>
      </w:r>
      <w:r w:rsidRPr="003D290F">
        <w:rPr>
          <w:rFonts w:eastAsia="Times New Roman"/>
        </w:rPr>
        <w:t>that experience long-term unemployment</w:t>
      </w:r>
      <w:r w:rsidR="00076E5E" w:rsidRPr="003D290F">
        <w:rPr>
          <w:rFonts w:eastAsia="Times New Roman"/>
        </w:rPr>
        <w:t xml:space="preserve"> could </w:t>
      </w:r>
      <w:r w:rsidRPr="003D290F">
        <w:rPr>
          <w:rFonts w:eastAsia="Times New Roman"/>
        </w:rPr>
        <w:t>lead to worse</w:t>
      </w:r>
      <w:r w:rsidR="00076E5E" w:rsidRPr="003D290F">
        <w:rPr>
          <w:rFonts w:eastAsia="Times New Roman"/>
        </w:rPr>
        <w:t xml:space="preserve"> economic and social outcomes, including lower quality of life, financial hardship, and poor physical and mental health. </w:t>
      </w:r>
    </w:p>
    <w:p w14:paraId="0D21A026" w14:textId="77777777" w:rsidR="000F3400" w:rsidRPr="003D290F" w:rsidRDefault="002A619F" w:rsidP="00BA2A3F">
      <w:pPr>
        <w:rPr>
          <w:rFonts w:eastAsia="Times New Roman"/>
        </w:rPr>
      </w:pPr>
      <w:r w:rsidRPr="003D290F">
        <w:rPr>
          <w:rFonts w:eastAsia="Times New Roman"/>
        </w:rPr>
        <w:t>Under the status quo</w:t>
      </w:r>
      <w:r w:rsidR="006D01A9" w:rsidRPr="003D290F">
        <w:rPr>
          <w:rFonts w:eastAsia="Times New Roman"/>
        </w:rPr>
        <w:t>, c</w:t>
      </w:r>
      <w:r w:rsidR="000F3400" w:rsidRPr="003D290F">
        <w:rPr>
          <w:rFonts w:eastAsia="Times New Roman"/>
        </w:rPr>
        <w:t xml:space="preserve">losing employer employees would likely suffer a </w:t>
      </w:r>
      <w:r w:rsidR="006D01A9" w:rsidRPr="003D290F">
        <w:rPr>
          <w:rFonts w:eastAsia="Times New Roman"/>
        </w:rPr>
        <w:t xml:space="preserve">significant </w:t>
      </w:r>
      <w:r w:rsidR="000F3400" w:rsidRPr="003D290F">
        <w:rPr>
          <w:rFonts w:eastAsia="Times New Roman"/>
        </w:rPr>
        <w:t>reduction in earnings</w:t>
      </w:r>
      <w:r w:rsidR="006D01A9" w:rsidRPr="003D290F">
        <w:rPr>
          <w:rFonts w:eastAsia="Times New Roman"/>
        </w:rPr>
        <w:t xml:space="preserve">. e61 </w:t>
      </w:r>
      <w:r w:rsidR="006931BD" w:rsidRPr="003D290F">
        <w:rPr>
          <w:rFonts w:eastAsia="Times New Roman"/>
        </w:rPr>
        <w:t>Institute</w:t>
      </w:r>
      <w:r w:rsidR="006D01A9" w:rsidRPr="003D290F">
        <w:rPr>
          <w:rFonts w:eastAsia="Times New Roman"/>
        </w:rPr>
        <w:t xml:space="preserve"> estimates</w:t>
      </w:r>
      <w:r w:rsidR="000F3400" w:rsidRPr="003D290F">
        <w:rPr>
          <w:rFonts w:eastAsia="Times New Roman"/>
        </w:rPr>
        <w:t xml:space="preserve"> </w:t>
      </w:r>
      <w:r w:rsidR="006D01A9" w:rsidRPr="003D290F">
        <w:rPr>
          <w:rFonts w:eastAsia="Times New Roman"/>
        </w:rPr>
        <w:t xml:space="preserve">this </w:t>
      </w:r>
      <w:r w:rsidR="000F3400" w:rsidRPr="003D290F">
        <w:rPr>
          <w:rFonts w:eastAsia="Times New Roman"/>
        </w:rPr>
        <w:t xml:space="preserve">could be as large as 69 per cent </w:t>
      </w:r>
      <w:r w:rsidR="000F3400" w:rsidRPr="003D290F">
        <w:t>in the year after the closure, much greater than other industries.</w:t>
      </w:r>
      <w:r w:rsidR="000F3400" w:rsidRPr="003D290F">
        <w:rPr>
          <w:rStyle w:val="FootnoteReference"/>
        </w:rPr>
        <w:footnoteReference w:id="77"/>
      </w:r>
      <w:r w:rsidR="000F3400" w:rsidRPr="003D290F">
        <w:t xml:space="preserve"> The older age profile, high prevalence of job-specific roles that are difficult to translate to new industries, and high incomes relative to skill level engendered by strong collective bargaining in coal industries will likely make it difficult for employees to maintain their current income if redeploying to a new industry.</w:t>
      </w:r>
      <w:r w:rsidR="00534954" w:rsidRPr="003D290F">
        <w:t xml:space="preserve"> </w:t>
      </w:r>
      <w:r w:rsidRPr="003D290F">
        <w:t xml:space="preserve">The fall in earnings is taken as a given in the analysis as Options 2 and 3 are measured relative to the status quo. </w:t>
      </w:r>
      <w:r w:rsidR="00233559" w:rsidRPr="003D290F">
        <w:t xml:space="preserve">As indicated in </w:t>
      </w:r>
      <w:r w:rsidR="00E9766D">
        <w:rPr>
          <w:rFonts w:eastAsia="Times New Roman" w:cs="Segoe UI"/>
          <w:b/>
          <w:color w:val="1B375C"/>
          <w:szCs w:val="22"/>
        </w:rPr>
        <w:t>Section 4.3</w:t>
      </w:r>
      <w:r w:rsidR="00233559" w:rsidRPr="003D290F">
        <w:t>, o</w:t>
      </w:r>
      <w:r w:rsidRPr="003D290F">
        <w:t xml:space="preserve">f the employees that secure alternative employment, the analysis assumes </w:t>
      </w:r>
      <w:r w:rsidR="00534954" w:rsidRPr="003D290F">
        <w:t xml:space="preserve">across all three options that around half move within the same industry (earnings are maintained) and half relocate to a similar industry (earnings fall). </w:t>
      </w:r>
    </w:p>
    <w:p w14:paraId="2C4B43DA" w14:textId="77777777" w:rsidR="00076E5E" w:rsidRPr="003D290F" w:rsidRDefault="00B2277E" w:rsidP="00BA2A3F">
      <w:pPr>
        <w:rPr>
          <w:rFonts w:eastAsia="Times New Roman" w:cs="Segoe UI"/>
        </w:rPr>
      </w:pPr>
      <w:r w:rsidRPr="003D290F">
        <w:rPr>
          <w:rFonts w:eastAsia="Times New Roman" w:cs="Segoe UI"/>
          <w:b/>
          <w:color w:val="1B375C"/>
          <w:szCs w:val="22"/>
        </w:rPr>
        <w:t>Receiving employer</w:t>
      </w:r>
      <w:r w:rsidR="00076E5E" w:rsidRPr="003D290F">
        <w:rPr>
          <w:rFonts w:eastAsia="Times New Roman" w:cs="Segoe UI"/>
          <w:b/>
          <w:color w:val="1B375C"/>
          <w:szCs w:val="22"/>
        </w:rPr>
        <w:t xml:space="preserve"> </w:t>
      </w:r>
      <w:r w:rsidR="00DC068D" w:rsidRPr="003D290F">
        <w:rPr>
          <w:rFonts w:eastAsia="Times New Roman" w:cs="Segoe UI"/>
          <w:b/>
          <w:color w:val="1B375C"/>
        </w:rPr>
        <w:t>employees</w:t>
      </w:r>
      <w:r w:rsidR="00076E5E" w:rsidRPr="003D290F">
        <w:rPr>
          <w:rFonts w:eastAsia="Times New Roman" w:cs="Segoe UI"/>
          <w:szCs w:val="22"/>
        </w:rPr>
        <w:t xml:space="preserve"> are not expected </w:t>
      </w:r>
      <w:r w:rsidR="006F7734" w:rsidRPr="003D290F">
        <w:rPr>
          <w:rFonts w:eastAsia="Times New Roman" w:cs="Segoe UI"/>
          <w:szCs w:val="22"/>
        </w:rPr>
        <w:t xml:space="preserve">to </w:t>
      </w:r>
      <w:r w:rsidR="00076E5E" w:rsidRPr="003D290F">
        <w:rPr>
          <w:rFonts w:eastAsia="Times New Roman" w:cs="Segoe UI"/>
          <w:szCs w:val="22"/>
        </w:rPr>
        <w:t>be materially affected by the closure of a power station under the status quo.</w:t>
      </w:r>
    </w:p>
    <w:p w14:paraId="5E76B9DE" w14:textId="77777777" w:rsidR="00076E5E" w:rsidRPr="003D290F" w:rsidRDefault="00076E5E" w:rsidP="00FE3DEC">
      <w:pPr>
        <w:rPr>
          <w:rFonts w:eastAsia="Times New Roman" w:cs="Segoe UI"/>
        </w:rPr>
      </w:pPr>
      <w:r w:rsidRPr="003D290F">
        <w:rPr>
          <w:rFonts w:eastAsia="Times New Roman" w:cs="Segoe UI"/>
        </w:rPr>
        <w:t>Under the status quo option,</w:t>
      </w:r>
      <w:r w:rsidRPr="003D290F">
        <w:rPr>
          <w:rFonts w:eastAsia="Times New Roman" w:cs="Segoe UI"/>
          <w:b/>
        </w:rPr>
        <w:t xml:space="preserve"> </w:t>
      </w:r>
      <w:r w:rsidRPr="003D290F">
        <w:rPr>
          <w:rFonts w:eastAsia="Times New Roman" w:cs="Segoe UI"/>
        </w:rPr>
        <w:t>there would be increased participation in</w:t>
      </w:r>
      <w:r w:rsidRPr="003D290F">
        <w:rPr>
          <w:rFonts w:eastAsia="Times New Roman" w:cs="Segoe UI"/>
          <w:b/>
        </w:rPr>
        <w:t xml:space="preserve"> </w:t>
      </w:r>
      <w:r w:rsidR="00665069" w:rsidRPr="003D290F">
        <w:rPr>
          <w:rFonts w:eastAsia="Times New Roman" w:cs="Segoe UI"/>
          <w:b/>
          <w:color w:val="1B375C" w:themeColor="accent1"/>
        </w:rPr>
        <w:t xml:space="preserve">Australian </w:t>
      </w:r>
      <w:r w:rsidR="00F14A46" w:rsidRPr="003D290F">
        <w:rPr>
          <w:rFonts w:eastAsia="Times New Roman" w:cs="Segoe UI"/>
          <w:b/>
          <w:color w:val="1B375C" w:themeColor="accent1"/>
        </w:rPr>
        <w:t>Government</w:t>
      </w:r>
      <w:r w:rsidRPr="003D290F">
        <w:rPr>
          <w:rFonts w:eastAsia="Times New Roman" w:cs="Segoe UI"/>
          <w:b/>
          <w:color w:val="1B375C" w:themeColor="accent1"/>
        </w:rPr>
        <w:t xml:space="preserve"> programs</w:t>
      </w:r>
      <w:r w:rsidRPr="003D290F">
        <w:rPr>
          <w:rFonts w:eastAsia="Times New Roman" w:cs="Segoe UI"/>
          <w:b/>
        </w:rPr>
        <w:t xml:space="preserve"> </w:t>
      </w:r>
      <w:r w:rsidRPr="003D290F">
        <w:rPr>
          <w:rFonts w:eastAsia="Times New Roman" w:cs="Segoe UI"/>
        </w:rPr>
        <w:t xml:space="preserve">that support workers facing retrenchment (outlined in </w:t>
      </w:r>
      <w:r w:rsidR="00146EE8" w:rsidRPr="00E9766D">
        <w:rPr>
          <w:rFonts w:eastAsia="Times New Roman" w:cs="Segoe UI"/>
          <w:b/>
          <w:color w:val="1B375C"/>
          <w:szCs w:val="22"/>
        </w:rPr>
        <w:t>Chapter</w:t>
      </w:r>
      <w:r w:rsidR="00E9766D">
        <w:rPr>
          <w:rFonts w:eastAsia="Times New Roman" w:cs="Segoe UI"/>
          <w:b/>
          <w:color w:val="1B375C"/>
          <w:szCs w:val="22"/>
        </w:rPr>
        <w:t xml:space="preserve"> 1</w:t>
      </w:r>
      <w:r w:rsidRPr="003D290F">
        <w:rPr>
          <w:rFonts w:eastAsia="Times New Roman" w:cs="Segoe UI"/>
        </w:rPr>
        <w:t>).</w:t>
      </w:r>
      <w:r w:rsidRPr="003D290F">
        <w:rPr>
          <w:rFonts w:eastAsia="Times New Roman" w:cs="Segoe UI"/>
          <w:b/>
        </w:rPr>
        <w:t xml:space="preserve"> </w:t>
      </w:r>
      <w:r w:rsidRPr="003D290F">
        <w:rPr>
          <w:rFonts w:eastAsia="Times New Roman" w:cs="Segoe UI"/>
        </w:rPr>
        <w:t xml:space="preserve">The </w:t>
      </w:r>
      <w:r w:rsidR="00F14A46" w:rsidRPr="003D290F">
        <w:rPr>
          <w:rFonts w:eastAsia="Times New Roman" w:cs="Segoe UI"/>
          <w:b/>
          <w:color w:val="1B375C"/>
        </w:rPr>
        <w:t xml:space="preserve">state </w:t>
      </w:r>
      <w:r w:rsidRPr="003D290F">
        <w:rPr>
          <w:rFonts w:eastAsia="Times New Roman" w:cs="Segoe UI"/>
          <w:b/>
          <w:color w:val="1B375C"/>
        </w:rPr>
        <w:t>governmen</w:t>
      </w:r>
      <w:r w:rsidR="00DE7915">
        <w:rPr>
          <w:rFonts w:eastAsia="Times New Roman" w:cs="Segoe UI"/>
          <w:b/>
          <w:color w:val="1B375C"/>
        </w:rPr>
        <w:t>ts</w:t>
      </w:r>
      <w:r w:rsidRPr="003D290F">
        <w:rPr>
          <w:rFonts w:eastAsia="Times New Roman" w:cs="Segoe UI"/>
        </w:rPr>
        <w:t xml:space="preserve"> would likely provide some worker transition support services </w:t>
      </w:r>
      <w:r w:rsidR="00AA55EF" w:rsidRPr="003D290F">
        <w:rPr>
          <w:rFonts w:eastAsia="Times New Roman" w:cs="Segoe UI"/>
        </w:rPr>
        <w:t>as outline</w:t>
      </w:r>
      <w:r w:rsidR="005557CC" w:rsidRPr="003D290F">
        <w:rPr>
          <w:rFonts w:eastAsia="Times New Roman" w:cs="Segoe UI"/>
        </w:rPr>
        <w:t>d</w:t>
      </w:r>
      <w:r w:rsidR="00AA55EF" w:rsidRPr="003D290F">
        <w:rPr>
          <w:rFonts w:eastAsia="Times New Roman" w:cs="Segoe UI"/>
        </w:rPr>
        <w:t xml:space="preserve"> in </w:t>
      </w:r>
      <w:r w:rsidR="00E9766D">
        <w:rPr>
          <w:rFonts w:eastAsia="Times New Roman" w:cs="Segoe UI"/>
          <w:b/>
          <w:color w:val="1B375C"/>
          <w:szCs w:val="22"/>
        </w:rPr>
        <w:t>Chapter 1</w:t>
      </w:r>
      <w:r w:rsidRPr="003D290F">
        <w:rPr>
          <w:rFonts w:eastAsia="Times New Roman" w:cs="Segoe UI"/>
        </w:rPr>
        <w:t xml:space="preserve">. The analysis assumes the </w:t>
      </w:r>
      <w:r w:rsidR="00F14A46" w:rsidRPr="003D290F">
        <w:rPr>
          <w:rFonts w:eastAsia="Times New Roman" w:cs="Segoe UI"/>
        </w:rPr>
        <w:t xml:space="preserve">state </w:t>
      </w:r>
      <w:r w:rsidRPr="003D290F">
        <w:rPr>
          <w:rFonts w:eastAsia="Times New Roman" w:cs="Segoe UI"/>
        </w:rPr>
        <w:t xml:space="preserve">government provides transition support under all three options. </w:t>
      </w:r>
      <w:r w:rsidRPr="003D290F">
        <w:rPr>
          <w:rFonts w:eastAsia="Times New Roman" w:cs="Segoe UI"/>
          <w:b/>
          <w:color w:val="1B375C"/>
        </w:rPr>
        <w:t xml:space="preserve">All levels of </w:t>
      </w:r>
      <w:r w:rsidR="00F14A46" w:rsidRPr="003D290F">
        <w:rPr>
          <w:rFonts w:eastAsia="Times New Roman" w:cs="Segoe UI"/>
          <w:b/>
          <w:color w:val="1B375C"/>
        </w:rPr>
        <w:t>government</w:t>
      </w:r>
      <w:r w:rsidR="00F14A46" w:rsidRPr="003D290F">
        <w:rPr>
          <w:rFonts w:eastAsia="Times New Roman" w:cs="Segoe UI"/>
          <w:color w:val="1B375C"/>
        </w:rPr>
        <w:t xml:space="preserve"> </w:t>
      </w:r>
      <w:r w:rsidRPr="003D290F">
        <w:rPr>
          <w:rFonts w:eastAsia="Times New Roman" w:cs="Segoe UI"/>
        </w:rPr>
        <w:t>would likely experience public scrutiny</w:t>
      </w:r>
      <w:r w:rsidR="00F14A46" w:rsidRPr="003D290F">
        <w:rPr>
          <w:rFonts w:eastAsia="Times New Roman" w:cs="Segoe UI"/>
        </w:rPr>
        <w:t xml:space="preserve">, with some criticism for not securing alternative employment for affected </w:t>
      </w:r>
      <w:r w:rsidR="00DC068D" w:rsidRPr="003D290F">
        <w:rPr>
          <w:rFonts w:eastAsia="Times New Roman" w:cs="Segoe UI"/>
        </w:rPr>
        <w:t>employees</w:t>
      </w:r>
      <w:r w:rsidRPr="003D290F">
        <w:rPr>
          <w:rFonts w:eastAsia="Times New Roman" w:cs="Segoe UI"/>
        </w:rPr>
        <w:t>.</w:t>
      </w:r>
    </w:p>
    <w:p w14:paraId="0BC551EB" w14:textId="77777777" w:rsidR="00076E5E" w:rsidRPr="003D290F" w:rsidRDefault="002E04BA" w:rsidP="00BA2A3F">
      <w:pPr>
        <w:rPr>
          <w:rFonts w:eastAsia="Times New Roman" w:cs="Segoe UI"/>
        </w:rPr>
      </w:pPr>
      <w:r w:rsidRPr="003D290F">
        <w:rPr>
          <w:rFonts w:eastAsia="Times New Roman" w:cs="Segoe UI"/>
        </w:rPr>
        <w:t>While workers in power stations and local suppliers have skills that are transferable, new jobs are not always present or accessible in the same location without government support. Under the status quo, t</w:t>
      </w:r>
      <w:r w:rsidR="00076E5E" w:rsidRPr="003D290F">
        <w:rPr>
          <w:rFonts w:eastAsia="Times New Roman" w:cs="Segoe UI"/>
        </w:rPr>
        <w:t>he broader</w:t>
      </w:r>
      <w:r w:rsidR="00076E5E" w:rsidRPr="003D290F">
        <w:rPr>
          <w:rFonts w:eastAsia="Times New Roman" w:cs="Segoe UI"/>
          <w:b/>
          <w:color w:val="1B375C"/>
        </w:rPr>
        <w:t xml:space="preserve"> community</w:t>
      </w:r>
      <w:r w:rsidR="00076E5E" w:rsidRPr="003D290F">
        <w:rPr>
          <w:rFonts w:eastAsia="Times New Roman" w:cs="Segoe UI"/>
        </w:rPr>
        <w:t xml:space="preserve"> would experience flow on effects from an abrupt </w:t>
      </w:r>
      <w:r w:rsidR="00C72A8A" w:rsidRPr="003D290F">
        <w:rPr>
          <w:rFonts w:eastAsia="Times New Roman" w:cs="Segoe UI"/>
        </w:rPr>
        <w:t xml:space="preserve">increase </w:t>
      </w:r>
      <w:r w:rsidR="00076E5E" w:rsidRPr="003D290F">
        <w:rPr>
          <w:rFonts w:eastAsia="Times New Roman" w:cs="Segoe UI"/>
        </w:rPr>
        <w:t>in local unemployment, including direct job losses, reduced demand for local goods and services, loss of human capital from emigration</w:t>
      </w:r>
      <w:r w:rsidR="00410748" w:rsidRPr="003D290F">
        <w:rPr>
          <w:rFonts w:eastAsia="Times New Roman" w:cs="Segoe UI"/>
        </w:rPr>
        <w:t xml:space="preserve"> and increased social disadvantage</w:t>
      </w:r>
      <w:r w:rsidR="00076E5E" w:rsidRPr="003D290F">
        <w:rPr>
          <w:rFonts w:eastAsia="Times New Roman" w:cs="Segoe UI"/>
        </w:rPr>
        <w:t xml:space="preserve">. Government intervention that helps to maintain employment for affected </w:t>
      </w:r>
      <w:r w:rsidR="00DC068D" w:rsidRPr="003D290F">
        <w:rPr>
          <w:rFonts w:eastAsia="Times New Roman" w:cs="Segoe UI"/>
        </w:rPr>
        <w:t>employees</w:t>
      </w:r>
      <w:r w:rsidR="00076E5E" w:rsidRPr="003D290F">
        <w:rPr>
          <w:rFonts w:eastAsia="Times New Roman" w:cs="Segoe UI"/>
        </w:rPr>
        <w:t xml:space="preserve"> will ease these impacts on the broader community. It is likely that further social impacts from closures of power stations will arise, including potential loss of community identity and social cohesion.</w:t>
      </w:r>
      <w:r w:rsidR="00076E5E" w:rsidRPr="003D290F">
        <w:rPr>
          <w:rFonts w:eastAsia="Times New Roman" w:cs="Segoe UI"/>
          <w:vertAlign w:val="superscript"/>
        </w:rPr>
        <w:footnoteReference w:id="78"/>
      </w:r>
      <w:r w:rsidR="00076E5E" w:rsidRPr="003D290F">
        <w:rPr>
          <w:rFonts w:eastAsia="Times New Roman" w:cs="Segoe UI"/>
        </w:rPr>
        <w:t xml:space="preserve"> </w:t>
      </w:r>
      <w:r w:rsidR="00F7445A">
        <w:rPr>
          <w:rFonts w:eastAsia="Times New Roman" w:cs="Segoe UI"/>
        </w:rPr>
        <w:t>Without government support</w:t>
      </w:r>
      <w:r w:rsidR="00040A76">
        <w:rPr>
          <w:rFonts w:eastAsia="Times New Roman" w:cs="Segoe UI"/>
        </w:rPr>
        <w:t>, facility closures can lead to generational unemployment in regional communities.</w:t>
      </w:r>
    </w:p>
    <w:p w14:paraId="71E2B350" w14:textId="77777777" w:rsidR="00355CA0" w:rsidRPr="003D290F" w:rsidRDefault="00355CA0" w:rsidP="007D2AED">
      <w:pPr>
        <w:pStyle w:val="Heading2"/>
      </w:pPr>
      <w:bookmarkStart w:id="278" w:name="_Toc161395992"/>
      <w:bookmarkStart w:id="279" w:name="_Toc161403528"/>
      <w:bookmarkStart w:id="280" w:name="_Toc161752262"/>
      <w:bookmarkStart w:id="281" w:name="_Toc161759700"/>
      <w:r w:rsidRPr="003D290F">
        <w:t>4.</w:t>
      </w:r>
      <w:r w:rsidR="007727EE" w:rsidRPr="003D290F">
        <w:t>5</w:t>
      </w:r>
      <w:r w:rsidRPr="003D290F">
        <w:t xml:space="preserve"> Option </w:t>
      </w:r>
      <w:r w:rsidR="001D25F0" w:rsidRPr="003D290F">
        <w:t>2</w:t>
      </w:r>
      <w:r w:rsidRPr="003D290F">
        <w:t xml:space="preserve">: unlegislated pooled redeployment </w:t>
      </w:r>
      <w:r w:rsidR="00815AFC">
        <w:t>arrangements</w:t>
      </w:r>
      <w:bookmarkEnd w:id="278"/>
      <w:bookmarkEnd w:id="279"/>
      <w:bookmarkEnd w:id="280"/>
      <w:bookmarkEnd w:id="281"/>
    </w:p>
    <w:p w14:paraId="2105F0C9" w14:textId="77777777" w:rsidR="00355CA0" w:rsidRPr="003D290F" w:rsidRDefault="00355CA0" w:rsidP="005D46F4">
      <w:pPr>
        <w:pStyle w:val="Heading3"/>
        <w:spacing w:line="276" w:lineRule="auto"/>
      </w:pPr>
      <w:bookmarkStart w:id="282" w:name="_Toc155604636"/>
      <w:bookmarkStart w:id="283" w:name="_Toc161395993"/>
      <w:bookmarkStart w:id="284" w:name="_Toc161403529"/>
      <w:bookmarkStart w:id="285" w:name="_Toc161694808"/>
      <w:bookmarkStart w:id="286" w:name="_Toc161752263"/>
      <w:bookmarkStart w:id="287" w:name="_Toc161759701"/>
      <w:r w:rsidRPr="003D290F">
        <w:rPr>
          <w:rFonts w:eastAsia="Times New Roman"/>
        </w:rPr>
        <w:t>4.</w:t>
      </w:r>
      <w:r w:rsidR="007727EE" w:rsidRPr="003D290F">
        <w:rPr>
          <w:rFonts w:eastAsia="Times New Roman"/>
        </w:rPr>
        <w:t>5</w:t>
      </w:r>
      <w:r w:rsidRPr="003D290F">
        <w:rPr>
          <w:rFonts w:eastAsia="Times New Roman"/>
        </w:rPr>
        <w:t>.1 Summary</w:t>
      </w:r>
      <w:bookmarkEnd w:id="282"/>
      <w:bookmarkEnd w:id="283"/>
      <w:bookmarkEnd w:id="284"/>
      <w:bookmarkEnd w:id="285"/>
      <w:bookmarkEnd w:id="286"/>
      <w:bookmarkEnd w:id="287"/>
    </w:p>
    <w:p w14:paraId="7BF31812" w14:textId="77777777" w:rsidR="0057412D" w:rsidRPr="003D290F" w:rsidRDefault="00210BFC" w:rsidP="00BA2A3F">
      <w:pPr>
        <w:rPr>
          <w:rFonts w:eastAsia="Times New Roman" w:cs="Segoe UI"/>
        </w:rPr>
      </w:pPr>
      <w:r w:rsidRPr="003D290F">
        <w:rPr>
          <w:rFonts w:eastAsia="Times New Roman"/>
        </w:rPr>
        <w:t xml:space="preserve">The unlegislated pooled redeployment plan has a range of quantified and unquantified impacts. </w:t>
      </w:r>
      <w:r w:rsidR="00FC778B" w:rsidRPr="003D290F">
        <w:rPr>
          <w:rFonts w:eastAsia="Times New Roman"/>
        </w:rPr>
        <w:t xml:space="preserve">Several benefits of the plan have not been quantified in the analysis. </w:t>
      </w:r>
      <w:r w:rsidR="00076E5E" w:rsidRPr="003D290F">
        <w:rPr>
          <w:rFonts w:eastAsia="Times New Roman" w:cs="Segoe UI"/>
        </w:rPr>
        <w:t xml:space="preserve">The </w:t>
      </w:r>
      <w:r w:rsidR="00644C2D" w:rsidRPr="003D290F">
        <w:rPr>
          <w:rFonts w:eastAsia="Times New Roman" w:cs="Segoe UI"/>
        </w:rPr>
        <w:t xml:space="preserve">total </w:t>
      </w:r>
      <w:r w:rsidR="00D57FDF">
        <w:rPr>
          <w:rFonts w:eastAsia="Times New Roman" w:cs="Segoe UI"/>
        </w:rPr>
        <w:t>quantified</w:t>
      </w:r>
      <w:r w:rsidR="00644C2D" w:rsidRPr="003D290F">
        <w:rPr>
          <w:rFonts w:eastAsia="Times New Roman" w:cs="Segoe UI"/>
        </w:rPr>
        <w:t xml:space="preserve"> NPV of Option 2, the </w:t>
      </w:r>
      <w:r w:rsidR="00644C2D" w:rsidRPr="003D290F">
        <w:rPr>
          <w:rFonts w:eastAsia="Times New Roman" w:cs="Segoe UI"/>
        </w:rPr>
        <w:lastRenderedPageBreak/>
        <w:t xml:space="preserve">unlegislated </w:t>
      </w:r>
      <w:r w:rsidR="00F6294A" w:rsidRPr="003D290F">
        <w:rPr>
          <w:rFonts w:eastAsia="Times New Roman" w:cs="Segoe UI"/>
        </w:rPr>
        <w:t>plan</w:t>
      </w:r>
      <w:r w:rsidR="00644C2D" w:rsidRPr="003D290F">
        <w:rPr>
          <w:rFonts w:eastAsia="Times New Roman" w:cs="Segoe UI"/>
        </w:rPr>
        <w:t>, is</w:t>
      </w:r>
      <w:r w:rsidR="00076E5E" w:rsidRPr="003D290F">
        <w:rPr>
          <w:rFonts w:eastAsia="Times New Roman" w:cs="Segoe UI"/>
        </w:rPr>
        <w:t xml:space="preserve"> </w:t>
      </w:r>
      <w:r w:rsidR="00570318" w:rsidRPr="003D290F">
        <w:rPr>
          <w:rFonts w:eastAsia="Times New Roman" w:cs="Segoe UI"/>
        </w:rPr>
        <w:t>-</w:t>
      </w:r>
      <w:r w:rsidR="00076E5E" w:rsidRPr="003D290F">
        <w:rPr>
          <w:rFonts w:eastAsia="Times New Roman" w:cs="Segoe UI"/>
        </w:rPr>
        <w:t>$</w:t>
      </w:r>
      <w:r w:rsidR="0087593C">
        <w:rPr>
          <w:rFonts w:eastAsia="Times New Roman" w:cs="Segoe UI"/>
        </w:rPr>
        <w:t>16.3</w:t>
      </w:r>
      <w:r w:rsidR="00076E5E" w:rsidRPr="003D290F">
        <w:rPr>
          <w:rFonts w:eastAsia="Times New Roman" w:cs="Segoe UI"/>
        </w:rPr>
        <w:t xml:space="preserve"> million, including </w:t>
      </w:r>
      <w:r w:rsidR="00644C2D" w:rsidRPr="003D290F">
        <w:rPr>
          <w:rFonts w:eastAsia="Times New Roman" w:cs="Segoe UI"/>
        </w:rPr>
        <w:t xml:space="preserve">regulatory </w:t>
      </w:r>
      <w:r w:rsidR="00614CBD" w:rsidRPr="003D290F">
        <w:rPr>
          <w:rFonts w:eastAsia="Times New Roman" w:cs="Segoe UI"/>
        </w:rPr>
        <w:t>costs</w:t>
      </w:r>
      <w:r w:rsidR="00644C2D" w:rsidRPr="003D290F">
        <w:rPr>
          <w:rFonts w:eastAsia="Times New Roman" w:cs="Segoe UI"/>
        </w:rPr>
        <w:t xml:space="preserve">. </w:t>
      </w:r>
      <w:r w:rsidR="0057412D" w:rsidRPr="003D290F">
        <w:rPr>
          <w:rFonts w:eastAsia="Times New Roman" w:cs="Segoe UI"/>
        </w:rPr>
        <w:t>The distribution of the</w:t>
      </w:r>
      <w:r w:rsidRPr="003D290F">
        <w:rPr>
          <w:rFonts w:eastAsia="Times New Roman" w:cs="Segoe UI"/>
        </w:rPr>
        <w:t xml:space="preserve"> quantified</w:t>
      </w:r>
      <w:r w:rsidR="0057412D" w:rsidRPr="003D290F">
        <w:rPr>
          <w:rFonts w:eastAsia="Times New Roman" w:cs="Segoe UI"/>
        </w:rPr>
        <w:t xml:space="preserve"> net cost, across closing and receiving employers, employees, and government is summarised in </w:t>
      </w:r>
      <w:r w:rsidR="0057412D" w:rsidRPr="003D290F">
        <w:rPr>
          <w:rFonts w:eastAsia="Times New Roman" w:cs="Segoe UI"/>
          <w:b/>
          <w:color w:val="1B375C"/>
        </w:rPr>
        <w:t>Table 4.</w:t>
      </w:r>
      <w:r w:rsidR="00757876">
        <w:rPr>
          <w:rFonts w:eastAsia="Times New Roman" w:cs="Segoe UI"/>
          <w:b/>
          <w:color w:val="1B375C"/>
        </w:rPr>
        <w:t>5</w:t>
      </w:r>
      <w:r w:rsidR="0057412D" w:rsidRPr="003D290F">
        <w:rPr>
          <w:rFonts w:eastAsia="Times New Roman" w:cs="Segoe UI"/>
        </w:rPr>
        <w:t>.</w:t>
      </w:r>
    </w:p>
    <w:p w14:paraId="37EF6E90" w14:textId="77777777" w:rsidR="00D9616A" w:rsidRPr="003D290F" w:rsidRDefault="00D9616A" w:rsidP="00D9616A">
      <w:pPr>
        <w:rPr>
          <w:rFonts w:eastAsia="Times New Roman" w:cs="Segoe UI"/>
        </w:rPr>
      </w:pPr>
      <w:r w:rsidRPr="003D290F">
        <w:rPr>
          <w:rFonts w:eastAsia="Times New Roman" w:cs="Segoe UI"/>
        </w:rPr>
        <w:t>While indirect effects have been identified and acknowledged through this section, they are not quantified within this option. In particular, the additional benefits to communities of sustained employment and demand for goods and services are not quantified here. The potential indirect effects are identified and described qualitatively within this chapter.</w:t>
      </w:r>
    </w:p>
    <w:p w14:paraId="7771663F" w14:textId="77777777" w:rsidR="00C32084" w:rsidRPr="003D290F" w:rsidRDefault="00644C2D" w:rsidP="00BA2A3F">
      <w:pPr>
        <w:rPr>
          <w:rFonts w:eastAsia="Times New Roman" w:cs="Segoe UI"/>
        </w:rPr>
      </w:pPr>
      <w:r w:rsidRPr="003D290F">
        <w:rPr>
          <w:rFonts w:eastAsia="Times New Roman" w:cs="Segoe UI"/>
        </w:rPr>
        <w:t xml:space="preserve">As discussed in </w:t>
      </w:r>
      <w:r w:rsidRPr="003D290F">
        <w:rPr>
          <w:rFonts w:eastAsia="Times New Roman" w:cs="Segoe UI"/>
          <w:b/>
          <w:color w:val="1B375C" w:themeColor="accent1"/>
        </w:rPr>
        <w:t>Section 4.1</w:t>
      </w:r>
      <w:r w:rsidRPr="003D290F">
        <w:rPr>
          <w:rFonts w:eastAsia="Times New Roman" w:cs="Segoe UI"/>
        </w:rPr>
        <w:t xml:space="preserve">, the </w:t>
      </w:r>
      <w:r w:rsidR="00F6294A" w:rsidRPr="003D290F">
        <w:rPr>
          <w:rFonts w:eastAsia="Times New Roman" w:cs="Segoe UI"/>
        </w:rPr>
        <w:t>plan</w:t>
      </w:r>
      <w:r w:rsidRPr="003D290F">
        <w:rPr>
          <w:rFonts w:eastAsia="Times New Roman" w:cs="Segoe UI"/>
        </w:rPr>
        <w:t xml:space="preserve"> is voluntary under Option 2 and </w:t>
      </w:r>
      <w:r w:rsidR="00570318" w:rsidRPr="003D290F">
        <w:rPr>
          <w:rFonts w:eastAsia="Times New Roman" w:cs="Segoe UI"/>
        </w:rPr>
        <w:t xml:space="preserve">the </w:t>
      </w:r>
      <w:r w:rsidR="00665069" w:rsidRPr="003D290F">
        <w:rPr>
          <w:rFonts w:eastAsia="Times New Roman" w:cs="Segoe UI"/>
        </w:rPr>
        <w:t xml:space="preserve">Australian </w:t>
      </w:r>
      <w:r w:rsidRPr="003D290F">
        <w:rPr>
          <w:rFonts w:eastAsia="Times New Roman" w:cs="Segoe UI"/>
        </w:rPr>
        <w:t xml:space="preserve">Government would not compel businesses to participate. Regulatory costs, in this instance, refer to the administrative costs </w:t>
      </w:r>
      <w:r w:rsidR="00366CCF" w:rsidRPr="003D290F">
        <w:rPr>
          <w:rFonts w:eastAsia="Times New Roman" w:cs="Segoe UI"/>
        </w:rPr>
        <w:t xml:space="preserve">for closing and receiving employers </w:t>
      </w:r>
      <w:r w:rsidRPr="003D290F">
        <w:rPr>
          <w:rFonts w:eastAsia="Times New Roman" w:cs="Segoe UI"/>
        </w:rPr>
        <w:t xml:space="preserve">associated with participating in the </w:t>
      </w:r>
      <w:r w:rsidR="00F6294A" w:rsidRPr="003D290F">
        <w:rPr>
          <w:rFonts w:eastAsia="Times New Roman" w:cs="Segoe UI"/>
        </w:rPr>
        <w:t>plan</w:t>
      </w:r>
      <w:r w:rsidR="00A6546C" w:rsidRPr="003D290F">
        <w:rPr>
          <w:rFonts w:eastAsia="Times New Roman" w:cs="Segoe UI"/>
        </w:rPr>
        <w:t xml:space="preserve"> (e.g. time taken to identify employees, educate on the </w:t>
      </w:r>
      <w:r w:rsidR="00F6294A" w:rsidRPr="003D290F">
        <w:rPr>
          <w:rFonts w:eastAsia="Times New Roman" w:cs="Segoe UI"/>
        </w:rPr>
        <w:t>plan</w:t>
      </w:r>
      <w:r w:rsidR="00A6546C" w:rsidRPr="003D290F">
        <w:rPr>
          <w:rFonts w:eastAsia="Times New Roman" w:cs="Segoe UI"/>
        </w:rPr>
        <w:t xml:space="preserve">, work with </w:t>
      </w:r>
      <w:r w:rsidR="00F4765D" w:rsidRPr="003D290F">
        <w:rPr>
          <w:rFonts w:eastAsia="Times New Roman" w:cs="Segoe UI"/>
        </w:rPr>
        <w:t>g</w:t>
      </w:r>
      <w:r w:rsidR="00A6546C" w:rsidRPr="003D290F">
        <w:rPr>
          <w:rFonts w:eastAsia="Times New Roman" w:cs="Segoe UI"/>
        </w:rPr>
        <w:t>overnment and other parties)</w:t>
      </w:r>
      <w:r w:rsidRPr="003D290F">
        <w:rPr>
          <w:rFonts w:eastAsia="Times New Roman" w:cs="Segoe UI"/>
        </w:rPr>
        <w:t>.</w:t>
      </w:r>
    </w:p>
    <w:p w14:paraId="546C7A38" w14:textId="77777777" w:rsidR="003D37EA" w:rsidRPr="003D290F" w:rsidRDefault="003D37EA" w:rsidP="003D37EA">
      <w:pPr>
        <w:keepNext/>
        <w:spacing w:line="240" w:lineRule="auto"/>
        <w:rPr>
          <w:rFonts w:eastAsia="Times New Roman" w:cs="Segoe UI"/>
          <w:b/>
          <w:sz w:val="24"/>
        </w:rPr>
      </w:pPr>
      <w:r w:rsidRPr="003D290F">
        <w:rPr>
          <w:rFonts w:eastAsia="Times New Roman" w:cs="Segoe UI"/>
          <w:b/>
          <w:sz w:val="24"/>
        </w:rPr>
        <w:t>TABLE 4.</w:t>
      </w:r>
      <w:r w:rsidR="00757876">
        <w:rPr>
          <w:rFonts w:eastAsia="Times New Roman" w:cs="Segoe UI"/>
          <w:b/>
          <w:sz w:val="24"/>
        </w:rPr>
        <w:t>5</w:t>
      </w:r>
      <w:r w:rsidRPr="003D290F">
        <w:rPr>
          <w:rFonts w:eastAsia="Times New Roman" w:cs="Segoe UI"/>
          <w:b/>
          <w:sz w:val="24"/>
        </w:rPr>
        <w:t xml:space="preserve"> </w:t>
      </w:r>
      <w:r w:rsidR="00120313" w:rsidRPr="003D290F">
        <w:rPr>
          <w:rFonts w:eastAsia="Times New Roman" w:cs="Segoe UI"/>
          <w:b/>
          <w:sz w:val="24"/>
        </w:rPr>
        <w:t xml:space="preserve">ESTIMATED </w:t>
      </w:r>
      <w:r w:rsidR="00F53A32">
        <w:rPr>
          <w:rFonts w:eastAsia="Times New Roman" w:cs="Segoe UI"/>
          <w:b/>
          <w:sz w:val="24"/>
        </w:rPr>
        <w:t xml:space="preserve">QUANTIFIED </w:t>
      </w:r>
      <w:r w:rsidRPr="003D290F">
        <w:rPr>
          <w:rFonts w:eastAsia="Times New Roman" w:cs="Segoe UI"/>
          <w:b/>
          <w:sz w:val="24"/>
        </w:rPr>
        <w:t xml:space="preserve">NET PRESENT VALUE OF OPTION 2 INCLUDING REGULATORY COSTS </w:t>
      </w:r>
      <w:r w:rsidR="00120313" w:rsidRPr="003D290F">
        <w:rPr>
          <w:rFonts w:eastAsia="Times New Roman" w:cs="Segoe UI"/>
          <w:b/>
          <w:sz w:val="24"/>
        </w:rPr>
        <w:t xml:space="preserve">RELATIVE TO OPTION 1 </w:t>
      </w:r>
    </w:p>
    <w:tbl>
      <w:tblPr>
        <w:tblStyle w:val="Custom11"/>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660" w:firstRow="1" w:lastRow="1" w:firstColumn="0" w:lastColumn="0" w:noHBand="1" w:noVBand="1"/>
      </w:tblPr>
      <w:tblGrid>
        <w:gridCol w:w="7798"/>
        <w:gridCol w:w="2396"/>
      </w:tblGrid>
      <w:tr w:rsidR="003D37EA" w:rsidRPr="003D290F" w14:paraId="19B725A7" w14:textId="77777777" w:rsidTr="00DC068D">
        <w:trPr>
          <w:cnfStyle w:val="100000000000" w:firstRow="1" w:lastRow="0" w:firstColumn="0" w:lastColumn="0" w:oddVBand="0" w:evenVBand="0" w:oddHBand="0" w:evenHBand="0" w:firstRowFirstColumn="0" w:firstRowLastColumn="0" w:lastRowFirstColumn="0" w:lastRowLastColumn="0"/>
          <w:trHeight w:val="350"/>
        </w:trPr>
        <w:tc>
          <w:tcPr>
            <w:tcW w:w="3825" w:type="pct"/>
            <w:vAlign w:val="center"/>
          </w:tcPr>
          <w:p w14:paraId="60998F95" w14:textId="77777777" w:rsidR="003D37EA" w:rsidRPr="003D290F" w:rsidRDefault="00F53A32" w:rsidP="00DC068D">
            <w:pPr>
              <w:keepNext/>
              <w:rPr>
                <w:rFonts w:eastAsia="Times New Roman" w:cs="Segoe UI"/>
                <w:sz w:val="20"/>
                <w:szCs w:val="20"/>
              </w:rPr>
            </w:pPr>
            <w:r w:rsidRPr="004026C7">
              <w:rPr>
                <w:rFonts w:cs="Segoe UI"/>
                <w:bCs/>
                <w:color w:val="FFFFFF"/>
                <w:sz w:val="20"/>
                <w:szCs w:val="20"/>
              </w:rPr>
              <w:t>STAKEHOLDER</w:t>
            </w:r>
          </w:p>
        </w:tc>
        <w:tc>
          <w:tcPr>
            <w:tcW w:w="1175" w:type="pct"/>
            <w:vAlign w:val="center"/>
          </w:tcPr>
          <w:p w14:paraId="7E262DC7" w14:textId="77777777" w:rsidR="003D37EA" w:rsidRPr="003D290F" w:rsidRDefault="00F53A32" w:rsidP="00DC068D">
            <w:pPr>
              <w:keepNext/>
              <w:jc w:val="center"/>
              <w:rPr>
                <w:rFonts w:eastAsia="Times New Roman" w:cs="Segoe UI"/>
                <w:sz w:val="20"/>
                <w:szCs w:val="20"/>
              </w:rPr>
            </w:pPr>
            <w:r w:rsidRPr="004026C7">
              <w:rPr>
                <w:rFonts w:cs="Segoe UI"/>
                <w:bCs/>
                <w:color w:val="FFFFFF"/>
                <w:sz w:val="20"/>
                <w:szCs w:val="20"/>
              </w:rPr>
              <w:t>NET PRESENT VALUE</w:t>
            </w:r>
          </w:p>
        </w:tc>
      </w:tr>
      <w:tr w:rsidR="003D37EA" w:rsidRPr="003D290F" w14:paraId="2B6F4728" w14:textId="77777777" w:rsidTr="00DC068D">
        <w:trPr>
          <w:trHeight w:val="283"/>
        </w:trPr>
        <w:tc>
          <w:tcPr>
            <w:tcW w:w="3825" w:type="pct"/>
            <w:shd w:val="clear" w:color="auto" w:fill="E0E8F2"/>
            <w:vAlign w:val="center"/>
          </w:tcPr>
          <w:p w14:paraId="222C42F9" w14:textId="77777777" w:rsidR="003D37EA" w:rsidRPr="003D290F" w:rsidRDefault="00F53A32" w:rsidP="00062CAB">
            <w:pPr>
              <w:keepNext/>
              <w:rPr>
                <w:rFonts w:eastAsia="Times New Roman" w:cs="Segoe UI"/>
                <w:b/>
                <w:sz w:val="20"/>
                <w:szCs w:val="20"/>
              </w:rPr>
            </w:pPr>
            <w:r>
              <w:rPr>
                <w:rFonts w:cs="Segoe UI"/>
                <w:b/>
                <w:bCs/>
                <w:color w:val="000000"/>
                <w:sz w:val="20"/>
                <w:szCs w:val="20"/>
              </w:rPr>
              <w:t>Receiving and closing employers</w:t>
            </w:r>
          </w:p>
        </w:tc>
        <w:tc>
          <w:tcPr>
            <w:tcW w:w="1175" w:type="pct"/>
            <w:shd w:val="clear" w:color="auto" w:fill="E0E8F2"/>
            <w:vAlign w:val="center"/>
          </w:tcPr>
          <w:p w14:paraId="171212FE" w14:textId="77777777" w:rsidR="003D37EA" w:rsidRPr="003D290F" w:rsidRDefault="0087593C" w:rsidP="00DC068D">
            <w:pPr>
              <w:keepNext/>
              <w:jc w:val="right"/>
              <w:rPr>
                <w:rFonts w:eastAsia="Times New Roman" w:cs="Segoe UI"/>
                <w:sz w:val="20"/>
                <w:szCs w:val="20"/>
              </w:rPr>
            </w:pPr>
            <w:r>
              <w:rPr>
                <w:rFonts w:cs="Segoe UI"/>
                <w:color w:val="000000"/>
                <w:sz w:val="20"/>
                <w:szCs w:val="20"/>
              </w:rPr>
              <w:t>-</w:t>
            </w:r>
            <w:r w:rsidR="00186104">
              <w:rPr>
                <w:rFonts w:cs="Segoe UI"/>
                <w:color w:val="000000"/>
                <w:sz w:val="20"/>
                <w:szCs w:val="20"/>
              </w:rPr>
              <w:t>$</w:t>
            </w:r>
            <w:r>
              <w:rPr>
                <w:rFonts w:cs="Segoe UI"/>
                <w:color w:val="000000"/>
                <w:sz w:val="20"/>
                <w:szCs w:val="20"/>
              </w:rPr>
              <w:t>3.6 million</w:t>
            </w:r>
          </w:p>
        </w:tc>
      </w:tr>
      <w:tr w:rsidR="003D37EA" w:rsidRPr="003D290F" w14:paraId="171C2E82" w14:textId="77777777" w:rsidTr="00DC068D">
        <w:trPr>
          <w:trHeight w:val="283"/>
        </w:trPr>
        <w:tc>
          <w:tcPr>
            <w:tcW w:w="3825" w:type="pct"/>
            <w:shd w:val="clear" w:color="auto" w:fill="auto"/>
            <w:vAlign w:val="center"/>
          </w:tcPr>
          <w:p w14:paraId="67099BCD" w14:textId="77777777" w:rsidR="003D37EA" w:rsidRPr="003D290F" w:rsidRDefault="00F53A32" w:rsidP="00DC068D">
            <w:pPr>
              <w:keepNext/>
              <w:ind w:left="227"/>
              <w:rPr>
                <w:rFonts w:eastAsia="Times New Roman" w:cs="Segoe UI"/>
                <w:i/>
                <w:sz w:val="20"/>
                <w:szCs w:val="20"/>
              </w:rPr>
            </w:pPr>
            <w:r>
              <w:rPr>
                <w:rFonts w:cs="Segoe UI"/>
                <w:i/>
                <w:iCs/>
                <w:color w:val="000000"/>
                <w:sz w:val="20"/>
                <w:szCs w:val="20"/>
              </w:rPr>
              <w:t>Of which: regulatory costs</w:t>
            </w:r>
          </w:p>
        </w:tc>
        <w:tc>
          <w:tcPr>
            <w:tcW w:w="1175" w:type="pct"/>
            <w:shd w:val="clear" w:color="auto" w:fill="auto"/>
            <w:vAlign w:val="center"/>
          </w:tcPr>
          <w:p w14:paraId="76AAF23E" w14:textId="77777777" w:rsidR="003D37EA" w:rsidRPr="003D290F" w:rsidRDefault="0087593C" w:rsidP="00DC068D">
            <w:pPr>
              <w:keepNext/>
              <w:jc w:val="right"/>
              <w:rPr>
                <w:rFonts w:eastAsia="Times New Roman" w:cs="Segoe UI"/>
                <w:sz w:val="20"/>
                <w:szCs w:val="20"/>
              </w:rPr>
            </w:pPr>
            <w:r>
              <w:rPr>
                <w:rFonts w:cs="Segoe UI"/>
                <w:i/>
                <w:iCs/>
                <w:color w:val="000000"/>
                <w:sz w:val="20"/>
                <w:szCs w:val="20"/>
              </w:rPr>
              <w:t>-</w:t>
            </w:r>
            <w:r w:rsidR="00186104">
              <w:rPr>
                <w:rFonts w:cs="Segoe UI"/>
                <w:i/>
                <w:iCs/>
                <w:color w:val="000000"/>
                <w:sz w:val="20"/>
                <w:szCs w:val="20"/>
              </w:rPr>
              <w:t>$</w:t>
            </w:r>
            <w:r>
              <w:rPr>
                <w:rFonts w:cs="Segoe UI"/>
                <w:i/>
                <w:iCs/>
                <w:color w:val="000000"/>
                <w:sz w:val="20"/>
                <w:szCs w:val="20"/>
              </w:rPr>
              <w:t>3.6 million</w:t>
            </w:r>
          </w:p>
        </w:tc>
      </w:tr>
      <w:tr w:rsidR="003D37EA" w:rsidRPr="003D290F" w14:paraId="6E7B9267" w14:textId="77777777" w:rsidTr="00DC068D">
        <w:trPr>
          <w:trHeight w:val="283"/>
        </w:trPr>
        <w:tc>
          <w:tcPr>
            <w:tcW w:w="3825" w:type="pct"/>
            <w:shd w:val="clear" w:color="auto" w:fill="E0E8F2" w:themeFill="background2"/>
            <w:vAlign w:val="center"/>
          </w:tcPr>
          <w:p w14:paraId="2F30FFFA" w14:textId="77777777" w:rsidR="003D37EA" w:rsidRPr="003D290F" w:rsidRDefault="00F53A32" w:rsidP="00DC068D">
            <w:pPr>
              <w:keepNext/>
              <w:rPr>
                <w:rFonts w:eastAsia="Times New Roman" w:cs="Segoe UI"/>
                <w:b/>
                <w:sz w:val="20"/>
                <w:szCs w:val="20"/>
              </w:rPr>
            </w:pPr>
            <w:r>
              <w:rPr>
                <w:rFonts w:cs="Segoe UI"/>
                <w:b/>
                <w:bCs/>
                <w:color w:val="000000"/>
                <w:sz w:val="20"/>
                <w:szCs w:val="20"/>
              </w:rPr>
              <w:t>Closing and receiving employer employees</w:t>
            </w:r>
          </w:p>
        </w:tc>
        <w:tc>
          <w:tcPr>
            <w:tcW w:w="1175" w:type="pct"/>
            <w:shd w:val="clear" w:color="auto" w:fill="E0E8F2" w:themeFill="background2"/>
            <w:vAlign w:val="center"/>
          </w:tcPr>
          <w:p w14:paraId="05D8EFFE" w14:textId="77777777" w:rsidR="003D37EA" w:rsidRPr="003D290F" w:rsidRDefault="00F53A32" w:rsidP="00DC068D">
            <w:pPr>
              <w:keepNext/>
              <w:jc w:val="right"/>
              <w:rPr>
                <w:rFonts w:eastAsia="Times New Roman" w:cs="Segoe UI"/>
                <w:sz w:val="20"/>
                <w:szCs w:val="20"/>
              </w:rPr>
            </w:pPr>
            <w:r>
              <w:rPr>
                <w:rFonts w:cs="Segoe UI"/>
                <w:color w:val="000000"/>
                <w:sz w:val="20"/>
                <w:szCs w:val="20"/>
              </w:rPr>
              <w:t>+$40.5 million</w:t>
            </w:r>
          </w:p>
        </w:tc>
      </w:tr>
      <w:tr w:rsidR="003D37EA" w:rsidRPr="003D290F" w14:paraId="0D530198" w14:textId="77777777" w:rsidTr="00DC068D">
        <w:trPr>
          <w:trHeight w:val="283"/>
        </w:trPr>
        <w:tc>
          <w:tcPr>
            <w:tcW w:w="3825" w:type="pct"/>
            <w:shd w:val="clear" w:color="auto" w:fill="auto"/>
            <w:vAlign w:val="center"/>
          </w:tcPr>
          <w:p w14:paraId="15AC5CED" w14:textId="77777777" w:rsidR="003D37EA" w:rsidRPr="003D290F" w:rsidRDefault="00F53A32" w:rsidP="00DC068D">
            <w:pPr>
              <w:keepNext/>
              <w:rPr>
                <w:rFonts w:eastAsia="Times New Roman" w:cs="Segoe UI"/>
                <w:b/>
                <w:sz w:val="20"/>
                <w:szCs w:val="20"/>
              </w:rPr>
            </w:pPr>
            <w:r>
              <w:rPr>
                <w:rFonts w:cs="Segoe UI"/>
                <w:b/>
                <w:bCs/>
                <w:color w:val="000000"/>
                <w:sz w:val="20"/>
                <w:szCs w:val="20"/>
              </w:rPr>
              <w:t>Government</w:t>
            </w:r>
          </w:p>
        </w:tc>
        <w:tc>
          <w:tcPr>
            <w:tcW w:w="1175" w:type="pct"/>
            <w:shd w:val="clear" w:color="auto" w:fill="auto"/>
            <w:vAlign w:val="center"/>
          </w:tcPr>
          <w:p w14:paraId="1075ABF8" w14:textId="77777777" w:rsidR="003D37EA" w:rsidRPr="003D290F" w:rsidRDefault="0087593C" w:rsidP="00DC068D">
            <w:pPr>
              <w:keepNext/>
              <w:jc w:val="right"/>
              <w:rPr>
                <w:rFonts w:eastAsia="Times New Roman" w:cs="Segoe UI"/>
                <w:sz w:val="20"/>
                <w:szCs w:val="20"/>
              </w:rPr>
            </w:pPr>
            <w:r>
              <w:rPr>
                <w:rFonts w:cs="Segoe UI"/>
                <w:color w:val="000000"/>
                <w:sz w:val="20"/>
                <w:szCs w:val="20"/>
              </w:rPr>
              <w:t>-</w:t>
            </w:r>
            <w:r w:rsidR="00186104">
              <w:rPr>
                <w:rFonts w:cs="Segoe UI"/>
                <w:color w:val="000000"/>
                <w:sz w:val="20"/>
                <w:szCs w:val="20"/>
              </w:rPr>
              <w:t>$</w:t>
            </w:r>
            <w:r>
              <w:rPr>
                <w:rFonts w:cs="Segoe UI"/>
                <w:color w:val="000000"/>
                <w:sz w:val="20"/>
                <w:szCs w:val="20"/>
              </w:rPr>
              <w:t>53.2 million</w:t>
            </w:r>
          </w:p>
        </w:tc>
      </w:tr>
      <w:tr w:rsidR="003D37EA" w:rsidRPr="003D290F" w14:paraId="4F6D3809" w14:textId="77777777" w:rsidTr="001E79E2">
        <w:trPr>
          <w:trHeight w:val="283"/>
        </w:trPr>
        <w:tc>
          <w:tcPr>
            <w:tcW w:w="3825" w:type="pct"/>
            <w:shd w:val="clear" w:color="auto" w:fill="27518B"/>
            <w:vAlign w:val="center"/>
          </w:tcPr>
          <w:p w14:paraId="4470D60C" w14:textId="77777777" w:rsidR="003D37EA" w:rsidRPr="003D290F" w:rsidRDefault="00F53A32" w:rsidP="00DC068D">
            <w:pPr>
              <w:keepNext/>
              <w:rPr>
                <w:rFonts w:eastAsia="Times New Roman" w:cs="Segoe UI"/>
                <w:b/>
                <w:color w:val="FFFFFF"/>
                <w:sz w:val="20"/>
                <w:szCs w:val="20"/>
              </w:rPr>
            </w:pPr>
            <w:r>
              <w:rPr>
                <w:rFonts w:cs="Segoe UI"/>
                <w:b/>
                <w:bCs/>
                <w:color w:val="FFFFFF"/>
                <w:sz w:val="20"/>
                <w:szCs w:val="20"/>
              </w:rPr>
              <w:t>Total</w:t>
            </w:r>
          </w:p>
        </w:tc>
        <w:tc>
          <w:tcPr>
            <w:tcW w:w="1175" w:type="pct"/>
            <w:shd w:val="clear" w:color="auto" w:fill="27518B"/>
            <w:vAlign w:val="center"/>
          </w:tcPr>
          <w:p w14:paraId="37D05C2F" w14:textId="77777777" w:rsidR="003D37EA" w:rsidRPr="003D290F" w:rsidRDefault="0087593C" w:rsidP="00DC068D">
            <w:pPr>
              <w:keepNext/>
              <w:jc w:val="right"/>
              <w:rPr>
                <w:rFonts w:eastAsia="Times New Roman" w:cs="Segoe UI"/>
                <w:b/>
                <w:color w:val="FFFFFF"/>
                <w:sz w:val="20"/>
                <w:szCs w:val="20"/>
              </w:rPr>
            </w:pPr>
            <w:r>
              <w:rPr>
                <w:rFonts w:cs="Segoe UI"/>
                <w:b/>
                <w:bCs/>
                <w:color w:val="FFFFFF"/>
                <w:sz w:val="20"/>
                <w:szCs w:val="20"/>
              </w:rPr>
              <w:t>-</w:t>
            </w:r>
            <w:r w:rsidR="00186104">
              <w:rPr>
                <w:rFonts w:cs="Segoe UI"/>
                <w:b/>
                <w:bCs/>
                <w:color w:val="FFFFFF"/>
                <w:sz w:val="20"/>
                <w:szCs w:val="20"/>
              </w:rPr>
              <w:t>$</w:t>
            </w:r>
            <w:r>
              <w:rPr>
                <w:rFonts w:cs="Segoe UI"/>
                <w:b/>
                <w:bCs/>
                <w:color w:val="FFFFFF"/>
                <w:sz w:val="20"/>
                <w:szCs w:val="20"/>
              </w:rPr>
              <w:t>16.3 million</w:t>
            </w:r>
          </w:p>
        </w:tc>
      </w:tr>
      <w:tr w:rsidR="00F75ACA" w:rsidRPr="003D290F" w14:paraId="2C6C9CDB" w14:textId="77777777" w:rsidTr="00ED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3825" w:type="pct"/>
            <w:tcBorders>
              <w:top w:val="single" w:sz="4" w:space="0" w:color="FFFFFF"/>
              <w:left w:val="single" w:sz="4" w:space="0" w:color="FFFFFF"/>
              <w:bottom w:val="single" w:sz="12" w:space="0" w:color="auto"/>
              <w:right w:val="single" w:sz="4" w:space="0" w:color="FFFFFF"/>
            </w:tcBorders>
            <w:shd w:val="clear" w:color="auto" w:fill="E0E8F2" w:themeFill="background2"/>
            <w:vAlign w:val="center"/>
          </w:tcPr>
          <w:p w14:paraId="2C0B9D9E" w14:textId="77777777" w:rsidR="00F75ACA" w:rsidRPr="00D71283" w:rsidRDefault="00976B8D" w:rsidP="003262F2">
            <w:pPr>
              <w:keepNext/>
              <w:jc w:val="both"/>
              <w:rPr>
                <w:rFonts w:eastAsia="Times New Roman" w:cs="Segoe UI"/>
                <w:i/>
                <w:sz w:val="20"/>
                <w:szCs w:val="20"/>
              </w:rPr>
            </w:pPr>
            <w:r>
              <w:rPr>
                <w:rFonts w:eastAsia="Times New Roman" w:cs="Segoe UI"/>
                <w:bCs/>
                <w:i/>
                <w:color w:val="000000"/>
                <w:sz w:val="20"/>
                <w:szCs w:val="20"/>
                <w:lang w:eastAsia="en-AU"/>
              </w:rPr>
              <w:t xml:space="preserve">Participant success rate </w:t>
            </w:r>
            <w:r w:rsidRPr="00CA3123">
              <w:rPr>
                <w:rFonts w:eastAsia="Times New Roman" w:cs="Segoe UI"/>
                <w:i/>
                <w:color w:val="000000"/>
                <w:sz w:val="20"/>
                <w:szCs w:val="20"/>
                <w:lang w:eastAsia="en-AU"/>
              </w:rPr>
              <w:t>(drives unquantified benefits)</w:t>
            </w:r>
          </w:p>
        </w:tc>
        <w:tc>
          <w:tcPr>
            <w:tcW w:w="1175" w:type="pct"/>
            <w:tcBorders>
              <w:top w:val="single" w:sz="4" w:space="0" w:color="FFFFFF"/>
              <w:left w:val="single" w:sz="4" w:space="0" w:color="FFFFFF"/>
              <w:bottom w:val="single" w:sz="12" w:space="0" w:color="auto"/>
              <w:right w:val="single" w:sz="4" w:space="0" w:color="FFFFFF"/>
            </w:tcBorders>
            <w:shd w:val="clear" w:color="auto" w:fill="E0E8F2" w:themeFill="background2"/>
            <w:vAlign w:val="center"/>
          </w:tcPr>
          <w:p w14:paraId="54AA82E6" w14:textId="77777777" w:rsidR="00F75ACA" w:rsidRPr="003D290F" w:rsidRDefault="00976B8D" w:rsidP="0055105F">
            <w:pPr>
              <w:keepNext/>
              <w:jc w:val="right"/>
              <w:rPr>
                <w:rFonts w:cs="Segoe UI"/>
                <w:color w:val="000000"/>
                <w:sz w:val="20"/>
                <w:szCs w:val="20"/>
              </w:rPr>
            </w:pPr>
            <w:r>
              <w:rPr>
                <w:rFonts w:cs="Segoe UI"/>
                <w:i/>
                <w:iCs/>
                <w:color w:val="000000"/>
                <w:sz w:val="20"/>
                <w:szCs w:val="20"/>
              </w:rPr>
              <w:t>39%</w:t>
            </w:r>
          </w:p>
        </w:tc>
      </w:tr>
    </w:tbl>
    <w:p w14:paraId="5DCA353B" w14:textId="77777777" w:rsidR="00265493" w:rsidRPr="003D290F" w:rsidRDefault="001E6EDB" w:rsidP="00BA2A3F">
      <w:pPr>
        <w:spacing w:before="240"/>
        <w:rPr>
          <w:rFonts w:eastAsia="Times New Roman"/>
          <w:b/>
          <w:color w:val="1B375C" w:themeColor="accent1"/>
        </w:rPr>
      </w:pPr>
      <w:r w:rsidRPr="003D290F">
        <w:rPr>
          <w:rFonts w:eastAsia="Times New Roman"/>
        </w:rPr>
        <w:t xml:space="preserve">The overall </w:t>
      </w:r>
      <w:r w:rsidR="0029281B" w:rsidRPr="003D290F">
        <w:rPr>
          <w:rFonts w:eastAsia="Times New Roman"/>
        </w:rPr>
        <w:t xml:space="preserve">quantified </w:t>
      </w:r>
      <w:r w:rsidRPr="003D290F">
        <w:rPr>
          <w:rFonts w:eastAsia="Times New Roman"/>
        </w:rPr>
        <w:t xml:space="preserve">impact of the unlegislated plan is driven by government costs </w:t>
      </w:r>
      <w:r w:rsidR="00F7201F" w:rsidRPr="003D290F">
        <w:rPr>
          <w:rFonts w:eastAsia="Times New Roman"/>
        </w:rPr>
        <w:t xml:space="preserve">to administer the </w:t>
      </w:r>
      <w:r w:rsidR="0021615A" w:rsidRPr="003D290F">
        <w:rPr>
          <w:rFonts w:eastAsia="Times New Roman"/>
        </w:rPr>
        <w:t>plan</w:t>
      </w:r>
      <w:r w:rsidR="00F7201F" w:rsidRPr="003D290F">
        <w:rPr>
          <w:rFonts w:eastAsia="Times New Roman"/>
        </w:rPr>
        <w:t xml:space="preserve"> </w:t>
      </w:r>
      <w:r w:rsidRPr="003D290F">
        <w:rPr>
          <w:rFonts w:eastAsia="Times New Roman"/>
        </w:rPr>
        <w:t xml:space="preserve">and regulatory impacts to </w:t>
      </w:r>
      <w:r w:rsidR="00210BFC" w:rsidRPr="003D290F">
        <w:rPr>
          <w:rFonts w:eastAsia="Times New Roman"/>
        </w:rPr>
        <w:t>receiving and closing employers</w:t>
      </w:r>
      <w:r w:rsidRPr="003D290F">
        <w:rPr>
          <w:rFonts w:eastAsia="Times New Roman"/>
        </w:rPr>
        <w:t xml:space="preserve">. </w:t>
      </w:r>
    </w:p>
    <w:p w14:paraId="3168F0B3" w14:textId="77777777" w:rsidR="00076E5E" w:rsidRPr="003D290F" w:rsidRDefault="00C32084" w:rsidP="00BA2A3F">
      <w:pPr>
        <w:spacing w:before="240"/>
        <w:rPr>
          <w:rFonts w:eastAsia="Times New Roman" w:cs="Segoe UI"/>
        </w:rPr>
      </w:pPr>
      <w:r w:rsidRPr="003D290F">
        <w:t xml:space="preserve">The positive </w:t>
      </w:r>
      <w:r w:rsidR="00E874A7">
        <w:t>quantified</w:t>
      </w:r>
      <w:r w:rsidRPr="003D290F">
        <w:t xml:space="preserve"> NPV for employees is driven by better outcomes for closing and receiving employer employees under the </w:t>
      </w:r>
      <w:r w:rsidR="00F6294A" w:rsidRPr="003D290F">
        <w:t>plan</w:t>
      </w:r>
      <w:r w:rsidRPr="003D290F">
        <w:t xml:space="preserve"> relative to the status quo. A greater number of closing employer employees secure alternate ongoing employment through the </w:t>
      </w:r>
      <w:r w:rsidR="00F6294A" w:rsidRPr="003D290F">
        <w:t>plan</w:t>
      </w:r>
      <w:r w:rsidRPr="003D290F">
        <w:t xml:space="preserve">, reducing unemployment. </w:t>
      </w:r>
      <w:r w:rsidR="008F63B9" w:rsidRPr="003D290F">
        <w:t>Receiving</w:t>
      </w:r>
      <w:r w:rsidRPr="003D290F">
        <w:t xml:space="preserve"> employers are better off from taking up early retirement packages and </w:t>
      </w:r>
      <w:r w:rsidR="000C2EE5" w:rsidRPr="003D290F">
        <w:t xml:space="preserve">experiencing </w:t>
      </w:r>
      <w:r w:rsidRPr="003D290F">
        <w:t>greater leisure time from early retirement, more than offsetting the cost of forgone income from retiring early.</w:t>
      </w:r>
      <w:r w:rsidR="008D1BD2" w:rsidRPr="003D290F">
        <w:rPr>
          <w:rStyle w:val="FootnoteReference"/>
          <w:rFonts w:eastAsia="Times New Roman" w:cs="Segoe UI"/>
        </w:rPr>
        <w:footnoteReference w:id="79"/>
      </w:r>
      <w:r w:rsidR="000711B3" w:rsidRPr="003D290F">
        <w:rPr>
          <w:rStyle w:val="CommentReference"/>
        </w:rPr>
        <w:t xml:space="preserve"> </w:t>
      </w:r>
      <w:r w:rsidR="000711B3" w:rsidRPr="003D290F">
        <w:t xml:space="preserve">The benefit to closing and receiving employer employees is largely driven by the </w:t>
      </w:r>
      <w:r w:rsidR="00226F08" w:rsidRPr="003D290F">
        <w:t xml:space="preserve">positive </w:t>
      </w:r>
      <w:r w:rsidR="000711B3" w:rsidRPr="003D290F">
        <w:t xml:space="preserve">net present </w:t>
      </w:r>
      <w:r w:rsidR="00226F08" w:rsidRPr="003D290F">
        <w:t xml:space="preserve">value associated with </w:t>
      </w:r>
      <w:r w:rsidR="000711B3" w:rsidRPr="003D290F">
        <w:t>receiving employer employees (+$</w:t>
      </w:r>
      <w:r w:rsidR="00F53A32">
        <w:t>30.</w:t>
      </w:r>
      <w:r w:rsidR="00186104">
        <w:t>3</w:t>
      </w:r>
      <w:r w:rsidR="00186104" w:rsidRPr="003D290F">
        <w:t> </w:t>
      </w:r>
      <w:r w:rsidR="000711B3" w:rsidRPr="003D290F">
        <w:t>million), with the remainder net present value being associated with closing employer employees maintaining employment (+$10.</w:t>
      </w:r>
      <w:r w:rsidR="00186104">
        <w:t>3</w:t>
      </w:r>
      <w:r w:rsidR="00186104" w:rsidRPr="003D290F">
        <w:t xml:space="preserve"> </w:t>
      </w:r>
      <w:r w:rsidR="000711B3" w:rsidRPr="003D290F">
        <w:t>million).</w:t>
      </w:r>
    </w:p>
    <w:p w14:paraId="308BC422" w14:textId="77777777" w:rsidR="00C32084" w:rsidRPr="003D290F" w:rsidRDefault="00355CA0" w:rsidP="00C32084">
      <w:pPr>
        <w:rPr>
          <w:rFonts w:eastAsia="Times New Roman" w:cs="Segoe UI"/>
        </w:rPr>
      </w:pPr>
      <w:r w:rsidRPr="003D290F">
        <w:rPr>
          <w:rFonts w:eastAsia="Times New Roman" w:cs="Segoe UI"/>
        </w:rPr>
        <w:t>The</w:t>
      </w:r>
      <w:r w:rsidR="00614CBD" w:rsidRPr="003D290F">
        <w:rPr>
          <w:rFonts w:eastAsia="Times New Roman" w:cs="Segoe UI"/>
        </w:rPr>
        <w:t xml:space="preserve"> </w:t>
      </w:r>
      <w:r w:rsidR="00366CCF" w:rsidRPr="003D290F">
        <w:rPr>
          <w:rFonts w:eastAsia="Times New Roman" w:cs="Segoe UI"/>
        </w:rPr>
        <w:t xml:space="preserve">negative </w:t>
      </w:r>
      <w:r w:rsidR="00E874A7">
        <w:rPr>
          <w:rFonts w:eastAsia="Times New Roman" w:cs="Segoe UI"/>
        </w:rPr>
        <w:t xml:space="preserve">quantified </w:t>
      </w:r>
      <w:r w:rsidR="00366CCF" w:rsidRPr="003D290F">
        <w:rPr>
          <w:rFonts w:eastAsia="Times New Roman" w:cs="Segoe UI"/>
        </w:rPr>
        <w:t>NPV for</w:t>
      </w:r>
      <w:r w:rsidR="00614CBD" w:rsidRPr="003D290F">
        <w:rPr>
          <w:rFonts w:eastAsia="Times New Roman" w:cs="Segoe UI"/>
        </w:rPr>
        <w:t xml:space="preserve"> employers </w:t>
      </w:r>
      <w:r w:rsidR="00E874A7">
        <w:rPr>
          <w:rFonts w:eastAsia="Times New Roman" w:cs="Segoe UI"/>
        </w:rPr>
        <w:t>is</w:t>
      </w:r>
      <w:r w:rsidRPr="003D290F">
        <w:rPr>
          <w:rFonts w:eastAsia="Times New Roman" w:cs="Segoe UI"/>
        </w:rPr>
        <w:t xml:space="preserve"> </w:t>
      </w:r>
      <w:r w:rsidR="00C32084" w:rsidRPr="003D290F">
        <w:rPr>
          <w:rFonts w:eastAsia="Times New Roman" w:cs="Segoe UI"/>
        </w:rPr>
        <w:t>explained</w:t>
      </w:r>
      <w:r w:rsidRPr="003D290F">
        <w:rPr>
          <w:rFonts w:eastAsia="Times New Roman" w:cs="Segoe UI"/>
        </w:rPr>
        <w:t xml:space="preserve"> by </w:t>
      </w:r>
      <w:r w:rsidR="00210BFC" w:rsidRPr="003D290F">
        <w:rPr>
          <w:rFonts w:eastAsia="Times New Roman" w:cs="Segoe UI"/>
        </w:rPr>
        <w:t xml:space="preserve">the </w:t>
      </w:r>
      <w:r w:rsidR="00C32084" w:rsidRPr="003D290F">
        <w:rPr>
          <w:rFonts w:eastAsia="Times New Roman" w:cs="Segoe UI"/>
        </w:rPr>
        <w:t xml:space="preserve">regulatory </w:t>
      </w:r>
      <w:r w:rsidR="00AC151D" w:rsidRPr="003D290F">
        <w:rPr>
          <w:rFonts w:eastAsia="Times New Roman" w:cs="Segoe UI"/>
        </w:rPr>
        <w:t xml:space="preserve">costs associated with </w:t>
      </w:r>
      <w:r w:rsidR="00C32084" w:rsidRPr="003D290F">
        <w:rPr>
          <w:rFonts w:eastAsia="Times New Roman" w:cs="Segoe UI"/>
        </w:rPr>
        <w:t>delivering</w:t>
      </w:r>
      <w:r w:rsidR="00AC151D" w:rsidRPr="003D290F">
        <w:rPr>
          <w:rFonts w:eastAsia="Times New Roman" w:cs="Segoe UI"/>
        </w:rPr>
        <w:t xml:space="preserve"> and participating in the </w:t>
      </w:r>
      <w:r w:rsidR="00F6294A" w:rsidRPr="003D290F">
        <w:rPr>
          <w:rFonts w:eastAsia="Times New Roman" w:cs="Segoe UI"/>
        </w:rPr>
        <w:t>plan</w:t>
      </w:r>
      <w:r w:rsidR="000A71ED" w:rsidRPr="003D290F">
        <w:rPr>
          <w:rFonts w:eastAsia="Times New Roman" w:cs="Segoe UI"/>
        </w:rPr>
        <w:t xml:space="preserve">. The negative </w:t>
      </w:r>
      <w:r w:rsidR="00E874A7">
        <w:rPr>
          <w:rFonts w:eastAsia="Times New Roman" w:cs="Segoe UI"/>
        </w:rPr>
        <w:t xml:space="preserve">quantified </w:t>
      </w:r>
      <w:r w:rsidR="000A71ED" w:rsidRPr="003D290F">
        <w:rPr>
          <w:rFonts w:eastAsia="Times New Roman" w:cs="Segoe UI"/>
        </w:rPr>
        <w:t xml:space="preserve">NPV for government </w:t>
      </w:r>
      <w:r w:rsidR="00E874A7">
        <w:rPr>
          <w:rFonts w:eastAsia="Times New Roman" w:cs="Segoe UI"/>
        </w:rPr>
        <w:t>is</w:t>
      </w:r>
      <w:r w:rsidR="000A71ED" w:rsidRPr="003D290F">
        <w:rPr>
          <w:rFonts w:eastAsia="Times New Roman" w:cs="Segoe UI"/>
        </w:rPr>
        <w:t xml:space="preserve"> explained by </w:t>
      </w:r>
      <w:r w:rsidR="000A71ED" w:rsidRPr="003D290F">
        <w:rPr>
          <w:rFonts w:eastAsia="Times New Roman" w:cs="Segoe UI"/>
        </w:rPr>
        <w:lastRenderedPageBreak/>
        <w:t>costs associated with funding early retirement payments and administering the plan. Regulatory costs are</w:t>
      </w:r>
      <w:r w:rsidR="00DC068D" w:rsidRPr="003D290F">
        <w:rPr>
          <w:rFonts w:eastAsia="Times New Roman" w:cs="Segoe UI"/>
        </w:rPr>
        <w:t xml:space="preserve"> greater for </w:t>
      </w:r>
      <w:r w:rsidR="008F63B9" w:rsidRPr="003D290F">
        <w:rPr>
          <w:rFonts w:eastAsia="Times New Roman" w:cs="Segoe UI"/>
        </w:rPr>
        <w:t>receiving</w:t>
      </w:r>
      <w:r w:rsidR="00DC068D" w:rsidRPr="003D290F">
        <w:rPr>
          <w:rFonts w:eastAsia="Times New Roman" w:cs="Segoe UI"/>
        </w:rPr>
        <w:t xml:space="preserve"> employers than closing employers</w:t>
      </w:r>
      <w:r w:rsidR="000A71ED" w:rsidRPr="003D290F">
        <w:rPr>
          <w:rFonts w:eastAsia="Times New Roman" w:cs="Segoe UI"/>
        </w:rPr>
        <w:t xml:space="preserve"> due to the greater need for receiving employers to engage with government to administer early retirement payments and additional legal advice required to participate in the plan</w:t>
      </w:r>
      <w:r w:rsidRPr="003D290F">
        <w:rPr>
          <w:rFonts w:eastAsia="Times New Roman" w:cs="Segoe UI"/>
        </w:rPr>
        <w:t>.</w:t>
      </w:r>
      <w:r w:rsidR="00C32084" w:rsidRPr="003D290F">
        <w:rPr>
          <w:rFonts w:eastAsia="Times New Roman" w:cs="Segoe UI"/>
        </w:rPr>
        <w:t xml:space="preserve"> </w:t>
      </w:r>
      <w:r w:rsidR="00872663" w:rsidRPr="003D290F">
        <w:rPr>
          <w:rFonts w:eastAsia="Times New Roman" w:cs="Segoe UI"/>
        </w:rPr>
        <w:t xml:space="preserve">While there are a number of benefits to employers, none of the </w:t>
      </w:r>
      <w:r w:rsidR="00C32084" w:rsidRPr="003D290F">
        <w:rPr>
          <w:rFonts w:eastAsia="Times New Roman" w:cs="Segoe UI"/>
        </w:rPr>
        <w:t xml:space="preserve">benefits </w:t>
      </w:r>
      <w:r w:rsidR="00872663" w:rsidRPr="003D290F">
        <w:rPr>
          <w:rFonts w:eastAsia="Times New Roman" w:cs="Segoe UI"/>
        </w:rPr>
        <w:t>are able to be quantified</w:t>
      </w:r>
      <w:r w:rsidR="00C32084" w:rsidRPr="003D290F">
        <w:rPr>
          <w:rFonts w:eastAsia="Times New Roman" w:cs="Segoe UI"/>
        </w:rPr>
        <w:t xml:space="preserve"> in the analysis.</w:t>
      </w:r>
      <w:r w:rsidR="002903DB">
        <w:rPr>
          <w:rFonts w:eastAsia="Times New Roman" w:cs="Segoe UI"/>
        </w:rPr>
        <w:t xml:space="preserve"> These are discussed further at </w:t>
      </w:r>
      <w:r w:rsidR="002903DB" w:rsidRPr="001E79E2">
        <w:rPr>
          <w:rFonts w:eastAsia="Times New Roman" w:cs="Segoe UI"/>
          <w:b/>
          <w:color w:val="1B375C" w:themeColor="accent1"/>
        </w:rPr>
        <w:t>Section 4.8</w:t>
      </w:r>
      <w:r w:rsidR="002903DB">
        <w:rPr>
          <w:rFonts w:eastAsia="Times New Roman" w:cs="Segoe UI"/>
        </w:rPr>
        <w:t>.</w:t>
      </w:r>
    </w:p>
    <w:p w14:paraId="7CF012B5" w14:textId="77777777" w:rsidR="005B4358" w:rsidRPr="003D290F" w:rsidRDefault="00C32084" w:rsidP="00FE3DEC">
      <w:pPr>
        <w:rPr>
          <w:rFonts w:eastAsia="Times New Roman" w:cs="Segoe UI"/>
        </w:rPr>
      </w:pPr>
      <w:r w:rsidRPr="003D290F">
        <w:rPr>
          <w:rFonts w:eastAsia="Times New Roman" w:cs="Segoe UI"/>
        </w:rPr>
        <w:t xml:space="preserve">As </w:t>
      </w:r>
      <w:r w:rsidR="00E874A7">
        <w:rPr>
          <w:rFonts w:eastAsia="Times New Roman" w:cs="Segoe UI"/>
        </w:rPr>
        <w:t xml:space="preserve">quantified </w:t>
      </w:r>
      <w:r w:rsidRPr="003D290F">
        <w:rPr>
          <w:rFonts w:eastAsia="Times New Roman" w:cs="Segoe UI"/>
        </w:rPr>
        <w:t xml:space="preserve">benefits to </w:t>
      </w:r>
      <w:r w:rsidR="00DC068D" w:rsidRPr="003D290F">
        <w:rPr>
          <w:rFonts w:eastAsia="Times New Roman" w:cs="Segoe UI"/>
        </w:rPr>
        <w:t>employees</w:t>
      </w:r>
      <w:r w:rsidRPr="003D290F">
        <w:rPr>
          <w:rFonts w:eastAsia="Times New Roman" w:cs="Segoe UI"/>
        </w:rPr>
        <w:t xml:space="preserve"> do not offset the </w:t>
      </w:r>
      <w:r w:rsidR="00E874A7">
        <w:rPr>
          <w:rFonts w:eastAsia="Times New Roman" w:cs="Segoe UI"/>
        </w:rPr>
        <w:t>quantified</w:t>
      </w:r>
      <w:r w:rsidRPr="003D290F">
        <w:rPr>
          <w:rFonts w:eastAsia="Times New Roman" w:cs="Segoe UI"/>
        </w:rPr>
        <w:t xml:space="preserve"> costs to employers and </w:t>
      </w:r>
      <w:r w:rsidR="00F4765D" w:rsidRPr="003D290F">
        <w:rPr>
          <w:rFonts w:eastAsia="Times New Roman" w:cs="Segoe UI"/>
        </w:rPr>
        <w:t>g</w:t>
      </w:r>
      <w:r w:rsidRPr="003D290F">
        <w:rPr>
          <w:rFonts w:eastAsia="Times New Roman" w:cs="Segoe UI"/>
        </w:rPr>
        <w:t xml:space="preserve">overnment, the total </w:t>
      </w:r>
      <w:r w:rsidR="0035606F">
        <w:rPr>
          <w:rFonts w:eastAsia="Times New Roman" w:cs="Segoe UI"/>
        </w:rPr>
        <w:t xml:space="preserve">quantified </w:t>
      </w:r>
      <w:r w:rsidRPr="003D290F">
        <w:rPr>
          <w:rFonts w:eastAsia="Times New Roman" w:cs="Segoe UI"/>
        </w:rPr>
        <w:t xml:space="preserve">NPV for all stakeholders under Option </w:t>
      </w:r>
      <w:r w:rsidR="00D44ABC" w:rsidRPr="003D290F">
        <w:rPr>
          <w:rFonts w:eastAsia="Times New Roman" w:cs="Segoe UI"/>
        </w:rPr>
        <w:t>2</w:t>
      </w:r>
      <w:r w:rsidRPr="003D290F">
        <w:rPr>
          <w:rFonts w:eastAsia="Times New Roman" w:cs="Segoe UI"/>
        </w:rPr>
        <w:t xml:space="preserve"> is negative. </w:t>
      </w:r>
      <w:r w:rsidR="00FC0502" w:rsidRPr="003D290F">
        <w:rPr>
          <w:rFonts w:eastAsia="Times New Roman" w:cs="Segoe UI"/>
        </w:rPr>
        <w:t>Notably, e</w:t>
      </w:r>
      <w:r w:rsidRPr="003D290F">
        <w:t xml:space="preserve">arly retirement packages do not contribute to the </w:t>
      </w:r>
      <w:r w:rsidR="000C57D2" w:rsidRPr="003D290F">
        <w:t>negative</w:t>
      </w:r>
      <w:r w:rsidRPr="003D290F">
        <w:t xml:space="preserve"> NPV </w:t>
      </w:r>
      <w:r w:rsidR="000C57D2" w:rsidRPr="003D290F">
        <w:t xml:space="preserve">overall </w:t>
      </w:r>
      <w:r w:rsidRPr="003D290F">
        <w:t xml:space="preserve">as the packages are a direct transfer from </w:t>
      </w:r>
      <w:r w:rsidR="00F4765D" w:rsidRPr="003D290F">
        <w:t>g</w:t>
      </w:r>
      <w:r w:rsidR="00FC0502" w:rsidRPr="003D290F">
        <w:t xml:space="preserve">overnment </w:t>
      </w:r>
      <w:r w:rsidRPr="003D290F">
        <w:t xml:space="preserve">and employers to </w:t>
      </w:r>
      <w:r w:rsidR="00FC0502" w:rsidRPr="003D290F">
        <w:t>receiving</w:t>
      </w:r>
      <w:r w:rsidRPr="003D290F">
        <w:t xml:space="preserve"> employer </w:t>
      </w:r>
      <w:r w:rsidR="00FC0502" w:rsidRPr="003D290F">
        <w:t>employees</w:t>
      </w:r>
      <w:r w:rsidRPr="003D290F">
        <w:rPr>
          <w:rFonts w:eastAsia="Times New Roman" w:cs="Segoe UI"/>
        </w:rPr>
        <w:t xml:space="preserve">. </w:t>
      </w:r>
      <w:r w:rsidR="003D37EA" w:rsidRPr="003D290F">
        <w:rPr>
          <w:rFonts w:eastAsia="Times New Roman" w:cs="Segoe UI"/>
        </w:rPr>
        <w:t>As such, t</w:t>
      </w:r>
      <w:r w:rsidR="00614CBD" w:rsidRPr="003D290F">
        <w:rPr>
          <w:rFonts w:eastAsia="Times New Roman" w:cs="Segoe UI"/>
        </w:rPr>
        <w:t xml:space="preserve">he negative </w:t>
      </w:r>
      <w:r w:rsidR="0035606F">
        <w:rPr>
          <w:rFonts w:eastAsia="Times New Roman" w:cs="Segoe UI"/>
        </w:rPr>
        <w:t xml:space="preserve">quantified </w:t>
      </w:r>
      <w:r w:rsidR="003D37EA" w:rsidRPr="003D290F">
        <w:rPr>
          <w:rFonts w:eastAsia="Times New Roman" w:cs="Segoe UI"/>
        </w:rPr>
        <w:t xml:space="preserve">NPV </w:t>
      </w:r>
      <w:r w:rsidR="00614CBD" w:rsidRPr="003D290F">
        <w:rPr>
          <w:rFonts w:eastAsia="Times New Roman" w:cs="Segoe UI"/>
        </w:rPr>
        <w:t xml:space="preserve">is entirely explained by </w:t>
      </w:r>
      <w:r w:rsidR="003D37EA" w:rsidRPr="003D290F">
        <w:rPr>
          <w:rFonts w:eastAsia="Times New Roman" w:cs="Segoe UI"/>
        </w:rPr>
        <w:t xml:space="preserve">the regulatory and </w:t>
      </w:r>
      <w:r w:rsidR="00614CBD" w:rsidRPr="003D290F">
        <w:rPr>
          <w:rFonts w:eastAsia="Times New Roman" w:cs="Segoe UI"/>
        </w:rPr>
        <w:t xml:space="preserve">administrative </w:t>
      </w:r>
      <w:r w:rsidR="005B4358" w:rsidRPr="003D290F">
        <w:rPr>
          <w:rFonts w:eastAsia="Times New Roman" w:cs="Segoe UI"/>
        </w:rPr>
        <w:t xml:space="preserve">costs to </w:t>
      </w:r>
      <w:r w:rsidR="001F471B" w:rsidRPr="003D290F">
        <w:rPr>
          <w:rFonts w:eastAsia="Times New Roman" w:cs="Segoe UI"/>
        </w:rPr>
        <w:t>employers</w:t>
      </w:r>
      <w:r w:rsidR="003D37EA" w:rsidRPr="003D290F">
        <w:rPr>
          <w:rFonts w:eastAsia="Times New Roman" w:cs="Segoe UI"/>
        </w:rPr>
        <w:t xml:space="preserve"> </w:t>
      </w:r>
      <w:r w:rsidR="005B4358" w:rsidRPr="003D290F">
        <w:rPr>
          <w:rFonts w:eastAsia="Times New Roman" w:cs="Segoe UI"/>
        </w:rPr>
        <w:t xml:space="preserve">and </w:t>
      </w:r>
      <w:r w:rsidR="00F4765D" w:rsidRPr="003D290F">
        <w:rPr>
          <w:rFonts w:eastAsia="Times New Roman" w:cs="Segoe UI"/>
        </w:rPr>
        <w:t>g</w:t>
      </w:r>
      <w:r w:rsidR="003D37EA" w:rsidRPr="003D290F">
        <w:rPr>
          <w:rFonts w:eastAsia="Times New Roman" w:cs="Segoe UI"/>
        </w:rPr>
        <w:t>overnment</w:t>
      </w:r>
      <w:r w:rsidR="00A8779D" w:rsidRPr="003D290F">
        <w:rPr>
          <w:rFonts w:eastAsia="Times New Roman" w:cs="Segoe UI"/>
        </w:rPr>
        <w:t xml:space="preserve"> </w:t>
      </w:r>
      <w:r w:rsidR="005B4358" w:rsidRPr="003D290F">
        <w:rPr>
          <w:rFonts w:eastAsia="Times New Roman" w:cs="Segoe UI"/>
        </w:rPr>
        <w:t xml:space="preserve">that do not exist under </w:t>
      </w:r>
      <w:r w:rsidR="003D37EA" w:rsidRPr="003D290F">
        <w:rPr>
          <w:rFonts w:eastAsia="Times New Roman" w:cs="Segoe UI"/>
        </w:rPr>
        <w:t>the status quo (</w:t>
      </w:r>
      <w:r w:rsidR="00A17440" w:rsidRPr="003D290F">
        <w:rPr>
          <w:rFonts w:eastAsia="Times New Roman" w:cs="Segoe UI"/>
        </w:rPr>
        <w:t>O</w:t>
      </w:r>
      <w:r w:rsidR="003D37EA" w:rsidRPr="003D290F">
        <w:rPr>
          <w:rFonts w:eastAsia="Times New Roman" w:cs="Segoe UI"/>
        </w:rPr>
        <w:t xml:space="preserve">ption </w:t>
      </w:r>
      <w:r w:rsidR="00D44ABC" w:rsidRPr="003D290F">
        <w:rPr>
          <w:rFonts w:eastAsia="Times New Roman" w:cs="Segoe UI"/>
        </w:rPr>
        <w:t>1</w:t>
      </w:r>
      <w:r w:rsidR="003D37EA" w:rsidRPr="003D290F">
        <w:rPr>
          <w:rFonts w:eastAsia="Times New Roman" w:cs="Segoe UI"/>
        </w:rPr>
        <w:t>)</w:t>
      </w:r>
      <w:r w:rsidR="005B4358" w:rsidRPr="003D290F">
        <w:rPr>
          <w:rFonts w:eastAsia="Times New Roman" w:cs="Segoe UI"/>
        </w:rPr>
        <w:t>.</w:t>
      </w:r>
    </w:p>
    <w:p w14:paraId="210A9919" w14:textId="77777777" w:rsidR="00355CA0" w:rsidRPr="003D290F" w:rsidRDefault="00355CA0" w:rsidP="005D46F4">
      <w:pPr>
        <w:pStyle w:val="Heading3"/>
        <w:spacing w:line="276" w:lineRule="auto"/>
        <w:rPr>
          <w:rFonts w:eastAsia="Times New Roman"/>
        </w:rPr>
      </w:pPr>
      <w:bookmarkStart w:id="288" w:name="_Toc155604637"/>
      <w:bookmarkStart w:id="289" w:name="_Toc161395994"/>
      <w:bookmarkStart w:id="290" w:name="_Toc161403530"/>
      <w:bookmarkStart w:id="291" w:name="_Toc161694809"/>
      <w:bookmarkStart w:id="292" w:name="_Toc161752264"/>
      <w:bookmarkStart w:id="293" w:name="_Toc161759702"/>
      <w:r w:rsidRPr="003D290F">
        <w:rPr>
          <w:rFonts w:eastAsia="Times New Roman"/>
        </w:rPr>
        <w:t>4.</w:t>
      </w:r>
      <w:r w:rsidR="007727EE" w:rsidRPr="003D290F">
        <w:rPr>
          <w:rFonts w:eastAsia="Times New Roman"/>
        </w:rPr>
        <w:t>5</w:t>
      </w:r>
      <w:r w:rsidRPr="003D290F">
        <w:rPr>
          <w:rFonts w:eastAsia="Times New Roman"/>
        </w:rPr>
        <w:t xml:space="preserve">.2 </w:t>
      </w:r>
      <w:r w:rsidR="002140F0" w:rsidRPr="003D290F">
        <w:rPr>
          <w:rFonts w:eastAsia="Times New Roman"/>
        </w:rPr>
        <w:t xml:space="preserve">Unlegislated redeployment </w:t>
      </w:r>
      <w:r w:rsidR="00F6294A" w:rsidRPr="003D290F">
        <w:rPr>
          <w:rFonts w:eastAsia="Times New Roman"/>
        </w:rPr>
        <w:t>plan</w:t>
      </w:r>
      <w:r w:rsidR="002140F0" w:rsidRPr="003D290F">
        <w:rPr>
          <w:rFonts w:eastAsia="Times New Roman"/>
        </w:rPr>
        <w:t xml:space="preserve"> case studies</w:t>
      </w:r>
      <w:bookmarkEnd w:id="288"/>
      <w:bookmarkEnd w:id="289"/>
      <w:bookmarkEnd w:id="290"/>
      <w:bookmarkEnd w:id="291"/>
      <w:bookmarkEnd w:id="292"/>
      <w:bookmarkEnd w:id="293"/>
    </w:p>
    <w:p w14:paraId="2EA02AED" w14:textId="77777777" w:rsidR="00076E5E" w:rsidRPr="003D290F" w:rsidRDefault="00076E5E" w:rsidP="00FE3DEC">
      <w:pPr>
        <w:rPr>
          <w:rFonts w:eastAsia="Times New Roman" w:cs="Segoe UI"/>
          <w:color w:val="000000"/>
        </w:rPr>
      </w:pPr>
      <w:r w:rsidRPr="003D290F">
        <w:t>The analysis</w:t>
      </w:r>
      <w:r w:rsidRPr="003D290F">
        <w:rPr>
          <w:rFonts w:eastAsia="Times New Roman" w:cs="Segoe UI"/>
        </w:rPr>
        <w:t xml:space="preserve"> outlines</w:t>
      </w:r>
      <w:r w:rsidR="00355CA0" w:rsidRPr="003D290F" w:rsidDel="00B04891">
        <w:rPr>
          <w:rFonts w:eastAsia="Times New Roman" w:cs="Segoe UI"/>
        </w:rPr>
        <w:t xml:space="preserve"> </w:t>
      </w:r>
      <w:r w:rsidR="00B04891" w:rsidRPr="003D290F">
        <w:rPr>
          <w:rFonts w:eastAsia="Times New Roman" w:cs="Segoe UI"/>
        </w:rPr>
        <w:t xml:space="preserve">various </w:t>
      </w:r>
      <w:r w:rsidR="00355CA0" w:rsidRPr="003D290F">
        <w:rPr>
          <w:rFonts w:eastAsia="Times New Roman" w:cs="Segoe UI"/>
        </w:rPr>
        <w:t xml:space="preserve">approaches to unlegislated pooled redeployment and redundancy </w:t>
      </w:r>
      <w:r w:rsidR="00F6294A" w:rsidRPr="003D290F">
        <w:rPr>
          <w:rFonts w:eastAsia="Times New Roman" w:cs="Segoe UI"/>
        </w:rPr>
        <w:t>plan</w:t>
      </w:r>
      <w:r w:rsidR="00355CA0" w:rsidRPr="003D290F">
        <w:rPr>
          <w:rFonts w:eastAsia="Times New Roman" w:cs="Segoe UI"/>
        </w:rPr>
        <w:t>s</w:t>
      </w:r>
      <w:r w:rsidRPr="003D290F">
        <w:rPr>
          <w:rFonts w:eastAsia="Times New Roman" w:cs="Segoe UI"/>
        </w:rPr>
        <w:t>.</w:t>
      </w:r>
      <w:r w:rsidR="00355CA0" w:rsidRPr="003D290F">
        <w:rPr>
          <w:rFonts w:eastAsia="Times New Roman" w:cs="Segoe UI"/>
        </w:rPr>
        <w:t xml:space="preserve"> In 2012, </w:t>
      </w:r>
      <w:r w:rsidR="00355CA0" w:rsidRPr="003D290F">
        <w:rPr>
          <w:rFonts w:eastAsia="Times New Roman" w:cs="Segoe UI"/>
          <w:color w:val="000000"/>
        </w:rPr>
        <w:t xml:space="preserve">Swanbank B coal-fired power station in Ipswich, Queensland, owned by the </w:t>
      </w:r>
      <w:r w:rsidR="00761167" w:rsidRPr="003D290F">
        <w:rPr>
          <w:rFonts w:eastAsia="Times New Roman" w:cs="Segoe UI"/>
          <w:color w:val="000000"/>
        </w:rPr>
        <w:t>s</w:t>
      </w:r>
      <w:r w:rsidR="00355CA0" w:rsidRPr="003D290F">
        <w:rPr>
          <w:rFonts w:eastAsia="Times New Roman" w:cs="Segoe UI"/>
          <w:color w:val="000000"/>
        </w:rPr>
        <w:t xml:space="preserve">tate </w:t>
      </w:r>
      <w:r w:rsidR="00761167" w:rsidRPr="003D290F">
        <w:rPr>
          <w:rFonts w:eastAsia="Times New Roman" w:cs="Segoe UI"/>
          <w:color w:val="000000"/>
        </w:rPr>
        <w:t>g</w:t>
      </w:r>
      <w:r w:rsidR="00206A2C" w:rsidRPr="003D290F">
        <w:rPr>
          <w:rFonts w:eastAsia="Times New Roman" w:cs="Segoe UI"/>
          <w:color w:val="000000"/>
        </w:rPr>
        <w:t>overnment</w:t>
      </w:r>
      <w:r w:rsidR="00A17440" w:rsidRPr="003D290F">
        <w:rPr>
          <w:rFonts w:eastAsia="Times New Roman" w:cs="Segoe UI"/>
          <w:color w:val="000000"/>
        </w:rPr>
        <w:noBreakHyphen/>
      </w:r>
      <w:r w:rsidR="00355CA0" w:rsidRPr="003D290F">
        <w:rPr>
          <w:rFonts w:eastAsia="Times New Roman" w:cs="Segoe UI"/>
          <w:color w:val="000000"/>
        </w:rPr>
        <w:t>owned enterprise, CS Energy, closed. Two years prior to closure</w:t>
      </w:r>
      <w:r w:rsidR="00206A2C" w:rsidRPr="003D290F">
        <w:rPr>
          <w:rFonts w:eastAsia="Times New Roman" w:cs="Segoe UI"/>
          <w:color w:val="000000"/>
        </w:rPr>
        <w:t>,</w:t>
      </w:r>
      <w:r w:rsidR="00355CA0" w:rsidRPr="003D290F">
        <w:rPr>
          <w:rFonts w:eastAsia="Times New Roman" w:cs="Segoe UI"/>
          <w:color w:val="000000"/>
        </w:rPr>
        <w:t xml:space="preserve"> all power station </w:t>
      </w:r>
      <w:r w:rsidR="00DC068D" w:rsidRPr="003D290F">
        <w:rPr>
          <w:rFonts w:eastAsia="Times New Roman" w:cs="Segoe UI"/>
          <w:color w:val="000000"/>
        </w:rPr>
        <w:t>employees</w:t>
      </w:r>
      <w:r w:rsidR="00355CA0" w:rsidRPr="003D290F">
        <w:rPr>
          <w:rFonts w:eastAsia="Times New Roman" w:cs="Segoe UI"/>
          <w:color w:val="000000"/>
        </w:rPr>
        <w:t xml:space="preserve"> were guaranteed new jobs across CS Energy, including in an associated gas-fired power station (Swanbank</w:t>
      </w:r>
      <w:r w:rsidR="0014127C" w:rsidRPr="003D290F">
        <w:rPr>
          <w:rFonts w:eastAsia="Times New Roman" w:cs="Segoe UI"/>
          <w:color w:val="000000"/>
        </w:rPr>
        <w:t> </w:t>
      </w:r>
      <w:r w:rsidR="00355CA0" w:rsidRPr="003D290F">
        <w:rPr>
          <w:rFonts w:eastAsia="Times New Roman" w:cs="Segoe UI"/>
          <w:color w:val="000000"/>
        </w:rPr>
        <w:t>E).</w:t>
      </w:r>
      <w:r w:rsidR="00355CA0" w:rsidRPr="003D290F">
        <w:rPr>
          <w:rFonts w:eastAsia="Times New Roman" w:cs="Segoe UI"/>
          <w:color w:val="000000"/>
          <w:vertAlign w:val="superscript"/>
        </w:rPr>
        <w:footnoteReference w:id="80"/>
      </w:r>
      <w:r w:rsidR="00355CA0" w:rsidRPr="003D290F">
        <w:rPr>
          <w:rFonts w:eastAsia="Times New Roman" w:cs="Segoe UI"/>
          <w:color w:val="000000"/>
        </w:rPr>
        <w:t xml:space="preserve"> </w:t>
      </w:r>
    </w:p>
    <w:p w14:paraId="57934B8B" w14:textId="77777777" w:rsidR="00355CA0" w:rsidRPr="003D290F" w:rsidRDefault="00355CA0" w:rsidP="00FE3DEC">
      <w:pPr>
        <w:rPr>
          <w:rFonts w:eastAsia="Times New Roman" w:cs="Segoe UI"/>
        </w:rPr>
      </w:pPr>
      <w:r w:rsidRPr="003D290F">
        <w:rPr>
          <w:rFonts w:eastAsia="Times New Roman" w:cs="Segoe UI"/>
          <w:color w:val="000000"/>
        </w:rPr>
        <w:t xml:space="preserve">Following the stand down of the Attack Class Submarines program by Naval Group Australia, around </w:t>
      </w:r>
      <w:r w:rsidR="00206A2C" w:rsidRPr="003D290F">
        <w:rPr>
          <w:rFonts w:eastAsia="Times New Roman" w:cs="Segoe UI"/>
          <w:color w:val="000000"/>
        </w:rPr>
        <w:t>350 </w:t>
      </w:r>
      <w:r w:rsidR="00DC068D" w:rsidRPr="003D290F">
        <w:rPr>
          <w:rFonts w:eastAsia="Times New Roman" w:cs="Segoe UI"/>
          <w:color w:val="000000"/>
        </w:rPr>
        <w:t>employees</w:t>
      </w:r>
      <w:r w:rsidRPr="003D290F">
        <w:rPr>
          <w:rFonts w:eastAsia="Times New Roman" w:cs="Segoe UI"/>
          <w:color w:val="000000"/>
        </w:rPr>
        <w:t xml:space="preserve"> were due to be laid off. To redeploy these skilled </w:t>
      </w:r>
      <w:r w:rsidR="00DC068D" w:rsidRPr="003D290F">
        <w:rPr>
          <w:rFonts w:eastAsia="Times New Roman" w:cs="Segoe UI"/>
          <w:color w:val="000000"/>
        </w:rPr>
        <w:t>employees</w:t>
      </w:r>
      <w:r w:rsidRPr="003D290F">
        <w:rPr>
          <w:rFonts w:eastAsia="Times New Roman" w:cs="Segoe UI"/>
          <w:color w:val="000000"/>
        </w:rPr>
        <w:t xml:space="preserve">, a Sovereign shipbuilding talent pool was created in 2021. </w:t>
      </w:r>
      <w:r w:rsidR="00DC068D" w:rsidRPr="003D290F">
        <w:rPr>
          <w:rFonts w:eastAsia="Times New Roman" w:cs="Segoe UI"/>
          <w:color w:val="000000"/>
        </w:rPr>
        <w:t>Employees</w:t>
      </w:r>
      <w:r w:rsidRPr="003D290F">
        <w:rPr>
          <w:rFonts w:eastAsia="Times New Roman" w:cs="Segoe UI"/>
          <w:color w:val="000000"/>
        </w:rPr>
        <w:t xml:space="preserve"> were job-matched to roles in similar projects, including upgrading Collins</w:t>
      </w:r>
      <w:r w:rsidR="00206A2C" w:rsidRPr="003D290F">
        <w:rPr>
          <w:rFonts w:eastAsia="Times New Roman" w:cs="Segoe UI"/>
          <w:color w:val="000000"/>
        </w:rPr>
        <w:noBreakHyphen/>
      </w:r>
      <w:r w:rsidRPr="003D290F">
        <w:rPr>
          <w:rFonts w:eastAsia="Times New Roman" w:cs="Segoe UI"/>
          <w:color w:val="000000"/>
        </w:rPr>
        <w:t>class submarines, or placed in roles with overseas shipbuilders or governments.</w:t>
      </w:r>
      <w:r w:rsidRPr="003D290F">
        <w:rPr>
          <w:rFonts w:eastAsia="Times New Roman" w:cs="Segoe UI"/>
          <w:color w:val="000000"/>
          <w:vertAlign w:val="superscript"/>
        </w:rPr>
        <w:footnoteReference w:id="81"/>
      </w:r>
      <w:r w:rsidRPr="003D290F">
        <w:rPr>
          <w:rFonts w:eastAsia="Times New Roman" w:cs="Segoe UI"/>
          <w:color w:val="000000"/>
        </w:rPr>
        <w:t xml:space="preserve"> </w:t>
      </w:r>
    </w:p>
    <w:p w14:paraId="6DF2199B" w14:textId="77777777" w:rsidR="00355CA0" w:rsidRPr="003D290F" w:rsidRDefault="00355CA0" w:rsidP="00FE3DEC">
      <w:pPr>
        <w:rPr>
          <w:rFonts w:eastAsia="Times New Roman" w:cs="Segoe UI"/>
        </w:rPr>
      </w:pPr>
      <w:r w:rsidRPr="003D290F">
        <w:rPr>
          <w:rFonts w:eastAsia="Times New Roman" w:cs="Segoe UI"/>
        </w:rPr>
        <w:t xml:space="preserve">The closure of the Hazelwood coal-fired power station in Latrobe Valley, Victoria in 2017 is the most relevant </w:t>
      </w:r>
      <w:r w:rsidR="00A617B2">
        <w:rPr>
          <w:rFonts w:eastAsia="Times New Roman" w:cs="Segoe UI"/>
        </w:rPr>
        <w:t xml:space="preserve">and recent </w:t>
      </w:r>
      <w:r w:rsidRPr="003D290F">
        <w:rPr>
          <w:rFonts w:eastAsia="Times New Roman" w:cs="Segoe UI"/>
        </w:rPr>
        <w:t xml:space="preserve">case study of an unlegislated pooled redeployment </w:t>
      </w:r>
      <w:r w:rsidR="0021615A" w:rsidRPr="003D290F">
        <w:rPr>
          <w:rFonts w:eastAsia="Times New Roman" w:cs="Segoe UI"/>
        </w:rPr>
        <w:t>plan</w:t>
      </w:r>
      <w:r w:rsidR="00EF3EA5" w:rsidRPr="003D290F">
        <w:rPr>
          <w:rFonts w:eastAsia="Times New Roman" w:cs="Segoe UI"/>
        </w:rPr>
        <w:t>, providing useful evidence to inform analysis assumptions</w:t>
      </w:r>
      <w:r w:rsidRPr="003D290F">
        <w:rPr>
          <w:rFonts w:eastAsia="Times New Roman" w:cs="Segoe UI"/>
        </w:rPr>
        <w:t xml:space="preserve"> (see </w:t>
      </w:r>
      <w:r w:rsidRPr="003D290F">
        <w:rPr>
          <w:rFonts w:eastAsia="Times New Roman" w:cs="Segoe UI"/>
          <w:b/>
          <w:color w:val="1B375C"/>
        </w:rPr>
        <w:t>Box 4.2</w:t>
      </w:r>
      <w:r w:rsidRPr="003D290F">
        <w:rPr>
          <w:rFonts w:eastAsia="Times New Roman" w:cs="Segoe UI"/>
        </w:rPr>
        <w:t>).</w:t>
      </w:r>
      <w:r w:rsidR="00684AAA" w:rsidRPr="003D290F">
        <w:rPr>
          <w:rFonts w:eastAsia="Times New Roman" w:cs="Segoe UI"/>
        </w:rPr>
        <w:t xml:space="preserve"> The </w:t>
      </w:r>
      <w:r w:rsidR="00226F08" w:rsidRPr="003D290F">
        <w:rPr>
          <w:rFonts w:eastAsia="Times New Roman" w:cs="Segoe UI"/>
        </w:rPr>
        <w:t xml:space="preserve">type of </w:t>
      </w:r>
      <w:r w:rsidR="00684AAA" w:rsidRPr="003D290F">
        <w:rPr>
          <w:rFonts w:eastAsia="Times New Roman" w:cs="Segoe UI"/>
        </w:rPr>
        <w:t xml:space="preserve">support that was provided by the </w:t>
      </w:r>
      <w:r w:rsidR="00E9766D">
        <w:rPr>
          <w:rFonts w:eastAsia="Times New Roman" w:cs="Segoe UI"/>
        </w:rPr>
        <w:t>Victorian</w:t>
      </w:r>
      <w:r w:rsidR="00E9766D" w:rsidRPr="003D290F">
        <w:rPr>
          <w:rFonts w:eastAsia="Times New Roman" w:cs="Segoe UI"/>
        </w:rPr>
        <w:t xml:space="preserve"> </w:t>
      </w:r>
      <w:r w:rsidR="00E9766D">
        <w:rPr>
          <w:rFonts w:eastAsia="Times New Roman" w:cs="Segoe UI"/>
        </w:rPr>
        <w:t>G</w:t>
      </w:r>
      <w:r w:rsidR="00684AAA" w:rsidRPr="003D290F">
        <w:rPr>
          <w:rFonts w:eastAsia="Times New Roman" w:cs="Segoe UI"/>
        </w:rPr>
        <w:t xml:space="preserve">overnment’s redeployment scheme is the most similar to the support provided under the unlegislated and legislated redeployment plan. </w:t>
      </w:r>
    </w:p>
    <w:p w14:paraId="7BCD543A" w14:textId="77777777" w:rsidR="00355CA0" w:rsidRPr="003D290F" w:rsidRDefault="00355CA0" w:rsidP="00FC778B">
      <w:pPr>
        <w:keepNext/>
        <w:pBdr>
          <w:top w:val="single" w:sz="48" w:space="1" w:color="E0E8F2"/>
          <w:left w:val="single" w:sz="48" w:space="4" w:color="E0E8F2"/>
          <w:bottom w:val="single" w:sz="48" w:space="1" w:color="E0E8F2"/>
          <w:right w:val="single" w:sz="48" w:space="4" w:color="E0E8F2"/>
        </w:pBdr>
        <w:shd w:val="clear" w:color="auto" w:fill="E0E8F2"/>
        <w:tabs>
          <w:tab w:val="left" w:pos="3300"/>
        </w:tabs>
        <w:spacing w:line="240" w:lineRule="auto"/>
        <w:ind w:left="227" w:right="227"/>
        <w:rPr>
          <w:rFonts w:eastAsia="Times New Roman" w:cs="Times New Roman"/>
          <w:b/>
          <w:color w:val="000000"/>
        </w:rPr>
      </w:pPr>
      <w:r w:rsidRPr="003D290F">
        <w:rPr>
          <w:rFonts w:eastAsia="Times New Roman" w:cs="Times New Roman"/>
          <w:b/>
          <w:color w:val="000000"/>
        </w:rPr>
        <w:t>BOX 4.2 HAZELWOOD COAL-FIRED POWER STATION</w:t>
      </w:r>
      <w:r w:rsidR="006F65B8" w:rsidRPr="003D290F">
        <w:rPr>
          <w:rFonts w:eastAsia="Times New Roman" w:cs="Times New Roman"/>
          <w:b/>
          <w:color w:val="000000"/>
        </w:rPr>
        <w:t xml:space="preserve"> WORKER TRANSFER SCHEME</w:t>
      </w:r>
    </w:p>
    <w:p w14:paraId="0F253E44" w14:textId="77777777" w:rsidR="00355CA0" w:rsidRPr="003D290F" w:rsidRDefault="00355CA0" w:rsidP="00FC778B">
      <w:pPr>
        <w:keepNext/>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rPr>
          <w:rFonts w:eastAsia="Times New Roman" w:cs="Times New Roman"/>
          <w:color w:val="000000"/>
          <w:sz w:val="20"/>
        </w:rPr>
      </w:pPr>
      <w:r w:rsidRPr="003D290F">
        <w:rPr>
          <w:rFonts w:eastAsia="Times New Roman" w:cs="Times New Roman"/>
          <w:color w:val="000000"/>
          <w:sz w:val="20"/>
        </w:rPr>
        <w:t xml:space="preserve">Hazelwood’s Worker Transfer Scheme facilitated the redeployment of skilled Hazelwood </w:t>
      </w:r>
      <w:r w:rsidR="00DC068D" w:rsidRPr="003D290F">
        <w:rPr>
          <w:rFonts w:eastAsia="Times New Roman" w:cs="Times New Roman"/>
          <w:color w:val="000000"/>
          <w:sz w:val="20"/>
        </w:rPr>
        <w:t>employees</w:t>
      </w:r>
      <w:r w:rsidRPr="003D290F">
        <w:rPr>
          <w:rFonts w:eastAsia="Times New Roman" w:cs="Times New Roman"/>
          <w:color w:val="000000"/>
          <w:sz w:val="20"/>
        </w:rPr>
        <w:t xml:space="preserve"> to other coal-fired power stations in the Latrobe Valley. The Government of Victoria negotiated an agreement between Hazelwood power station (owned by Engie and Mitsuit &amp; Co) and the coal-fired power stations at Yallourn (EnergyAustralia), Loy Yang A (AGL), and Loy Yang B (Engie), with input from relevant regional unions. The Victorian Government provided $</w:t>
      </w:r>
      <w:r w:rsidR="00796498" w:rsidRPr="003D290F">
        <w:rPr>
          <w:rFonts w:eastAsia="Times New Roman" w:cs="Times New Roman"/>
          <w:color w:val="000000"/>
          <w:sz w:val="20"/>
        </w:rPr>
        <w:t xml:space="preserve">22 </w:t>
      </w:r>
      <w:r w:rsidRPr="003D290F">
        <w:rPr>
          <w:rFonts w:eastAsia="Times New Roman" w:cs="Times New Roman"/>
          <w:color w:val="000000"/>
          <w:sz w:val="20"/>
        </w:rPr>
        <w:t xml:space="preserve">million under the scheme </w:t>
      </w:r>
      <w:r w:rsidR="00796498" w:rsidRPr="003D290F">
        <w:rPr>
          <w:rFonts w:eastAsia="Times New Roman" w:cs="Times New Roman"/>
          <w:color w:val="000000"/>
          <w:sz w:val="20"/>
        </w:rPr>
        <w:t xml:space="preserve">to affected </w:t>
      </w:r>
      <w:r w:rsidR="00DC068D" w:rsidRPr="003D290F">
        <w:rPr>
          <w:rFonts w:eastAsia="Times New Roman" w:cs="Times New Roman"/>
          <w:color w:val="000000"/>
          <w:sz w:val="20"/>
        </w:rPr>
        <w:t>employees</w:t>
      </w:r>
      <w:r w:rsidR="00796498" w:rsidRPr="003D290F">
        <w:rPr>
          <w:rFonts w:eastAsia="Times New Roman" w:cs="Times New Roman"/>
          <w:color w:val="000000"/>
          <w:sz w:val="20"/>
        </w:rPr>
        <w:t xml:space="preserve"> and businesses </w:t>
      </w:r>
      <w:r w:rsidRPr="003D290F">
        <w:rPr>
          <w:rFonts w:eastAsia="Times New Roman" w:cs="Times New Roman"/>
          <w:color w:val="000000"/>
          <w:sz w:val="20"/>
        </w:rPr>
        <w:t xml:space="preserve">with the </w:t>
      </w:r>
      <w:r w:rsidRPr="003D290F">
        <w:rPr>
          <w:rFonts w:eastAsia="Times New Roman" w:cs="Times New Roman"/>
          <w:color w:val="000000"/>
          <w:sz w:val="20"/>
        </w:rPr>
        <w:lastRenderedPageBreak/>
        <w:t xml:space="preserve">objective of subsiding 150 early retirement packages at </w:t>
      </w:r>
      <w:r w:rsidR="001F471B" w:rsidRPr="003D290F">
        <w:rPr>
          <w:rFonts w:eastAsia="Times New Roman" w:cs="Times New Roman"/>
          <w:color w:val="000000"/>
          <w:sz w:val="20"/>
        </w:rPr>
        <w:t>receiving employers</w:t>
      </w:r>
      <w:r w:rsidRPr="003D290F">
        <w:rPr>
          <w:rFonts w:eastAsia="Times New Roman" w:cs="Times New Roman"/>
          <w:color w:val="000000"/>
          <w:sz w:val="20"/>
        </w:rPr>
        <w:t xml:space="preserve"> to create vacancies for </w:t>
      </w:r>
      <w:r w:rsidR="00DC068D" w:rsidRPr="003D290F">
        <w:rPr>
          <w:rFonts w:eastAsia="Times New Roman" w:cs="Times New Roman"/>
          <w:color w:val="000000"/>
          <w:sz w:val="20"/>
        </w:rPr>
        <w:t>employees</w:t>
      </w:r>
      <w:r w:rsidRPr="003D290F">
        <w:rPr>
          <w:rFonts w:eastAsia="Times New Roman" w:cs="Times New Roman"/>
          <w:color w:val="000000"/>
          <w:sz w:val="20"/>
        </w:rPr>
        <w:t xml:space="preserve"> from Hazelwood power stations.</w:t>
      </w:r>
    </w:p>
    <w:p w14:paraId="22D280A9" w14:textId="77777777" w:rsidR="00355CA0" w:rsidRPr="003D290F" w:rsidRDefault="00355CA0" w:rsidP="00FC778B">
      <w:pPr>
        <w:keepNext/>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rPr>
          <w:rFonts w:eastAsia="Times New Roman" w:cs="Times New Roman"/>
          <w:color w:val="000000"/>
          <w:sz w:val="20"/>
        </w:rPr>
      </w:pPr>
      <w:r w:rsidRPr="003D290F">
        <w:rPr>
          <w:rFonts w:eastAsia="Times New Roman" w:cs="Times New Roman"/>
          <w:color w:val="000000"/>
          <w:sz w:val="20"/>
        </w:rPr>
        <w:t xml:space="preserve">Under the scheme, 230 </w:t>
      </w:r>
      <w:r w:rsidR="00DC068D" w:rsidRPr="003D290F">
        <w:rPr>
          <w:rFonts w:eastAsia="Times New Roman" w:cs="Times New Roman"/>
          <w:color w:val="000000"/>
          <w:sz w:val="20"/>
        </w:rPr>
        <w:t>employees</w:t>
      </w:r>
      <w:r w:rsidRPr="003D290F">
        <w:rPr>
          <w:rFonts w:eastAsia="Times New Roman" w:cs="Times New Roman"/>
          <w:color w:val="000000"/>
          <w:sz w:val="20"/>
        </w:rPr>
        <w:t xml:space="preserve"> at the </w:t>
      </w:r>
      <w:r w:rsidR="00872663" w:rsidRPr="003D290F">
        <w:rPr>
          <w:rFonts w:eastAsia="Times New Roman" w:cs="Times New Roman"/>
          <w:color w:val="000000"/>
          <w:sz w:val="20"/>
        </w:rPr>
        <w:t>r</w:t>
      </w:r>
      <w:r w:rsidR="008F63B9" w:rsidRPr="003D290F">
        <w:rPr>
          <w:rFonts w:eastAsia="Times New Roman" w:cs="Times New Roman"/>
          <w:color w:val="000000"/>
          <w:sz w:val="20"/>
        </w:rPr>
        <w:t>eceiving</w:t>
      </w:r>
      <w:r w:rsidRPr="003D290F">
        <w:rPr>
          <w:rFonts w:eastAsia="Times New Roman" w:cs="Times New Roman"/>
          <w:color w:val="000000"/>
          <w:sz w:val="20"/>
        </w:rPr>
        <w:t xml:space="preserve"> power stations expressed an interest in taking up an early retirement package. The </w:t>
      </w:r>
      <w:r w:rsidR="001F471B" w:rsidRPr="003D290F">
        <w:rPr>
          <w:rFonts w:eastAsia="Times New Roman" w:cs="Times New Roman"/>
          <w:color w:val="000000"/>
          <w:sz w:val="20"/>
        </w:rPr>
        <w:t>receiving employers</w:t>
      </w:r>
      <w:r w:rsidRPr="003D290F">
        <w:rPr>
          <w:rFonts w:eastAsia="Times New Roman" w:cs="Times New Roman"/>
          <w:color w:val="000000"/>
          <w:sz w:val="20"/>
        </w:rPr>
        <w:t xml:space="preserve"> approved 90 of these requests, creating 90 vacancies for incoming Hazelwood </w:t>
      </w:r>
      <w:r w:rsidR="00DC068D" w:rsidRPr="003D290F">
        <w:rPr>
          <w:rFonts w:eastAsia="Times New Roman" w:cs="Times New Roman"/>
          <w:color w:val="000000"/>
          <w:sz w:val="20"/>
        </w:rPr>
        <w:t>employees</w:t>
      </w:r>
      <w:r w:rsidRPr="003D290F">
        <w:rPr>
          <w:rFonts w:eastAsia="Times New Roman" w:cs="Times New Roman"/>
          <w:color w:val="000000"/>
          <w:sz w:val="20"/>
        </w:rPr>
        <w:t>.</w:t>
      </w:r>
      <w:r w:rsidR="00796498" w:rsidRPr="003D290F">
        <w:rPr>
          <w:rFonts w:eastAsia="Times New Roman" w:cs="Segoe UI"/>
          <w:color w:val="000000"/>
          <w:sz w:val="20"/>
          <w:vertAlign w:val="superscript"/>
        </w:rPr>
        <w:footnoteReference w:id="82"/>
      </w:r>
    </w:p>
    <w:p w14:paraId="5E43F830" w14:textId="77777777" w:rsidR="00076E5E" w:rsidRPr="003D290F" w:rsidRDefault="00076E5E" w:rsidP="005D46F4">
      <w:pPr>
        <w:pStyle w:val="Heading3"/>
        <w:spacing w:line="276" w:lineRule="auto"/>
      </w:pPr>
      <w:bookmarkStart w:id="294" w:name="_Toc155604638"/>
      <w:bookmarkStart w:id="295" w:name="_Toc161395995"/>
      <w:bookmarkStart w:id="296" w:name="_Toc161403531"/>
      <w:bookmarkStart w:id="297" w:name="_Toc161694810"/>
      <w:bookmarkStart w:id="298" w:name="_Toc161752265"/>
      <w:bookmarkStart w:id="299" w:name="_Toc161759703"/>
      <w:r w:rsidRPr="003D290F">
        <w:rPr>
          <w:rFonts w:eastAsia="Times New Roman"/>
        </w:rPr>
        <w:t>4.</w:t>
      </w:r>
      <w:r w:rsidR="007727EE" w:rsidRPr="003D290F">
        <w:rPr>
          <w:rFonts w:eastAsia="Times New Roman"/>
        </w:rPr>
        <w:t>5</w:t>
      </w:r>
      <w:r w:rsidRPr="003D290F">
        <w:rPr>
          <w:rFonts w:eastAsia="Times New Roman"/>
        </w:rPr>
        <w:t xml:space="preserve">.3 </w:t>
      </w:r>
      <w:r w:rsidR="00EC579B" w:rsidRPr="003D290F">
        <w:t>S</w:t>
      </w:r>
      <w:r w:rsidRPr="003D290F">
        <w:t>takeholder</w:t>
      </w:r>
      <w:r w:rsidR="00EC579B" w:rsidRPr="003D290F">
        <w:t xml:space="preserve"> outcome</w:t>
      </w:r>
      <w:r w:rsidRPr="003D290F">
        <w:t xml:space="preserve">s under an unlegislated pooled redeployment </w:t>
      </w:r>
      <w:r w:rsidR="00F6294A" w:rsidRPr="003D290F">
        <w:t>plan</w:t>
      </w:r>
      <w:bookmarkEnd w:id="294"/>
      <w:bookmarkEnd w:id="295"/>
      <w:bookmarkEnd w:id="296"/>
      <w:bookmarkEnd w:id="297"/>
      <w:bookmarkEnd w:id="298"/>
      <w:bookmarkEnd w:id="299"/>
    </w:p>
    <w:p w14:paraId="70953B54" w14:textId="77777777" w:rsidR="00076E5E" w:rsidRPr="003D290F" w:rsidRDefault="00076E5E" w:rsidP="00FE3DEC">
      <w:pPr>
        <w:rPr>
          <w:rFonts w:eastAsia="Times New Roman" w:cs="Segoe UI"/>
        </w:rPr>
      </w:pPr>
      <w:r w:rsidRPr="003D290F">
        <w:rPr>
          <w:rFonts w:eastAsia="Times New Roman" w:cs="Segoe UI"/>
        </w:rPr>
        <w:t xml:space="preserve">The administration of an unlegislated pooled redeployment </w:t>
      </w:r>
      <w:r w:rsidR="00F6294A" w:rsidRPr="003D290F">
        <w:rPr>
          <w:rFonts w:eastAsia="Times New Roman" w:cs="Segoe UI"/>
        </w:rPr>
        <w:t>plan</w:t>
      </w:r>
      <w:r w:rsidRPr="003D290F">
        <w:rPr>
          <w:rFonts w:eastAsia="Times New Roman" w:cs="Segoe UI"/>
        </w:rPr>
        <w:t xml:space="preserve"> would impact each identified stakeholder group differently. This section identifies costs and benefits under </w:t>
      </w:r>
      <w:r w:rsidR="001D25F0" w:rsidRPr="003D290F">
        <w:rPr>
          <w:rFonts w:eastAsia="Times New Roman" w:cs="Segoe UI"/>
        </w:rPr>
        <w:t>Option 2</w:t>
      </w:r>
      <w:r w:rsidRPr="003D290F">
        <w:rPr>
          <w:rFonts w:eastAsia="Times New Roman" w:cs="Segoe UI"/>
        </w:rPr>
        <w:t xml:space="preserve"> relative to the status quo. It does not explicitly capture outcomes assumed </w:t>
      </w:r>
      <w:r w:rsidR="0027697F" w:rsidRPr="003D290F">
        <w:rPr>
          <w:rFonts w:eastAsia="Times New Roman" w:cs="Segoe UI"/>
        </w:rPr>
        <w:t xml:space="preserve">to </w:t>
      </w:r>
      <w:r w:rsidRPr="003D290F">
        <w:rPr>
          <w:rFonts w:eastAsia="Times New Roman" w:cs="Segoe UI"/>
        </w:rPr>
        <w:t>occur equally under all policy options</w:t>
      </w:r>
      <w:r w:rsidR="0027697F" w:rsidRPr="003D290F">
        <w:rPr>
          <w:rFonts w:eastAsia="Times New Roman" w:cs="Segoe UI"/>
        </w:rPr>
        <w:t>, for example,</w:t>
      </w:r>
      <w:r w:rsidRPr="003D290F">
        <w:rPr>
          <w:rFonts w:eastAsia="Times New Roman" w:cs="Segoe UI"/>
        </w:rPr>
        <w:t xml:space="preserve"> closing employers paying redundancy entitlements to all </w:t>
      </w:r>
      <w:r w:rsidR="00DC068D" w:rsidRPr="003D290F">
        <w:rPr>
          <w:rFonts w:eastAsia="Times New Roman" w:cs="Segoe UI"/>
        </w:rPr>
        <w:t>employees</w:t>
      </w:r>
      <w:r w:rsidRPr="003D290F">
        <w:rPr>
          <w:rFonts w:eastAsia="Times New Roman" w:cs="Segoe UI"/>
        </w:rPr>
        <w:t>.</w:t>
      </w:r>
    </w:p>
    <w:p w14:paraId="2811EE6B" w14:textId="77777777" w:rsidR="00076E5E" w:rsidRPr="003D290F" w:rsidRDefault="00076E5E" w:rsidP="00FE3DEC">
      <w:pPr>
        <w:rPr>
          <w:rFonts w:eastAsia="Times New Roman" w:cs="Segoe UI"/>
        </w:rPr>
      </w:pPr>
      <w:r w:rsidRPr="003D290F">
        <w:rPr>
          <w:rFonts w:eastAsia="Times New Roman" w:cs="Segoe UI"/>
        </w:rPr>
        <w:t xml:space="preserve">Under </w:t>
      </w:r>
      <w:r w:rsidR="001D25F0" w:rsidRPr="003D290F">
        <w:rPr>
          <w:rFonts w:eastAsia="Times New Roman" w:cs="Segoe UI"/>
        </w:rPr>
        <w:t>Option 2</w:t>
      </w:r>
      <w:r w:rsidRPr="003D290F">
        <w:rPr>
          <w:rFonts w:eastAsia="Times New Roman" w:cs="Segoe UI"/>
        </w:rPr>
        <w:t xml:space="preserve">, </w:t>
      </w:r>
      <w:r w:rsidRPr="003D290F">
        <w:rPr>
          <w:rFonts w:eastAsia="Times New Roman" w:cs="Segoe UI"/>
          <w:b/>
          <w:color w:val="1B375C"/>
        </w:rPr>
        <w:t>closing employers</w:t>
      </w:r>
      <w:r w:rsidRPr="003D290F">
        <w:rPr>
          <w:rFonts w:eastAsia="Times New Roman" w:cs="Segoe UI"/>
          <w:b/>
        </w:rPr>
        <w:t xml:space="preserve"> </w:t>
      </w:r>
      <w:r w:rsidRPr="003D290F">
        <w:rPr>
          <w:rFonts w:eastAsia="Times New Roman" w:cs="Segoe UI"/>
        </w:rPr>
        <w:t xml:space="preserve">would work with </w:t>
      </w:r>
      <w:r w:rsidR="00F4765D" w:rsidRPr="003D290F">
        <w:rPr>
          <w:rFonts w:eastAsia="Times New Roman" w:cs="Segoe UI"/>
        </w:rPr>
        <w:t>g</w:t>
      </w:r>
      <w:r w:rsidRPr="003D290F">
        <w:rPr>
          <w:rFonts w:eastAsia="Times New Roman" w:cs="Segoe UI"/>
        </w:rPr>
        <w:t xml:space="preserve">overnment and </w:t>
      </w:r>
      <w:r w:rsidR="001F471B" w:rsidRPr="003D290F">
        <w:rPr>
          <w:rFonts w:eastAsia="Times New Roman" w:cs="Segoe UI"/>
        </w:rPr>
        <w:t>receiving employers</w:t>
      </w:r>
      <w:r w:rsidRPr="003D290F">
        <w:rPr>
          <w:rFonts w:eastAsia="Times New Roman" w:cs="Segoe UI"/>
        </w:rPr>
        <w:t xml:space="preserve"> to identify </w:t>
      </w:r>
      <w:r w:rsidR="00DC068D" w:rsidRPr="003D290F">
        <w:rPr>
          <w:rFonts w:eastAsia="Times New Roman" w:cs="Segoe UI"/>
        </w:rPr>
        <w:t>employees</w:t>
      </w:r>
      <w:r w:rsidRPr="003D290F">
        <w:rPr>
          <w:rFonts w:eastAsia="Times New Roman" w:cs="Segoe UI"/>
        </w:rPr>
        <w:t xml:space="preserve"> that want to participate in the </w:t>
      </w:r>
      <w:r w:rsidR="00F6294A" w:rsidRPr="003D290F">
        <w:rPr>
          <w:rFonts w:eastAsia="Times New Roman" w:cs="Segoe UI"/>
        </w:rPr>
        <w:t>plan</w:t>
      </w:r>
      <w:r w:rsidR="00EB4BFC" w:rsidRPr="003D290F">
        <w:rPr>
          <w:rFonts w:eastAsia="Times New Roman" w:cs="Segoe UI"/>
        </w:rPr>
        <w:t xml:space="preserve"> and help them secure redeployment to another job</w:t>
      </w:r>
      <w:r w:rsidRPr="003D290F">
        <w:rPr>
          <w:rFonts w:eastAsia="Times New Roman" w:cs="Segoe UI"/>
        </w:rPr>
        <w:t xml:space="preserve">. </w:t>
      </w:r>
      <w:r w:rsidR="000C57D2" w:rsidRPr="003D290F">
        <w:rPr>
          <w:rFonts w:eastAsia="Times New Roman" w:cs="Segoe UI"/>
        </w:rPr>
        <w:t>They</w:t>
      </w:r>
      <w:r w:rsidRPr="003D290F">
        <w:rPr>
          <w:rFonts w:eastAsia="Times New Roman" w:cs="Segoe UI"/>
        </w:rPr>
        <w:t xml:space="preserve"> would </w:t>
      </w:r>
      <w:r w:rsidR="000C57D2" w:rsidRPr="003D290F">
        <w:rPr>
          <w:rFonts w:eastAsia="Times New Roman" w:cs="Segoe UI"/>
        </w:rPr>
        <w:t xml:space="preserve">benefit from </w:t>
      </w:r>
      <w:r w:rsidRPr="003D290F">
        <w:rPr>
          <w:rFonts w:eastAsia="Times New Roman" w:cs="Segoe UI"/>
        </w:rPr>
        <w:t xml:space="preserve">greater certainty around workforce retention in the lead-up to a facility closure, coordinating mutually beneficial start dates with </w:t>
      </w:r>
      <w:r w:rsidR="001F471B" w:rsidRPr="003D290F">
        <w:rPr>
          <w:rFonts w:eastAsia="Times New Roman" w:cs="Segoe UI"/>
        </w:rPr>
        <w:t>receiving employers</w:t>
      </w:r>
      <w:r w:rsidRPr="003D290F">
        <w:rPr>
          <w:rFonts w:eastAsia="Times New Roman" w:cs="Segoe UI"/>
        </w:rPr>
        <w:t xml:space="preserve">. </w:t>
      </w:r>
    </w:p>
    <w:p w14:paraId="52F43DBC" w14:textId="77777777" w:rsidR="00076E5E" w:rsidRPr="003D290F" w:rsidRDefault="000C57D2" w:rsidP="00FE3DEC">
      <w:pPr>
        <w:rPr>
          <w:rFonts w:eastAsia="Times New Roman" w:cs="Segoe UI"/>
        </w:rPr>
      </w:pPr>
      <w:r w:rsidRPr="003D290F">
        <w:rPr>
          <w:rFonts w:eastAsia="Times New Roman" w:cs="Segoe UI"/>
        </w:rPr>
        <w:t>However</w:t>
      </w:r>
      <w:r w:rsidR="00076E5E" w:rsidRPr="003D290F">
        <w:rPr>
          <w:rFonts w:eastAsia="Times New Roman" w:cs="Segoe UI"/>
        </w:rPr>
        <w:t xml:space="preserve">, closing employers would incur </w:t>
      </w:r>
      <w:r w:rsidR="00BC7B3A" w:rsidRPr="003D290F">
        <w:rPr>
          <w:rFonts w:eastAsia="Times New Roman" w:cs="Segoe UI"/>
        </w:rPr>
        <w:t xml:space="preserve">administrative </w:t>
      </w:r>
      <w:r w:rsidR="00076E5E" w:rsidRPr="003D290F">
        <w:rPr>
          <w:rFonts w:eastAsia="Times New Roman" w:cs="Segoe UI"/>
        </w:rPr>
        <w:t xml:space="preserve">costs associated with delivering the </w:t>
      </w:r>
      <w:r w:rsidR="00F6294A" w:rsidRPr="003D290F">
        <w:rPr>
          <w:rFonts w:eastAsia="Times New Roman" w:cs="Segoe UI"/>
        </w:rPr>
        <w:t>plan</w:t>
      </w:r>
      <w:r w:rsidR="00076E5E" w:rsidRPr="003D290F">
        <w:rPr>
          <w:rFonts w:eastAsia="Times New Roman" w:cs="Segoe UI"/>
        </w:rPr>
        <w:t xml:space="preserve"> (</w:t>
      </w:r>
      <w:r w:rsidR="00CC37B4" w:rsidRPr="003D290F">
        <w:rPr>
          <w:rFonts w:eastAsia="Times New Roman" w:cs="Segoe UI"/>
        </w:rPr>
        <w:t xml:space="preserve">included under </w:t>
      </w:r>
      <w:r w:rsidR="00076E5E" w:rsidRPr="003D290F">
        <w:rPr>
          <w:rFonts w:eastAsia="Times New Roman" w:cs="Segoe UI"/>
        </w:rPr>
        <w:t xml:space="preserve">regulatory </w:t>
      </w:r>
      <w:r w:rsidR="00BC7B3A" w:rsidRPr="003D290F">
        <w:rPr>
          <w:rFonts w:eastAsia="Times New Roman" w:cs="Segoe UI"/>
        </w:rPr>
        <w:t>costs</w:t>
      </w:r>
      <w:r w:rsidR="00076E5E" w:rsidRPr="003D290F">
        <w:rPr>
          <w:rFonts w:eastAsia="Times New Roman" w:cs="Segoe UI"/>
        </w:rPr>
        <w:t xml:space="preserve">), including </w:t>
      </w:r>
      <w:r w:rsidR="00CC37B4" w:rsidRPr="003D290F">
        <w:rPr>
          <w:rFonts w:eastAsia="Times New Roman" w:cs="Segoe UI"/>
        </w:rPr>
        <w:t xml:space="preserve">educating </w:t>
      </w:r>
      <w:r w:rsidR="00DC068D" w:rsidRPr="003D290F">
        <w:rPr>
          <w:rFonts w:eastAsia="Times New Roman" w:cs="Segoe UI"/>
        </w:rPr>
        <w:t>employees</w:t>
      </w:r>
      <w:r w:rsidR="00CC37B4" w:rsidRPr="003D290F">
        <w:rPr>
          <w:rFonts w:eastAsia="Times New Roman" w:cs="Segoe UI"/>
        </w:rPr>
        <w:t xml:space="preserve"> on the </w:t>
      </w:r>
      <w:r w:rsidR="00F6294A" w:rsidRPr="003D290F">
        <w:rPr>
          <w:rFonts w:eastAsia="Times New Roman" w:cs="Segoe UI"/>
        </w:rPr>
        <w:t>plan</w:t>
      </w:r>
      <w:r w:rsidR="00CC37B4" w:rsidRPr="003D290F">
        <w:rPr>
          <w:rFonts w:eastAsia="Times New Roman" w:cs="Segoe UI"/>
        </w:rPr>
        <w:t xml:space="preserve">, running processes to determine interest, </w:t>
      </w:r>
      <w:r w:rsidR="00655A7F" w:rsidRPr="003D290F">
        <w:rPr>
          <w:rFonts w:eastAsia="Times New Roman" w:cs="Segoe UI"/>
        </w:rPr>
        <w:t xml:space="preserve">engaging with </w:t>
      </w:r>
      <w:r w:rsidR="00F4765D" w:rsidRPr="003D290F">
        <w:rPr>
          <w:rFonts w:eastAsia="Times New Roman" w:cs="Segoe UI"/>
        </w:rPr>
        <w:t>g</w:t>
      </w:r>
      <w:r w:rsidR="00655A7F" w:rsidRPr="003D290F">
        <w:rPr>
          <w:rFonts w:eastAsia="Times New Roman" w:cs="Segoe UI"/>
        </w:rPr>
        <w:t xml:space="preserve">overnment and </w:t>
      </w:r>
      <w:r w:rsidR="00B2277E" w:rsidRPr="003D290F">
        <w:rPr>
          <w:rFonts w:eastAsia="Times New Roman" w:cs="Segoe UI"/>
        </w:rPr>
        <w:t>receiving employer</w:t>
      </w:r>
      <w:r w:rsidR="00EB4BFC" w:rsidRPr="003D290F">
        <w:rPr>
          <w:rFonts w:eastAsia="Times New Roman" w:cs="Segoe UI"/>
        </w:rPr>
        <w:t>s</w:t>
      </w:r>
      <w:r w:rsidR="00655A7F" w:rsidRPr="003D290F">
        <w:rPr>
          <w:rFonts w:eastAsia="Times New Roman" w:cs="Segoe UI"/>
        </w:rPr>
        <w:t>,</w:t>
      </w:r>
      <w:r w:rsidR="00CC37B4" w:rsidRPr="003D290F">
        <w:rPr>
          <w:rFonts w:eastAsia="Times New Roman" w:cs="Segoe UI"/>
        </w:rPr>
        <w:t xml:space="preserve"> record keeping and information </w:t>
      </w:r>
      <w:r w:rsidR="00655A7F" w:rsidRPr="003D290F">
        <w:rPr>
          <w:rFonts w:eastAsia="Times New Roman" w:cs="Segoe UI"/>
        </w:rPr>
        <w:t>and data sharing</w:t>
      </w:r>
      <w:r w:rsidR="00CC37B4" w:rsidRPr="003D290F">
        <w:rPr>
          <w:rFonts w:eastAsia="Times New Roman" w:cs="Segoe UI"/>
        </w:rPr>
        <w:t xml:space="preserve">. Closing employers may also need to seek legal advice on </w:t>
      </w:r>
      <w:r w:rsidR="00F6294A" w:rsidRPr="003D290F">
        <w:rPr>
          <w:rFonts w:eastAsia="Times New Roman" w:cs="Segoe UI"/>
        </w:rPr>
        <w:t>plan</w:t>
      </w:r>
      <w:r w:rsidR="00CC37B4" w:rsidRPr="003D290F">
        <w:rPr>
          <w:rFonts w:eastAsia="Times New Roman" w:cs="Segoe UI"/>
        </w:rPr>
        <w:t xml:space="preserve"> participation or entering into an agreement with </w:t>
      </w:r>
      <w:r w:rsidR="00F4765D" w:rsidRPr="003D290F">
        <w:rPr>
          <w:rFonts w:eastAsia="Times New Roman" w:cs="Segoe UI"/>
        </w:rPr>
        <w:t>g</w:t>
      </w:r>
      <w:r w:rsidR="00CC37B4" w:rsidRPr="003D290F">
        <w:rPr>
          <w:rFonts w:eastAsia="Times New Roman" w:cs="Segoe UI"/>
        </w:rPr>
        <w:t>overnment</w:t>
      </w:r>
      <w:r w:rsidR="00BC7B3A" w:rsidRPr="003D290F">
        <w:rPr>
          <w:rFonts w:eastAsia="Times New Roman" w:cs="Segoe UI"/>
        </w:rPr>
        <w:t xml:space="preserve">, such as a Memorandum of Understanding </w:t>
      </w:r>
      <w:r w:rsidR="00825F5A" w:rsidRPr="003D290F">
        <w:rPr>
          <w:rFonts w:eastAsia="Times New Roman" w:cs="Segoe UI"/>
        </w:rPr>
        <w:t>that set out</w:t>
      </w:r>
      <w:r w:rsidR="00BC7B3A" w:rsidRPr="003D290F">
        <w:rPr>
          <w:rFonts w:eastAsia="Times New Roman" w:cs="Segoe UI"/>
        </w:rPr>
        <w:t>s</w:t>
      </w:r>
      <w:r w:rsidR="00825F5A" w:rsidRPr="003D290F">
        <w:rPr>
          <w:rFonts w:eastAsia="Times New Roman" w:cs="Segoe UI"/>
        </w:rPr>
        <w:t xml:space="preserve"> expectations for their participation</w:t>
      </w:r>
      <w:r w:rsidR="00B50F73" w:rsidRPr="003D290F">
        <w:rPr>
          <w:rFonts w:eastAsia="Times New Roman" w:cs="Segoe UI"/>
        </w:rPr>
        <w:t>. As such, some closing employers are assumed to incur legal costs and other costs associated with drafting, negotiating</w:t>
      </w:r>
      <w:r w:rsidR="00BC7B3A" w:rsidRPr="003D290F">
        <w:rPr>
          <w:rFonts w:eastAsia="Times New Roman" w:cs="Segoe UI"/>
        </w:rPr>
        <w:t>,</w:t>
      </w:r>
      <w:r w:rsidR="00B50F73" w:rsidRPr="003D290F">
        <w:rPr>
          <w:rFonts w:eastAsia="Times New Roman" w:cs="Segoe UI"/>
        </w:rPr>
        <w:t xml:space="preserve"> and complying with these agreements with </w:t>
      </w:r>
      <w:r w:rsidR="00F4765D" w:rsidRPr="003D290F">
        <w:rPr>
          <w:rFonts w:eastAsia="Times New Roman" w:cs="Segoe UI"/>
        </w:rPr>
        <w:t>g</w:t>
      </w:r>
      <w:r w:rsidR="00B50F73" w:rsidRPr="003D290F">
        <w:rPr>
          <w:rFonts w:eastAsia="Times New Roman" w:cs="Segoe UI"/>
        </w:rPr>
        <w:t>overnment.</w:t>
      </w:r>
    </w:p>
    <w:p w14:paraId="7EF13E58" w14:textId="77777777" w:rsidR="005D2AD7" w:rsidRPr="003D290F" w:rsidRDefault="00076E5E" w:rsidP="00FE3DEC">
      <w:pPr>
        <w:rPr>
          <w:rFonts w:eastAsia="Times New Roman" w:cs="Segoe UI"/>
        </w:rPr>
      </w:pPr>
      <w:r w:rsidRPr="003D290F">
        <w:rPr>
          <w:rFonts w:eastAsia="Times New Roman" w:cs="Segoe UI"/>
        </w:rPr>
        <w:t xml:space="preserve">Under </w:t>
      </w:r>
      <w:r w:rsidR="001D25F0" w:rsidRPr="003D290F">
        <w:rPr>
          <w:rFonts w:eastAsia="Times New Roman" w:cs="Segoe UI"/>
        </w:rPr>
        <w:t>Option 2</w:t>
      </w:r>
      <w:r w:rsidRPr="003D290F">
        <w:rPr>
          <w:rFonts w:eastAsia="Times New Roman" w:cs="Segoe UI"/>
        </w:rPr>
        <w:t xml:space="preserve">, </w:t>
      </w:r>
      <w:r w:rsidR="001F471B" w:rsidRPr="003D290F">
        <w:rPr>
          <w:rFonts w:eastAsia="Times New Roman" w:cs="Segoe UI"/>
          <w:b/>
          <w:color w:val="1B375C"/>
        </w:rPr>
        <w:t>receiving employers</w:t>
      </w:r>
      <w:r w:rsidRPr="003D290F">
        <w:rPr>
          <w:rFonts w:eastAsia="Times New Roman" w:cs="Segoe UI"/>
        </w:rPr>
        <w:t xml:space="preserve"> would voluntarily participate in a pooled redeployment </w:t>
      </w:r>
      <w:r w:rsidR="00F6294A" w:rsidRPr="003D290F">
        <w:rPr>
          <w:rFonts w:eastAsia="Times New Roman" w:cs="Segoe UI"/>
        </w:rPr>
        <w:t>plan</w:t>
      </w:r>
      <w:r w:rsidRPr="003D290F">
        <w:rPr>
          <w:rFonts w:eastAsia="Times New Roman" w:cs="Segoe UI"/>
        </w:rPr>
        <w:t xml:space="preserve">. </w:t>
      </w:r>
      <w:r w:rsidR="001F471B" w:rsidRPr="003D290F">
        <w:rPr>
          <w:rFonts w:eastAsia="Times New Roman" w:cs="Segoe UI"/>
        </w:rPr>
        <w:t>Receiving employers</w:t>
      </w:r>
      <w:r w:rsidR="005D2AD7" w:rsidRPr="003D290F">
        <w:rPr>
          <w:rFonts w:eastAsia="Times New Roman" w:cs="Segoe UI"/>
        </w:rPr>
        <w:t xml:space="preserve"> could use the pool to fill vacancies, saving on advertising and recruitment costs. While new, younger </w:t>
      </w:r>
      <w:r w:rsidR="00DC068D" w:rsidRPr="003D290F">
        <w:rPr>
          <w:rFonts w:eastAsia="Times New Roman" w:cs="Segoe UI"/>
        </w:rPr>
        <w:t>employees</w:t>
      </w:r>
      <w:r w:rsidR="005D2AD7" w:rsidRPr="003D290F">
        <w:rPr>
          <w:rFonts w:eastAsia="Times New Roman" w:cs="Segoe UI"/>
        </w:rPr>
        <w:t xml:space="preserve"> could generate long-term productivity benefits, </w:t>
      </w:r>
      <w:r w:rsidR="001F471B" w:rsidRPr="003D290F">
        <w:rPr>
          <w:rFonts w:eastAsia="Times New Roman" w:cs="Segoe UI"/>
        </w:rPr>
        <w:t>receiving employers</w:t>
      </w:r>
      <w:r w:rsidR="005D2AD7" w:rsidRPr="003D290F">
        <w:rPr>
          <w:rFonts w:eastAsia="Times New Roman" w:cs="Segoe UI"/>
        </w:rPr>
        <w:t xml:space="preserve"> may perceive some risks associated with the retirement of experienced staff</w:t>
      </w:r>
      <w:r w:rsidR="002903DB">
        <w:rPr>
          <w:rFonts w:eastAsia="Times New Roman" w:cs="Segoe UI"/>
        </w:rPr>
        <w:t xml:space="preserve"> in order to create additional vacancies</w:t>
      </w:r>
      <w:r w:rsidR="005D2AD7" w:rsidRPr="003D290F">
        <w:rPr>
          <w:rFonts w:eastAsia="Times New Roman" w:cs="Segoe UI"/>
        </w:rPr>
        <w:t>.</w:t>
      </w:r>
      <w:r w:rsidR="00EB4BFC" w:rsidRPr="003D290F">
        <w:rPr>
          <w:rFonts w:eastAsia="Times New Roman" w:cs="Segoe UI"/>
        </w:rPr>
        <w:t xml:space="preserve"> </w:t>
      </w:r>
      <w:r w:rsidR="002903DB">
        <w:rPr>
          <w:rFonts w:eastAsia="Times New Roman" w:cs="Segoe UI"/>
        </w:rPr>
        <w:t>S</w:t>
      </w:r>
      <w:r w:rsidR="00EB4BFC" w:rsidRPr="003D290F">
        <w:rPr>
          <w:rFonts w:eastAsia="Times New Roman" w:cs="Segoe UI"/>
        </w:rPr>
        <w:t xml:space="preserve">ome social licence benefit </w:t>
      </w:r>
      <w:r w:rsidR="002903DB">
        <w:rPr>
          <w:rFonts w:eastAsia="Times New Roman" w:cs="Segoe UI"/>
        </w:rPr>
        <w:t xml:space="preserve">would also be expected </w:t>
      </w:r>
      <w:r w:rsidR="00EB4BFC" w:rsidRPr="003D290F">
        <w:rPr>
          <w:rFonts w:eastAsia="Times New Roman" w:cs="Segoe UI"/>
        </w:rPr>
        <w:t xml:space="preserve">for receiving employers </w:t>
      </w:r>
      <w:r w:rsidR="002903DB">
        <w:rPr>
          <w:rFonts w:eastAsia="Times New Roman" w:cs="Segoe UI"/>
        </w:rPr>
        <w:t>who</w:t>
      </w:r>
      <w:r w:rsidR="00EB4BFC" w:rsidRPr="003D290F">
        <w:rPr>
          <w:rFonts w:eastAsia="Times New Roman" w:cs="Segoe UI"/>
        </w:rPr>
        <w:t xml:space="preserve"> job opportunities for closing employer </w:t>
      </w:r>
      <w:r w:rsidR="00DC068D" w:rsidRPr="003D290F">
        <w:rPr>
          <w:rFonts w:eastAsia="Times New Roman" w:cs="Segoe UI"/>
        </w:rPr>
        <w:t>employees</w:t>
      </w:r>
      <w:r w:rsidR="00EB4BFC" w:rsidRPr="003D290F">
        <w:rPr>
          <w:rFonts w:eastAsia="Times New Roman" w:cs="Segoe UI"/>
        </w:rPr>
        <w:t>.</w:t>
      </w:r>
    </w:p>
    <w:p w14:paraId="07F1A923" w14:textId="77777777" w:rsidR="00076E5E" w:rsidRPr="003D290F" w:rsidRDefault="001F471B" w:rsidP="00FE3DEC">
      <w:pPr>
        <w:rPr>
          <w:rFonts w:eastAsia="Times New Roman" w:cs="Segoe UI"/>
        </w:rPr>
      </w:pPr>
      <w:r w:rsidRPr="003D290F">
        <w:rPr>
          <w:rFonts w:eastAsia="Times New Roman" w:cs="Segoe UI"/>
        </w:rPr>
        <w:t>Receiving employers</w:t>
      </w:r>
      <w:r w:rsidR="005D2AD7" w:rsidRPr="003D290F">
        <w:rPr>
          <w:rFonts w:eastAsia="Times New Roman" w:cs="Segoe UI"/>
        </w:rPr>
        <w:t xml:space="preserve"> would </w:t>
      </w:r>
      <w:r w:rsidR="002903DB">
        <w:rPr>
          <w:rFonts w:eastAsia="Times New Roman" w:cs="Segoe UI"/>
        </w:rPr>
        <w:t xml:space="preserve">incur onboarding costs and need to </w:t>
      </w:r>
      <w:r w:rsidR="00076E5E" w:rsidRPr="003D290F">
        <w:rPr>
          <w:rFonts w:eastAsia="Times New Roman" w:cs="Segoe UI"/>
        </w:rPr>
        <w:t>provid</w:t>
      </w:r>
      <w:r w:rsidR="005D2AD7" w:rsidRPr="003D290F">
        <w:rPr>
          <w:rFonts w:eastAsia="Times New Roman" w:cs="Segoe UI"/>
        </w:rPr>
        <w:t>e</w:t>
      </w:r>
      <w:r w:rsidR="00076E5E" w:rsidRPr="003D290F">
        <w:rPr>
          <w:rFonts w:eastAsia="Times New Roman" w:cs="Segoe UI"/>
        </w:rPr>
        <w:t xml:space="preserve"> </w:t>
      </w:r>
      <w:r w:rsidR="002903DB">
        <w:rPr>
          <w:rFonts w:eastAsia="Times New Roman" w:cs="Segoe UI"/>
        </w:rPr>
        <w:t xml:space="preserve">some </w:t>
      </w:r>
      <w:r w:rsidR="00076E5E" w:rsidRPr="003D290F">
        <w:rPr>
          <w:rFonts w:eastAsia="Times New Roman" w:cs="Segoe UI"/>
        </w:rPr>
        <w:t xml:space="preserve">on-the-job training to new </w:t>
      </w:r>
      <w:r w:rsidR="00DC068D" w:rsidRPr="003D290F">
        <w:rPr>
          <w:rFonts w:eastAsia="Times New Roman" w:cs="Segoe UI"/>
        </w:rPr>
        <w:t>employees</w:t>
      </w:r>
      <w:r w:rsidR="00076E5E" w:rsidRPr="003D290F">
        <w:rPr>
          <w:rFonts w:eastAsia="Times New Roman" w:cs="Segoe UI"/>
        </w:rPr>
        <w:t xml:space="preserve">. </w:t>
      </w:r>
      <w:r w:rsidR="00B568FC" w:rsidRPr="003D290F">
        <w:rPr>
          <w:rFonts w:eastAsia="Times New Roman" w:cs="Segoe UI"/>
        </w:rPr>
        <w:t xml:space="preserve">Further, </w:t>
      </w:r>
      <w:r w:rsidRPr="003D290F">
        <w:t>receiving employers</w:t>
      </w:r>
      <w:r w:rsidR="00CC37B4" w:rsidRPr="003D290F">
        <w:t xml:space="preserve"> </w:t>
      </w:r>
      <w:r w:rsidR="005D2AD7" w:rsidRPr="003D290F">
        <w:t>would</w:t>
      </w:r>
      <w:r w:rsidR="00CC37B4" w:rsidRPr="003D290F">
        <w:t xml:space="preserve"> incur administrative costs </w:t>
      </w:r>
      <w:r w:rsidR="005D2AD7" w:rsidRPr="003D290F">
        <w:t xml:space="preserve">to participate in the </w:t>
      </w:r>
      <w:r w:rsidR="00F6294A" w:rsidRPr="003D290F">
        <w:t>plan</w:t>
      </w:r>
      <w:r w:rsidR="00CC37B4" w:rsidRPr="003D290F">
        <w:t xml:space="preserve"> (included under regulatory burden),</w:t>
      </w:r>
      <w:r w:rsidR="00CC37B4" w:rsidRPr="003D290F">
        <w:rPr>
          <w:color w:val="000000"/>
        </w:rPr>
        <w:t xml:space="preserve"> </w:t>
      </w:r>
      <w:r w:rsidR="00B568FC" w:rsidRPr="003D290F">
        <w:rPr>
          <w:color w:val="000000"/>
        </w:rPr>
        <w:t>such as</w:t>
      </w:r>
      <w:r w:rsidR="00CC37B4" w:rsidRPr="003D290F">
        <w:rPr>
          <w:color w:val="000000"/>
        </w:rPr>
        <w:t xml:space="preserve"> </w:t>
      </w:r>
      <w:r w:rsidR="00CC37B4" w:rsidRPr="003D290F">
        <w:t xml:space="preserve">administering </w:t>
      </w:r>
      <w:r w:rsidR="00EB4BFC" w:rsidRPr="003D290F">
        <w:t xml:space="preserve">an </w:t>
      </w:r>
      <w:r w:rsidR="00CC37B4" w:rsidRPr="003D290F">
        <w:t xml:space="preserve">early retirement processes. </w:t>
      </w:r>
      <w:r w:rsidR="00B375F3" w:rsidRPr="003D290F">
        <w:t xml:space="preserve">Regulatory costs include the need for some employers </w:t>
      </w:r>
      <w:r w:rsidR="00CC37B4" w:rsidRPr="003D290F">
        <w:rPr>
          <w:color w:val="000000"/>
        </w:rPr>
        <w:t xml:space="preserve">to seek </w:t>
      </w:r>
      <w:r w:rsidR="00CC37B4" w:rsidRPr="003D290F">
        <w:t xml:space="preserve">legal advice on </w:t>
      </w:r>
      <w:r w:rsidR="00F6294A" w:rsidRPr="003D290F">
        <w:t>plan</w:t>
      </w:r>
      <w:r w:rsidR="00CC37B4" w:rsidRPr="003D290F">
        <w:t xml:space="preserve"> participation or </w:t>
      </w:r>
      <w:r w:rsidR="005D2AD7" w:rsidRPr="003D290F">
        <w:t xml:space="preserve">entering into an agreement with </w:t>
      </w:r>
      <w:r w:rsidR="00F4765D" w:rsidRPr="003D290F">
        <w:t>g</w:t>
      </w:r>
      <w:r w:rsidR="005D2AD7" w:rsidRPr="003D290F">
        <w:t>overnment</w:t>
      </w:r>
      <w:r w:rsidR="00CC37B4" w:rsidRPr="003D290F">
        <w:t>.</w:t>
      </w:r>
    </w:p>
    <w:p w14:paraId="5CF25E3B" w14:textId="77777777" w:rsidR="00076E5E" w:rsidRPr="003D290F" w:rsidRDefault="00076E5E" w:rsidP="00FE3DEC">
      <w:pPr>
        <w:rPr>
          <w:rFonts w:eastAsia="Times New Roman" w:cs="Segoe UI"/>
        </w:rPr>
      </w:pPr>
      <w:r w:rsidRPr="003D290F">
        <w:rPr>
          <w:rFonts w:eastAsia="Times New Roman" w:cs="Segoe UI"/>
        </w:rPr>
        <w:lastRenderedPageBreak/>
        <w:t xml:space="preserve">Under an unlegislated redeployment </w:t>
      </w:r>
      <w:r w:rsidR="00F6294A" w:rsidRPr="003D290F">
        <w:rPr>
          <w:rFonts w:eastAsia="Times New Roman" w:cs="Segoe UI"/>
        </w:rPr>
        <w:t>plan</w:t>
      </w:r>
      <w:r w:rsidRPr="003D290F">
        <w:rPr>
          <w:rFonts w:eastAsia="Times New Roman" w:cs="Segoe UI"/>
        </w:rPr>
        <w:t>, more</w:t>
      </w:r>
      <w:r w:rsidRPr="003D290F">
        <w:rPr>
          <w:rFonts w:eastAsia="Times New Roman" w:cs="Segoe UI"/>
          <w:b/>
          <w:color w:val="1B375C"/>
        </w:rPr>
        <w:t xml:space="preserve"> closing employer </w:t>
      </w:r>
      <w:r w:rsidR="00DC068D" w:rsidRPr="003D290F">
        <w:rPr>
          <w:rFonts w:eastAsia="Times New Roman" w:cs="Segoe UI"/>
          <w:b/>
          <w:color w:val="1B375C"/>
        </w:rPr>
        <w:t>employees</w:t>
      </w:r>
      <w:r w:rsidRPr="003D290F">
        <w:rPr>
          <w:rFonts w:eastAsia="Times New Roman" w:cs="Segoe UI"/>
        </w:rPr>
        <w:t xml:space="preserve"> would secure alternate ongoing employment and associated income compared to the status quo, leading to improved economic and social outcomes. </w:t>
      </w:r>
      <w:r w:rsidR="00DA3302">
        <w:rPr>
          <w:rFonts w:eastAsia="Times New Roman" w:cs="Segoe UI"/>
        </w:rPr>
        <w:t>These improved outcomes include unquantified long term benefits from reduced labour market scarring and fewer workers moving on to long term unemployment benefits.</w:t>
      </w:r>
      <w:r w:rsidRPr="003D290F">
        <w:rPr>
          <w:rFonts w:eastAsia="Times New Roman" w:cs="Segoe UI"/>
        </w:rPr>
        <w:t xml:space="preserve"> </w:t>
      </w:r>
      <w:r w:rsidR="00EC579B" w:rsidRPr="003D290F">
        <w:rPr>
          <w:rFonts w:eastAsia="Times New Roman" w:cs="Segoe UI"/>
        </w:rPr>
        <w:t xml:space="preserve">While </w:t>
      </w:r>
      <w:r w:rsidR="00DC068D" w:rsidRPr="003D290F">
        <w:rPr>
          <w:rFonts w:eastAsia="Times New Roman" w:cs="Segoe UI"/>
        </w:rPr>
        <w:t>employees</w:t>
      </w:r>
      <w:r w:rsidR="00EC579B" w:rsidRPr="003D290F">
        <w:rPr>
          <w:rFonts w:eastAsia="Times New Roman" w:cs="Segoe UI"/>
        </w:rPr>
        <w:t xml:space="preserve"> would benefit from lower search costs associated with finding alternate employment, </w:t>
      </w:r>
      <w:r w:rsidR="00EB4BFC" w:rsidRPr="003D290F">
        <w:rPr>
          <w:rFonts w:eastAsia="Times New Roman" w:cs="Segoe UI"/>
        </w:rPr>
        <w:t>the</w:t>
      </w:r>
      <w:r w:rsidR="000C57D2" w:rsidRPr="003D290F">
        <w:rPr>
          <w:rFonts w:eastAsia="Times New Roman" w:cs="Segoe UI"/>
        </w:rPr>
        <w:t xml:space="preserve">se are assumed equivalent to </w:t>
      </w:r>
      <w:r w:rsidR="00EB4BFC" w:rsidRPr="003D290F">
        <w:rPr>
          <w:rFonts w:eastAsia="Times New Roman" w:cs="Segoe UI"/>
        </w:rPr>
        <w:t>the</w:t>
      </w:r>
      <w:r w:rsidR="00EC579B" w:rsidRPr="003D290F">
        <w:rPr>
          <w:rFonts w:eastAsia="Times New Roman" w:cs="Segoe UI"/>
        </w:rPr>
        <w:t xml:space="preserve"> time taken to engage meaningfully with the </w:t>
      </w:r>
      <w:r w:rsidR="00F6294A" w:rsidRPr="003D290F">
        <w:rPr>
          <w:rFonts w:eastAsia="Times New Roman" w:cs="Segoe UI"/>
        </w:rPr>
        <w:t>plan</w:t>
      </w:r>
      <w:r w:rsidR="00EB4BFC" w:rsidRPr="003D290F">
        <w:rPr>
          <w:rFonts w:eastAsia="Times New Roman" w:cs="Segoe UI"/>
        </w:rPr>
        <w:t xml:space="preserve"> and consider opportunities for redeployment</w:t>
      </w:r>
      <w:r w:rsidR="00EC579B" w:rsidRPr="003D290F">
        <w:rPr>
          <w:rFonts w:eastAsia="Times New Roman" w:cs="Segoe UI"/>
        </w:rPr>
        <w:t>.</w:t>
      </w:r>
      <w:r w:rsidRPr="003D290F">
        <w:rPr>
          <w:rFonts w:eastAsia="Times New Roman" w:cs="Segoe UI"/>
        </w:rPr>
        <w:t xml:space="preserve"> </w:t>
      </w:r>
    </w:p>
    <w:p w14:paraId="5915F851" w14:textId="77777777" w:rsidR="006A22CC" w:rsidRPr="003D290F" w:rsidRDefault="00076E5E" w:rsidP="00FE3DEC">
      <w:r w:rsidRPr="003D290F">
        <w:rPr>
          <w:rFonts w:eastAsia="Times New Roman" w:cs="Segoe UI"/>
          <w:szCs w:val="22"/>
        </w:rPr>
        <w:t>Under the pooled redeployment</w:t>
      </w:r>
      <w:r w:rsidRPr="003D290F">
        <w:rPr>
          <w:rFonts w:eastAsia="Times New Roman" w:cs="Segoe UI"/>
        </w:rPr>
        <w:t xml:space="preserve"> </w:t>
      </w:r>
      <w:r w:rsidR="00F6294A" w:rsidRPr="003D290F">
        <w:rPr>
          <w:rFonts w:eastAsia="Times New Roman" w:cs="Segoe UI"/>
        </w:rPr>
        <w:t>plan</w:t>
      </w:r>
      <w:r w:rsidRPr="003D290F">
        <w:rPr>
          <w:rFonts w:eastAsia="Times New Roman" w:cs="Segoe UI"/>
        </w:rPr>
        <w:t xml:space="preserve">, </w:t>
      </w:r>
      <w:r w:rsidR="00B2277E" w:rsidRPr="003D290F">
        <w:rPr>
          <w:rFonts w:eastAsia="Times New Roman" w:cs="Segoe UI"/>
          <w:b/>
          <w:color w:val="1B375C"/>
        </w:rPr>
        <w:t>receiving employer</w:t>
      </w:r>
      <w:r w:rsidRPr="003D290F">
        <w:rPr>
          <w:rFonts w:eastAsia="Times New Roman" w:cs="Segoe UI"/>
          <w:b/>
          <w:color w:val="1B375C"/>
        </w:rPr>
        <w:t xml:space="preserve"> </w:t>
      </w:r>
      <w:r w:rsidR="00DC068D" w:rsidRPr="003D290F">
        <w:rPr>
          <w:rFonts w:eastAsia="Times New Roman" w:cs="Segoe UI"/>
          <w:b/>
          <w:color w:val="1B375C"/>
        </w:rPr>
        <w:t>employees</w:t>
      </w:r>
      <w:r w:rsidRPr="003D290F">
        <w:rPr>
          <w:rFonts w:eastAsia="Times New Roman" w:cs="Segoe UI"/>
        </w:rPr>
        <w:t xml:space="preserve"> wanting to participate in the </w:t>
      </w:r>
      <w:r w:rsidR="00F6294A" w:rsidRPr="003D290F">
        <w:rPr>
          <w:rFonts w:eastAsia="Times New Roman" w:cs="Segoe UI"/>
        </w:rPr>
        <w:t>plan</w:t>
      </w:r>
      <w:r w:rsidRPr="003D290F">
        <w:rPr>
          <w:rFonts w:eastAsia="Times New Roman" w:cs="Segoe UI"/>
        </w:rPr>
        <w:t xml:space="preserve"> </w:t>
      </w:r>
      <w:r w:rsidR="002903DB">
        <w:rPr>
          <w:rFonts w:eastAsia="Times New Roman" w:cs="Segoe UI"/>
        </w:rPr>
        <w:t xml:space="preserve">through early retirement arrangements </w:t>
      </w:r>
      <w:r w:rsidRPr="003D290F">
        <w:rPr>
          <w:rFonts w:eastAsia="Times New Roman" w:cs="Segoe UI"/>
        </w:rPr>
        <w:t xml:space="preserve">will need to express interest, engage with and understand the </w:t>
      </w:r>
      <w:r w:rsidR="00F6294A" w:rsidRPr="003D290F">
        <w:rPr>
          <w:rFonts w:eastAsia="Times New Roman" w:cs="Segoe UI"/>
        </w:rPr>
        <w:t>plan</w:t>
      </w:r>
      <w:r w:rsidRPr="003D290F">
        <w:rPr>
          <w:rFonts w:eastAsia="Times New Roman" w:cs="Segoe UI"/>
        </w:rPr>
        <w:t>. Those that access the early retirement package would receive a one-off early retirement payment</w:t>
      </w:r>
      <w:r w:rsidR="00EB4BFC" w:rsidRPr="003D290F">
        <w:t>,</w:t>
      </w:r>
      <w:r w:rsidR="00EB4BFC" w:rsidRPr="003D290F">
        <w:rPr>
          <w:rFonts w:eastAsia="Times New Roman" w:cs="Segoe UI"/>
        </w:rPr>
        <w:t xml:space="preserve"> </w:t>
      </w:r>
      <w:r w:rsidRPr="003D290F">
        <w:rPr>
          <w:rFonts w:eastAsia="Times New Roman" w:cs="Segoe UI"/>
        </w:rPr>
        <w:t xml:space="preserve">funded by the </w:t>
      </w:r>
      <w:r w:rsidR="00B2277E" w:rsidRPr="003D290F">
        <w:rPr>
          <w:rFonts w:eastAsia="Times New Roman" w:cs="Segoe UI"/>
        </w:rPr>
        <w:t>receiving employer</w:t>
      </w:r>
      <w:r w:rsidRPr="003D290F">
        <w:rPr>
          <w:rFonts w:eastAsia="Times New Roman" w:cs="Segoe UI"/>
        </w:rPr>
        <w:t xml:space="preserve"> and the </w:t>
      </w:r>
      <w:r w:rsidR="00F4765D" w:rsidRPr="003D290F">
        <w:rPr>
          <w:rFonts w:eastAsia="Times New Roman" w:cs="Segoe UI"/>
        </w:rPr>
        <w:t>g</w:t>
      </w:r>
      <w:r w:rsidRPr="003D290F">
        <w:rPr>
          <w:rFonts w:eastAsia="Times New Roman" w:cs="Segoe UI"/>
        </w:rPr>
        <w:t>overnment,</w:t>
      </w:r>
      <w:r w:rsidRPr="003D290F">
        <w:t xml:space="preserve"> </w:t>
      </w:r>
      <w:r w:rsidR="003E629B" w:rsidRPr="003D290F">
        <w:t>which</w:t>
      </w:r>
      <w:r w:rsidR="00EB4BFC" w:rsidRPr="003D290F">
        <w:t xml:space="preserve"> would </w:t>
      </w:r>
      <w:r w:rsidRPr="003D290F">
        <w:t xml:space="preserve">otherwise </w:t>
      </w:r>
      <w:r w:rsidR="00C96CEE">
        <w:t xml:space="preserve">be </w:t>
      </w:r>
      <w:r w:rsidRPr="003D290F">
        <w:t>unavailable to them.</w:t>
      </w:r>
    </w:p>
    <w:p w14:paraId="3AE41112" w14:textId="77777777" w:rsidR="00355CA0" w:rsidRPr="003D290F" w:rsidRDefault="00076E5E" w:rsidP="00FE3DEC">
      <w:pPr>
        <w:rPr>
          <w:rFonts w:eastAsia="Times New Roman" w:cs="Segoe UI"/>
        </w:rPr>
      </w:pPr>
      <w:r w:rsidRPr="003D290F">
        <w:rPr>
          <w:rFonts w:eastAsia="Times New Roman" w:cs="Segoe UI"/>
        </w:rPr>
        <w:t xml:space="preserve">The net benefit </w:t>
      </w:r>
      <w:r w:rsidR="006A22CC" w:rsidRPr="003D290F">
        <w:rPr>
          <w:rFonts w:eastAsia="Times New Roman" w:cs="Segoe UI"/>
        </w:rPr>
        <w:t xml:space="preserve">to </w:t>
      </w:r>
      <w:r w:rsidR="00B2277E" w:rsidRPr="003D290F">
        <w:rPr>
          <w:rFonts w:eastAsia="Times New Roman" w:cs="Segoe UI"/>
        </w:rPr>
        <w:t>receiving employer</w:t>
      </w:r>
      <w:r w:rsidR="006A22CC" w:rsidRPr="003D290F">
        <w:rPr>
          <w:rFonts w:eastAsia="Times New Roman" w:cs="Segoe UI"/>
        </w:rPr>
        <w:t xml:space="preserve"> </w:t>
      </w:r>
      <w:r w:rsidR="00DC068D" w:rsidRPr="003D290F">
        <w:rPr>
          <w:rFonts w:eastAsia="Times New Roman" w:cs="Segoe UI"/>
        </w:rPr>
        <w:t>employees</w:t>
      </w:r>
      <w:r w:rsidR="006A22CC" w:rsidRPr="003D290F">
        <w:rPr>
          <w:rFonts w:eastAsia="Times New Roman" w:cs="Segoe UI"/>
        </w:rPr>
        <w:t xml:space="preserve"> </w:t>
      </w:r>
      <w:r w:rsidRPr="003D290F">
        <w:rPr>
          <w:rFonts w:eastAsia="Times New Roman" w:cs="Segoe UI"/>
        </w:rPr>
        <w:t xml:space="preserve">is closely linked to assumptions on what these </w:t>
      </w:r>
      <w:r w:rsidR="00DC068D" w:rsidRPr="003D290F">
        <w:rPr>
          <w:rFonts w:eastAsia="Times New Roman" w:cs="Segoe UI"/>
        </w:rPr>
        <w:t>employees</w:t>
      </w:r>
      <w:r w:rsidRPr="003D290F">
        <w:rPr>
          <w:rFonts w:eastAsia="Times New Roman" w:cs="Segoe UI"/>
        </w:rPr>
        <w:t xml:space="preserve"> would have done in absence of the </w:t>
      </w:r>
      <w:r w:rsidR="00F6294A" w:rsidRPr="003D290F">
        <w:rPr>
          <w:rFonts w:eastAsia="Times New Roman" w:cs="Segoe UI"/>
        </w:rPr>
        <w:t>plan</w:t>
      </w:r>
      <w:r w:rsidRPr="003D290F">
        <w:rPr>
          <w:rFonts w:eastAsia="Times New Roman" w:cs="Segoe UI"/>
        </w:rPr>
        <w:t xml:space="preserve">. </w:t>
      </w:r>
      <w:r w:rsidR="00FF2DFD" w:rsidRPr="003D290F">
        <w:rPr>
          <w:rFonts w:eastAsia="Times New Roman" w:cs="Segoe UI"/>
        </w:rPr>
        <w:t>T</w:t>
      </w:r>
      <w:r w:rsidR="00E539A1" w:rsidRPr="003D290F">
        <w:rPr>
          <w:rFonts w:eastAsia="Times New Roman" w:cs="Segoe UI"/>
        </w:rPr>
        <w:t xml:space="preserve">he analysis </w:t>
      </w:r>
      <w:r w:rsidR="00450FAB" w:rsidRPr="003D290F">
        <w:rPr>
          <w:rFonts w:eastAsia="Times New Roman" w:cs="Segoe UI"/>
        </w:rPr>
        <w:t xml:space="preserve">could </w:t>
      </w:r>
      <w:r w:rsidR="00E539A1" w:rsidRPr="003D290F">
        <w:rPr>
          <w:rFonts w:eastAsia="Times New Roman" w:cs="Segoe UI"/>
        </w:rPr>
        <w:t>assume</w:t>
      </w:r>
      <w:r w:rsidR="007D325D" w:rsidRPr="003D290F">
        <w:rPr>
          <w:rFonts w:eastAsia="Times New Roman" w:cs="Segoe UI"/>
        </w:rPr>
        <w:t xml:space="preserve"> </w:t>
      </w:r>
      <w:r w:rsidR="00DC068D" w:rsidRPr="003D290F">
        <w:rPr>
          <w:rFonts w:eastAsia="Times New Roman" w:cs="Segoe UI"/>
        </w:rPr>
        <w:t>employees</w:t>
      </w:r>
      <w:r w:rsidR="00355CA0" w:rsidRPr="003D290F">
        <w:rPr>
          <w:rFonts w:eastAsia="Times New Roman" w:cs="Segoe UI"/>
        </w:rPr>
        <w:t xml:space="preserve"> that opt for early retirement </w:t>
      </w:r>
      <w:r w:rsidR="0070315A" w:rsidRPr="003D290F">
        <w:rPr>
          <w:rFonts w:eastAsia="Times New Roman" w:cs="Segoe UI"/>
        </w:rPr>
        <w:t>under</w:t>
      </w:r>
      <w:r w:rsidR="005A3D56" w:rsidRPr="003D290F">
        <w:rPr>
          <w:rFonts w:eastAsia="Times New Roman" w:cs="Segoe UI"/>
        </w:rPr>
        <w:t xml:space="preserve"> the </w:t>
      </w:r>
      <w:r w:rsidR="00F6294A" w:rsidRPr="003D290F">
        <w:rPr>
          <w:rFonts w:eastAsia="Times New Roman" w:cs="Segoe UI"/>
        </w:rPr>
        <w:t>plan</w:t>
      </w:r>
      <w:r w:rsidR="005A3D56" w:rsidRPr="003D290F">
        <w:rPr>
          <w:rFonts w:eastAsia="Times New Roman" w:cs="Segoe UI"/>
        </w:rPr>
        <w:t xml:space="preserve"> </w:t>
      </w:r>
      <w:r w:rsidR="00355CA0" w:rsidRPr="003D290F">
        <w:rPr>
          <w:rFonts w:eastAsia="Times New Roman" w:cs="Segoe UI"/>
        </w:rPr>
        <w:t xml:space="preserve">would </w:t>
      </w:r>
      <w:r w:rsidR="007D325D" w:rsidRPr="003D290F">
        <w:rPr>
          <w:rFonts w:eastAsia="Times New Roman" w:cs="Segoe UI"/>
        </w:rPr>
        <w:t>have</w:t>
      </w:r>
      <w:r w:rsidR="00E539A1" w:rsidRPr="003D290F">
        <w:rPr>
          <w:rFonts w:eastAsia="Times New Roman" w:cs="Segoe UI"/>
        </w:rPr>
        <w:t xml:space="preserve"> </w:t>
      </w:r>
      <w:r w:rsidR="007D325D" w:rsidRPr="003D290F">
        <w:rPr>
          <w:rFonts w:eastAsia="Times New Roman" w:cs="Segoe UI"/>
        </w:rPr>
        <w:t>retired</w:t>
      </w:r>
      <w:r w:rsidR="008815DA" w:rsidRPr="003D290F">
        <w:rPr>
          <w:rFonts w:eastAsia="Times New Roman" w:cs="Segoe UI"/>
        </w:rPr>
        <w:t xml:space="preserve"> at the same time</w:t>
      </w:r>
      <w:r w:rsidR="007D325D" w:rsidRPr="003D290F">
        <w:rPr>
          <w:rFonts w:eastAsia="Times New Roman" w:cs="Segoe UI"/>
        </w:rPr>
        <w:t xml:space="preserve"> under the status quo, </w:t>
      </w:r>
      <w:r w:rsidR="00450FAB" w:rsidRPr="003D290F">
        <w:rPr>
          <w:rFonts w:eastAsia="Times New Roman" w:cs="Segoe UI"/>
        </w:rPr>
        <w:t>so the net benefit of</w:t>
      </w:r>
      <w:r w:rsidR="007D325D" w:rsidRPr="003D290F">
        <w:rPr>
          <w:rFonts w:eastAsia="Times New Roman" w:cs="Segoe UI"/>
        </w:rPr>
        <w:t xml:space="preserve"> the </w:t>
      </w:r>
      <w:r w:rsidR="00F6294A" w:rsidRPr="003D290F">
        <w:rPr>
          <w:rFonts w:eastAsia="Times New Roman" w:cs="Segoe UI"/>
        </w:rPr>
        <w:t>plan</w:t>
      </w:r>
      <w:r w:rsidR="00450FAB" w:rsidRPr="003D290F">
        <w:rPr>
          <w:rFonts w:eastAsia="Times New Roman" w:cs="Segoe UI"/>
        </w:rPr>
        <w:t xml:space="preserve"> for these stakeholders</w:t>
      </w:r>
      <w:r w:rsidR="007D325D" w:rsidRPr="003D290F">
        <w:rPr>
          <w:rFonts w:eastAsia="Times New Roman" w:cs="Segoe UI"/>
        </w:rPr>
        <w:t xml:space="preserve"> would be equal to </w:t>
      </w:r>
      <w:r w:rsidR="00E539A1" w:rsidRPr="003D290F">
        <w:rPr>
          <w:rFonts w:eastAsia="Times New Roman" w:cs="Segoe UI"/>
        </w:rPr>
        <w:t xml:space="preserve">the </w:t>
      </w:r>
      <w:r w:rsidR="007D325D" w:rsidRPr="003D290F">
        <w:rPr>
          <w:rFonts w:eastAsia="Times New Roman" w:cs="Segoe UI"/>
        </w:rPr>
        <w:t>early retirement p</w:t>
      </w:r>
      <w:r w:rsidR="006A22CC" w:rsidRPr="003D290F">
        <w:rPr>
          <w:rFonts w:eastAsia="Times New Roman" w:cs="Segoe UI"/>
        </w:rPr>
        <w:t>ackage</w:t>
      </w:r>
      <w:r w:rsidR="007D325D" w:rsidRPr="003D290F">
        <w:rPr>
          <w:rFonts w:eastAsia="Times New Roman" w:cs="Segoe UI"/>
        </w:rPr>
        <w:t xml:space="preserve">. </w:t>
      </w:r>
      <w:r w:rsidR="00450FAB" w:rsidRPr="003D290F">
        <w:rPr>
          <w:rFonts w:eastAsia="Times New Roman" w:cs="Segoe UI"/>
        </w:rPr>
        <w:t>H</w:t>
      </w:r>
      <w:r w:rsidR="007D325D" w:rsidRPr="003D290F">
        <w:rPr>
          <w:rFonts w:eastAsia="Times New Roman" w:cs="Segoe UI"/>
        </w:rPr>
        <w:t xml:space="preserve">owever, if </w:t>
      </w:r>
      <w:r w:rsidR="00E539A1" w:rsidRPr="003D290F">
        <w:rPr>
          <w:rFonts w:eastAsia="Times New Roman" w:cs="Segoe UI"/>
        </w:rPr>
        <w:t xml:space="preserve">the analysis </w:t>
      </w:r>
      <w:r w:rsidR="007D325D" w:rsidRPr="003D290F">
        <w:rPr>
          <w:rFonts w:eastAsia="Times New Roman" w:cs="Segoe UI"/>
        </w:rPr>
        <w:t>assume</w:t>
      </w:r>
      <w:r w:rsidR="00450FAB" w:rsidRPr="003D290F">
        <w:rPr>
          <w:rFonts w:eastAsia="Times New Roman" w:cs="Segoe UI"/>
        </w:rPr>
        <w:t>d</w:t>
      </w:r>
      <w:r w:rsidR="007D325D" w:rsidRPr="003D290F">
        <w:rPr>
          <w:rFonts w:eastAsia="Times New Roman" w:cs="Segoe UI"/>
        </w:rPr>
        <w:t xml:space="preserve"> </w:t>
      </w:r>
      <w:r w:rsidR="00450FAB" w:rsidRPr="003D290F">
        <w:rPr>
          <w:rFonts w:eastAsia="Times New Roman" w:cs="Segoe UI"/>
        </w:rPr>
        <w:t>the offer of an early retirement package</w:t>
      </w:r>
      <w:r w:rsidR="008815DA" w:rsidRPr="003D290F">
        <w:rPr>
          <w:rFonts w:eastAsia="Times New Roman" w:cs="Segoe UI"/>
        </w:rPr>
        <w:t xml:space="preserve"> </w:t>
      </w:r>
      <w:r w:rsidR="00450FAB" w:rsidRPr="003D290F">
        <w:rPr>
          <w:rFonts w:eastAsia="Times New Roman" w:cs="Segoe UI"/>
        </w:rPr>
        <w:t>incentivise</w:t>
      </w:r>
      <w:r w:rsidR="008815DA" w:rsidRPr="003D290F">
        <w:rPr>
          <w:rFonts w:eastAsia="Times New Roman" w:cs="Segoe UI"/>
        </w:rPr>
        <w:t>s</w:t>
      </w:r>
      <w:r w:rsidR="00450FAB" w:rsidRPr="003D290F">
        <w:rPr>
          <w:rFonts w:eastAsia="Times New Roman" w:cs="Segoe UI"/>
        </w:rPr>
        <w:t xml:space="preserve"> </w:t>
      </w:r>
      <w:r w:rsidR="00DC068D" w:rsidRPr="003D290F">
        <w:rPr>
          <w:rFonts w:eastAsia="Times New Roman" w:cs="Segoe UI"/>
        </w:rPr>
        <w:t>employees</w:t>
      </w:r>
      <w:r w:rsidR="007D325D" w:rsidRPr="003D290F">
        <w:rPr>
          <w:rFonts w:eastAsia="Times New Roman" w:cs="Segoe UI"/>
        </w:rPr>
        <w:t xml:space="preserve"> </w:t>
      </w:r>
      <w:r w:rsidR="00450FAB" w:rsidRPr="003D290F">
        <w:rPr>
          <w:rFonts w:eastAsia="Times New Roman" w:cs="Segoe UI"/>
        </w:rPr>
        <w:t xml:space="preserve">to </w:t>
      </w:r>
      <w:r w:rsidR="006A22CC" w:rsidRPr="003D290F">
        <w:rPr>
          <w:rFonts w:eastAsia="Times New Roman" w:cs="Segoe UI"/>
        </w:rPr>
        <w:t>change their behaviour and</w:t>
      </w:r>
      <w:r w:rsidR="00450FAB" w:rsidRPr="003D290F">
        <w:rPr>
          <w:rFonts w:eastAsia="Times New Roman" w:cs="Segoe UI"/>
        </w:rPr>
        <w:t xml:space="preserve"> </w:t>
      </w:r>
      <w:r w:rsidR="007D325D" w:rsidRPr="003D290F">
        <w:rPr>
          <w:rFonts w:eastAsia="Times New Roman" w:cs="Segoe UI"/>
        </w:rPr>
        <w:t xml:space="preserve">bring forward their retirement, then the </w:t>
      </w:r>
      <w:r w:rsidR="00D83944" w:rsidRPr="003D290F">
        <w:rPr>
          <w:rFonts w:eastAsia="Times New Roman" w:cs="Segoe UI"/>
        </w:rPr>
        <w:t xml:space="preserve">net benefit of the </w:t>
      </w:r>
      <w:r w:rsidR="00F6294A" w:rsidRPr="003D290F">
        <w:rPr>
          <w:rFonts w:eastAsia="Times New Roman" w:cs="Segoe UI"/>
        </w:rPr>
        <w:t>plan</w:t>
      </w:r>
      <w:r w:rsidR="00D83944" w:rsidRPr="003D290F">
        <w:rPr>
          <w:rFonts w:eastAsia="Times New Roman" w:cs="Segoe UI"/>
        </w:rPr>
        <w:t xml:space="preserve"> must </w:t>
      </w:r>
      <w:r w:rsidR="008815DA" w:rsidRPr="003D290F">
        <w:rPr>
          <w:rFonts w:eastAsia="Times New Roman" w:cs="Segoe UI"/>
        </w:rPr>
        <w:t xml:space="preserve">also </w:t>
      </w:r>
      <w:r w:rsidR="00D83944" w:rsidRPr="003D290F">
        <w:rPr>
          <w:rFonts w:eastAsia="Times New Roman" w:cs="Segoe UI"/>
        </w:rPr>
        <w:t xml:space="preserve">consider </w:t>
      </w:r>
      <w:r w:rsidR="008815DA" w:rsidRPr="003D290F">
        <w:rPr>
          <w:rFonts w:eastAsia="Times New Roman" w:cs="Segoe UI"/>
        </w:rPr>
        <w:t xml:space="preserve">the forgone income from earlier-than-expected retirement and </w:t>
      </w:r>
      <w:r w:rsidR="00D83944" w:rsidRPr="003D290F">
        <w:rPr>
          <w:rFonts w:eastAsia="Times New Roman" w:cs="Segoe UI"/>
        </w:rPr>
        <w:t xml:space="preserve">the value of </w:t>
      </w:r>
      <w:r w:rsidR="008815DA" w:rsidRPr="003D290F">
        <w:rPr>
          <w:rFonts w:eastAsia="Times New Roman" w:cs="Segoe UI"/>
        </w:rPr>
        <w:t xml:space="preserve">an individual’s </w:t>
      </w:r>
      <w:r w:rsidR="00D83944" w:rsidRPr="003D290F">
        <w:rPr>
          <w:rFonts w:eastAsia="Times New Roman" w:cs="Segoe UI"/>
        </w:rPr>
        <w:t xml:space="preserve">leisure time that </w:t>
      </w:r>
      <w:r w:rsidR="008815DA" w:rsidRPr="003D290F">
        <w:rPr>
          <w:rFonts w:eastAsia="Times New Roman" w:cs="Segoe UI"/>
        </w:rPr>
        <w:t xml:space="preserve">otherwise </w:t>
      </w:r>
      <w:r w:rsidR="00D83944" w:rsidRPr="003D290F">
        <w:rPr>
          <w:rFonts w:eastAsia="Times New Roman" w:cs="Segoe UI"/>
        </w:rPr>
        <w:t>would have been spent working</w:t>
      </w:r>
      <w:r w:rsidR="00533092">
        <w:rPr>
          <w:rStyle w:val="FootnoteReference"/>
          <w:rFonts w:eastAsia="Times New Roman" w:cs="Segoe UI"/>
        </w:rPr>
        <w:footnoteReference w:id="83"/>
      </w:r>
      <w:r w:rsidR="008815DA" w:rsidRPr="003D290F">
        <w:rPr>
          <w:rFonts w:eastAsia="Times New Roman" w:cs="Segoe UI"/>
        </w:rPr>
        <w:t>.</w:t>
      </w:r>
      <w:r w:rsidR="007D325D" w:rsidRPr="003D290F">
        <w:rPr>
          <w:rFonts w:eastAsia="Times New Roman" w:cs="Segoe UI"/>
        </w:rPr>
        <w:t xml:space="preserve"> </w:t>
      </w:r>
      <w:r w:rsidR="006A22CC" w:rsidRPr="003D290F">
        <w:rPr>
          <w:rFonts w:eastAsia="Times New Roman" w:cs="Segoe UI"/>
        </w:rPr>
        <w:t xml:space="preserve">The analysis seeks to balance these propositions by assuming some </w:t>
      </w:r>
      <w:r w:rsidR="00B2277E" w:rsidRPr="003D290F">
        <w:rPr>
          <w:rFonts w:eastAsia="Times New Roman" w:cs="Segoe UI"/>
        </w:rPr>
        <w:t>receiving employer</w:t>
      </w:r>
      <w:r w:rsidR="006A22CC" w:rsidRPr="003D290F">
        <w:rPr>
          <w:rFonts w:eastAsia="Times New Roman" w:cs="Segoe UI"/>
        </w:rPr>
        <w:t xml:space="preserve"> </w:t>
      </w:r>
      <w:r w:rsidR="00DC068D" w:rsidRPr="003D290F">
        <w:rPr>
          <w:rFonts w:eastAsia="Times New Roman" w:cs="Segoe UI"/>
        </w:rPr>
        <w:t>employees</w:t>
      </w:r>
      <w:r w:rsidR="006A22CC" w:rsidRPr="003D290F">
        <w:rPr>
          <w:rFonts w:eastAsia="Times New Roman" w:cs="Segoe UI"/>
        </w:rPr>
        <w:t xml:space="preserve"> bring forward their retirement.</w:t>
      </w:r>
    </w:p>
    <w:p w14:paraId="08F14964" w14:textId="77777777" w:rsidR="00355CA0" w:rsidRPr="003D290F" w:rsidRDefault="00355CA0" w:rsidP="00D37B93">
      <w:pPr>
        <w:rPr>
          <w:rFonts w:eastAsia="Times New Roman" w:cs="Segoe UI"/>
        </w:rPr>
      </w:pPr>
      <w:r w:rsidRPr="003D290F">
        <w:rPr>
          <w:rFonts w:eastAsia="Times New Roman" w:cs="Segoe UI"/>
        </w:rPr>
        <w:t xml:space="preserve">Relative to the status quo, </w:t>
      </w:r>
      <w:r w:rsidR="00346413" w:rsidRPr="003D290F">
        <w:rPr>
          <w:rFonts w:eastAsia="Times New Roman" w:cs="Segoe UI"/>
        </w:rPr>
        <w:t xml:space="preserve">social security expenditure </w:t>
      </w:r>
      <w:r w:rsidRPr="003D290F">
        <w:rPr>
          <w:rFonts w:eastAsia="Times New Roman" w:cs="Segoe UI"/>
        </w:rPr>
        <w:t>for the</w:t>
      </w:r>
      <w:r w:rsidRPr="003D290F">
        <w:rPr>
          <w:rFonts w:eastAsia="Times New Roman" w:cs="Segoe UI"/>
          <w:b/>
        </w:rPr>
        <w:t xml:space="preserve"> </w:t>
      </w:r>
      <w:r w:rsidR="00665069" w:rsidRPr="003D290F">
        <w:rPr>
          <w:rFonts w:eastAsia="Times New Roman" w:cs="Segoe UI"/>
          <w:b/>
          <w:color w:val="1B375C"/>
        </w:rPr>
        <w:t xml:space="preserve">Australian </w:t>
      </w:r>
      <w:r w:rsidR="003E629B" w:rsidRPr="003D290F">
        <w:rPr>
          <w:rFonts w:eastAsia="Times New Roman" w:cs="Segoe UI"/>
          <w:b/>
          <w:color w:val="1B375C"/>
        </w:rPr>
        <w:t>Government</w:t>
      </w:r>
      <w:r w:rsidR="00D44ABC" w:rsidRPr="003D290F">
        <w:rPr>
          <w:rFonts w:eastAsia="Times New Roman" w:cs="Segoe UI"/>
        </w:rPr>
        <w:t xml:space="preserve"> would be </w:t>
      </w:r>
      <w:r w:rsidR="00346413" w:rsidRPr="003D290F">
        <w:rPr>
          <w:rFonts w:eastAsia="Times New Roman" w:cs="Segoe UI"/>
        </w:rPr>
        <w:t xml:space="preserve">lower </w:t>
      </w:r>
      <w:r w:rsidR="00D44ABC" w:rsidRPr="003D290F">
        <w:rPr>
          <w:rFonts w:eastAsia="Times New Roman" w:cs="Segoe UI"/>
        </w:rPr>
        <w:t>under O</w:t>
      </w:r>
      <w:r w:rsidRPr="003D290F">
        <w:rPr>
          <w:rFonts w:eastAsia="Times New Roman" w:cs="Segoe UI"/>
        </w:rPr>
        <w:t>ption</w:t>
      </w:r>
      <w:r w:rsidR="00D44ABC" w:rsidRPr="003D290F">
        <w:rPr>
          <w:rFonts w:eastAsia="Times New Roman" w:cs="Segoe UI"/>
        </w:rPr>
        <w:t> 2</w:t>
      </w:r>
      <w:r w:rsidRPr="003D290F">
        <w:rPr>
          <w:rFonts w:eastAsia="Times New Roman" w:cs="Segoe UI"/>
        </w:rPr>
        <w:t xml:space="preserve"> </w:t>
      </w:r>
      <w:r w:rsidRPr="003D290F" w:rsidDel="007866DB">
        <w:rPr>
          <w:rFonts w:eastAsia="Times New Roman" w:cs="Segoe UI"/>
        </w:rPr>
        <w:t xml:space="preserve">as </w:t>
      </w:r>
      <w:r w:rsidR="003E629B" w:rsidRPr="003D290F">
        <w:rPr>
          <w:rFonts w:eastAsia="Times New Roman" w:cs="Segoe UI"/>
        </w:rPr>
        <w:t>receipt of income supports payments</w:t>
      </w:r>
      <w:r w:rsidRPr="003D290F" w:rsidDel="007866DB">
        <w:rPr>
          <w:rFonts w:eastAsia="Times New Roman" w:cs="Segoe UI"/>
        </w:rPr>
        <w:t xml:space="preserve"> </w:t>
      </w:r>
      <w:r w:rsidR="0035606F">
        <w:rPr>
          <w:rFonts w:eastAsia="Times New Roman" w:cs="Segoe UI"/>
        </w:rPr>
        <w:t>(</w:t>
      </w:r>
      <w:r w:rsidRPr="003D290F" w:rsidDel="007866DB">
        <w:rPr>
          <w:rFonts w:eastAsia="Times New Roman" w:cs="Segoe UI"/>
        </w:rPr>
        <w:t>e.g. JobSeeker</w:t>
      </w:r>
      <w:r w:rsidR="0035606F">
        <w:rPr>
          <w:rFonts w:eastAsia="Times New Roman" w:cs="Segoe UI"/>
        </w:rPr>
        <w:t>)</w:t>
      </w:r>
      <w:r w:rsidRPr="003D290F" w:rsidDel="007866DB">
        <w:rPr>
          <w:rFonts w:eastAsia="Times New Roman" w:cs="Segoe UI"/>
        </w:rPr>
        <w:t xml:space="preserve"> and </w:t>
      </w:r>
      <w:r w:rsidR="003E629B" w:rsidRPr="003D290F">
        <w:rPr>
          <w:rFonts w:eastAsia="Times New Roman" w:cs="Segoe UI"/>
        </w:rPr>
        <w:t xml:space="preserve">participation in </w:t>
      </w:r>
      <w:r w:rsidRPr="003D290F" w:rsidDel="007866DB">
        <w:rPr>
          <w:rFonts w:eastAsia="Times New Roman" w:cs="Segoe UI"/>
        </w:rPr>
        <w:t>associated services</w:t>
      </w:r>
      <w:r w:rsidR="003E629B" w:rsidRPr="003D290F">
        <w:rPr>
          <w:rFonts w:eastAsia="Times New Roman" w:cs="Segoe UI"/>
        </w:rPr>
        <w:t xml:space="preserve"> </w:t>
      </w:r>
      <w:r w:rsidR="0035606F">
        <w:rPr>
          <w:rFonts w:eastAsia="Times New Roman" w:cs="Segoe UI"/>
        </w:rPr>
        <w:t>(</w:t>
      </w:r>
      <w:r w:rsidR="003E629B" w:rsidRPr="003D290F">
        <w:rPr>
          <w:rFonts w:eastAsia="Times New Roman" w:cs="Segoe UI"/>
        </w:rPr>
        <w:t>e.g. Workforce Australia</w:t>
      </w:r>
      <w:r w:rsidR="0035606F">
        <w:rPr>
          <w:rFonts w:eastAsia="Times New Roman" w:cs="Segoe UI"/>
        </w:rPr>
        <w:t>)</w:t>
      </w:r>
      <w:r w:rsidRPr="003D290F" w:rsidDel="007866DB">
        <w:rPr>
          <w:rFonts w:eastAsia="Times New Roman" w:cs="Segoe UI"/>
        </w:rPr>
        <w:t xml:space="preserve"> is lower. </w:t>
      </w:r>
      <w:r w:rsidR="00E553DF">
        <w:rPr>
          <w:rFonts w:eastAsia="Times New Roman" w:cs="Segoe UI"/>
        </w:rPr>
        <w:t>Relative to the status quo</w:t>
      </w:r>
      <w:r w:rsidR="00B367D7" w:rsidRPr="003D290F">
        <w:rPr>
          <w:rFonts w:eastAsia="Times New Roman" w:cs="Segoe UI"/>
        </w:rPr>
        <w:t xml:space="preserve">, </w:t>
      </w:r>
      <w:r w:rsidR="00E553DF">
        <w:rPr>
          <w:rFonts w:eastAsia="Times New Roman" w:cs="Segoe UI"/>
        </w:rPr>
        <w:t xml:space="preserve">income </w:t>
      </w:r>
      <w:r w:rsidR="00B367D7" w:rsidRPr="003D290F">
        <w:rPr>
          <w:rFonts w:eastAsia="Times New Roman" w:cs="Segoe UI"/>
        </w:rPr>
        <w:t xml:space="preserve">tax revenue </w:t>
      </w:r>
      <w:r w:rsidR="00E553DF">
        <w:rPr>
          <w:rFonts w:eastAsia="Times New Roman" w:cs="Segoe UI"/>
        </w:rPr>
        <w:t xml:space="preserve">collected from in-scope individuals </w:t>
      </w:r>
      <w:r w:rsidR="00B367D7" w:rsidRPr="003D290F">
        <w:rPr>
          <w:rFonts w:eastAsia="Times New Roman" w:cs="Segoe UI"/>
        </w:rPr>
        <w:t xml:space="preserve">would decrease as </w:t>
      </w:r>
      <w:r w:rsidR="0021615A">
        <w:rPr>
          <w:rFonts w:eastAsia="Times New Roman" w:cs="Segoe UI"/>
        </w:rPr>
        <w:t xml:space="preserve">the </w:t>
      </w:r>
      <w:r w:rsidR="0094279D">
        <w:rPr>
          <w:rFonts w:eastAsia="Times New Roman" w:cs="Segoe UI"/>
        </w:rPr>
        <w:t xml:space="preserve">income </w:t>
      </w:r>
      <w:r w:rsidR="007D70DC">
        <w:rPr>
          <w:rFonts w:eastAsia="Times New Roman" w:cs="Segoe UI"/>
        </w:rPr>
        <w:t xml:space="preserve">(and associated tax revenue) </w:t>
      </w:r>
      <w:r w:rsidR="0094279D">
        <w:rPr>
          <w:rFonts w:eastAsia="Times New Roman" w:cs="Segoe UI"/>
        </w:rPr>
        <w:t xml:space="preserve">of receiving employer workers </w:t>
      </w:r>
      <w:r w:rsidR="00AE4711">
        <w:rPr>
          <w:rFonts w:eastAsia="Times New Roman" w:cs="Segoe UI"/>
        </w:rPr>
        <w:t>who find other jobs is not included in the scope of the analysis</w:t>
      </w:r>
      <w:r w:rsidR="007D70DC">
        <w:rPr>
          <w:rFonts w:eastAsia="Times New Roman" w:cs="Segoe UI"/>
        </w:rPr>
        <w:t>, and this impact outweighs the increase in tax revenue from closing employer employees who maintain employment</w:t>
      </w:r>
      <w:r w:rsidR="00E553DF">
        <w:rPr>
          <w:rStyle w:val="FootnoteReference"/>
          <w:rFonts w:eastAsia="Times New Roman" w:cs="Segoe UI"/>
        </w:rPr>
        <w:footnoteReference w:id="84"/>
      </w:r>
      <w:r w:rsidR="0021615A" w:rsidRPr="003D290F">
        <w:rPr>
          <w:rFonts w:eastAsia="Times New Roman" w:cs="Segoe UI"/>
        </w:rPr>
        <w:t>.</w:t>
      </w:r>
      <w:r w:rsidR="00B367D7" w:rsidRPr="003D290F">
        <w:rPr>
          <w:rFonts w:eastAsia="Times New Roman" w:cs="Segoe UI"/>
        </w:rPr>
        <w:t xml:space="preserve"> </w:t>
      </w:r>
      <w:r w:rsidRPr="003D290F">
        <w:rPr>
          <w:rFonts w:eastAsia="Times New Roman" w:cs="Segoe UI"/>
        </w:rPr>
        <w:t xml:space="preserve">Under a successfully administered </w:t>
      </w:r>
      <w:r w:rsidR="00F6294A" w:rsidRPr="003D290F">
        <w:rPr>
          <w:rFonts w:eastAsia="Times New Roman" w:cs="Segoe UI"/>
        </w:rPr>
        <w:t>plan</w:t>
      </w:r>
      <w:r w:rsidRPr="003D290F">
        <w:rPr>
          <w:rFonts w:eastAsia="Times New Roman" w:cs="Segoe UI"/>
        </w:rPr>
        <w:t xml:space="preserve">, </w:t>
      </w:r>
      <w:r w:rsidRPr="003D290F">
        <w:rPr>
          <w:rFonts w:eastAsia="Times New Roman" w:cs="Segoe UI"/>
          <w:b/>
          <w:color w:val="1B375C"/>
        </w:rPr>
        <w:t xml:space="preserve">all levels of </w:t>
      </w:r>
      <w:r w:rsidR="003E629B" w:rsidRPr="003D290F">
        <w:rPr>
          <w:rFonts w:eastAsia="Times New Roman" w:cs="Segoe UI"/>
          <w:b/>
          <w:color w:val="1B375C"/>
        </w:rPr>
        <w:t>government</w:t>
      </w:r>
      <w:r w:rsidR="003E629B" w:rsidRPr="003D290F">
        <w:rPr>
          <w:rFonts w:eastAsia="Times New Roman" w:cs="Segoe UI"/>
          <w:color w:val="1B375C"/>
        </w:rPr>
        <w:t xml:space="preserve"> </w:t>
      </w:r>
      <w:r w:rsidRPr="003D290F">
        <w:rPr>
          <w:rFonts w:eastAsia="Times New Roman" w:cs="Segoe UI"/>
        </w:rPr>
        <w:t>would likely experience positive reputational benefits</w:t>
      </w:r>
      <w:r w:rsidR="00705EEE" w:rsidRPr="003D290F">
        <w:rPr>
          <w:rFonts w:eastAsia="Times New Roman" w:cs="Segoe UI"/>
        </w:rPr>
        <w:t xml:space="preserve">, particularly </w:t>
      </w:r>
      <w:r w:rsidR="00F31972" w:rsidRPr="003D290F">
        <w:rPr>
          <w:rFonts w:eastAsia="Times New Roman" w:cs="Segoe UI"/>
        </w:rPr>
        <w:t xml:space="preserve">the </w:t>
      </w:r>
      <w:r w:rsidR="00665069" w:rsidRPr="003D290F">
        <w:rPr>
          <w:rFonts w:eastAsia="Times New Roman" w:cs="Segoe UI"/>
        </w:rPr>
        <w:t xml:space="preserve">Australian </w:t>
      </w:r>
      <w:r w:rsidR="00F31972" w:rsidRPr="003D290F">
        <w:rPr>
          <w:rFonts w:eastAsia="Times New Roman" w:cs="Segoe UI"/>
        </w:rPr>
        <w:t xml:space="preserve">Government for funding and administering the </w:t>
      </w:r>
      <w:r w:rsidR="00F6294A" w:rsidRPr="003D290F">
        <w:rPr>
          <w:rFonts w:eastAsia="Times New Roman" w:cs="Segoe UI"/>
        </w:rPr>
        <w:t>plan</w:t>
      </w:r>
      <w:r w:rsidRPr="003D290F">
        <w:rPr>
          <w:rFonts w:eastAsia="Times New Roman" w:cs="Segoe UI"/>
        </w:rPr>
        <w:t>.</w:t>
      </w:r>
      <w:r w:rsidR="00F54750">
        <w:rPr>
          <w:rFonts w:eastAsia="Times New Roman" w:cs="Segoe UI"/>
        </w:rPr>
        <w:t xml:space="preserve"> These reputational benefits would stem from providing better support for worker transition and more consistency with Australia’s global commitments to a ‘just transition’ under the Paris Agreement.</w:t>
      </w:r>
    </w:p>
    <w:p w14:paraId="3068EA8D" w14:textId="77777777" w:rsidR="00076E5E" w:rsidRPr="003D290F" w:rsidRDefault="000C57D2" w:rsidP="00FE3DEC">
      <w:pPr>
        <w:rPr>
          <w:rFonts w:eastAsia="Times New Roman" w:cs="Segoe UI"/>
        </w:rPr>
      </w:pPr>
      <w:r w:rsidRPr="003D290F">
        <w:rPr>
          <w:rFonts w:eastAsia="Times New Roman" w:cs="Segoe UI"/>
        </w:rPr>
        <w:t xml:space="preserve">The Authority’s </w:t>
      </w:r>
      <w:r w:rsidR="0077021A" w:rsidRPr="003D290F">
        <w:rPr>
          <w:rFonts w:eastAsia="Times New Roman" w:cs="Segoe UI"/>
        </w:rPr>
        <w:t xml:space="preserve">resourcing and </w:t>
      </w:r>
      <w:r w:rsidR="00076E5E" w:rsidRPr="003D290F">
        <w:rPr>
          <w:rFonts w:eastAsia="Times New Roman" w:cs="Segoe UI"/>
        </w:rPr>
        <w:t xml:space="preserve">administered expenditure for the </w:t>
      </w:r>
      <w:r w:rsidR="00665069" w:rsidRPr="003D290F">
        <w:rPr>
          <w:rFonts w:eastAsia="Times New Roman" w:cs="Segoe UI"/>
        </w:rPr>
        <w:t xml:space="preserve">Australian </w:t>
      </w:r>
      <w:r w:rsidR="003E629B" w:rsidRPr="003D290F">
        <w:rPr>
          <w:rFonts w:eastAsia="Times New Roman" w:cs="Segoe UI"/>
        </w:rPr>
        <w:t>Government</w:t>
      </w:r>
      <w:r w:rsidR="00076E5E" w:rsidRPr="003D290F">
        <w:rPr>
          <w:rFonts w:eastAsia="Times New Roman" w:cs="Segoe UI"/>
        </w:rPr>
        <w:t xml:space="preserve"> would be higher relative to the status quo</w:t>
      </w:r>
      <w:r w:rsidR="0077021A" w:rsidRPr="003D290F">
        <w:rPr>
          <w:rFonts w:eastAsia="Times New Roman" w:cs="Segoe UI"/>
        </w:rPr>
        <w:t xml:space="preserve">. </w:t>
      </w:r>
      <w:r w:rsidRPr="003D290F">
        <w:rPr>
          <w:rFonts w:eastAsia="Times New Roman" w:cs="Segoe UI"/>
        </w:rPr>
        <w:t xml:space="preserve">Increased </w:t>
      </w:r>
      <w:r w:rsidR="0077021A" w:rsidRPr="003D290F">
        <w:rPr>
          <w:rFonts w:eastAsia="Times New Roman" w:cs="Segoe UI"/>
        </w:rPr>
        <w:t xml:space="preserve">resourcing would </w:t>
      </w:r>
      <w:r w:rsidR="0077021A" w:rsidRPr="003D290F">
        <w:t xml:space="preserve">support the development, implementation, administration and stakeholder engagement associated with the pooled redeployment </w:t>
      </w:r>
      <w:r w:rsidR="00F6294A" w:rsidRPr="003D290F">
        <w:t>plan</w:t>
      </w:r>
      <w:r w:rsidR="0077021A" w:rsidRPr="003D290F">
        <w:t>. Administered expenditure would be higher</w:t>
      </w:r>
      <w:r w:rsidR="00076E5E" w:rsidRPr="003D290F">
        <w:rPr>
          <w:rFonts w:eastAsia="Times New Roman" w:cs="Segoe UI"/>
        </w:rPr>
        <w:t xml:space="preserve"> to subsidise early retirement packages, albeit somewhat </w:t>
      </w:r>
      <w:r w:rsidR="00076E5E" w:rsidRPr="003D290F">
        <w:rPr>
          <w:rFonts w:eastAsia="Times New Roman" w:cs="Segoe UI"/>
        </w:rPr>
        <w:lastRenderedPageBreak/>
        <w:t xml:space="preserve">offset by lower welfare expenditure as </w:t>
      </w:r>
      <w:r w:rsidR="003E629B" w:rsidRPr="003D290F">
        <w:rPr>
          <w:rFonts w:eastAsia="Times New Roman" w:cs="Segoe UI"/>
        </w:rPr>
        <w:t>receipt of income supports payments</w:t>
      </w:r>
      <w:r w:rsidR="003E629B" w:rsidRPr="003D290F" w:rsidDel="007866DB">
        <w:rPr>
          <w:rFonts w:eastAsia="Times New Roman" w:cs="Segoe UI"/>
        </w:rPr>
        <w:t xml:space="preserve"> and </w:t>
      </w:r>
      <w:r w:rsidR="003E629B" w:rsidRPr="003D290F">
        <w:rPr>
          <w:rFonts w:eastAsia="Times New Roman" w:cs="Segoe UI"/>
        </w:rPr>
        <w:t xml:space="preserve">participation in </w:t>
      </w:r>
      <w:r w:rsidR="003E629B" w:rsidRPr="003D290F" w:rsidDel="007866DB">
        <w:rPr>
          <w:rFonts w:eastAsia="Times New Roman" w:cs="Segoe UI"/>
        </w:rPr>
        <w:t xml:space="preserve">associated services </w:t>
      </w:r>
      <w:r w:rsidR="00076E5E" w:rsidRPr="003D290F">
        <w:rPr>
          <w:rFonts w:eastAsia="Times New Roman" w:cs="Segoe UI"/>
        </w:rPr>
        <w:t xml:space="preserve">would be lower. </w:t>
      </w:r>
    </w:p>
    <w:p w14:paraId="43FAF232" w14:textId="77777777" w:rsidR="00355CA0" w:rsidRPr="003D290F" w:rsidRDefault="00355CA0" w:rsidP="00FE3DEC">
      <w:pPr>
        <w:rPr>
          <w:rFonts w:eastAsia="Times New Roman" w:cs="Segoe UI"/>
        </w:rPr>
      </w:pPr>
      <w:r w:rsidRPr="003D290F">
        <w:rPr>
          <w:rFonts w:eastAsia="Times New Roman" w:cs="Segoe UI"/>
          <w:b/>
          <w:color w:val="1B375C"/>
        </w:rPr>
        <w:t>Communities</w:t>
      </w:r>
      <w:r w:rsidRPr="003D290F">
        <w:rPr>
          <w:rFonts w:eastAsia="Times New Roman" w:cs="Segoe UI"/>
          <w:color w:val="1B375C"/>
        </w:rPr>
        <w:t xml:space="preserve"> </w:t>
      </w:r>
      <w:r w:rsidRPr="003D290F">
        <w:rPr>
          <w:rFonts w:eastAsia="Times New Roman" w:cs="Segoe UI"/>
        </w:rPr>
        <w:t>would</w:t>
      </w:r>
      <w:r w:rsidR="0077021A" w:rsidRPr="003D290F">
        <w:rPr>
          <w:rFonts w:eastAsia="Times New Roman" w:cs="Segoe UI"/>
        </w:rPr>
        <w:t xml:space="preserve"> experience benefits </w:t>
      </w:r>
      <w:r w:rsidRPr="003D290F">
        <w:rPr>
          <w:rFonts w:eastAsia="Times New Roman" w:cs="Segoe UI"/>
        </w:rPr>
        <w:t xml:space="preserve">under </w:t>
      </w:r>
      <w:r w:rsidR="001D25F0" w:rsidRPr="003D290F">
        <w:rPr>
          <w:rFonts w:eastAsia="Times New Roman" w:cs="Segoe UI"/>
        </w:rPr>
        <w:t>Option 2</w:t>
      </w:r>
      <w:r w:rsidRPr="003D290F">
        <w:rPr>
          <w:rFonts w:eastAsia="Times New Roman" w:cs="Segoe UI"/>
        </w:rPr>
        <w:t xml:space="preserve">. Local employment would be higher relative to the status quo, helping to sustain economic and social conditions within the community and surrounding region. As more affected </w:t>
      </w:r>
      <w:r w:rsidR="00DC068D" w:rsidRPr="003D290F">
        <w:rPr>
          <w:rFonts w:eastAsia="Times New Roman" w:cs="Segoe UI"/>
        </w:rPr>
        <w:t>employees</w:t>
      </w:r>
      <w:r w:rsidRPr="003D290F">
        <w:rPr>
          <w:rFonts w:eastAsia="Times New Roman" w:cs="Segoe UI"/>
        </w:rPr>
        <w:t xml:space="preserve"> retain ongoing employment </w:t>
      </w:r>
      <w:r w:rsidR="00D56AC2" w:rsidRPr="003D290F">
        <w:rPr>
          <w:rFonts w:eastAsia="Times New Roman" w:cs="Segoe UI"/>
        </w:rPr>
        <w:t xml:space="preserve">and </w:t>
      </w:r>
      <w:r w:rsidRPr="003D290F">
        <w:rPr>
          <w:rFonts w:eastAsia="Times New Roman" w:cs="Segoe UI"/>
        </w:rPr>
        <w:t>associated income, small businesses would benefit from higher consumption relative to the status quo.</w:t>
      </w:r>
      <w:r w:rsidR="00D56AC2" w:rsidRPr="003D290F">
        <w:rPr>
          <w:rFonts w:eastAsia="Times New Roman" w:cs="Segoe UI"/>
        </w:rPr>
        <w:t xml:space="preserve"> </w:t>
      </w:r>
      <w:r w:rsidR="000C57D2" w:rsidRPr="003D290F">
        <w:rPr>
          <w:rFonts w:eastAsia="Times New Roman" w:cs="Segoe UI"/>
        </w:rPr>
        <w:t>L</w:t>
      </w:r>
      <w:r w:rsidR="00D56AC2" w:rsidRPr="003D290F">
        <w:rPr>
          <w:rFonts w:eastAsia="Times New Roman" w:cs="Segoe UI"/>
        </w:rPr>
        <w:t>ess emigration from the region and likely less loss of community identity</w:t>
      </w:r>
      <w:r w:rsidR="000C57D2" w:rsidRPr="003D290F">
        <w:rPr>
          <w:rFonts w:eastAsia="Times New Roman" w:cs="Segoe UI"/>
        </w:rPr>
        <w:t xml:space="preserve"> are also expected</w:t>
      </w:r>
      <w:r w:rsidR="00D56AC2" w:rsidRPr="003D290F">
        <w:rPr>
          <w:rFonts w:eastAsia="Times New Roman" w:cs="Segoe UI"/>
        </w:rPr>
        <w:t xml:space="preserve">, helping to </w:t>
      </w:r>
      <w:r w:rsidR="00D56AC2" w:rsidRPr="003D290F" w:rsidDel="00F35A7A">
        <w:rPr>
          <w:rFonts w:eastAsia="Times New Roman" w:cs="Segoe UI"/>
        </w:rPr>
        <w:t xml:space="preserve">maintain </w:t>
      </w:r>
      <w:r w:rsidR="00F35A7A" w:rsidRPr="003D290F">
        <w:rPr>
          <w:rFonts w:eastAsia="Times New Roman" w:cs="Segoe UI"/>
        </w:rPr>
        <w:t>regional</w:t>
      </w:r>
      <w:r w:rsidR="00D56AC2" w:rsidRPr="003D290F">
        <w:rPr>
          <w:rFonts w:eastAsia="Times New Roman" w:cs="Segoe UI"/>
        </w:rPr>
        <w:t xml:space="preserve"> prosperity and social cohesion</w:t>
      </w:r>
      <w:r w:rsidR="00F35A7A" w:rsidRPr="003D290F">
        <w:rPr>
          <w:rFonts w:eastAsia="Times New Roman" w:cs="Segoe UI"/>
        </w:rPr>
        <w:t>.</w:t>
      </w:r>
      <w:r w:rsidRPr="003D290F">
        <w:rPr>
          <w:rFonts w:eastAsia="Times New Roman" w:cs="Segoe UI"/>
        </w:rPr>
        <w:t xml:space="preserve"> </w:t>
      </w:r>
      <w:r w:rsidR="00561CB5">
        <w:rPr>
          <w:rFonts w:eastAsia="Times New Roman" w:cs="Segoe UI"/>
        </w:rPr>
        <w:t>Communities would also experience social benefits as fewer workers move on to long term unemployment benefits and there are reduced labour market scarring impacts.</w:t>
      </w:r>
      <w:r w:rsidR="00040A76" w:rsidRPr="00040A76">
        <w:rPr>
          <w:rFonts w:eastAsia="Times New Roman" w:cs="Segoe UI"/>
        </w:rPr>
        <w:t xml:space="preserve"> </w:t>
      </w:r>
    </w:p>
    <w:p w14:paraId="0D2A533D" w14:textId="77777777" w:rsidR="00076E5E" w:rsidRPr="003D290F" w:rsidRDefault="00355CA0" w:rsidP="00FE3DEC">
      <w:pPr>
        <w:rPr>
          <w:rFonts w:eastAsia="Times New Roman" w:cs="Segoe UI"/>
        </w:rPr>
      </w:pPr>
      <w:r w:rsidRPr="003D290F">
        <w:rPr>
          <w:rFonts w:eastAsia="Times New Roman" w:cs="Segoe UI"/>
        </w:rPr>
        <w:t xml:space="preserve">The costs and benefits </w:t>
      </w:r>
      <w:r w:rsidR="00FF2DFD" w:rsidRPr="003D290F">
        <w:rPr>
          <w:rFonts w:eastAsia="Times New Roman" w:cs="Segoe UI"/>
        </w:rPr>
        <w:t xml:space="preserve">to </w:t>
      </w:r>
      <w:r w:rsidRPr="003D290F">
        <w:rPr>
          <w:rFonts w:eastAsia="Times New Roman" w:cs="Segoe UI"/>
        </w:rPr>
        <w:t xml:space="preserve">each stakeholder under an unlegislated redeployment </w:t>
      </w:r>
      <w:r w:rsidR="00F6294A" w:rsidRPr="003D290F">
        <w:rPr>
          <w:rFonts w:eastAsia="Times New Roman" w:cs="Segoe UI"/>
        </w:rPr>
        <w:t>plan</w:t>
      </w:r>
      <w:r w:rsidRPr="003D290F">
        <w:rPr>
          <w:rFonts w:eastAsia="Times New Roman" w:cs="Segoe UI"/>
        </w:rPr>
        <w:t xml:space="preserve"> are summarised in </w:t>
      </w:r>
      <w:r w:rsidRPr="003D290F">
        <w:rPr>
          <w:rFonts w:eastAsia="Times New Roman" w:cs="Segoe UI"/>
          <w:b/>
          <w:color w:val="1B375C"/>
        </w:rPr>
        <w:t>Table 4.</w:t>
      </w:r>
      <w:r w:rsidR="00757876">
        <w:rPr>
          <w:rFonts w:eastAsia="Times New Roman" w:cs="Segoe UI"/>
          <w:b/>
          <w:color w:val="1B375C"/>
        </w:rPr>
        <w:t>6</w:t>
      </w:r>
      <w:r w:rsidR="00076E5E" w:rsidRPr="003D290F">
        <w:rPr>
          <w:rFonts w:eastAsia="Times New Roman" w:cs="Segoe UI"/>
        </w:rPr>
        <w:t>.</w:t>
      </w:r>
      <w:r w:rsidR="007E72C3" w:rsidRPr="003D290F">
        <w:rPr>
          <w:rFonts w:eastAsia="Times New Roman" w:cs="Segoe UI"/>
        </w:rPr>
        <w:t xml:space="preserve"> To the extent possible, direct effects have been quantified in the analysis; costs and benefits </w:t>
      </w:r>
      <w:r w:rsidR="009C02AA">
        <w:rPr>
          <w:rFonts w:eastAsia="Times New Roman" w:cs="Segoe UI"/>
        </w:rPr>
        <w:t xml:space="preserve">that are unquantified are described </w:t>
      </w:r>
      <w:r w:rsidR="007E72C3" w:rsidRPr="003D290F">
        <w:rPr>
          <w:rFonts w:eastAsia="Times New Roman" w:cs="Segoe UI"/>
        </w:rPr>
        <w:t>qualitatively as per OIA guidance.</w:t>
      </w:r>
      <w:r w:rsidR="007E72C3" w:rsidRPr="003D290F">
        <w:rPr>
          <w:rStyle w:val="FootnoteReference"/>
          <w:rFonts w:eastAsia="Times New Roman" w:cs="Segoe UI"/>
        </w:rPr>
        <w:footnoteReference w:id="85"/>
      </w:r>
      <w:r w:rsidR="004C28FA" w:rsidRPr="003D290F">
        <w:rPr>
          <w:rFonts w:eastAsia="Times New Roman" w:cs="Segoe UI"/>
        </w:rPr>
        <w:t xml:space="preserve"> Since there are more </w:t>
      </w:r>
      <w:r w:rsidR="009C02AA">
        <w:rPr>
          <w:rFonts w:eastAsia="Times New Roman" w:cs="Segoe UI"/>
        </w:rPr>
        <w:t>unquantified</w:t>
      </w:r>
      <w:r w:rsidR="004C28FA" w:rsidRPr="003D290F">
        <w:rPr>
          <w:rFonts w:eastAsia="Times New Roman" w:cs="Segoe UI"/>
        </w:rPr>
        <w:t xml:space="preserve"> benefits than </w:t>
      </w:r>
      <w:r w:rsidR="009C02AA">
        <w:rPr>
          <w:rFonts w:eastAsia="Times New Roman" w:cs="Segoe UI"/>
        </w:rPr>
        <w:t>unquantified</w:t>
      </w:r>
      <w:r w:rsidR="004C28FA" w:rsidRPr="003D290F">
        <w:rPr>
          <w:rFonts w:eastAsia="Times New Roman" w:cs="Segoe UI"/>
        </w:rPr>
        <w:t xml:space="preserve"> costs, it is likely that if these </w:t>
      </w:r>
      <w:r w:rsidR="009C02AA">
        <w:rPr>
          <w:rFonts w:eastAsia="Times New Roman" w:cs="Segoe UI"/>
        </w:rPr>
        <w:t>unquantified impacts</w:t>
      </w:r>
      <w:r w:rsidR="004C28FA" w:rsidRPr="003D290F">
        <w:rPr>
          <w:rFonts w:eastAsia="Times New Roman" w:cs="Segoe UI"/>
        </w:rPr>
        <w:t xml:space="preserve"> were quantified the </w:t>
      </w:r>
      <w:r w:rsidR="00226F08" w:rsidRPr="003D290F">
        <w:rPr>
          <w:rFonts w:eastAsia="Times New Roman" w:cs="Segoe UI"/>
        </w:rPr>
        <w:t xml:space="preserve">net present value of </w:t>
      </w:r>
      <w:r w:rsidR="004C28FA" w:rsidRPr="003D290F">
        <w:rPr>
          <w:rFonts w:eastAsia="Times New Roman" w:cs="Segoe UI"/>
        </w:rPr>
        <w:t xml:space="preserve">the plan would </w:t>
      </w:r>
      <w:r w:rsidR="00226F08" w:rsidRPr="003D290F">
        <w:rPr>
          <w:rFonts w:eastAsia="Times New Roman" w:cs="Segoe UI"/>
        </w:rPr>
        <w:t>be higher</w:t>
      </w:r>
      <w:r w:rsidR="004C28FA" w:rsidRPr="003D290F">
        <w:rPr>
          <w:rFonts w:eastAsia="Times New Roman" w:cs="Segoe UI"/>
        </w:rPr>
        <w:t>.</w:t>
      </w:r>
    </w:p>
    <w:p w14:paraId="35BF3F83" w14:textId="77777777" w:rsidR="0048453F" w:rsidRPr="003D290F" w:rsidRDefault="00355CA0" w:rsidP="00BA5F04">
      <w:pPr>
        <w:rPr>
          <w:b/>
          <w:sz w:val="24"/>
        </w:rPr>
      </w:pPr>
      <w:r w:rsidRPr="003D290F">
        <w:rPr>
          <w:b/>
          <w:sz w:val="24"/>
        </w:rPr>
        <w:t>TABLE 4.</w:t>
      </w:r>
      <w:r w:rsidR="00757876">
        <w:rPr>
          <w:b/>
          <w:sz w:val="24"/>
        </w:rPr>
        <w:t>6</w:t>
      </w:r>
      <w:r w:rsidR="007B6C5E" w:rsidRPr="003D290F">
        <w:rPr>
          <w:b/>
          <w:sz w:val="24"/>
        </w:rPr>
        <w:t xml:space="preserve"> </w:t>
      </w:r>
      <w:r w:rsidRPr="003D290F">
        <w:rPr>
          <w:b/>
          <w:sz w:val="24"/>
        </w:rPr>
        <w:t xml:space="preserve">COSTS AND BENEFITS OF OPTION </w:t>
      </w:r>
      <w:r w:rsidR="001D25F0" w:rsidRPr="003D290F">
        <w:rPr>
          <w:b/>
          <w:sz w:val="24"/>
        </w:rPr>
        <w:t xml:space="preserve">2 </w:t>
      </w:r>
      <w:r w:rsidR="00FD4279" w:rsidRPr="003D290F">
        <w:rPr>
          <w:b/>
          <w:sz w:val="24"/>
        </w:rPr>
        <w:t>RELATIVE TO STATUS QUO</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bottom w:w="57" w:type="dxa"/>
        </w:tblCellMar>
        <w:tblLook w:val="04A0" w:firstRow="1" w:lastRow="0" w:firstColumn="1" w:lastColumn="0" w:noHBand="0" w:noVBand="1"/>
      </w:tblPr>
      <w:tblGrid>
        <w:gridCol w:w="1615"/>
        <w:gridCol w:w="1074"/>
        <w:gridCol w:w="4253"/>
        <w:gridCol w:w="1419"/>
        <w:gridCol w:w="1833"/>
      </w:tblGrid>
      <w:tr w:rsidR="0048453F" w:rsidRPr="003D290F" w14:paraId="521E94B4" w14:textId="77777777" w:rsidTr="00AE076E">
        <w:trPr>
          <w:tblHeader/>
        </w:trPr>
        <w:tc>
          <w:tcPr>
            <w:tcW w:w="792" w:type="pct"/>
            <w:tcBorders>
              <w:bottom w:val="single" w:sz="4" w:space="0" w:color="FFFFFF" w:themeColor="background1"/>
            </w:tcBorders>
            <w:shd w:val="clear" w:color="auto" w:fill="1B375C" w:themeFill="accent1"/>
          </w:tcPr>
          <w:p w14:paraId="04F45C43" w14:textId="77777777" w:rsidR="0048453F" w:rsidRPr="003D290F" w:rsidRDefault="0048453F" w:rsidP="0048453F">
            <w:pPr>
              <w:rPr>
                <w:rFonts w:eastAsia="Times New Roman" w:cs="Segoe UI"/>
                <w:b/>
                <w:sz w:val="20"/>
                <w:szCs w:val="20"/>
              </w:rPr>
            </w:pPr>
            <w:r w:rsidRPr="003D290F">
              <w:rPr>
                <w:rFonts w:eastAsia="Times New Roman" w:cs="Segoe UI"/>
                <w:b/>
                <w:color w:val="FFFFFF" w:themeColor="background1"/>
                <w:sz w:val="20"/>
                <w:szCs w:val="20"/>
              </w:rPr>
              <w:t>STAKEHOLDER</w:t>
            </w:r>
          </w:p>
        </w:tc>
        <w:tc>
          <w:tcPr>
            <w:tcW w:w="527" w:type="pct"/>
            <w:shd w:val="clear" w:color="auto" w:fill="1B375C" w:themeFill="accent1"/>
          </w:tcPr>
          <w:p w14:paraId="2D841762" w14:textId="77777777" w:rsidR="0048453F" w:rsidRPr="003D290F" w:rsidRDefault="0048453F" w:rsidP="0048453F">
            <w:pPr>
              <w:rPr>
                <w:rFonts w:eastAsia="Times New Roman" w:cs="Segoe UI"/>
                <w:b/>
                <w:sz w:val="20"/>
                <w:szCs w:val="20"/>
              </w:rPr>
            </w:pPr>
            <w:r w:rsidRPr="003D290F">
              <w:rPr>
                <w:rFonts w:eastAsia="Times New Roman" w:cs="Segoe UI"/>
                <w:b/>
                <w:color w:val="FFFFFF" w:themeColor="background1"/>
                <w:sz w:val="20"/>
                <w:szCs w:val="20"/>
              </w:rPr>
              <w:t>IMPACT</w:t>
            </w:r>
          </w:p>
        </w:tc>
        <w:tc>
          <w:tcPr>
            <w:tcW w:w="2086" w:type="pct"/>
            <w:shd w:val="clear" w:color="auto" w:fill="1B375C" w:themeFill="accent1"/>
          </w:tcPr>
          <w:p w14:paraId="3F81E86A" w14:textId="77777777" w:rsidR="0048453F" w:rsidRPr="003D290F" w:rsidRDefault="0048453F" w:rsidP="0048453F">
            <w:pPr>
              <w:rPr>
                <w:rFonts w:eastAsia="Times New Roman" w:cs="Segoe UI"/>
                <w:b/>
                <w:sz w:val="20"/>
                <w:szCs w:val="20"/>
              </w:rPr>
            </w:pPr>
            <w:r w:rsidRPr="003D290F">
              <w:rPr>
                <w:rFonts w:eastAsia="Times New Roman" w:cs="Segoe UI"/>
                <w:b/>
                <w:color w:val="FFFFFF" w:themeColor="background1"/>
                <w:sz w:val="20"/>
                <w:szCs w:val="20"/>
              </w:rPr>
              <w:t>DESCRIPTION</w:t>
            </w:r>
          </w:p>
        </w:tc>
        <w:tc>
          <w:tcPr>
            <w:tcW w:w="696" w:type="pct"/>
            <w:shd w:val="clear" w:color="auto" w:fill="1B375C" w:themeFill="accent1"/>
          </w:tcPr>
          <w:p w14:paraId="75BDEDDE" w14:textId="77777777" w:rsidR="0048453F" w:rsidRPr="003D290F" w:rsidRDefault="0048453F" w:rsidP="00A50504">
            <w:pPr>
              <w:jc w:val="right"/>
              <w:rPr>
                <w:rFonts w:eastAsia="Times New Roman" w:cs="Segoe UI"/>
                <w:b/>
                <w:sz w:val="20"/>
                <w:szCs w:val="20"/>
              </w:rPr>
            </w:pPr>
            <w:r w:rsidRPr="003D290F">
              <w:rPr>
                <w:rFonts w:eastAsia="Times New Roman" w:cs="Segoe UI"/>
                <w:b/>
                <w:color w:val="FFFFFF" w:themeColor="background1"/>
                <w:sz w:val="20"/>
                <w:szCs w:val="20"/>
              </w:rPr>
              <w:t>QUANTIFIED</w:t>
            </w:r>
          </w:p>
        </w:tc>
        <w:tc>
          <w:tcPr>
            <w:tcW w:w="899" w:type="pct"/>
            <w:shd w:val="clear" w:color="auto" w:fill="1B375C" w:themeFill="accent1"/>
          </w:tcPr>
          <w:p w14:paraId="125B42CE" w14:textId="77777777" w:rsidR="0048453F" w:rsidRPr="003D290F" w:rsidRDefault="009C02AA" w:rsidP="00A50504">
            <w:pPr>
              <w:jc w:val="center"/>
              <w:rPr>
                <w:rFonts w:eastAsia="Times New Roman" w:cs="Segoe UI"/>
                <w:b/>
                <w:sz w:val="20"/>
                <w:szCs w:val="20"/>
              </w:rPr>
            </w:pPr>
            <w:r>
              <w:rPr>
                <w:rFonts w:eastAsia="Times New Roman" w:cs="Segoe UI"/>
                <w:b/>
                <w:color w:val="FFFFFF" w:themeColor="background1"/>
                <w:sz w:val="20"/>
                <w:szCs w:val="20"/>
              </w:rPr>
              <w:t>UNQUANTIFIED</w:t>
            </w:r>
          </w:p>
        </w:tc>
      </w:tr>
      <w:tr w:rsidR="0048453F" w:rsidRPr="003D290F" w14:paraId="427F4F00" w14:textId="77777777" w:rsidTr="00AE076E">
        <w:tc>
          <w:tcPr>
            <w:tcW w:w="792" w:type="pct"/>
            <w:vMerge w:val="restart"/>
            <w:shd w:val="clear" w:color="auto" w:fill="E0E8F2" w:themeFill="background2"/>
          </w:tcPr>
          <w:p w14:paraId="7A3B9C3F" w14:textId="77777777" w:rsidR="00AE076E" w:rsidRPr="003D290F" w:rsidRDefault="0048453F" w:rsidP="0048453F">
            <w:pPr>
              <w:rPr>
                <w:rFonts w:eastAsia="Times New Roman" w:cs="Segoe UI"/>
                <w:b/>
                <w:sz w:val="20"/>
                <w:szCs w:val="20"/>
              </w:rPr>
            </w:pPr>
            <w:r w:rsidRPr="003D290F">
              <w:rPr>
                <w:rFonts w:eastAsia="Times New Roman" w:cs="Segoe UI"/>
                <w:b/>
                <w:sz w:val="20"/>
                <w:szCs w:val="20"/>
              </w:rPr>
              <w:t>Closing employers</w:t>
            </w:r>
          </w:p>
          <w:p w14:paraId="5BE61B70" w14:textId="77777777" w:rsidR="0048453F" w:rsidRPr="003D290F" w:rsidRDefault="0048453F" w:rsidP="0048453F">
            <w:pPr>
              <w:rPr>
                <w:rFonts w:eastAsia="Times New Roman" w:cs="Segoe UI"/>
                <w:b/>
                <w:sz w:val="20"/>
                <w:szCs w:val="20"/>
              </w:rPr>
            </w:pPr>
          </w:p>
        </w:tc>
        <w:tc>
          <w:tcPr>
            <w:tcW w:w="527" w:type="pct"/>
            <w:vMerge w:val="restart"/>
            <w:shd w:val="clear" w:color="auto" w:fill="E0E8F2" w:themeFill="background2"/>
          </w:tcPr>
          <w:p w14:paraId="25B78FF3" w14:textId="77777777" w:rsidR="00AE076E" w:rsidRPr="003D290F" w:rsidRDefault="0048453F" w:rsidP="00346413">
            <w:pPr>
              <w:rPr>
                <w:rFonts w:eastAsia="Times New Roman" w:cs="Segoe UI"/>
                <w:b/>
                <w:sz w:val="20"/>
                <w:szCs w:val="20"/>
              </w:rPr>
            </w:pPr>
            <w:r w:rsidRPr="003D290F">
              <w:rPr>
                <w:rFonts w:eastAsia="Times New Roman" w:cs="Segoe UI"/>
                <w:sz w:val="20"/>
                <w:szCs w:val="20"/>
              </w:rPr>
              <w:t>Costs</w:t>
            </w:r>
          </w:p>
          <w:p w14:paraId="0E1A2536" w14:textId="77777777" w:rsidR="0048453F" w:rsidRPr="003D290F" w:rsidRDefault="0048453F" w:rsidP="00346413">
            <w:pPr>
              <w:rPr>
                <w:rFonts w:eastAsia="Times New Roman" w:cs="Segoe UI"/>
                <w:b/>
                <w:sz w:val="20"/>
                <w:szCs w:val="20"/>
              </w:rPr>
            </w:pPr>
          </w:p>
        </w:tc>
        <w:tc>
          <w:tcPr>
            <w:tcW w:w="2086" w:type="pct"/>
            <w:shd w:val="clear" w:color="auto" w:fill="E0E8F2" w:themeFill="background2"/>
          </w:tcPr>
          <w:p w14:paraId="1C124A7B" w14:textId="77777777" w:rsidR="0048453F" w:rsidRPr="003D290F" w:rsidRDefault="0048453F" w:rsidP="0048453F">
            <w:pPr>
              <w:rPr>
                <w:rFonts w:eastAsia="Times New Roman" w:cs="Segoe UI"/>
                <w:b/>
                <w:sz w:val="20"/>
                <w:szCs w:val="20"/>
              </w:rPr>
            </w:pPr>
            <w:r w:rsidRPr="003D290F">
              <w:rPr>
                <w:rFonts w:eastAsia="Times New Roman" w:cs="Segoe UI"/>
                <w:sz w:val="20"/>
                <w:szCs w:val="20"/>
              </w:rPr>
              <w:t xml:space="preserve">Administrative costs of participating in the </w:t>
            </w:r>
            <w:r w:rsidR="00F6294A" w:rsidRPr="003D290F">
              <w:rPr>
                <w:rFonts w:eastAsia="Times New Roman" w:cs="Segoe UI"/>
                <w:sz w:val="20"/>
                <w:szCs w:val="20"/>
              </w:rPr>
              <w:t>plan</w:t>
            </w:r>
            <w:r w:rsidRPr="003D290F">
              <w:rPr>
                <w:rFonts w:eastAsia="Times New Roman" w:cs="Segoe UI"/>
                <w:sz w:val="20"/>
                <w:szCs w:val="20"/>
              </w:rPr>
              <w:t xml:space="preserve">. </w:t>
            </w:r>
          </w:p>
        </w:tc>
        <w:tc>
          <w:tcPr>
            <w:tcW w:w="696" w:type="pct"/>
            <w:shd w:val="clear" w:color="auto" w:fill="E0E8F2" w:themeFill="background2"/>
            <w:vAlign w:val="center"/>
          </w:tcPr>
          <w:p w14:paraId="04C01D90" w14:textId="77777777" w:rsidR="0048453F" w:rsidRPr="003D290F" w:rsidRDefault="0048453F" w:rsidP="0048453F">
            <w:pPr>
              <w:jc w:val="center"/>
              <w:rPr>
                <w:rFonts w:eastAsia="Times New Roman" w:cs="Segoe UI"/>
                <w:b/>
                <w:sz w:val="20"/>
                <w:szCs w:val="20"/>
              </w:rPr>
            </w:pPr>
            <w:r w:rsidRPr="003D290F">
              <w:rPr>
                <w:rFonts w:eastAsia="Times New Roman" w:cs="Segoe UI"/>
                <w:sz w:val="30"/>
                <w:szCs w:val="30"/>
              </w:rPr>
              <w:sym w:font="Wingdings" w:char="F0FE"/>
            </w:r>
          </w:p>
        </w:tc>
        <w:tc>
          <w:tcPr>
            <w:tcW w:w="899" w:type="pct"/>
            <w:shd w:val="clear" w:color="auto" w:fill="E0E8F2" w:themeFill="background2"/>
            <w:vAlign w:val="center"/>
          </w:tcPr>
          <w:p w14:paraId="593ADEB9" w14:textId="77777777" w:rsidR="0048453F" w:rsidRPr="003D290F" w:rsidRDefault="0048453F" w:rsidP="0048453F">
            <w:pPr>
              <w:jc w:val="center"/>
              <w:rPr>
                <w:rFonts w:eastAsia="Times New Roman" w:cs="Segoe UI"/>
                <w:b/>
                <w:sz w:val="20"/>
                <w:szCs w:val="20"/>
              </w:rPr>
            </w:pPr>
          </w:p>
        </w:tc>
      </w:tr>
      <w:tr w:rsidR="00AE076E" w:rsidRPr="003D290F" w14:paraId="6276843E" w14:textId="77777777" w:rsidTr="00AE076E">
        <w:trPr>
          <w:gridAfter w:val="3"/>
          <w:wAfter w:w="3681" w:type="pct"/>
          <w:trHeight w:val="266"/>
        </w:trPr>
        <w:tc>
          <w:tcPr>
            <w:tcW w:w="792" w:type="pct"/>
            <w:vMerge/>
            <w:tcBorders>
              <w:bottom w:val="nil"/>
            </w:tcBorders>
            <w:shd w:val="clear" w:color="auto" w:fill="E0E8F2" w:themeFill="background2"/>
          </w:tcPr>
          <w:p w14:paraId="29068D24" w14:textId="77777777" w:rsidR="00AE076E" w:rsidRPr="003D290F" w:rsidRDefault="00AE076E" w:rsidP="0048453F">
            <w:pPr>
              <w:rPr>
                <w:rFonts w:eastAsia="Times New Roman" w:cs="Segoe UI"/>
                <w:b/>
                <w:sz w:val="20"/>
                <w:szCs w:val="20"/>
              </w:rPr>
            </w:pPr>
          </w:p>
        </w:tc>
        <w:tc>
          <w:tcPr>
            <w:tcW w:w="527" w:type="pct"/>
            <w:vMerge/>
            <w:shd w:val="clear" w:color="auto" w:fill="E0E8F2" w:themeFill="background2"/>
          </w:tcPr>
          <w:p w14:paraId="7B616542" w14:textId="77777777" w:rsidR="00AE076E" w:rsidRPr="003D290F" w:rsidRDefault="00AE076E" w:rsidP="00346413">
            <w:pPr>
              <w:rPr>
                <w:rFonts w:eastAsia="Times New Roman" w:cs="Segoe UI"/>
                <w:sz w:val="20"/>
                <w:szCs w:val="20"/>
              </w:rPr>
            </w:pPr>
          </w:p>
        </w:tc>
      </w:tr>
      <w:tr w:rsidR="0048453F" w:rsidRPr="003D290F" w14:paraId="6B9799CF" w14:textId="77777777" w:rsidTr="00AE076E">
        <w:tc>
          <w:tcPr>
            <w:tcW w:w="792" w:type="pct"/>
            <w:tcBorders>
              <w:top w:val="nil"/>
              <w:bottom w:val="single" w:sz="8" w:space="0" w:color="1B375C" w:themeColor="accent1"/>
            </w:tcBorders>
            <w:shd w:val="clear" w:color="auto" w:fill="E0E8F2" w:themeFill="background2"/>
          </w:tcPr>
          <w:p w14:paraId="77BC34AF" w14:textId="77777777" w:rsidR="0048453F" w:rsidRPr="003D290F" w:rsidRDefault="0048453F" w:rsidP="0048453F">
            <w:pPr>
              <w:rPr>
                <w:rFonts w:eastAsia="Times New Roman" w:cs="Segoe UI"/>
                <w:b/>
                <w:sz w:val="20"/>
                <w:szCs w:val="20"/>
              </w:rPr>
            </w:pPr>
          </w:p>
        </w:tc>
        <w:tc>
          <w:tcPr>
            <w:tcW w:w="527" w:type="pct"/>
            <w:tcBorders>
              <w:bottom w:val="single" w:sz="8" w:space="0" w:color="1B375C" w:themeColor="accent1"/>
            </w:tcBorders>
            <w:shd w:val="clear" w:color="auto" w:fill="E0E8F2" w:themeFill="background2"/>
          </w:tcPr>
          <w:p w14:paraId="0A3E0893" w14:textId="77777777" w:rsidR="0048453F" w:rsidRPr="003D290F" w:rsidRDefault="0048453F" w:rsidP="00346413">
            <w:pPr>
              <w:rPr>
                <w:rFonts w:eastAsia="Times New Roman" w:cs="Segoe UI"/>
                <w:b/>
                <w:sz w:val="20"/>
                <w:szCs w:val="20"/>
              </w:rPr>
            </w:pPr>
            <w:r w:rsidRPr="003D290F">
              <w:rPr>
                <w:rFonts w:eastAsia="Times New Roman" w:cs="Segoe UI"/>
                <w:sz w:val="20"/>
                <w:szCs w:val="20"/>
              </w:rPr>
              <w:t>Benefits</w:t>
            </w:r>
          </w:p>
        </w:tc>
        <w:tc>
          <w:tcPr>
            <w:tcW w:w="2086" w:type="pct"/>
            <w:tcBorders>
              <w:bottom w:val="single" w:sz="8" w:space="0" w:color="1B375C" w:themeColor="accent1"/>
            </w:tcBorders>
          </w:tcPr>
          <w:p w14:paraId="08DBB191" w14:textId="77777777" w:rsidR="0048453F" w:rsidRPr="003D290F" w:rsidRDefault="0048453F" w:rsidP="0048453F">
            <w:pPr>
              <w:rPr>
                <w:rFonts w:eastAsia="Times New Roman" w:cs="Segoe UI"/>
                <w:b/>
                <w:sz w:val="20"/>
                <w:szCs w:val="20"/>
              </w:rPr>
            </w:pPr>
            <w:r w:rsidRPr="003D290F">
              <w:rPr>
                <w:rFonts w:eastAsia="Times New Roman" w:cs="Segoe UI"/>
                <w:sz w:val="20"/>
                <w:szCs w:val="20"/>
              </w:rPr>
              <w:t>Greater certainty around workforce retention in the lead-up to facility closure.</w:t>
            </w:r>
          </w:p>
        </w:tc>
        <w:tc>
          <w:tcPr>
            <w:tcW w:w="696" w:type="pct"/>
            <w:tcBorders>
              <w:bottom w:val="single" w:sz="8" w:space="0" w:color="1B375C" w:themeColor="accent1"/>
            </w:tcBorders>
            <w:vAlign w:val="center"/>
          </w:tcPr>
          <w:p w14:paraId="6F37CA0F" w14:textId="77777777" w:rsidR="0048453F" w:rsidRPr="003D290F" w:rsidRDefault="0048453F" w:rsidP="0048453F">
            <w:pPr>
              <w:jc w:val="center"/>
              <w:rPr>
                <w:rFonts w:eastAsia="Times New Roman" w:cs="Segoe UI"/>
                <w:b/>
                <w:sz w:val="20"/>
                <w:szCs w:val="20"/>
              </w:rPr>
            </w:pPr>
          </w:p>
        </w:tc>
        <w:tc>
          <w:tcPr>
            <w:tcW w:w="899" w:type="pct"/>
            <w:tcBorders>
              <w:bottom w:val="single" w:sz="8" w:space="0" w:color="1B375C" w:themeColor="accent1"/>
            </w:tcBorders>
            <w:vAlign w:val="center"/>
          </w:tcPr>
          <w:p w14:paraId="4A4F9F1B" w14:textId="77777777" w:rsidR="0048453F" w:rsidRPr="003D290F" w:rsidRDefault="0048453F" w:rsidP="0048453F">
            <w:pPr>
              <w:jc w:val="center"/>
              <w:rPr>
                <w:rFonts w:eastAsia="Times New Roman" w:cs="Segoe UI"/>
                <w:b/>
                <w:sz w:val="20"/>
                <w:szCs w:val="20"/>
              </w:rPr>
            </w:pPr>
            <w:r w:rsidRPr="003D290F">
              <w:rPr>
                <w:rFonts w:eastAsia="Times New Roman" w:cs="Segoe UI"/>
                <w:sz w:val="30"/>
                <w:szCs w:val="30"/>
              </w:rPr>
              <w:sym w:font="Wingdings" w:char="F0FE"/>
            </w:r>
          </w:p>
        </w:tc>
      </w:tr>
      <w:tr w:rsidR="00B375F3" w:rsidRPr="003D290F" w14:paraId="1ADAC1E0" w14:textId="77777777" w:rsidTr="00AE076E">
        <w:trPr>
          <w:trHeight w:val="57"/>
        </w:trPr>
        <w:tc>
          <w:tcPr>
            <w:tcW w:w="792" w:type="pct"/>
            <w:tcBorders>
              <w:top w:val="single" w:sz="8" w:space="0" w:color="1B375C" w:themeColor="accent1"/>
              <w:bottom w:val="nil"/>
            </w:tcBorders>
            <w:shd w:val="clear" w:color="auto" w:fill="E0E8F2" w:themeFill="background2"/>
          </w:tcPr>
          <w:p w14:paraId="31F49396" w14:textId="77777777" w:rsidR="00B375F3" w:rsidRPr="003D290F" w:rsidRDefault="00B375F3" w:rsidP="0048453F">
            <w:pPr>
              <w:rPr>
                <w:rFonts w:eastAsia="Times New Roman" w:cs="Segoe UI"/>
                <w:b/>
                <w:sz w:val="20"/>
                <w:szCs w:val="20"/>
              </w:rPr>
            </w:pPr>
            <w:r w:rsidRPr="003D290F">
              <w:rPr>
                <w:rFonts w:eastAsia="Times New Roman" w:cs="Segoe UI"/>
                <w:b/>
                <w:sz w:val="20"/>
                <w:szCs w:val="20"/>
              </w:rPr>
              <w:t>Receiving employers</w:t>
            </w:r>
          </w:p>
        </w:tc>
        <w:tc>
          <w:tcPr>
            <w:tcW w:w="527" w:type="pct"/>
            <w:vMerge w:val="restart"/>
            <w:tcBorders>
              <w:top w:val="single" w:sz="8" w:space="0" w:color="1B375C" w:themeColor="accent1"/>
            </w:tcBorders>
            <w:shd w:val="clear" w:color="auto" w:fill="E0E8F2" w:themeFill="background2"/>
          </w:tcPr>
          <w:p w14:paraId="0ECE9EDD" w14:textId="77777777" w:rsidR="00B375F3" w:rsidRPr="003D290F" w:rsidRDefault="00B375F3" w:rsidP="00346413">
            <w:pPr>
              <w:rPr>
                <w:rFonts w:eastAsia="Times New Roman" w:cs="Segoe UI"/>
                <w:b/>
                <w:sz w:val="20"/>
                <w:szCs w:val="20"/>
              </w:rPr>
            </w:pPr>
            <w:r w:rsidRPr="003D290F">
              <w:rPr>
                <w:rFonts w:eastAsia="Times New Roman" w:cs="Segoe UI"/>
                <w:sz w:val="20"/>
                <w:szCs w:val="20"/>
              </w:rPr>
              <w:t>Costs</w:t>
            </w:r>
          </w:p>
        </w:tc>
        <w:tc>
          <w:tcPr>
            <w:tcW w:w="2086" w:type="pct"/>
            <w:vMerge w:val="restart"/>
            <w:tcBorders>
              <w:top w:val="single" w:sz="8" w:space="0" w:color="1B375C" w:themeColor="accent1"/>
            </w:tcBorders>
            <w:shd w:val="clear" w:color="auto" w:fill="E0E8F2" w:themeFill="background2"/>
          </w:tcPr>
          <w:p w14:paraId="27B12EB2" w14:textId="77777777" w:rsidR="00B375F3" w:rsidRPr="003D290F" w:rsidRDefault="00B375F3" w:rsidP="00963D53">
            <w:pPr>
              <w:rPr>
                <w:rFonts w:eastAsia="Times New Roman" w:cs="Segoe UI"/>
                <w:b/>
                <w:sz w:val="20"/>
                <w:szCs w:val="20"/>
              </w:rPr>
            </w:pPr>
            <w:r w:rsidRPr="003D290F">
              <w:rPr>
                <w:rFonts w:eastAsia="Times New Roman" w:cs="Segoe UI"/>
                <w:sz w:val="20"/>
                <w:szCs w:val="20"/>
              </w:rPr>
              <w:t>On-the-job training to address any skills gaps between incoming workers and vacancies.</w:t>
            </w:r>
          </w:p>
        </w:tc>
        <w:tc>
          <w:tcPr>
            <w:tcW w:w="696" w:type="pct"/>
            <w:vMerge w:val="restart"/>
            <w:tcBorders>
              <w:top w:val="single" w:sz="8" w:space="0" w:color="1B375C" w:themeColor="accent1"/>
            </w:tcBorders>
            <w:shd w:val="clear" w:color="auto" w:fill="E0E8F2" w:themeFill="background2"/>
            <w:vAlign w:val="center"/>
          </w:tcPr>
          <w:p w14:paraId="53593529" w14:textId="77777777" w:rsidR="00B375F3" w:rsidRPr="003D290F" w:rsidRDefault="00B375F3" w:rsidP="00B75357">
            <w:pPr>
              <w:rPr>
                <w:rFonts w:eastAsia="Times New Roman" w:cs="Segoe UI"/>
                <w:b/>
                <w:sz w:val="20"/>
                <w:szCs w:val="20"/>
              </w:rPr>
            </w:pPr>
          </w:p>
        </w:tc>
        <w:tc>
          <w:tcPr>
            <w:tcW w:w="899" w:type="pct"/>
            <w:vMerge w:val="restart"/>
            <w:tcBorders>
              <w:top w:val="single" w:sz="8" w:space="0" w:color="1B375C" w:themeColor="accent1"/>
            </w:tcBorders>
            <w:shd w:val="clear" w:color="auto" w:fill="E0E8F2" w:themeFill="background2"/>
            <w:vAlign w:val="center"/>
          </w:tcPr>
          <w:p w14:paraId="20593F36" w14:textId="77777777" w:rsidR="00B375F3" w:rsidRPr="003D290F" w:rsidRDefault="00B375F3" w:rsidP="0048453F">
            <w:pPr>
              <w:jc w:val="center"/>
              <w:rPr>
                <w:rFonts w:eastAsia="Times New Roman" w:cs="Segoe UI"/>
                <w:b/>
                <w:sz w:val="20"/>
                <w:szCs w:val="20"/>
              </w:rPr>
            </w:pPr>
            <w:r w:rsidRPr="003D290F">
              <w:rPr>
                <w:rFonts w:eastAsia="Times New Roman" w:cs="Segoe UI"/>
                <w:sz w:val="30"/>
                <w:szCs w:val="30"/>
              </w:rPr>
              <w:sym w:font="Wingdings" w:char="F0FE"/>
            </w:r>
          </w:p>
        </w:tc>
      </w:tr>
      <w:tr w:rsidR="00B375F3" w:rsidRPr="003D290F" w14:paraId="787FB183" w14:textId="77777777" w:rsidTr="00AE076E">
        <w:trPr>
          <w:trHeight w:val="28"/>
        </w:trPr>
        <w:tc>
          <w:tcPr>
            <w:tcW w:w="792" w:type="pct"/>
            <w:tcBorders>
              <w:top w:val="nil"/>
              <w:bottom w:val="nil"/>
            </w:tcBorders>
            <w:shd w:val="clear" w:color="auto" w:fill="E0E8F2" w:themeFill="background2"/>
          </w:tcPr>
          <w:p w14:paraId="554C7E3F" w14:textId="77777777" w:rsidR="00B375F3" w:rsidRPr="003D290F" w:rsidRDefault="00B375F3" w:rsidP="0048453F">
            <w:pPr>
              <w:rPr>
                <w:rFonts w:eastAsia="Times New Roman" w:cs="Segoe UI"/>
                <w:b/>
                <w:sz w:val="20"/>
                <w:szCs w:val="20"/>
              </w:rPr>
            </w:pPr>
          </w:p>
        </w:tc>
        <w:tc>
          <w:tcPr>
            <w:tcW w:w="527" w:type="pct"/>
            <w:vMerge/>
            <w:shd w:val="clear" w:color="auto" w:fill="E0E8F2" w:themeFill="background2"/>
          </w:tcPr>
          <w:p w14:paraId="729428DA" w14:textId="77777777" w:rsidR="00B375F3" w:rsidRPr="003D290F" w:rsidRDefault="00B375F3" w:rsidP="00346413">
            <w:pPr>
              <w:rPr>
                <w:rFonts w:eastAsia="Times New Roman" w:cs="Segoe UI"/>
                <w:b/>
                <w:sz w:val="20"/>
                <w:szCs w:val="20"/>
              </w:rPr>
            </w:pPr>
          </w:p>
        </w:tc>
        <w:tc>
          <w:tcPr>
            <w:tcW w:w="2086" w:type="pct"/>
            <w:vMerge/>
          </w:tcPr>
          <w:p w14:paraId="38F0179A" w14:textId="77777777" w:rsidR="00B375F3" w:rsidRPr="003D290F" w:rsidRDefault="00B375F3" w:rsidP="00963D53">
            <w:pPr>
              <w:rPr>
                <w:rFonts w:eastAsia="Times New Roman" w:cs="Segoe UI"/>
                <w:b/>
                <w:sz w:val="20"/>
                <w:szCs w:val="20"/>
              </w:rPr>
            </w:pPr>
          </w:p>
        </w:tc>
        <w:tc>
          <w:tcPr>
            <w:tcW w:w="696" w:type="pct"/>
            <w:vMerge/>
            <w:vAlign w:val="center"/>
          </w:tcPr>
          <w:p w14:paraId="6DC631B4" w14:textId="77777777" w:rsidR="00B375F3" w:rsidRPr="003D290F" w:rsidRDefault="00B375F3" w:rsidP="0048453F">
            <w:pPr>
              <w:jc w:val="center"/>
              <w:rPr>
                <w:rFonts w:eastAsia="Times New Roman" w:cs="Segoe UI"/>
                <w:b/>
                <w:sz w:val="20"/>
                <w:szCs w:val="20"/>
              </w:rPr>
            </w:pPr>
          </w:p>
        </w:tc>
        <w:tc>
          <w:tcPr>
            <w:tcW w:w="899" w:type="pct"/>
            <w:vMerge/>
            <w:vAlign w:val="center"/>
          </w:tcPr>
          <w:p w14:paraId="676DC086" w14:textId="77777777" w:rsidR="00B375F3" w:rsidRPr="003D290F" w:rsidRDefault="00B375F3" w:rsidP="0048453F">
            <w:pPr>
              <w:jc w:val="center"/>
              <w:rPr>
                <w:rFonts w:eastAsia="Times New Roman" w:cs="Segoe UI"/>
                <w:b/>
                <w:sz w:val="20"/>
                <w:szCs w:val="20"/>
              </w:rPr>
            </w:pPr>
          </w:p>
        </w:tc>
      </w:tr>
      <w:tr w:rsidR="00963D53" w:rsidRPr="003D290F" w14:paraId="1DAFD827" w14:textId="77777777" w:rsidTr="00AE076E">
        <w:trPr>
          <w:trHeight w:val="528"/>
        </w:trPr>
        <w:tc>
          <w:tcPr>
            <w:tcW w:w="792" w:type="pct"/>
            <w:tcBorders>
              <w:top w:val="nil"/>
              <w:bottom w:val="nil"/>
            </w:tcBorders>
            <w:shd w:val="clear" w:color="auto" w:fill="E0E8F2" w:themeFill="background2"/>
          </w:tcPr>
          <w:p w14:paraId="55C9F0D0" w14:textId="77777777" w:rsidR="00963D53" w:rsidRPr="003D290F" w:rsidRDefault="00963D53" w:rsidP="0048453F">
            <w:pPr>
              <w:rPr>
                <w:rFonts w:eastAsia="Times New Roman" w:cs="Segoe UI"/>
                <w:b/>
                <w:sz w:val="20"/>
                <w:szCs w:val="20"/>
              </w:rPr>
            </w:pPr>
          </w:p>
        </w:tc>
        <w:tc>
          <w:tcPr>
            <w:tcW w:w="527" w:type="pct"/>
            <w:vMerge/>
            <w:tcBorders>
              <w:bottom w:val="single" w:sz="4" w:space="0" w:color="FFFFFF" w:themeColor="background1"/>
            </w:tcBorders>
            <w:shd w:val="clear" w:color="auto" w:fill="E0E8F2" w:themeFill="background2"/>
          </w:tcPr>
          <w:p w14:paraId="3F285014" w14:textId="77777777" w:rsidR="00963D53" w:rsidRPr="003D290F" w:rsidRDefault="00963D53" w:rsidP="00346413">
            <w:pPr>
              <w:rPr>
                <w:rFonts w:eastAsia="Times New Roman" w:cs="Segoe UI"/>
                <w:b/>
                <w:sz w:val="20"/>
                <w:szCs w:val="20"/>
              </w:rPr>
            </w:pPr>
          </w:p>
        </w:tc>
        <w:tc>
          <w:tcPr>
            <w:tcW w:w="2086" w:type="pct"/>
            <w:tcBorders>
              <w:bottom w:val="single" w:sz="4" w:space="0" w:color="FFFFFF" w:themeColor="background1"/>
            </w:tcBorders>
            <w:shd w:val="clear" w:color="auto" w:fill="auto"/>
          </w:tcPr>
          <w:p w14:paraId="0894D40E" w14:textId="77777777" w:rsidR="00963D53" w:rsidRPr="003D290F" w:rsidRDefault="00963D53" w:rsidP="0048453F">
            <w:pPr>
              <w:rPr>
                <w:rFonts w:eastAsia="Times New Roman" w:cs="Segoe UI"/>
                <w:b/>
                <w:sz w:val="20"/>
                <w:szCs w:val="20"/>
              </w:rPr>
            </w:pPr>
            <w:r w:rsidRPr="003D290F">
              <w:rPr>
                <w:rFonts w:eastAsia="Times New Roman" w:cs="Segoe UI"/>
                <w:sz w:val="20"/>
                <w:szCs w:val="20"/>
              </w:rPr>
              <w:t xml:space="preserve">Administrative costs of participating in the </w:t>
            </w:r>
            <w:r w:rsidR="00F6294A" w:rsidRPr="003D290F">
              <w:rPr>
                <w:rFonts w:eastAsia="Times New Roman" w:cs="Segoe UI"/>
                <w:sz w:val="20"/>
                <w:szCs w:val="20"/>
              </w:rPr>
              <w:t>plan</w:t>
            </w:r>
            <w:r w:rsidRPr="003D290F">
              <w:rPr>
                <w:rFonts w:eastAsia="Times New Roman" w:cs="Segoe UI"/>
                <w:sz w:val="20"/>
                <w:szCs w:val="20"/>
              </w:rPr>
              <w:t>.</w:t>
            </w:r>
          </w:p>
        </w:tc>
        <w:tc>
          <w:tcPr>
            <w:tcW w:w="696" w:type="pct"/>
            <w:tcBorders>
              <w:bottom w:val="single" w:sz="4" w:space="0" w:color="FFFFFF" w:themeColor="background1"/>
            </w:tcBorders>
            <w:shd w:val="clear" w:color="auto" w:fill="auto"/>
            <w:vAlign w:val="center"/>
          </w:tcPr>
          <w:p w14:paraId="5097C6D2" w14:textId="77777777" w:rsidR="00963D53" w:rsidRPr="003D290F" w:rsidRDefault="00963D53" w:rsidP="0048453F">
            <w:pPr>
              <w:jc w:val="center"/>
              <w:rPr>
                <w:rFonts w:eastAsia="Times New Roman" w:cs="Segoe UI"/>
                <w:b/>
                <w:sz w:val="20"/>
                <w:szCs w:val="20"/>
              </w:rPr>
            </w:pPr>
            <w:r w:rsidRPr="003D290F">
              <w:rPr>
                <w:rFonts w:eastAsia="Times New Roman" w:cs="Segoe UI"/>
                <w:sz w:val="30"/>
                <w:szCs w:val="30"/>
              </w:rPr>
              <w:sym w:font="Wingdings" w:char="F0FE"/>
            </w:r>
          </w:p>
        </w:tc>
        <w:tc>
          <w:tcPr>
            <w:tcW w:w="899" w:type="pct"/>
            <w:tcBorders>
              <w:bottom w:val="single" w:sz="4" w:space="0" w:color="FFFFFF" w:themeColor="background1"/>
            </w:tcBorders>
            <w:shd w:val="clear" w:color="auto" w:fill="auto"/>
            <w:vAlign w:val="center"/>
          </w:tcPr>
          <w:p w14:paraId="69B346CB" w14:textId="77777777" w:rsidR="00963D53" w:rsidRPr="003D290F" w:rsidRDefault="00963D53" w:rsidP="0048453F">
            <w:pPr>
              <w:jc w:val="center"/>
              <w:rPr>
                <w:rFonts w:eastAsia="Times New Roman" w:cs="Segoe UI"/>
                <w:b/>
                <w:sz w:val="20"/>
                <w:szCs w:val="20"/>
              </w:rPr>
            </w:pPr>
          </w:p>
        </w:tc>
      </w:tr>
      <w:tr w:rsidR="0048453F" w:rsidRPr="003D290F" w14:paraId="39F4775D" w14:textId="77777777" w:rsidTr="00AE076E">
        <w:tc>
          <w:tcPr>
            <w:tcW w:w="792" w:type="pct"/>
            <w:tcBorders>
              <w:top w:val="nil"/>
              <w:bottom w:val="single" w:sz="8" w:space="0" w:color="1B375C" w:themeColor="accent1"/>
            </w:tcBorders>
            <w:shd w:val="clear" w:color="auto" w:fill="E0E8F2" w:themeFill="background2"/>
          </w:tcPr>
          <w:p w14:paraId="7E04140D" w14:textId="77777777" w:rsidR="0048453F" w:rsidRPr="003D290F" w:rsidRDefault="0048453F" w:rsidP="0048453F">
            <w:pPr>
              <w:rPr>
                <w:rFonts w:eastAsia="Times New Roman" w:cs="Segoe UI"/>
                <w:b/>
                <w:sz w:val="20"/>
                <w:szCs w:val="20"/>
              </w:rPr>
            </w:pPr>
          </w:p>
        </w:tc>
        <w:tc>
          <w:tcPr>
            <w:tcW w:w="527" w:type="pct"/>
            <w:tcBorders>
              <w:top w:val="single" w:sz="4" w:space="0" w:color="FFFFFF" w:themeColor="background1"/>
              <w:bottom w:val="single" w:sz="8" w:space="0" w:color="1B375C" w:themeColor="accent1"/>
            </w:tcBorders>
            <w:shd w:val="clear" w:color="auto" w:fill="E0E8F2" w:themeFill="background2"/>
          </w:tcPr>
          <w:p w14:paraId="7D82264A" w14:textId="77777777" w:rsidR="0048453F" w:rsidRPr="003D290F" w:rsidRDefault="0048453F" w:rsidP="00346413">
            <w:pPr>
              <w:rPr>
                <w:rFonts w:eastAsia="Times New Roman" w:cs="Segoe UI"/>
                <w:b/>
                <w:sz w:val="20"/>
                <w:szCs w:val="20"/>
              </w:rPr>
            </w:pPr>
            <w:r w:rsidRPr="003D290F">
              <w:rPr>
                <w:rFonts w:eastAsia="Times New Roman" w:cs="Segoe UI"/>
                <w:sz w:val="20"/>
                <w:szCs w:val="20"/>
              </w:rPr>
              <w:t>Benefits</w:t>
            </w:r>
          </w:p>
        </w:tc>
        <w:tc>
          <w:tcPr>
            <w:tcW w:w="2086" w:type="pct"/>
            <w:tcBorders>
              <w:bottom w:val="single" w:sz="8" w:space="0" w:color="1B375C" w:themeColor="accent1"/>
            </w:tcBorders>
            <w:shd w:val="clear" w:color="auto" w:fill="E0E8F2" w:themeFill="background2"/>
          </w:tcPr>
          <w:p w14:paraId="0503D08F" w14:textId="77777777" w:rsidR="0048453F" w:rsidRPr="003D290F" w:rsidRDefault="0048453F" w:rsidP="0048453F">
            <w:pPr>
              <w:rPr>
                <w:rFonts w:eastAsia="Times New Roman" w:cs="Segoe UI"/>
                <w:b/>
                <w:sz w:val="20"/>
                <w:szCs w:val="20"/>
              </w:rPr>
            </w:pPr>
            <w:r w:rsidRPr="003D290F">
              <w:rPr>
                <w:sz w:val="20"/>
              </w:rPr>
              <w:t>Lower search costs to fill vacancies.</w:t>
            </w:r>
          </w:p>
        </w:tc>
        <w:tc>
          <w:tcPr>
            <w:tcW w:w="696" w:type="pct"/>
            <w:tcBorders>
              <w:bottom w:val="single" w:sz="8" w:space="0" w:color="1B375C" w:themeColor="accent1"/>
            </w:tcBorders>
            <w:shd w:val="clear" w:color="auto" w:fill="E0E8F2" w:themeFill="background2"/>
            <w:vAlign w:val="center"/>
          </w:tcPr>
          <w:p w14:paraId="7E64B22C" w14:textId="77777777" w:rsidR="0048453F" w:rsidRPr="003D290F" w:rsidRDefault="0048453F" w:rsidP="0048453F">
            <w:pPr>
              <w:jc w:val="center"/>
              <w:rPr>
                <w:rFonts w:eastAsia="Times New Roman" w:cs="Segoe UI"/>
                <w:b/>
                <w:sz w:val="20"/>
                <w:szCs w:val="20"/>
              </w:rPr>
            </w:pPr>
          </w:p>
        </w:tc>
        <w:tc>
          <w:tcPr>
            <w:tcW w:w="899" w:type="pct"/>
            <w:tcBorders>
              <w:bottom w:val="single" w:sz="8" w:space="0" w:color="1B375C" w:themeColor="accent1"/>
            </w:tcBorders>
            <w:shd w:val="clear" w:color="auto" w:fill="E0E8F2" w:themeFill="background2"/>
            <w:vAlign w:val="center"/>
          </w:tcPr>
          <w:p w14:paraId="781432F9" w14:textId="77777777" w:rsidR="0048453F" w:rsidRPr="003D290F" w:rsidRDefault="0048453F" w:rsidP="0048453F">
            <w:pPr>
              <w:jc w:val="center"/>
              <w:rPr>
                <w:rFonts w:eastAsia="Times New Roman" w:cs="Segoe UI"/>
                <w:b/>
                <w:sz w:val="20"/>
                <w:szCs w:val="20"/>
              </w:rPr>
            </w:pPr>
            <w:r w:rsidRPr="003D290F">
              <w:rPr>
                <w:rFonts w:eastAsia="Times New Roman" w:cs="Segoe UI"/>
                <w:sz w:val="30"/>
                <w:szCs w:val="30"/>
              </w:rPr>
              <w:sym w:font="Wingdings" w:char="F0FE"/>
            </w:r>
          </w:p>
        </w:tc>
      </w:tr>
      <w:tr w:rsidR="0048453F" w:rsidRPr="003D290F" w14:paraId="05972F45" w14:textId="77777777" w:rsidTr="00AE076E">
        <w:tc>
          <w:tcPr>
            <w:tcW w:w="792" w:type="pct"/>
            <w:tcBorders>
              <w:top w:val="single" w:sz="8" w:space="0" w:color="1B375C" w:themeColor="accent1"/>
              <w:bottom w:val="nil"/>
            </w:tcBorders>
            <w:shd w:val="clear" w:color="auto" w:fill="E0E8F2" w:themeFill="background2"/>
          </w:tcPr>
          <w:p w14:paraId="7293FCD4" w14:textId="77777777" w:rsidR="0048453F" w:rsidRPr="003D290F" w:rsidRDefault="0048453F" w:rsidP="0048453F">
            <w:pPr>
              <w:rPr>
                <w:rFonts w:eastAsia="Times New Roman" w:cs="Segoe UI"/>
                <w:b/>
                <w:sz w:val="20"/>
                <w:szCs w:val="20"/>
              </w:rPr>
            </w:pPr>
            <w:r w:rsidRPr="003D290F">
              <w:rPr>
                <w:rFonts w:eastAsia="Times New Roman" w:cs="Segoe UI"/>
                <w:b/>
                <w:sz w:val="20"/>
                <w:szCs w:val="20"/>
              </w:rPr>
              <w:t>Closing employer employees</w:t>
            </w:r>
          </w:p>
        </w:tc>
        <w:tc>
          <w:tcPr>
            <w:tcW w:w="527" w:type="pct"/>
            <w:tcBorders>
              <w:top w:val="single" w:sz="8" w:space="0" w:color="1B375C" w:themeColor="accent1"/>
              <w:bottom w:val="single" w:sz="4" w:space="0" w:color="FFFFFF" w:themeColor="background1"/>
            </w:tcBorders>
            <w:shd w:val="clear" w:color="auto" w:fill="E0E8F2" w:themeFill="background2"/>
          </w:tcPr>
          <w:p w14:paraId="32574D3F" w14:textId="77777777" w:rsidR="0048453F" w:rsidRPr="003D290F" w:rsidRDefault="0048453F" w:rsidP="00346413">
            <w:pPr>
              <w:tabs>
                <w:tab w:val="left" w:pos="1340"/>
              </w:tabs>
              <w:rPr>
                <w:rFonts w:eastAsia="Times New Roman" w:cs="Segoe UI"/>
                <w:b/>
                <w:sz w:val="20"/>
                <w:szCs w:val="20"/>
              </w:rPr>
            </w:pPr>
            <w:r w:rsidRPr="003D290F">
              <w:rPr>
                <w:rFonts w:eastAsia="Times New Roman" w:cs="Segoe UI"/>
                <w:sz w:val="20"/>
                <w:szCs w:val="20"/>
              </w:rPr>
              <w:t>Costs</w:t>
            </w:r>
          </w:p>
        </w:tc>
        <w:tc>
          <w:tcPr>
            <w:tcW w:w="2086" w:type="pct"/>
            <w:tcBorders>
              <w:top w:val="single" w:sz="8" w:space="0" w:color="1B375C" w:themeColor="accent1"/>
            </w:tcBorders>
            <w:shd w:val="clear" w:color="auto" w:fill="auto"/>
          </w:tcPr>
          <w:p w14:paraId="5A3B4A05" w14:textId="77777777" w:rsidR="0048453F" w:rsidRPr="003D290F" w:rsidRDefault="0048453F" w:rsidP="0048453F">
            <w:pPr>
              <w:rPr>
                <w:rFonts w:eastAsia="Times New Roman" w:cs="Segoe UI"/>
                <w:b/>
                <w:sz w:val="20"/>
                <w:szCs w:val="20"/>
              </w:rPr>
            </w:pPr>
            <w:r w:rsidRPr="003D290F">
              <w:rPr>
                <w:rFonts w:eastAsia="Times New Roman" w:cs="Segoe UI"/>
                <w:sz w:val="20"/>
                <w:szCs w:val="20"/>
              </w:rPr>
              <w:t>Employees that would have experienced long-term unemployment under status quo forfeit associated income support payments.</w:t>
            </w:r>
          </w:p>
        </w:tc>
        <w:tc>
          <w:tcPr>
            <w:tcW w:w="696" w:type="pct"/>
            <w:tcBorders>
              <w:top w:val="single" w:sz="8" w:space="0" w:color="1B375C" w:themeColor="accent1"/>
            </w:tcBorders>
            <w:shd w:val="clear" w:color="auto" w:fill="auto"/>
            <w:vAlign w:val="center"/>
          </w:tcPr>
          <w:p w14:paraId="2F937D61" w14:textId="77777777" w:rsidR="0048453F" w:rsidRPr="003D290F" w:rsidRDefault="0048453F" w:rsidP="0048453F">
            <w:pPr>
              <w:jc w:val="center"/>
              <w:rPr>
                <w:rFonts w:eastAsia="Times New Roman" w:cs="Segoe UI"/>
                <w:b/>
                <w:sz w:val="20"/>
                <w:szCs w:val="20"/>
              </w:rPr>
            </w:pPr>
            <w:r w:rsidRPr="003D290F">
              <w:rPr>
                <w:rFonts w:eastAsia="Times New Roman" w:cs="Segoe UI"/>
                <w:sz w:val="30"/>
                <w:szCs w:val="30"/>
              </w:rPr>
              <w:sym w:font="Wingdings" w:char="F0FE"/>
            </w:r>
          </w:p>
        </w:tc>
        <w:tc>
          <w:tcPr>
            <w:tcW w:w="899" w:type="pct"/>
            <w:tcBorders>
              <w:top w:val="single" w:sz="8" w:space="0" w:color="1B375C" w:themeColor="accent1"/>
            </w:tcBorders>
            <w:shd w:val="clear" w:color="auto" w:fill="auto"/>
            <w:vAlign w:val="center"/>
          </w:tcPr>
          <w:p w14:paraId="483DCABA" w14:textId="77777777" w:rsidR="0048453F" w:rsidRPr="003D290F" w:rsidRDefault="0048453F" w:rsidP="0048453F">
            <w:pPr>
              <w:jc w:val="center"/>
              <w:rPr>
                <w:rFonts w:eastAsia="Times New Roman" w:cs="Segoe UI"/>
                <w:b/>
                <w:sz w:val="20"/>
                <w:szCs w:val="20"/>
              </w:rPr>
            </w:pPr>
          </w:p>
        </w:tc>
      </w:tr>
      <w:tr w:rsidR="006E3A71" w:rsidRPr="003D290F" w14:paraId="3E2B3831" w14:textId="77777777" w:rsidTr="005C1EDF">
        <w:tc>
          <w:tcPr>
            <w:tcW w:w="792" w:type="pct"/>
            <w:tcBorders>
              <w:top w:val="nil"/>
              <w:bottom w:val="nil"/>
            </w:tcBorders>
            <w:shd w:val="clear" w:color="auto" w:fill="E0E8F2" w:themeFill="background2"/>
          </w:tcPr>
          <w:p w14:paraId="13FD1A8C" w14:textId="77777777" w:rsidR="006E3A71" w:rsidRPr="003D290F" w:rsidRDefault="006E3A71" w:rsidP="0048453F">
            <w:pPr>
              <w:rPr>
                <w:rFonts w:eastAsia="Times New Roman" w:cs="Segoe UI"/>
                <w:b/>
                <w:sz w:val="20"/>
                <w:szCs w:val="20"/>
              </w:rPr>
            </w:pPr>
          </w:p>
        </w:tc>
        <w:tc>
          <w:tcPr>
            <w:tcW w:w="527" w:type="pct"/>
            <w:vMerge w:val="restart"/>
            <w:shd w:val="clear" w:color="auto" w:fill="E0E8F2" w:themeFill="background2"/>
          </w:tcPr>
          <w:p w14:paraId="6FF03457" w14:textId="77777777" w:rsidR="006E3A71" w:rsidRPr="003D290F" w:rsidRDefault="006E3A71" w:rsidP="00346413">
            <w:pPr>
              <w:rPr>
                <w:rFonts w:eastAsia="Times New Roman" w:cs="Segoe UI"/>
                <w:b/>
                <w:sz w:val="20"/>
                <w:szCs w:val="20"/>
              </w:rPr>
            </w:pPr>
            <w:r w:rsidRPr="003D290F">
              <w:rPr>
                <w:rFonts w:eastAsia="Times New Roman" w:cs="Segoe UI"/>
                <w:sz w:val="20"/>
                <w:szCs w:val="20"/>
              </w:rPr>
              <w:t>Benefits</w:t>
            </w:r>
          </w:p>
        </w:tc>
        <w:tc>
          <w:tcPr>
            <w:tcW w:w="2086" w:type="pct"/>
            <w:tcBorders>
              <w:bottom w:val="nil"/>
            </w:tcBorders>
            <w:shd w:val="clear" w:color="auto" w:fill="E0E8F2" w:themeFill="background2"/>
          </w:tcPr>
          <w:p w14:paraId="6D14D262" w14:textId="77777777" w:rsidR="006E3A71" w:rsidRPr="003D290F" w:rsidRDefault="006E3A71" w:rsidP="00B742E8">
            <w:pPr>
              <w:rPr>
                <w:rFonts w:eastAsia="Times New Roman" w:cs="Segoe UI"/>
                <w:b/>
                <w:sz w:val="20"/>
                <w:szCs w:val="20"/>
              </w:rPr>
            </w:pPr>
            <w:r w:rsidRPr="003D290F">
              <w:rPr>
                <w:rFonts w:eastAsia="Times New Roman" w:cs="Segoe UI"/>
                <w:sz w:val="20"/>
                <w:szCs w:val="20"/>
              </w:rPr>
              <w:t>More affected employees secure alternate employment than the status quo, maintaining ongoing income.</w:t>
            </w:r>
          </w:p>
        </w:tc>
        <w:tc>
          <w:tcPr>
            <w:tcW w:w="696" w:type="pct"/>
            <w:tcBorders>
              <w:bottom w:val="nil"/>
            </w:tcBorders>
            <w:shd w:val="clear" w:color="auto" w:fill="E0E8F2" w:themeFill="background2"/>
            <w:vAlign w:val="center"/>
          </w:tcPr>
          <w:p w14:paraId="52D7DF47" w14:textId="77777777" w:rsidR="006E3A71" w:rsidRPr="003D290F" w:rsidRDefault="006E3A71" w:rsidP="0048453F">
            <w:pPr>
              <w:jc w:val="center"/>
              <w:rPr>
                <w:rFonts w:eastAsia="Times New Roman" w:cs="Segoe UI"/>
                <w:b/>
                <w:sz w:val="20"/>
                <w:szCs w:val="20"/>
              </w:rPr>
            </w:pPr>
            <w:r w:rsidRPr="003D290F">
              <w:rPr>
                <w:rFonts w:eastAsia="Times New Roman" w:cs="Segoe UI"/>
                <w:sz w:val="30"/>
                <w:szCs w:val="30"/>
              </w:rPr>
              <w:sym w:font="Wingdings" w:char="F0FE"/>
            </w:r>
          </w:p>
        </w:tc>
        <w:tc>
          <w:tcPr>
            <w:tcW w:w="900" w:type="pct"/>
            <w:tcBorders>
              <w:bottom w:val="nil"/>
            </w:tcBorders>
            <w:shd w:val="clear" w:color="auto" w:fill="E0E8F2" w:themeFill="background2"/>
            <w:vAlign w:val="center"/>
          </w:tcPr>
          <w:p w14:paraId="3E9D935D" w14:textId="77777777" w:rsidR="006E3A71" w:rsidRPr="003D290F" w:rsidRDefault="006E3A71" w:rsidP="0048453F">
            <w:pPr>
              <w:jc w:val="center"/>
              <w:rPr>
                <w:rFonts w:eastAsia="Times New Roman" w:cs="Segoe UI"/>
                <w:b/>
                <w:sz w:val="20"/>
                <w:szCs w:val="20"/>
              </w:rPr>
            </w:pPr>
          </w:p>
        </w:tc>
      </w:tr>
      <w:tr w:rsidR="006E3A71" w:rsidRPr="003D290F" w14:paraId="1623015D" w14:textId="77777777" w:rsidTr="005C1EDF">
        <w:tc>
          <w:tcPr>
            <w:tcW w:w="792" w:type="pct"/>
            <w:vMerge w:val="restart"/>
            <w:tcBorders>
              <w:top w:val="nil"/>
            </w:tcBorders>
            <w:shd w:val="clear" w:color="auto" w:fill="E0E8F2" w:themeFill="background2"/>
          </w:tcPr>
          <w:p w14:paraId="1B178EBD" w14:textId="77777777" w:rsidR="006E3A71" w:rsidRPr="003D290F" w:rsidRDefault="006E3A71" w:rsidP="0048453F">
            <w:pPr>
              <w:rPr>
                <w:rFonts w:eastAsia="Times New Roman" w:cs="Segoe UI"/>
                <w:b/>
                <w:sz w:val="20"/>
                <w:szCs w:val="20"/>
              </w:rPr>
            </w:pPr>
          </w:p>
        </w:tc>
        <w:tc>
          <w:tcPr>
            <w:tcW w:w="527" w:type="pct"/>
            <w:vMerge/>
            <w:tcBorders>
              <w:right w:val="nil"/>
            </w:tcBorders>
            <w:shd w:val="clear" w:color="auto" w:fill="E0E8F2" w:themeFill="background2"/>
          </w:tcPr>
          <w:p w14:paraId="71CBA174" w14:textId="77777777" w:rsidR="006E3A71" w:rsidRPr="003D290F" w:rsidRDefault="006E3A71" w:rsidP="00346413">
            <w:pPr>
              <w:tabs>
                <w:tab w:val="left" w:pos="1340"/>
              </w:tabs>
              <w:rPr>
                <w:rFonts w:eastAsia="Times New Roman" w:cs="Segoe UI"/>
                <w:b/>
                <w:sz w:val="20"/>
                <w:szCs w:val="20"/>
              </w:rPr>
            </w:pPr>
          </w:p>
        </w:tc>
        <w:tc>
          <w:tcPr>
            <w:tcW w:w="2086" w:type="pct"/>
            <w:tcBorders>
              <w:top w:val="nil"/>
              <w:left w:val="nil"/>
              <w:bottom w:val="nil"/>
              <w:right w:val="nil"/>
            </w:tcBorders>
            <w:shd w:val="clear" w:color="auto" w:fill="auto"/>
          </w:tcPr>
          <w:p w14:paraId="2BFDD335" w14:textId="77777777" w:rsidR="006E3A71" w:rsidRPr="003D290F" w:rsidRDefault="006E3A71" w:rsidP="0048453F">
            <w:pPr>
              <w:rPr>
                <w:rFonts w:eastAsia="Times New Roman" w:cs="Segoe UI"/>
                <w:b/>
                <w:sz w:val="20"/>
                <w:szCs w:val="20"/>
              </w:rPr>
            </w:pPr>
            <w:r w:rsidRPr="003D290F">
              <w:rPr>
                <w:rFonts w:eastAsia="Times New Roman" w:cs="Segoe UI"/>
                <w:sz w:val="20"/>
                <w:szCs w:val="20"/>
              </w:rPr>
              <w:t>Ongoing employment for closing employer employees that participate in the plan will maintain current health, welfare, and social outcomes.</w:t>
            </w:r>
          </w:p>
        </w:tc>
        <w:tc>
          <w:tcPr>
            <w:tcW w:w="696" w:type="pct"/>
            <w:tcBorders>
              <w:top w:val="nil"/>
              <w:left w:val="nil"/>
              <w:bottom w:val="nil"/>
              <w:right w:val="nil"/>
            </w:tcBorders>
            <w:shd w:val="clear" w:color="auto" w:fill="auto"/>
            <w:vAlign w:val="center"/>
          </w:tcPr>
          <w:p w14:paraId="439C59AB" w14:textId="77777777" w:rsidR="006E3A71" w:rsidRPr="003D290F" w:rsidRDefault="006E3A71" w:rsidP="0048453F">
            <w:pPr>
              <w:jc w:val="center"/>
              <w:rPr>
                <w:rFonts w:eastAsia="Times New Roman" w:cs="Segoe UI"/>
                <w:b/>
                <w:sz w:val="20"/>
                <w:szCs w:val="20"/>
              </w:rPr>
            </w:pPr>
          </w:p>
        </w:tc>
        <w:tc>
          <w:tcPr>
            <w:tcW w:w="900" w:type="pct"/>
            <w:tcBorders>
              <w:top w:val="nil"/>
              <w:left w:val="nil"/>
              <w:bottom w:val="nil"/>
              <w:right w:val="nil"/>
            </w:tcBorders>
            <w:shd w:val="clear" w:color="auto" w:fill="auto"/>
            <w:vAlign w:val="center"/>
          </w:tcPr>
          <w:p w14:paraId="6028BE8D" w14:textId="77777777" w:rsidR="006E3A71" w:rsidRPr="003D290F" w:rsidRDefault="006E3A71" w:rsidP="0048453F">
            <w:pPr>
              <w:jc w:val="center"/>
              <w:rPr>
                <w:rFonts w:eastAsia="Times New Roman" w:cs="Segoe UI"/>
                <w:b/>
                <w:sz w:val="20"/>
                <w:szCs w:val="20"/>
              </w:rPr>
            </w:pPr>
            <w:r w:rsidRPr="003D290F">
              <w:rPr>
                <w:rFonts w:eastAsia="Times New Roman" w:cs="Segoe UI"/>
                <w:sz w:val="30"/>
                <w:szCs w:val="30"/>
              </w:rPr>
              <w:sym w:font="Wingdings" w:char="F0FE"/>
            </w:r>
          </w:p>
        </w:tc>
      </w:tr>
      <w:tr w:rsidR="006E3A71" w:rsidRPr="003D290F" w14:paraId="7FBE236C" w14:textId="77777777" w:rsidTr="005C1EDF">
        <w:tc>
          <w:tcPr>
            <w:tcW w:w="792" w:type="pct"/>
            <w:vMerge/>
            <w:tcBorders>
              <w:bottom w:val="single" w:sz="8" w:space="0" w:color="1B375C" w:themeColor="accent1"/>
            </w:tcBorders>
            <w:shd w:val="clear" w:color="auto" w:fill="E0E8F2" w:themeFill="background2"/>
          </w:tcPr>
          <w:p w14:paraId="57F813F7" w14:textId="77777777" w:rsidR="006E3A71" w:rsidRPr="003D290F" w:rsidRDefault="006E3A71" w:rsidP="006E3A71">
            <w:pPr>
              <w:rPr>
                <w:rFonts w:eastAsia="Times New Roman" w:cs="Segoe UI"/>
                <w:b/>
                <w:sz w:val="20"/>
                <w:szCs w:val="20"/>
              </w:rPr>
            </w:pPr>
          </w:p>
        </w:tc>
        <w:tc>
          <w:tcPr>
            <w:tcW w:w="527" w:type="pct"/>
            <w:vMerge/>
            <w:tcBorders>
              <w:bottom w:val="single" w:sz="8" w:space="0" w:color="1B375C" w:themeColor="accent1"/>
            </w:tcBorders>
            <w:shd w:val="clear" w:color="auto" w:fill="E0E8F2" w:themeFill="background2"/>
          </w:tcPr>
          <w:p w14:paraId="6322D9FF" w14:textId="77777777" w:rsidR="006E3A71" w:rsidRPr="003D290F" w:rsidRDefault="006E3A71" w:rsidP="006E3A71">
            <w:pPr>
              <w:tabs>
                <w:tab w:val="left" w:pos="1340"/>
              </w:tabs>
              <w:rPr>
                <w:rFonts w:eastAsia="Times New Roman" w:cs="Segoe UI"/>
                <w:b/>
                <w:sz w:val="20"/>
                <w:szCs w:val="20"/>
              </w:rPr>
            </w:pPr>
          </w:p>
        </w:tc>
        <w:tc>
          <w:tcPr>
            <w:tcW w:w="2086" w:type="pct"/>
            <w:tcBorders>
              <w:top w:val="nil"/>
              <w:bottom w:val="single" w:sz="8" w:space="0" w:color="1B375C" w:themeColor="accent1"/>
            </w:tcBorders>
            <w:shd w:val="clear" w:color="auto" w:fill="E0E8F2" w:themeFill="background2"/>
          </w:tcPr>
          <w:p w14:paraId="4B1201B9" w14:textId="77777777" w:rsidR="006E3A71" w:rsidRPr="003D290F" w:rsidRDefault="006E3A71">
            <w:pPr>
              <w:rPr>
                <w:rFonts w:eastAsia="Times New Roman" w:cs="Segoe UI"/>
                <w:sz w:val="20"/>
                <w:szCs w:val="20"/>
              </w:rPr>
            </w:pPr>
            <w:r>
              <w:rPr>
                <w:rFonts w:eastAsia="Times New Roman" w:cs="Segoe UI"/>
                <w:sz w:val="20"/>
                <w:szCs w:val="20"/>
              </w:rPr>
              <w:t>Benefit of o</w:t>
            </w:r>
            <w:r w:rsidRPr="003D290F">
              <w:rPr>
                <w:rFonts w:eastAsia="Times New Roman" w:cs="Segoe UI"/>
                <w:sz w:val="20"/>
                <w:szCs w:val="20"/>
              </w:rPr>
              <w:t>n-the-job training to address any skills gaps between incoming workers and vacancies.</w:t>
            </w:r>
          </w:p>
        </w:tc>
        <w:tc>
          <w:tcPr>
            <w:tcW w:w="696" w:type="pct"/>
            <w:tcBorders>
              <w:top w:val="nil"/>
              <w:bottom w:val="single" w:sz="8" w:space="0" w:color="1B375C" w:themeColor="accent1"/>
            </w:tcBorders>
            <w:shd w:val="clear" w:color="auto" w:fill="E0E8F2" w:themeFill="background2"/>
            <w:vAlign w:val="center"/>
          </w:tcPr>
          <w:p w14:paraId="0CD8FA3D" w14:textId="77777777" w:rsidR="006E3A71" w:rsidRPr="003D290F" w:rsidRDefault="00AE076E" w:rsidP="006E3A71">
            <w:pPr>
              <w:jc w:val="center"/>
              <w:rPr>
                <w:rFonts w:eastAsia="Times New Roman" w:cs="Segoe UI"/>
                <w:b/>
                <w:sz w:val="20"/>
                <w:szCs w:val="20"/>
              </w:rPr>
            </w:pPr>
            <w:r w:rsidRPr="003D290F">
              <w:rPr>
                <w:rFonts w:eastAsia="Times New Roman" w:cs="Segoe UI"/>
                <w:sz w:val="30"/>
                <w:szCs w:val="30"/>
              </w:rPr>
              <w:sym w:font="Wingdings" w:char="F0FE"/>
            </w:r>
          </w:p>
        </w:tc>
        <w:tc>
          <w:tcPr>
            <w:tcW w:w="900" w:type="pct"/>
            <w:tcBorders>
              <w:top w:val="nil"/>
              <w:bottom w:val="single" w:sz="8" w:space="0" w:color="1B375C" w:themeColor="accent1"/>
            </w:tcBorders>
            <w:shd w:val="clear" w:color="auto" w:fill="E0E8F2" w:themeFill="background2"/>
            <w:vAlign w:val="center"/>
          </w:tcPr>
          <w:p w14:paraId="7B04BC71" w14:textId="77777777" w:rsidR="006E3A71" w:rsidRPr="003D290F" w:rsidRDefault="006E3A71" w:rsidP="006E3A71">
            <w:pPr>
              <w:jc w:val="center"/>
              <w:rPr>
                <w:rFonts w:eastAsia="Times New Roman" w:cs="Segoe UI"/>
                <w:sz w:val="30"/>
                <w:szCs w:val="30"/>
              </w:rPr>
            </w:pPr>
          </w:p>
        </w:tc>
      </w:tr>
      <w:tr w:rsidR="00963D53" w:rsidRPr="003D290F" w14:paraId="35910AC1" w14:textId="77777777" w:rsidTr="005C1EDF">
        <w:tc>
          <w:tcPr>
            <w:tcW w:w="792" w:type="pct"/>
            <w:tcBorders>
              <w:top w:val="single" w:sz="8" w:space="0" w:color="1B375C" w:themeColor="accent1"/>
              <w:bottom w:val="nil"/>
            </w:tcBorders>
            <w:shd w:val="clear" w:color="auto" w:fill="E0E8F2" w:themeFill="background2"/>
          </w:tcPr>
          <w:p w14:paraId="3C61E77C" w14:textId="77777777" w:rsidR="00963D53" w:rsidRPr="003D290F" w:rsidRDefault="00963D53" w:rsidP="0048453F">
            <w:pPr>
              <w:rPr>
                <w:rFonts w:eastAsia="Times New Roman" w:cs="Segoe UI"/>
                <w:b/>
                <w:sz w:val="20"/>
                <w:szCs w:val="20"/>
              </w:rPr>
            </w:pPr>
            <w:r w:rsidRPr="003D290F">
              <w:rPr>
                <w:rFonts w:eastAsia="Times New Roman" w:cs="Segoe UI"/>
                <w:b/>
                <w:sz w:val="20"/>
                <w:szCs w:val="20"/>
              </w:rPr>
              <w:t>Receiving employer employees</w:t>
            </w:r>
          </w:p>
        </w:tc>
        <w:tc>
          <w:tcPr>
            <w:tcW w:w="527" w:type="pct"/>
            <w:vMerge w:val="restart"/>
            <w:tcBorders>
              <w:top w:val="single" w:sz="8" w:space="0" w:color="1B375C" w:themeColor="accent1"/>
            </w:tcBorders>
            <w:shd w:val="clear" w:color="auto" w:fill="E0E8F2" w:themeFill="background2"/>
          </w:tcPr>
          <w:p w14:paraId="12FA66A0" w14:textId="77777777" w:rsidR="00963D53" w:rsidRPr="003D290F" w:rsidRDefault="00963D53" w:rsidP="00346413">
            <w:pPr>
              <w:rPr>
                <w:rFonts w:eastAsia="Times New Roman" w:cs="Segoe UI"/>
                <w:sz w:val="20"/>
                <w:szCs w:val="20"/>
              </w:rPr>
            </w:pPr>
            <w:r w:rsidRPr="003D290F">
              <w:rPr>
                <w:rFonts w:eastAsia="Times New Roman" w:cs="Segoe UI"/>
                <w:sz w:val="20"/>
                <w:szCs w:val="20"/>
              </w:rPr>
              <w:t>Costs</w:t>
            </w:r>
          </w:p>
        </w:tc>
        <w:tc>
          <w:tcPr>
            <w:tcW w:w="2086" w:type="pct"/>
            <w:vMerge w:val="restart"/>
            <w:tcBorders>
              <w:top w:val="single" w:sz="8" w:space="0" w:color="1B375C" w:themeColor="accent1"/>
            </w:tcBorders>
            <w:shd w:val="clear" w:color="auto" w:fill="FFFFFF" w:themeFill="background1"/>
          </w:tcPr>
          <w:p w14:paraId="2B3FD527" w14:textId="77777777" w:rsidR="00963D53" w:rsidRPr="003D290F" w:rsidRDefault="00963D53" w:rsidP="00963D53">
            <w:pPr>
              <w:rPr>
                <w:rFonts w:eastAsia="Times New Roman" w:cs="Segoe UI"/>
                <w:b/>
                <w:sz w:val="20"/>
                <w:szCs w:val="20"/>
              </w:rPr>
            </w:pPr>
            <w:r w:rsidRPr="003D290F">
              <w:rPr>
                <w:sz w:val="20"/>
              </w:rPr>
              <w:t>Employees that take up early retirement forgo salary (and superannuation contributions) they would have otherwise received, depending on retirement assumptions.</w:t>
            </w:r>
          </w:p>
        </w:tc>
        <w:tc>
          <w:tcPr>
            <w:tcW w:w="696" w:type="pct"/>
            <w:vMerge w:val="restart"/>
            <w:tcBorders>
              <w:top w:val="single" w:sz="8" w:space="0" w:color="1B375C" w:themeColor="accent1"/>
            </w:tcBorders>
            <w:shd w:val="clear" w:color="auto" w:fill="FFFFFF" w:themeFill="background1"/>
            <w:vAlign w:val="center"/>
          </w:tcPr>
          <w:p w14:paraId="4AE10884" w14:textId="77777777" w:rsidR="00963D53" w:rsidRPr="003D290F" w:rsidRDefault="00963D53" w:rsidP="0048453F">
            <w:pPr>
              <w:jc w:val="center"/>
              <w:rPr>
                <w:rFonts w:eastAsia="Times New Roman" w:cs="Segoe UI"/>
                <w:b/>
                <w:sz w:val="20"/>
                <w:szCs w:val="20"/>
              </w:rPr>
            </w:pPr>
            <w:r w:rsidRPr="003D290F">
              <w:rPr>
                <w:rFonts w:eastAsia="Times New Roman" w:cs="Segoe UI"/>
                <w:sz w:val="30"/>
                <w:szCs w:val="30"/>
              </w:rPr>
              <w:sym w:font="Wingdings" w:char="F0FE"/>
            </w:r>
          </w:p>
        </w:tc>
        <w:tc>
          <w:tcPr>
            <w:tcW w:w="900" w:type="pct"/>
            <w:vMerge w:val="restart"/>
            <w:tcBorders>
              <w:top w:val="single" w:sz="8" w:space="0" w:color="1B375C" w:themeColor="accent1"/>
            </w:tcBorders>
            <w:shd w:val="clear" w:color="auto" w:fill="FFFFFF" w:themeFill="background1"/>
            <w:vAlign w:val="center"/>
          </w:tcPr>
          <w:p w14:paraId="36109781" w14:textId="77777777" w:rsidR="00963D53" w:rsidRPr="003D290F" w:rsidRDefault="00963D53" w:rsidP="0048453F">
            <w:pPr>
              <w:jc w:val="center"/>
              <w:rPr>
                <w:rFonts w:eastAsia="Times New Roman" w:cs="Segoe UI"/>
                <w:b/>
                <w:sz w:val="20"/>
                <w:szCs w:val="20"/>
              </w:rPr>
            </w:pPr>
          </w:p>
        </w:tc>
      </w:tr>
      <w:tr w:rsidR="00963D53" w:rsidRPr="003D290F" w14:paraId="7485BCFC" w14:textId="77777777" w:rsidTr="005C1EDF">
        <w:tc>
          <w:tcPr>
            <w:tcW w:w="792" w:type="pct"/>
            <w:tcBorders>
              <w:top w:val="nil"/>
              <w:bottom w:val="nil"/>
            </w:tcBorders>
            <w:shd w:val="clear" w:color="auto" w:fill="E0E8F2" w:themeFill="background2"/>
          </w:tcPr>
          <w:p w14:paraId="18564E41" w14:textId="77777777" w:rsidR="00963D53" w:rsidRPr="003D290F" w:rsidRDefault="00963D53" w:rsidP="0048453F">
            <w:pPr>
              <w:rPr>
                <w:rFonts w:eastAsia="Times New Roman" w:cs="Segoe UI"/>
                <w:b/>
                <w:sz w:val="20"/>
                <w:szCs w:val="20"/>
              </w:rPr>
            </w:pPr>
          </w:p>
        </w:tc>
        <w:tc>
          <w:tcPr>
            <w:tcW w:w="527" w:type="pct"/>
            <w:vMerge/>
            <w:shd w:val="clear" w:color="auto" w:fill="E0E8F2" w:themeFill="background2"/>
          </w:tcPr>
          <w:p w14:paraId="4204D9AC" w14:textId="77777777" w:rsidR="00963D53" w:rsidRPr="003D290F" w:rsidRDefault="00963D53" w:rsidP="00346413">
            <w:pPr>
              <w:tabs>
                <w:tab w:val="left" w:pos="1340"/>
              </w:tabs>
              <w:rPr>
                <w:rFonts w:eastAsia="Times New Roman" w:cs="Segoe UI"/>
                <w:b/>
                <w:sz w:val="20"/>
                <w:szCs w:val="20"/>
              </w:rPr>
            </w:pPr>
          </w:p>
        </w:tc>
        <w:tc>
          <w:tcPr>
            <w:tcW w:w="2086" w:type="pct"/>
            <w:vMerge/>
            <w:shd w:val="clear" w:color="auto" w:fill="FFFFFF" w:themeFill="background1"/>
          </w:tcPr>
          <w:p w14:paraId="4F1F6EF4" w14:textId="77777777" w:rsidR="00963D53" w:rsidRPr="003D290F" w:rsidRDefault="00963D53" w:rsidP="0048453F">
            <w:pPr>
              <w:rPr>
                <w:rFonts w:eastAsia="Times New Roman" w:cs="Segoe UI"/>
                <w:b/>
                <w:sz w:val="20"/>
                <w:szCs w:val="20"/>
              </w:rPr>
            </w:pPr>
          </w:p>
        </w:tc>
        <w:tc>
          <w:tcPr>
            <w:tcW w:w="696" w:type="pct"/>
            <w:vMerge/>
            <w:shd w:val="clear" w:color="auto" w:fill="FFFFFF" w:themeFill="background1"/>
            <w:vAlign w:val="center"/>
          </w:tcPr>
          <w:p w14:paraId="03F06DD2" w14:textId="77777777" w:rsidR="00963D53" w:rsidRPr="003D290F" w:rsidRDefault="00963D53" w:rsidP="0048453F">
            <w:pPr>
              <w:jc w:val="center"/>
              <w:rPr>
                <w:rFonts w:eastAsia="Times New Roman" w:cs="Segoe UI"/>
                <w:b/>
                <w:sz w:val="20"/>
                <w:szCs w:val="20"/>
              </w:rPr>
            </w:pPr>
          </w:p>
        </w:tc>
        <w:tc>
          <w:tcPr>
            <w:tcW w:w="900" w:type="pct"/>
            <w:vMerge/>
            <w:shd w:val="clear" w:color="auto" w:fill="FFFFFF" w:themeFill="background1"/>
            <w:vAlign w:val="center"/>
          </w:tcPr>
          <w:p w14:paraId="39B1C956" w14:textId="77777777" w:rsidR="00963D53" w:rsidRPr="003D290F" w:rsidRDefault="00963D53" w:rsidP="0048453F">
            <w:pPr>
              <w:jc w:val="center"/>
              <w:rPr>
                <w:rFonts w:eastAsia="Times New Roman" w:cs="Segoe UI"/>
                <w:b/>
                <w:sz w:val="20"/>
                <w:szCs w:val="20"/>
              </w:rPr>
            </w:pPr>
          </w:p>
        </w:tc>
      </w:tr>
      <w:tr w:rsidR="0048453F" w:rsidRPr="003D290F" w14:paraId="03C88477" w14:textId="77777777" w:rsidTr="005C1EDF">
        <w:tc>
          <w:tcPr>
            <w:tcW w:w="792" w:type="pct"/>
            <w:tcBorders>
              <w:top w:val="nil"/>
              <w:bottom w:val="single" w:sz="8" w:space="0" w:color="1B375C" w:themeColor="accent1"/>
            </w:tcBorders>
            <w:shd w:val="clear" w:color="auto" w:fill="E0E8F2" w:themeFill="background2"/>
          </w:tcPr>
          <w:p w14:paraId="49AFFA18" w14:textId="77777777" w:rsidR="0048453F" w:rsidRPr="003D290F" w:rsidRDefault="0048453F" w:rsidP="0048453F">
            <w:pPr>
              <w:rPr>
                <w:rFonts w:eastAsia="Times New Roman" w:cs="Segoe UI"/>
                <w:b/>
                <w:sz w:val="20"/>
                <w:szCs w:val="20"/>
              </w:rPr>
            </w:pPr>
          </w:p>
        </w:tc>
        <w:tc>
          <w:tcPr>
            <w:tcW w:w="527" w:type="pct"/>
            <w:tcBorders>
              <w:bottom w:val="single" w:sz="8" w:space="0" w:color="1B375C" w:themeColor="accent1"/>
            </w:tcBorders>
            <w:shd w:val="clear" w:color="auto" w:fill="E0E8F2" w:themeFill="background2"/>
          </w:tcPr>
          <w:p w14:paraId="7F1A4FF1" w14:textId="77777777" w:rsidR="0048453F" w:rsidRPr="003D290F" w:rsidRDefault="0048453F" w:rsidP="00346413">
            <w:pPr>
              <w:tabs>
                <w:tab w:val="left" w:pos="1340"/>
              </w:tabs>
              <w:rPr>
                <w:rFonts w:eastAsia="Times New Roman" w:cs="Segoe UI"/>
                <w:b/>
                <w:sz w:val="20"/>
                <w:szCs w:val="20"/>
              </w:rPr>
            </w:pPr>
            <w:r w:rsidRPr="003D290F">
              <w:rPr>
                <w:rFonts w:eastAsia="Times New Roman" w:cs="Segoe UI"/>
                <w:sz w:val="20"/>
                <w:szCs w:val="20"/>
              </w:rPr>
              <w:t>Benefits</w:t>
            </w:r>
          </w:p>
        </w:tc>
        <w:tc>
          <w:tcPr>
            <w:tcW w:w="2086" w:type="pct"/>
            <w:tcBorders>
              <w:bottom w:val="single" w:sz="8" w:space="0" w:color="1B375C" w:themeColor="accent1"/>
            </w:tcBorders>
            <w:shd w:val="clear" w:color="auto" w:fill="E0E8F2" w:themeFill="background2"/>
          </w:tcPr>
          <w:p w14:paraId="2F79DFF7" w14:textId="77777777" w:rsidR="0048453F" w:rsidRPr="003D290F" w:rsidRDefault="0048453F" w:rsidP="0048453F">
            <w:pPr>
              <w:rPr>
                <w:rFonts w:eastAsia="Times New Roman" w:cs="Segoe UI"/>
                <w:b/>
                <w:sz w:val="20"/>
                <w:szCs w:val="20"/>
              </w:rPr>
            </w:pPr>
            <w:r w:rsidRPr="003D290F">
              <w:rPr>
                <w:sz w:val="20"/>
              </w:rPr>
              <w:t xml:space="preserve">Employees that take up early retirement receive a one-off </w:t>
            </w:r>
            <w:r w:rsidR="00963D53" w:rsidRPr="003D290F">
              <w:rPr>
                <w:sz w:val="20"/>
              </w:rPr>
              <w:t xml:space="preserve">tax-favourable payment </w:t>
            </w:r>
            <w:r w:rsidRPr="003D290F">
              <w:rPr>
                <w:sz w:val="20"/>
              </w:rPr>
              <w:t>that would otherwise unavailable to them.</w:t>
            </w:r>
          </w:p>
        </w:tc>
        <w:tc>
          <w:tcPr>
            <w:tcW w:w="696" w:type="pct"/>
            <w:tcBorders>
              <w:bottom w:val="single" w:sz="8" w:space="0" w:color="1B375C" w:themeColor="accent1"/>
            </w:tcBorders>
            <w:shd w:val="clear" w:color="auto" w:fill="E0E8F2" w:themeFill="background2"/>
            <w:vAlign w:val="center"/>
          </w:tcPr>
          <w:p w14:paraId="7191D3AE" w14:textId="77777777" w:rsidR="0048453F" w:rsidRPr="003D290F" w:rsidRDefault="0048453F" w:rsidP="0048453F">
            <w:pPr>
              <w:jc w:val="center"/>
              <w:rPr>
                <w:rFonts w:eastAsia="Times New Roman" w:cs="Segoe UI"/>
                <w:b/>
                <w:sz w:val="20"/>
                <w:szCs w:val="20"/>
              </w:rPr>
            </w:pPr>
            <w:r w:rsidRPr="003D290F">
              <w:rPr>
                <w:rFonts w:eastAsia="Times New Roman" w:cs="Segoe UI"/>
                <w:sz w:val="30"/>
                <w:szCs w:val="30"/>
              </w:rPr>
              <w:sym w:font="Wingdings" w:char="F0FE"/>
            </w:r>
          </w:p>
        </w:tc>
        <w:tc>
          <w:tcPr>
            <w:tcW w:w="899" w:type="pct"/>
            <w:tcBorders>
              <w:bottom w:val="single" w:sz="8" w:space="0" w:color="1B375C" w:themeColor="accent1"/>
            </w:tcBorders>
            <w:shd w:val="clear" w:color="auto" w:fill="E0E8F2" w:themeFill="background2"/>
            <w:vAlign w:val="center"/>
          </w:tcPr>
          <w:p w14:paraId="0272A8F6" w14:textId="77777777" w:rsidR="0048453F" w:rsidRPr="003D290F" w:rsidRDefault="0048453F" w:rsidP="0048453F">
            <w:pPr>
              <w:jc w:val="center"/>
              <w:rPr>
                <w:rFonts w:eastAsia="Times New Roman" w:cs="Segoe UI"/>
                <w:b/>
                <w:sz w:val="20"/>
                <w:szCs w:val="20"/>
              </w:rPr>
            </w:pPr>
          </w:p>
        </w:tc>
      </w:tr>
      <w:tr w:rsidR="000B3156" w:rsidRPr="003D290F" w14:paraId="57DD4280" w14:textId="77777777" w:rsidTr="005C1EDF">
        <w:tc>
          <w:tcPr>
            <w:tcW w:w="792" w:type="pct"/>
            <w:tcBorders>
              <w:top w:val="single" w:sz="8" w:space="0" w:color="1B375C" w:themeColor="accent1"/>
              <w:bottom w:val="nil"/>
            </w:tcBorders>
            <w:shd w:val="clear" w:color="auto" w:fill="E0E8F2" w:themeFill="background2"/>
          </w:tcPr>
          <w:p w14:paraId="3E8E8B52" w14:textId="77777777" w:rsidR="000B3156" w:rsidRPr="003D290F" w:rsidRDefault="000B3156" w:rsidP="0048453F">
            <w:pPr>
              <w:rPr>
                <w:rFonts w:eastAsia="Times New Roman" w:cs="Segoe UI"/>
                <w:b/>
                <w:sz w:val="20"/>
                <w:szCs w:val="20"/>
              </w:rPr>
            </w:pPr>
            <w:r w:rsidRPr="003D290F">
              <w:rPr>
                <w:rFonts w:eastAsia="Times New Roman" w:cs="Segoe UI"/>
                <w:b/>
                <w:sz w:val="20"/>
                <w:szCs w:val="20"/>
              </w:rPr>
              <w:t>Government</w:t>
            </w:r>
          </w:p>
        </w:tc>
        <w:tc>
          <w:tcPr>
            <w:tcW w:w="527" w:type="pct"/>
            <w:vMerge w:val="restart"/>
            <w:tcBorders>
              <w:top w:val="single" w:sz="8" w:space="0" w:color="1B375C" w:themeColor="accent1"/>
            </w:tcBorders>
            <w:shd w:val="clear" w:color="auto" w:fill="E0E8F2" w:themeFill="background2"/>
          </w:tcPr>
          <w:p w14:paraId="7D839B33" w14:textId="77777777" w:rsidR="000B3156" w:rsidRPr="003D290F" w:rsidRDefault="000B3156" w:rsidP="00346413">
            <w:pPr>
              <w:rPr>
                <w:rFonts w:eastAsia="Times New Roman" w:cs="Segoe UI"/>
                <w:sz w:val="20"/>
                <w:szCs w:val="20"/>
              </w:rPr>
            </w:pPr>
            <w:r w:rsidRPr="003D290F">
              <w:rPr>
                <w:rFonts w:eastAsia="Times New Roman" w:cs="Segoe UI"/>
                <w:sz w:val="20"/>
                <w:szCs w:val="20"/>
              </w:rPr>
              <w:t>Costs</w:t>
            </w:r>
          </w:p>
        </w:tc>
        <w:tc>
          <w:tcPr>
            <w:tcW w:w="2086" w:type="pct"/>
            <w:tcBorders>
              <w:top w:val="single" w:sz="8" w:space="0" w:color="1B375C" w:themeColor="accent1"/>
            </w:tcBorders>
            <w:shd w:val="clear" w:color="auto" w:fill="FFFFFF" w:themeFill="background1"/>
          </w:tcPr>
          <w:p w14:paraId="3CE5DCF4" w14:textId="77777777" w:rsidR="000B3156" w:rsidRPr="003D290F" w:rsidRDefault="000B3156" w:rsidP="00B742E8">
            <w:pPr>
              <w:rPr>
                <w:rFonts w:eastAsia="Times New Roman" w:cs="Segoe UI"/>
                <w:b/>
                <w:sz w:val="20"/>
                <w:szCs w:val="20"/>
              </w:rPr>
            </w:pPr>
            <w:r w:rsidRPr="003D290F">
              <w:rPr>
                <w:rFonts w:eastAsia="Times New Roman" w:cs="Segoe UI"/>
                <w:sz w:val="20"/>
                <w:szCs w:val="20"/>
              </w:rPr>
              <w:t xml:space="preserve">Greater expenditure to subsidise early retirements. </w:t>
            </w:r>
          </w:p>
        </w:tc>
        <w:tc>
          <w:tcPr>
            <w:tcW w:w="696" w:type="pct"/>
            <w:tcBorders>
              <w:top w:val="single" w:sz="8" w:space="0" w:color="1B375C" w:themeColor="accent1"/>
            </w:tcBorders>
            <w:shd w:val="clear" w:color="auto" w:fill="FFFFFF" w:themeFill="background1"/>
            <w:vAlign w:val="center"/>
          </w:tcPr>
          <w:p w14:paraId="595A45FF" w14:textId="77777777" w:rsidR="000B3156" w:rsidRPr="003D290F" w:rsidRDefault="000B3156" w:rsidP="0048453F">
            <w:pPr>
              <w:jc w:val="center"/>
              <w:rPr>
                <w:rFonts w:eastAsia="Times New Roman" w:cs="Segoe UI"/>
                <w:b/>
                <w:sz w:val="20"/>
                <w:szCs w:val="20"/>
              </w:rPr>
            </w:pPr>
            <w:r w:rsidRPr="003D290F">
              <w:rPr>
                <w:rFonts w:eastAsia="Times New Roman" w:cs="Segoe UI"/>
                <w:sz w:val="30"/>
                <w:szCs w:val="30"/>
              </w:rPr>
              <w:sym w:font="Wingdings" w:char="F0FE"/>
            </w:r>
          </w:p>
        </w:tc>
        <w:tc>
          <w:tcPr>
            <w:tcW w:w="900" w:type="pct"/>
            <w:tcBorders>
              <w:top w:val="single" w:sz="8" w:space="0" w:color="1B375C" w:themeColor="accent1"/>
            </w:tcBorders>
            <w:shd w:val="clear" w:color="auto" w:fill="FFFFFF" w:themeFill="background1"/>
            <w:vAlign w:val="center"/>
          </w:tcPr>
          <w:p w14:paraId="773C1ACE" w14:textId="77777777" w:rsidR="000B3156" w:rsidRPr="003D290F" w:rsidRDefault="000B3156" w:rsidP="0048453F">
            <w:pPr>
              <w:jc w:val="center"/>
              <w:rPr>
                <w:rFonts w:eastAsia="Times New Roman" w:cs="Segoe UI"/>
                <w:b/>
                <w:sz w:val="20"/>
                <w:szCs w:val="20"/>
              </w:rPr>
            </w:pPr>
          </w:p>
        </w:tc>
      </w:tr>
      <w:tr w:rsidR="000B3156" w:rsidRPr="003D290F" w14:paraId="2726B73E" w14:textId="77777777" w:rsidTr="005C1EDF">
        <w:tc>
          <w:tcPr>
            <w:tcW w:w="792" w:type="pct"/>
            <w:tcBorders>
              <w:top w:val="nil"/>
              <w:bottom w:val="nil"/>
            </w:tcBorders>
            <w:shd w:val="clear" w:color="auto" w:fill="E0E8F2" w:themeFill="background2"/>
          </w:tcPr>
          <w:p w14:paraId="5E4D1778" w14:textId="77777777" w:rsidR="000B3156" w:rsidRPr="003D290F" w:rsidRDefault="000B3156" w:rsidP="0048453F">
            <w:pPr>
              <w:rPr>
                <w:rFonts w:eastAsia="Times New Roman" w:cs="Segoe UI"/>
                <w:b/>
                <w:sz w:val="20"/>
                <w:szCs w:val="20"/>
              </w:rPr>
            </w:pPr>
          </w:p>
        </w:tc>
        <w:tc>
          <w:tcPr>
            <w:tcW w:w="527" w:type="pct"/>
            <w:vMerge/>
            <w:shd w:val="clear" w:color="auto" w:fill="E0E8F2" w:themeFill="background2"/>
          </w:tcPr>
          <w:p w14:paraId="4E8A30CF" w14:textId="77777777" w:rsidR="000B3156" w:rsidRPr="003D290F" w:rsidRDefault="000B3156" w:rsidP="00346413">
            <w:pPr>
              <w:tabs>
                <w:tab w:val="left" w:pos="1340"/>
              </w:tabs>
              <w:rPr>
                <w:rFonts w:eastAsia="Times New Roman" w:cs="Segoe UI"/>
                <w:b/>
                <w:sz w:val="20"/>
                <w:szCs w:val="20"/>
              </w:rPr>
            </w:pPr>
          </w:p>
        </w:tc>
        <w:tc>
          <w:tcPr>
            <w:tcW w:w="2086" w:type="pct"/>
            <w:shd w:val="clear" w:color="auto" w:fill="E0E8F2" w:themeFill="background2"/>
          </w:tcPr>
          <w:p w14:paraId="267F435A" w14:textId="77777777" w:rsidR="000B3156" w:rsidRPr="003D290F" w:rsidRDefault="00B42CB3">
            <w:pPr>
              <w:rPr>
                <w:rFonts w:eastAsia="Times New Roman" w:cs="Segoe UI"/>
                <w:b/>
                <w:sz w:val="20"/>
                <w:szCs w:val="20"/>
              </w:rPr>
            </w:pPr>
            <w:r>
              <w:rPr>
                <w:rFonts w:eastAsia="Times New Roman" w:cs="Segoe UI"/>
                <w:sz w:val="20"/>
                <w:szCs w:val="20"/>
              </w:rPr>
              <w:t>C</w:t>
            </w:r>
            <w:r w:rsidR="000B3156" w:rsidRPr="003D290F">
              <w:rPr>
                <w:rFonts w:eastAsia="Times New Roman" w:cs="Segoe UI"/>
                <w:sz w:val="20"/>
                <w:szCs w:val="20"/>
              </w:rPr>
              <w:t>osts to develop, administer, communicate, and monitor the plan.</w:t>
            </w:r>
          </w:p>
        </w:tc>
        <w:tc>
          <w:tcPr>
            <w:tcW w:w="696" w:type="pct"/>
            <w:shd w:val="clear" w:color="auto" w:fill="E0E8F2" w:themeFill="background2"/>
            <w:vAlign w:val="center"/>
          </w:tcPr>
          <w:p w14:paraId="7B47987A" w14:textId="77777777" w:rsidR="000B3156" w:rsidRPr="003D290F" w:rsidRDefault="000B3156" w:rsidP="0048453F">
            <w:pPr>
              <w:jc w:val="center"/>
              <w:rPr>
                <w:rFonts w:eastAsia="Times New Roman" w:cs="Segoe UI"/>
                <w:b/>
                <w:sz w:val="20"/>
                <w:szCs w:val="20"/>
              </w:rPr>
            </w:pPr>
            <w:r w:rsidRPr="003D290F">
              <w:rPr>
                <w:rFonts w:eastAsia="Times New Roman" w:cs="Segoe UI"/>
                <w:sz w:val="30"/>
                <w:szCs w:val="30"/>
              </w:rPr>
              <w:sym w:font="Wingdings" w:char="F0FE"/>
            </w:r>
          </w:p>
        </w:tc>
        <w:tc>
          <w:tcPr>
            <w:tcW w:w="900" w:type="pct"/>
            <w:shd w:val="clear" w:color="auto" w:fill="E0E8F2" w:themeFill="background2"/>
            <w:vAlign w:val="center"/>
          </w:tcPr>
          <w:p w14:paraId="04B176C9" w14:textId="77777777" w:rsidR="000B3156" w:rsidRPr="003D290F" w:rsidRDefault="000B3156" w:rsidP="0048453F">
            <w:pPr>
              <w:jc w:val="center"/>
              <w:rPr>
                <w:rFonts w:eastAsia="Times New Roman" w:cs="Segoe UI"/>
                <w:b/>
                <w:sz w:val="20"/>
                <w:szCs w:val="20"/>
              </w:rPr>
            </w:pPr>
          </w:p>
        </w:tc>
      </w:tr>
      <w:tr w:rsidR="000B3156" w:rsidRPr="003D290F" w14:paraId="1948028D" w14:textId="77777777" w:rsidTr="005C1EDF">
        <w:tc>
          <w:tcPr>
            <w:tcW w:w="792" w:type="pct"/>
            <w:tcBorders>
              <w:top w:val="nil"/>
              <w:bottom w:val="nil"/>
            </w:tcBorders>
            <w:shd w:val="clear" w:color="auto" w:fill="E0E8F2" w:themeFill="background2"/>
          </w:tcPr>
          <w:p w14:paraId="13507E2C" w14:textId="77777777" w:rsidR="000B3156" w:rsidRPr="003D290F" w:rsidRDefault="000B3156" w:rsidP="000B3156">
            <w:pPr>
              <w:rPr>
                <w:rFonts w:eastAsia="Times New Roman" w:cs="Segoe UI"/>
                <w:b/>
                <w:sz w:val="20"/>
                <w:szCs w:val="20"/>
              </w:rPr>
            </w:pPr>
          </w:p>
        </w:tc>
        <w:tc>
          <w:tcPr>
            <w:tcW w:w="527" w:type="pct"/>
            <w:vMerge/>
            <w:tcBorders>
              <w:bottom w:val="single" w:sz="4" w:space="0" w:color="FFFFFF" w:themeColor="background1"/>
            </w:tcBorders>
            <w:shd w:val="clear" w:color="auto" w:fill="E0E8F2" w:themeFill="background2"/>
          </w:tcPr>
          <w:p w14:paraId="12051DC0" w14:textId="77777777" w:rsidR="000B3156" w:rsidRPr="003D290F" w:rsidRDefault="000B3156" w:rsidP="000B3156">
            <w:pPr>
              <w:tabs>
                <w:tab w:val="left" w:pos="1340"/>
              </w:tabs>
              <w:rPr>
                <w:rFonts w:eastAsia="Times New Roman" w:cs="Segoe UI"/>
                <w:b/>
                <w:sz w:val="20"/>
                <w:szCs w:val="20"/>
              </w:rPr>
            </w:pPr>
          </w:p>
        </w:tc>
        <w:tc>
          <w:tcPr>
            <w:tcW w:w="2086" w:type="pct"/>
            <w:shd w:val="clear" w:color="auto" w:fill="FFFFFF" w:themeFill="background1"/>
          </w:tcPr>
          <w:p w14:paraId="69531854" w14:textId="77777777" w:rsidR="000B3156" w:rsidRPr="003D290F" w:rsidRDefault="000B3156" w:rsidP="000B3156">
            <w:pPr>
              <w:rPr>
                <w:rFonts w:eastAsia="Times New Roman" w:cs="Segoe UI"/>
                <w:sz w:val="20"/>
                <w:szCs w:val="20"/>
              </w:rPr>
            </w:pPr>
            <w:r w:rsidRPr="003D290F">
              <w:rPr>
                <w:rFonts w:eastAsia="Times New Roman" w:cs="Segoe UI"/>
                <w:sz w:val="20"/>
                <w:szCs w:val="20"/>
              </w:rPr>
              <w:t>Less tax revenue from receiving employer workers who</w:t>
            </w:r>
            <w:r w:rsidRPr="003D290F">
              <w:t xml:space="preserve"> </w:t>
            </w:r>
            <w:r w:rsidRPr="003D290F">
              <w:rPr>
                <w:rFonts w:eastAsia="Times New Roman" w:cs="Segoe UI"/>
                <w:sz w:val="20"/>
                <w:szCs w:val="20"/>
              </w:rPr>
              <w:t>participate in a pooled redeployment plan and exit the labour force</w:t>
            </w:r>
          </w:p>
        </w:tc>
        <w:tc>
          <w:tcPr>
            <w:tcW w:w="696" w:type="pct"/>
            <w:shd w:val="clear" w:color="auto" w:fill="FFFFFF" w:themeFill="background1"/>
            <w:vAlign w:val="center"/>
          </w:tcPr>
          <w:p w14:paraId="33D93698" w14:textId="77777777" w:rsidR="000B3156" w:rsidRPr="003D290F" w:rsidRDefault="000B3156" w:rsidP="000B3156">
            <w:pPr>
              <w:jc w:val="center"/>
              <w:rPr>
                <w:rFonts w:eastAsia="Times New Roman" w:cs="Segoe UI"/>
                <w:sz w:val="30"/>
                <w:szCs w:val="30"/>
              </w:rPr>
            </w:pPr>
            <w:r w:rsidRPr="003D290F">
              <w:rPr>
                <w:rFonts w:eastAsia="Times New Roman" w:cs="Segoe UI"/>
                <w:sz w:val="30"/>
                <w:szCs w:val="30"/>
              </w:rPr>
              <w:sym w:font="Wingdings" w:char="F0FE"/>
            </w:r>
          </w:p>
        </w:tc>
        <w:tc>
          <w:tcPr>
            <w:tcW w:w="900" w:type="pct"/>
            <w:shd w:val="clear" w:color="auto" w:fill="FFFFFF" w:themeFill="background1"/>
            <w:vAlign w:val="center"/>
          </w:tcPr>
          <w:p w14:paraId="2F102429" w14:textId="77777777" w:rsidR="000B3156" w:rsidRPr="003D290F" w:rsidRDefault="000B3156" w:rsidP="000B3156">
            <w:pPr>
              <w:jc w:val="center"/>
              <w:rPr>
                <w:rFonts w:eastAsia="Times New Roman" w:cs="Segoe UI"/>
                <w:b/>
                <w:sz w:val="20"/>
                <w:szCs w:val="20"/>
              </w:rPr>
            </w:pPr>
          </w:p>
        </w:tc>
      </w:tr>
      <w:tr w:rsidR="000B3156" w:rsidRPr="003D290F" w14:paraId="6AB3B29D" w14:textId="77777777" w:rsidTr="00376643">
        <w:tc>
          <w:tcPr>
            <w:tcW w:w="792" w:type="pct"/>
            <w:tcBorders>
              <w:top w:val="nil"/>
              <w:bottom w:val="nil"/>
            </w:tcBorders>
            <w:shd w:val="clear" w:color="auto" w:fill="E0E8F2" w:themeFill="background2"/>
          </w:tcPr>
          <w:p w14:paraId="7A96A3E6" w14:textId="77777777" w:rsidR="000B3156" w:rsidRPr="003D290F" w:rsidRDefault="000B3156" w:rsidP="000B3156">
            <w:pPr>
              <w:rPr>
                <w:rFonts w:eastAsia="Times New Roman" w:cs="Segoe UI"/>
                <w:b/>
                <w:sz w:val="20"/>
                <w:szCs w:val="20"/>
              </w:rPr>
            </w:pPr>
          </w:p>
        </w:tc>
        <w:tc>
          <w:tcPr>
            <w:tcW w:w="527" w:type="pct"/>
            <w:vMerge w:val="restart"/>
            <w:shd w:val="clear" w:color="auto" w:fill="E0E8F2" w:themeFill="background2"/>
          </w:tcPr>
          <w:p w14:paraId="001AB61B" w14:textId="77777777" w:rsidR="000B3156" w:rsidRPr="003D290F" w:rsidRDefault="000B3156" w:rsidP="000B3156">
            <w:pPr>
              <w:rPr>
                <w:rFonts w:eastAsia="Times New Roman" w:cs="Segoe UI"/>
                <w:sz w:val="20"/>
                <w:szCs w:val="20"/>
              </w:rPr>
            </w:pPr>
            <w:r w:rsidRPr="003D290F">
              <w:rPr>
                <w:rFonts w:eastAsia="Times New Roman" w:cs="Segoe UI"/>
                <w:sz w:val="20"/>
                <w:szCs w:val="20"/>
              </w:rPr>
              <w:t>Benefits</w:t>
            </w:r>
          </w:p>
        </w:tc>
        <w:tc>
          <w:tcPr>
            <w:tcW w:w="2086" w:type="pct"/>
            <w:shd w:val="clear" w:color="auto" w:fill="E0E8F2" w:themeFill="background2"/>
          </w:tcPr>
          <w:p w14:paraId="1BC8CD8D" w14:textId="77777777" w:rsidR="000B3156" w:rsidRPr="003D290F" w:rsidRDefault="000B3156" w:rsidP="000B3156">
            <w:pPr>
              <w:rPr>
                <w:rFonts w:eastAsia="Times New Roman" w:cs="Segoe UI"/>
                <w:b/>
                <w:sz w:val="20"/>
                <w:szCs w:val="20"/>
              </w:rPr>
            </w:pPr>
            <w:r w:rsidRPr="003D290F">
              <w:rPr>
                <w:rFonts w:eastAsia="Times New Roman" w:cs="Segoe UI"/>
                <w:sz w:val="20"/>
                <w:szCs w:val="20"/>
              </w:rPr>
              <w:t>Lower welfare expenditure due to less unemployed workers.</w:t>
            </w:r>
          </w:p>
        </w:tc>
        <w:tc>
          <w:tcPr>
            <w:tcW w:w="696" w:type="pct"/>
            <w:shd w:val="clear" w:color="auto" w:fill="E0E8F2" w:themeFill="background2"/>
            <w:vAlign w:val="center"/>
          </w:tcPr>
          <w:p w14:paraId="0182665B" w14:textId="77777777" w:rsidR="000B3156" w:rsidRPr="003D290F" w:rsidRDefault="000B3156" w:rsidP="000B3156">
            <w:pPr>
              <w:jc w:val="center"/>
              <w:rPr>
                <w:rFonts w:eastAsia="Times New Roman" w:cs="Segoe UI"/>
                <w:b/>
                <w:sz w:val="20"/>
                <w:szCs w:val="20"/>
              </w:rPr>
            </w:pPr>
            <w:r w:rsidRPr="003D290F">
              <w:rPr>
                <w:rFonts w:eastAsia="Times New Roman" w:cs="Segoe UI"/>
                <w:sz w:val="30"/>
                <w:szCs w:val="30"/>
              </w:rPr>
              <w:sym w:font="Wingdings" w:char="F0FE"/>
            </w:r>
          </w:p>
        </w:tc>
        <w:tc>
          <w:tcPr>
            <w:tcW w:w="899" w:type="pct"/>
            <w:shd w:val="clear" w:color="auto" w:fill="E0E8F2" w:themeFill="background2"/>
            <w:vAlign w:val="center"/>
          </w:tcPr>
          <w:p w14:paraId="029D618B" w14:textId="77777777" w:rsidR="000B3156" w:rsidRPr="003D290F" w:rsidRDefault="000B3156" w:rsidP="000B3156">
            <w:pPr>
              <w:jc w:val="center"/>
              <w:rPr>
                <w:rFonts w:eastAsia="Times New Roman" w:cs="Segoe UI"/>
                <w:b/>
                <w:sz w:val="20"/>
                <w:szCs w:val="20"/>
              </w:rPr>
            </w:pPr>
          </w:p>
        </w:tc>
      </w:tr>
      <w:tr w:rsidR="000B3156" w:rsidRPr="003D290F" w14:paraId="17ABF244" w14:textId="77777777" w:rsidTr="00376643">
        <w:tc>
          <w:tcPr>
            <w:tcW w:w="792" w:type="pct"/>
            <w:tcBorders>
              <w:top w:val="nil"/>
              <w:bottom w:val="nil"/>
            </w:tcBorders>
            <w:shd w:val="clear" w:color="auto" w:fill="E0E8F2" w:themeFill="background2"/>
          </w:tcPr>
          <w:p w14:paraId="0AD82151" w14:textId="77777777" w:rsidR="000B3156" w:rsidRPr="003D290F" w:rsidRDefault="000B3156" w:rsidP="000B3156">
            <w:pPr>
              <w:rPr>
                <w:rFonts w:eastAsia="Times New Roman" w:cs="Segoe UI"/>
                <w:b/>
                <w:sz w:val="20"/>
                <w:szCs w:val="20"/>
              </w:rPr>
            </w:pPr>
          </w:p>
        </w:tc>
        <w:tc>
          <w:tcPr>
            <w:tcW w:w="527" w:type="pct"/>
            <w:vMerge/>
            <w:tcBorders>
              <w:bottom w:val="nil"/>
            </w:tcBorders>
            <w:shd w:val="clear" w:color="auto" w:fill="E0E8F2" w:themeFill="background2"/>
          </w:tcPr>
          <w:p w14:paraId="2082D75A" w14:textId="77777777" w:rsidR="000B3156" w:rsidRPr="003D290F" w:rsidRDefault="000B3156" w:rsidP="000B3156">
            <w:pPr>
              <w:rPr>
                <w:rFonts w:eastAsia="Times New Roman" w:cs="Segoe UI"/>
                <w:sz w:val="20"/>
                <w:szCs w:val="20"/>
              </w:rPr>
            </w:pPr>
          </w:p>
        </w:tc>
        <w:tc>
          <w:tcPr>
            <w:tcW w:w="2086" w:type="pct"/>
            <w:shd w:val="clear" w:color="auto" w:fill="FFFFFF" w:themeFill="background1"/>
          </w:tcPr>
          <w:p w14:paraId="568C50A4" w14:textId="77777777" w:rsidR="000B3156" w:rsidRPr="003D290F" w:rsidRDefault="000B3156" w:rsidP="000B3156">
            <w:pPr>
              <w:rPr>
                <w:rFonts w:eastAsia="Times New Roman" w:cs="Segoe UI"/>
                <w:sz w:val="20"/>
                <w:szCs w:val="20"/>
              </w:rPr>
            </w:pPr>
            <w:r w:rsidRPr="003D290F">
              <w:rPr>
                <w:rFonts w:eastAsia="Times New Roman" w:cs="Segoe UI"/>
                <w:sz w:val="20"/>
                <w:szCs w:val="20"/>
              </w:rPr>
              <w:t>More tax revenue from closing employer workers who maintain employment</w:t>
            </w:r>
          </w:p>
        </w:tc>
        <w:tc>
          <w:tcPr>
            <w:tcW w:w="696" w:type="pct"/>
            <w:shd w:val="clear" w:color="auto" w:fill="FFFFFF" w:themeFill="background1"/>
            <w:vAlign w:val="center"/>
          </w:tcPr>
          <w:p w14:paraId="5FFE7F37" w14:textId="77777777" w:rsidR="000B3156" w:rsidRPr="003D290F" w:rsidRDefault="000B3156" w:rsidP="000B3156">
            <w:pPr>
              <w:jc w:val="center"/>
              <w:rPr>
                <w:rFonts w:eastAsia="Times New Roman" w:cs="Segoe UI"/>
                <w:sz w:val="30"/>
                <w:szCs w:val="30"/>
              </w:rPr>
            </w:pPr>
            <w:r w:rsidRPr="003D290F">
              <w:rPr>
                <w:rFonts w:eastAsia="Times New Roman" w:cs="Segoe UI"/>
                <w:sz w:val="30"/>
                <w:szCs w:val="30"/>
              </w:rPr>
              <w:sym w:font="Wingdings" w:char="F0FE"/>
            </w:r>
          </w:p>
        </w:tc>
        <w:tc>
          <w:tcPr>
            <w:tcW w:w="899" w:type="pct"/>
            <w:shd w:val="clear" w:color="auto" w:fill="FFFFFF" w:themeFill="background1"/>
            <w:vAlign w:val="center"/>
          </w:tcPr>
          <w:p w14:paraId="41634070" w14:textId="77777777" w:rsidR="000B3156" w:rsidRPr="003D290F" w:rsidRDefault="000B3156" w:rsidP="000B3156">
            <w:pPr>
              <w:jc w:val="center"/>
              <w:rPr>
                <w:rFonts w:eastAsia="Times New Roman" w:cs="Segoe UI"/>
                <w:b/>
                <w:sz w:val="20"/>
                <w:szCs w:val="20"/>
              </w:rPr>
            </w:pPr>
          </w:p>
        </w:tc>
      </w:tr>
      <w:tr w:rsidR="000B3156" w:rsidRPr="003D290F" w14:paraId="3B5F4BA6" w14:textId="77777777" w:rsidTr="005C1EDF">
        <w:tc>
          <w:tcPr>
            <w:tcW w:w="792" w:type="pct"/>
            <w:tcBorders>
              <w:top w:val="nil"/>
              <w:bottom w:val="single" w:sz="8" w:space="0" w:color="1B375C" w:themeColor="accent1"/>
            </w:tcBorders>
            <w:shd w:val="clear" w:color="auto" w:fill="E0E8F2" w:themeFill="background2"/>
          </w:tcPr>
          <w:p w14:paraId="3A79CB8F" w14:textId="77777777" w:rsidR="000B3156" w:rsidRPr="003D290F" w:rsidRDefault="000B3156" w:rsidP="000B3156">
            <w:pPr>
              <w:rPr>
                <w:rFonts w:eastAsia="Times New Roman" w:cs="Segoe UI"/>
                <w:b/>
                <w:sz w:val="20"/>
                <w:szCs w:val="20"/>
              </w:rPr>
            </w:pPr>
          </w:p>
        </w:tc>
        <w:tc>
          <w:tcPr>
            <w:tcW w:w="527" w:type="pct"/>
            <w:tcBorders>
              <w:top w:val="nil"/>
              <w:bottom w:val="single" w:sz="8" w:space="0" w:color="1B375C" w:themeColor="accent1"/>
            </w:tcBorders>
            <w:shd w:val="clear" w:color="auto" w:fill="E0E8F2" w:themeFill="background2"/>
          </w:tcPr>
          <w:p w14:paraId="6D82F0E8" w14:textId="77777777" w:rsidR="000B3156" w:rsidRPr="003D290F" w:rsidRDefault="000B3156" w:rsidP="000B3156">
            <w:pPr>
              <w:tabs>
                <w:tab w:val="left" w:pos="1340"/>
              </w:tabs>
              <w:rPr>
                <w:rFonts w:eastAsia="Times New Roman" w:cs="Segoe UI"/>
                <w:b/>
                <w:sz w:val="20"/>
                <w:szCs w:val="20"/>
              </w:rPr>
            </w:pPr>
          </w:p>
        </w:tc>
        <w:tc>
          <w:tcPr>
            <w:tcW w:w="2086" w:type="pct"/>
            <w:tcBorders>
              <w:bottom w:val="single" w:sz="8" w:space="0" w:color="1B375C" w:themeColor="accent1"/>
            </w:tcBorders>
            <w:shd w:val="clear" w:color="auto" w:fill="E0E8F2" w:themeFill="background2"/>
          </w:tcPr>
          <w:p w14:paraId="5360EAD1" w14:textId="77777777" w:rsidR="000B3156" w:rsidRPr="003D290F" w:rsidRDefault="000B3156" w:rsidP="000B3156">
            <w:pPr>
              <w:rPr>
                <w:rFonts w:eastAsia="Times New Roman" w:cs="Segoe UI"/>
                <w:b/>
                <w:sz w:val="20"/>
                <w:szCs w:val="20"/>
              </w:rPr>
            </w:pPr>
            <w:r w:rsidRPr="003D290F">
              <w:rPr>
                <w:rFonts w:eastAsia="Times New Roman" w:cs="Segoe UI"/>
                <w:sz w:val="20"/>
                <w:szCs w:val="20"/>
              </w:rPr>
              <w:t>Positive reputational benefits if plan is successful.</w:t>
            </w:r>
          </w:p>
        </w:tc>
        <w:tc>
          <w:tcPr>
            <w:tcW w:w="696" w:type="pct"/>
            <w:tcBorders>
              <w:bottom w:val="single" w:sz="8" w:space="0" w:color="1B375C" w:themeColor="accent1"/>
            </w:tcBorders>
            <w:shd w:val="clear" w:color="auto" w:fill="E0E8F2" w:themeFill="background2"/>
            <w:vAlign w:val="center"/>
          </w:tcPr>
          <w:p w14:paraId="481D3B8D" w14:textId="77777777" w:rsidR="000B3156" w:rsidRPr="003D290F" w:rsidRDefault="000B3156" w:rsidP="000B3156">
            <w:pPr>
              <w:jc w:val="center"/>
              <w:rPr>
                <w:rFonts w:eastAsia="Times New Roman" w:cs="Segoe UI"/>
                <w:b/>
                <w:sz w:val="20"/>
                <w:szCs w:val="20"/>
              </w:rPr>
            </w:pPr>
          </w:p>
        </w:tc>
        <w:tc>
          <w:tcPr>
            <w:tcW w:w="899" w:type="pct"/>
            <w:tcBorders>
              <w:bottom w:val="single" w:sz="8" w:space="0" w:color="1B375C" w:themeColor="accent1"/>
            </w:tcBorders>
            <w:shd w:val="clear" w:color="auto" w:fill="E0E8F2" w:themeFill="background2"/>
            <w:vAlign w:val="center"/>
          </w:tcPr>
          <w:p w14:paraId="24827215" w14:textId="77777777" w:rsidR="000B3156" w:rsidRPr="003D290F" w:rsidRDefault="000B3156" w:rsidP="000B3156">
            <w:pPr>
              <w:jc w:val="center"/>
              <w:rPr>
                <w:rFonts w:eastAsia="Times New Roman" w:cs="Segoe UI"/>
                <w:b/>
                <w:sz w:val="20"/>
                <w:szCs w:val="20"/>
              </w:rPr>
            </w:pPr>
            <w:r w:rsidRPr="003D290F">
              <w:rPr>
                <w:rFonts w:eastAsia="Times New Roman" w:cs="Segoe UI"/>
                <w:sz w:val="30"/>
                <w:szCs w:val="30"/>
              </w:rPr>
              <w:sym w:font="Wingdings" w:char="F0FE"/>
            </w:r>
          </w:p>
        </w:tc>
      </w:tr>
      <w:tr w:rsidR="000B3156" w:rsidRPr="003D290F" w14:paraId="6B7ACB24" w14:textId="77777777" w:rsidTr="005C1EDF">
        <w:tc>
          <w:tcPr>
            <w:tcW w:w="792" w:type="pct"/>
            <w:tcBorders>
              <w:top w:val="single" w:sz="8" w:space="0" w:color="1B375C" w:themeColor="accent1"/>
              <w:bottom w:val="nil"/>
            </w:tcBorders>
            <w:shd w:val="clear" w:color="auto" w:fill="E0E8F2" w:themeFill="background2"/>
          </w:tcPr>
          <w:p w14:paraId="51E5E5BD" w14:textId="77777777" w:rsidR="000B3156" w:rsidRPr="003D290F" w:rsidRDefault="000B3156" w:rsidP="000B3156">
            <w:pPr>
              <w:rPr>
                <w:rFonts w:eastAsia="Times New Roman" w:cs="Segoe UI"/>
                <w:b/>
                <w:sz w:val="20"/>
                <w:szCs w:val="20"/>
              </w:rPr>
            </w:pPr>
            <w:r w:rsidRPr="003D290F">
              <w:rPr>
                <w:rFonts w:eastAsia="Times New Roman" w:cs="Segoe UI"/>
                <w:b/>
                <w:sz w:val="20"/>
                <w:szCs w:val="20"/>
              </w:rPr>
              <w:t>Community</w:t>
            </w:r>
          </w:p>
        </w:tc>
        <w:tc>
          <w:tcPr>
            <w:tcW w:w="527" w:type="pct"/>
            <w:tcBorders>
              <w:top w:val="single" w:sz="8" w:space="0" w:color="1B375C" w:themeColor="accent1"/>
              <w:bottom w:val="single" w:sz="4" w:space="0" w:color="FFFFFF" w:themeColor="background1"/>
            </w:tcBorders>
            <w:shd w:val="clear" w:color="auto" w:fill="E0E8F2" w:themeFill="background2"/>
          </w:tcPr>
          <w:p w14:paraId="7BAB539B" w14:textId="77777777" w:rsidR="000B3156" w:rsidRPr="003D290F" w:rsidRDefault="000B3156" w:rsidP="000B3156">
            <w:pPr>
              <w:tabs>
                <w:tab w:val="left" w:pos="1340"/>
              </w:tabs>
              <w:rPr>
                <w:rFonts w:eastAsia="Times New Roman" w:cs="Segoe UI"/>
                <w:b/>
                <w:sz w:val="20"/>
                <w:szCs w:val="20"/>
              </w:rPr>
            </w:pPr>
            <w:r w:rsidRPr="003D290F">
              <w:rPr>
                <w:rFonts w:eastAsia="Times New Roman" w:cs="Segoe UI"/>
                <w:sz w:val="20"/>
                <w:szCs w:val="20"/>
              </w:rPr>
              <w:t>Costs</w:t>
            </w:r>
          </w:p>
        </w:tc>
        <w:tc>
          <w:tcPr>
            <w:tcW w:w="2086" w:type="pct"/>
            <w:tcBorders>
              <w:top w:val="single" w:sz="8" w:space="0" w:color="1B375C" w:themeColor="accent1"/>
            </w:tcBorders>
            <w:shd w:val="clear" w:color="auto" w:fill="FFFFFF" w:themeFill="background1"/>
          </w:tcPr>
          <w:p w14:paraId="76B35A3D" w14:textId="77777777" w:rsidR="000B3156" w:rsidRPr="003D290F" w:rsidRDefault="000B3156" w:rsidP="000B3156">
            <w:pPr>
              <w:rPr>
                <w:rFonts w:eastAsia="Times New Roman" w:cs="Segoe UI"/>
                <w:b/>
                <w:sz w:val="20"/>
                <w:szCs w:val="20"/>
              </w:rPr>
            </w:pPr>
            <w:r w:rsidRPr="003D290F">
              <w:rPr>
                <w:rFonts w:eastAsia="Times New Roman" w:cs="Segoe UI"/>
                <w:sz w:val="20"/>
                <w:szCs w:val="20"/>
              </w:rPr>
              <w:t>No costs under this option relative to the status quo.</w:t>
            </w:r>
          </w:p>
        </w:tc>
        <w:tc>
          <w:tcPr>
            <w:tcW w:w="696" w:type="pct"/>
            <w:tcBorders>
              <w:top w:val="single" w:sz="8" w:space="0" w:color="1B375C" w:themeColor="accent1"/>
            </w:tcBorders>
            <w:shd w:val="clear" w:color="auto" w:fill="FFFFFF" w:themeFill="background1"/>
            <w:vAlign w:val="center"/>
          </w:tcPr>
          <w:p w14:paraId="5999DCF4" w14:textId="77777777" w:rsidR="000B3156" w:rsidRPr="003D290F" w:rsidRDefault="000B3156" w:rsidP="000B3156">
            <w:pPr>
              <w:jc w:val="center"/>
              <w:rPr>
                <w:rFonts w:eastAsia="Times New Roman" w:cs="Segoe UI"/>
                <w:b/>
                <w:sz w:val="20"/>
                <w:szCs w:val="20"/>
              </w:rPr>
            </w:pPr>
          </w:p>
        </w:tc>
        <w:tc>
          <w:tcPr>
            <w:tcW w:w="899" w:type="pct"/>
            <w:tcBorders>
              <w:top w:val="single" w:sz="8" w:space="0" w:color="1B375C" w:themeColor="accent1"/>
            </w:tcBorders>
            <w:shd w:val="clear" w:color="auto" w:fill="FFFFFF" w:themeFill="background1"/>
            <w:vAlign w:val="center"/>
          </w:tcPr>
          <w:p w14:paraId="7EBE7426" w14:textId="77777777" w:rsidR="000B3156" w:rsidRPr="003D290F" w:rsidRDefault="000B3156" w:rsidP="000B3156">
            <w:pPr>
              <w:jc w:val="center"/>
              <w:rPr>
                <w:rFonts w:eastAsia="Times New Roman" w:cs="Segoe UI"/>
                <w:b/>
                <w:sz w:val="20"/>
                <w:szCs w:val="20"/>
              </w:rPr>
            </w:pPr>
          </w:p>
        </w:tc>
      </w:tr>
      <w:tr w:rsidR="000B3156" w:rsidRPr="003D290F" w14:paraId="206A153B" w14:textId="77777777" w:rsidTr="005C1EDF">
        <w:tc>
          <w:tcPr>
            <w:tcW w:w="792" w:type="pct"/>
            <w:tcBorders>
              <w:top w:val="nil"/>
              <w:bottom w:val="nil"/>
            </w:tcBorders>
            <w:shd w:val="clear" w:color="auto" w:fill="E0E8F2" w:themeFill="background2"/>
          </w:tcPr>
          <w:p w14:paraId="60D00F4D" w14:textId="77777777" w:rsidR="000B3156" w:rsidRPr="003D290F" w:rsidRDefault="000B3156" w:rsidP="000B3156">
            <w:pPr>
              <w:rPr>
                <w:rFonts w:eastAsia="Times New Roman" w:cs="Segoe UI"/>
                <w:b/>
                <w:sz w:val="20"/>
                <w:szCs w:val="20"/>
              </w:rPr>
            </w:pPr>
          </w:p>
        </w:tc>
        <w:tc>
          <w:tcPr>
            <w:tcW w:w="527" w:type="pct"/>
            <w:tcBorders>
              <w:bottom w:val="nil"/>
            </w:tcBorders>
            <w:shd w:val="clear" w:color="auto" w:fill="E0E8F2" w:themeFill="background2"/>
          </w:tcPr>
          <w:p w14:paraId="28E7D41E" w14:textId="77777777" w:rsidR="000B3156" w:rsidRPr="003D290F" w:rsidRDefault="000B3156" w:rsidP="000B3156">
            <w:pPr>
              <w:tabs>
                <w:tab w:val="left" w:pos="1340"/>
              </w:tabs>
              <w:rPr>
                <w:rFonts w:eastAsia="Times New Roman" w:cs="Segoe UI"/>
                <w:b/>
                <w:sz w:val="20"/>
                <w:szCs w:val="20"/>
              </w:rPr>
            </w:pPr>
            <w:r w:rsidRPr="003D290F">
              <w:rPr>
                <w:rFonts w:eastAsia="Times New Roman" w:cs="Segoe UI"/>
                <w:sz w:val="20"/>
                <w:szCs w:val="20"/>
              </w:rPr>
              <w:t>Benefits</w:t>
            </w:r>
          </w:p>
        </w:tc>
        <w:tc>
          <w:tcPr>
            <w:tcW w:w="2086" w:type="pct"/>
            <w:shd w:val="clear" w:color="auto" w:fill="E0E8F2" w:themeFill="background2"/>
          </w:tcPr>
          <w:p w14:paraId="60C13FE3" w14:textId="77777777" w:rsidR="000B3156" w:rsidRPr="003D290F" w:rsidRDefault="000B3156" w:rsidP="000B3156">
            <w:pPr>
              <w:rPr>
                <w:rFonts w:eastAsia="Times New Roman" w:cs="Segoe UI"/>
                <w:b/>
                <w:sz w:val="20"/>
                <w:szCs w:val="20"/>
              </w:rPr>
            </w:pPr>
            <w:r w:rsidRPr="003D290F">
              <w:rPr>
                <w:rFonts w:eastAsia="Times New Roman" w:cs="Segoe UI"/>
                <w:sz w:val="20"/>
                <w:szCs w:val="20"/>
              </w:rPr>
              <w:t>Regional economic prospects improve as more employees secure alternate employment, increasing household income and consumption.</w:t>
            </w:r>
            <w:r w:rsidR="00A25967">
              <w:rPr>
                <w:rFonts w:eastAsia="Times New Roman" w:cs="Segoe UI"/>
                <w:sz w:val="20"/>
                <w:szCs w:val="20"/>
              </w:rPr>
              <w:t xml:space="preserve"> Reduced labour market scarring also have long term regional benefits</w:t>
            </w:r>
            <w:r w:rsidR="007B146D">
              <w:rPr>
                <w:rFonts w:eastAsia="Times New Roman" w:cs="Segoe UI"/>
                <w:sz w:val="20"/>
                <w:szCs w:val="20"/>
              </w:rPr>
              <w:t>.</w:t>
            </w:r>
            <w:r w:rsidR="00A25967">
              <w:rPr>
                <w:rFonts w:eastAsia="Times New Roman" w:cs="Segoe UI"/>
                <w:sz w:val="20"/>
                <w:szCs w:val="20"/>
              </w:rPr>
              <w:t xml:space="preserve"> </w:t>
            </w:r>
          </w:p>
        </w:tc>
        <w:tc>
          <w:tcPr>
            <w:tcW w:w="696" w:type="pct"/>
            <w:shd w:val="clear" w:color="auto" w:fill="E0E8F2" w:themeFill="background2"/>
            <w:vAlign w:val="center"/>
          </w:tcPr>
          <w:p w14:paraId="70BCE21F" w14:textId="77777777" w:rsidR="000B3156" w:rsidRPr="003D290F" w:rsidRDefault="000B3156" w:rsidP="000B3156">
            <w:pPr>
              <w:jc w:val="center"/>
              <w:rPr>
                <w:rFonts w:eastAsia="Times New Roman" w:cs="Segoe UI"/>
                <w:b/>
                <w:sz w:val="20"/>
                <w:szCs w:val="20"/>
              </w:rPr>
            </w:pPr>
          </w:p>
        </w:tc>
        <w:tc>
          <w:tcPr>
            <w:tcW w:w="899" w:type="pct"/>
            <w:shd w:val="clear" w:color="auto" w:fill="E0E8F2" w:themeFill="background2"/>
            <w:vAlign w:val="center"/>
          </w:tcPr>
          <w:p w14:paraId="193BA65E" w14:textId="77777777" w:rsidR="000B3156" w:rsidRPr="003D290F" w:rsidRDefault="000B3156" w:rsidP="000B3156">
            <w:pPr>
              <w:jc w:val="center"/>
              <w:rPr>
                <w:rFonts w:eastAsia="Times New Roman" w:cs="Segoe UI"/>
                <w:b/>
                <w:sz w:val="20"/>
                <w:szCs w:val="20"/>
              </w:rPr>
            </w:pPr>
            <w:r w:rsidRPr="003D290F">
              <w:rPr>
                <w:rFonts w:eastAsia="Times New Roman" w:cs="Segoe UI"/>
                <w:sz w:val="30"/>
                <w:szCs w:val="30"/>
              </w:rPr>
              <w:sym w:font="Wingdings" w:char="F0FE"/>
            </w:r>
          </w:p>
        </w:tc>
      </w:tr>
      <w:tr w:rsidR="000B3156" w:rsidRPr="003D290F" w14:paraId="6CE951ED" w14:textId="77777777" w:rsidTr="005C1EDF">
        <w:tc>
          <w:tcPr>
            <w:tcW w:w="792" w:type="pct"/>
            <w:tcBorders>
              <w:top w:val="nil"/>
              <w:bottom w:val="single" w:sz="8" w:space="0" w:color="1B375C" w:themeColor="accent1"/>
            </w:tcBorders>
            <w:shd w:val="clear" w:color="auto" w:fill="E0E8F2" w:themeFill="background2"/>
          </w:tcPr>
          <w:p w14:paraId="20BD2AF0" w14:textId="77777777" w:rsidR="000B3156" w:rsidRPr="003D290F" w:rsidRDefault="000B3156" w:rsidP="000B3156">
            <w:pPr>
              <w:rPr>
                <w:rFonts w:eastAsia="Times New Roman" w:cs="Segoe UI"/>
                <w:b/>
                <w:sz w:val="20"/>
                <w:szCs w:val="20"/>
              </w:rPr>
            </w:pPr>
          </w:p>
        </w:tc>
        <w:tc>
          <w:tcPr>
            <w:tcW w:w="527" w:type="pct"/>
            <w:tcBorders>
              <w:top w:val="nil"/>
              <w:bottom w:val="single" w:sz="8" w:space="0" w:color="1B375C" w:themeColor="accent1"/>
            </w:tcBorders>
            <w:shd w:val="clear" w:color="auto" w:fill="E0E8F2" w:themeFill="background2"/>
          </w:tcPr>
          <w:p w14:paraId="1424FD00" w14:textId="77777777" w:rsidR="000B3156" w:rsidRPr="003D290F" w:rsidRDefault="000B3156" w:rsidP="000B3156">
            <w:pPr>
              <w:tabs>
                <w:tab w:val="left" w:pos="1340"/>
              </w:tabs>
              <w:rPr>
                <w:rFonts w:eastAsia="Times New Roman" w:cs="Segoe UI"/>
                <w:b/>
                <w:sz w:val="20"/>
                <w:szCs w:val="20"/>
              </w:rPr>
            </w:pPr>
          </w:p>
        </w:tc>
        <w:tc>
          <w:tcPr>
            <w:tcW w:w="2086" w:type="pct"/>
            <w:tcBorders>
              <w:bottom w:val="single" w:sz="8" w:space="0" w:color="1B375C" w:themeColor="accent1"/>
            </w:tcBorders>
            <w:shd w:val="clear" w:color="auto" w:fill="FFFFFF" w:themeFill="background1"/>
          </w:tcPr>
          <w:p w14:paraId="6A0AAB3C" w14:textId="77777777" w:rsidR="000B3156" w:rsidRPr="003D290F" w:rsidRDefault="000B3156" w:rsidP="000B3156">
            <w:pPr>
              <w:rPr>
                <w:rFonts w:eastAsia="Times New Roman" w:cs="Segoe UI"/>
                <w:b/>
                <w:sz w:val="20"/>
                <w:szCs w:val="20"/>
              </w:rPr>
            </w:pPr>
            <w:r w:rsidRPr="003D290F">
              <w:rPr>
                <w:rFonts w:eastAsia="Times New Roman" w:cs="Segoe UI"/>
                <w:sz w:val="20"/>
                <w:szCs w:val="20"/>
              </w:rPr>
              <w:t xml:space="preserve">Social cohesion is supported by lower unemployment, emigration and loss of community identity. </w:t>
            </w:r>
          </w:p>
        </w:tc>
        <w:tc>
          <w:tcPr>
            <w:tcW w:w="696" w:type="pct"/>
            <w:tcBorders>
              <w:bottom w:val="single" w:sz="8" w:space="0" w:color="1B375C" w:themeColor="accent1"/>
            </w:tcBorders>
            <w:shd w:val="clear" w:color="auto" w:fill="FFFFFF" w:themeFill="background1"/>
            <w:vAlign w:val="center"/>
          </w:tcPr>
          <w:p w14:paraId="36580C84" w14:textId="77777777" w:rsidR="000B3156" w:rsidRPr="003D290F" w:rsidRDefault="000B3156" w:rsidP="000B3156">
            <w:pPr>
              <w:jc w:val="center"/>
              <w:rPr>
                <w:rFonts w:eastAsia="Times New Roman" w:cs="Segoe UI"/>
                <w:b/>
                <w:sz w:val="20"/>
                <w:szCs w:val="20"/>
              </w:rPr>
            </w:pPr>
          </w:p>
        </w:tc>
        <w:tc>
          <w:tcPr>
            <w:tcW w:w="899" w:type="pct"/>
            <w:tcBorders>
              <w:bottom w:val="single" w:sz="8" w:space="0" w:color="1B375C" w:themeColor="accent1"/>
            </w:tcBorders>
            <w:shd w:val="clear" w:color="auto" w:fill="FFFFFF" w:themeFill="background1"/>
            <w:vAlign w:val="center"/>
          </w:tcPr>
          <w:p w14:paraId="6AE4F71F" w14:textId="77777777" w:rsidR="000B3156" w:rsidRPr="003D290F" w:rsidRDefault="000B3156" w:rsidP="000B3156">
            <w:pPr>
              <w:jc w:val="center"/>
              <w:rPr>
                <w:rFonts w:eastAsia="Times New Roman" w:cs="Segoe UI"/>
                <w:b/>
                <w:sz w:val="20"/>
                <w:szCs w:val="20"/>
              </w:rPr>
            </w:pPr>
            <w:r w:rsidRPr="003D290F">
              <w:rPr>
                <w:rFonts w:eastAsia="Times New Roman" w:cs="Segoe UI"/>
                <w:sz w:val="30"/>
                <w:szCs w:val="30"/>
              </w:rPr>
              <w:sym w:font="Wingdings" w:char="F0FE"/>
            </w:r>
          </w:p>
        </w:tc>
      </w:tr>
    </w:tbl>
    <w:p w14:paraId="4DF8E011" w14:textId="77777777" w:rsidR="00B93958" w:rsidRPr="003D290F" w:rsidRDefault="00B93958" w:rsidP="00B93958">
      <w:pPr>
        <w:spacing w:after="0" w:line="240" w:lineRule="auto"/>
        <w:rPr>
          <w:rFonts w:eastAsia="Times New Roman" w:cs="Segoe UI"/>
          <w:b/>
          <w:color w:val="FFFFFF" w:themeColor="background1"/>
          <w:sz w:val="20"/>
          <w:szCs w:val="20"/>
        </w:rPr>
      </w:pPr>
    </w:p>
    <w:p w14:paraId="5FB8C676" w14:textId="77777777" w:rsidR="00355CA0" w:rsidRPr="003D290F" w:rsidRDefault="00355CA0" w:rsidP="00EC579B">
      <w:pPr>
        <w:pStyle w:val="Heading2"/>
        <w:rPr>
          <w:rFonts w:eastAsia="Times New Roman"/>
        </w:rPr>
      </w:pPr>
      <w:bookmarkStart w:id="300" w:name="_Toc161395996"/>
      <w:bookmarkStart w:id="301" w:name="_Toc161403532"/>
      <w:bookmarkStart w:id="302" w:name="_Toc161752266"/>
      <w:bookmarkStart w:id="303" w:name="_Toc161759704"/>
      <w:r w:rsidRPr="003D290F">
        <w:rPr>
          <w:rFonts w:eastAsia="Times New Roman"/>
        </w:rPr>
        <w:t>4.</w:t>
      </w:r>
      <w:r w:rsidR="007727EE" w:rsidRPr="003D290F">
        <w:rPr>
          <w:rFonts w:eastAsia="Times New Roman"/>
        </w:rPr>
        <w:t>6</w:t>
      </w:r>
      <w:r w:rsidRPr="003D290F">
        <w:rPr>
          <w:rFonts w:eastAsia="Times New Roman"/>
        </w:rPr>
        <w:t xml:space="preserve"> </w:t>
      </w:r>
      <w:r w:rsidR="001D25F0" w:rsidRPr="003D290F">
        <w:rPr>
          <w:rFonts w:eastAsia="Times New Roman"/>
        </w:rPr>
        <w:t>Option 3</w:t>
      </w:r>
      <w:r w:rsidR="00A47D0C" w:rsidRPr="003D290F">
        <w:rPr>
          <w:rFonts w:eastAsia="Times New Roman"/>
        </w:rPr>
        <w:t>:</w:t>
      </w:r>
      <w:r w:rsidRPr="003D290F">
        <w:rPr>
          <w:rFonts w:eastAsia="Times New Roman"/>
        </w:rPr>
        <w:t xml:space="preserve"> </w:t>
      </w:r>
      <w:r w:rsidR="00A47D0C" w:rsidRPr="003D290F">
        <w:rPr>
          <w:rFonts w:eastAsia="Times New Roman"/>
        </w:rPr>
        <w:t>l</w:t>
      </w:r>
      <w:r w:rsidRPr="003D290F">
        <w:rPr>
          <w:rFonts w:eastAsia="Times New Roman"/>
        </w:rPr>
        <w:t xml:space="preserve">egislated pooled redeployment </w:t>
      </w:r>
      <w:r w:rsidR="00815AFC">
        <w:rPr>
          <w:rFonts w:eastAsia="Times New Roman"/>
        </w:rPr>
        <w:t>arrangements</w:t>
      </w:r>
      <w:bookmarkEnd w:id="300"/>
      <w:bookmarkEnd w:id="301"/>
      <w:bookmarkEnd w:id="302"/>
      <w:bookmarkEnd w:id="303"/>
      <w:r w:rsidR="00815AFC" w:rsidRPr="003D290F">
        <w:rPr>
          <w:rFonts w:eastAsia="Times New Roman"/>
        </w:rPr>
        <w:t xml:space="preserve"> </w:t>
      </w:r>
    </w:p>
    <w:p w14:paraId="4EA29859" w14:textId="77777777" w:rsidR="00355CA0" w:rsidRPr="003D290F" w:rsidRDefault="00355CA0" w:rsidP="005D46F4">
      <w:pPr>
        <w:pStyle w:val="Heading3"/>
        <w:spacing w:line="276" w:lineRule="auto"/>
      </w:pPr>
      <w:bookmarkStart w:id="304" w:name="_Toc155604640"/>
      <w:bookmarkStart w:id="305" w:name="_Toc161395997"/>
      <w:bookmarkStart w:id="306" w:name="_Toc161403533"/>
      <w:bookmarkStart w:id="307" w:name="_Toc161694812"/>
      <w:bookmarkStart w:id="308" w:name="_Toc161752267"/>
      <w:bookmarkStart w:id="309" w:name="_Toc161759705"/>
      <w:r w:rsidRPr="003D290F">
        <w:rPr>
          <w:rFonts w:eastAsia="Times New Roman"/>
        </w:rPr>
        <w:t>4.</w:t>
      </w:r>
      <w:r w:rsidR="007727EE" w:rsidRPr="003D290F">
        <w:rPr>
          <w:rFonts w:eastAsia="Times New Roman"/>
        </w:rPr>
        <w:t>6</w:t>
      </w:r>
      <w:r w:rsidRPr="003D290F">
        <w:rPr>
          <w:rFonts w:eastAsia="Times New Roman"/>
        </w:rPr>
        <w:t>.1 Summary</w:t>
      </w:r>
      <w:bookmarkEnd w:id="304"/>
      <w:bookmarkEnd w:id="305"/>
      <w:bookmarkEnd w:id="306"/>
      <w:bookmarkEnd w:id="307"/>
      <w:bookmarkEnd w:id="308"/>
      <w:bookmarkEnd w:id="309"/>
    </w:p>
    <w:p w14:paraId="4EBB755C" w14:textId="77777777" w:rsidR="00F7201F" w:rsidRPr="003D290F" w:rsidRDefault="00F7201F" w:rsidP="00F7201F">
      <w:pPr>
        <w:spacing w:before="240"/>
        <w:rPr>
          <w:rFonts w:eastAsia="Times New Roman"/>
          <w:b/>
          <w:color w:val="1B375C" w:themeColor="accent1"/>
        </w:rPr>
      </w:pPr>
      <w:r w:rsidRPr="003D290F">
        <w:rPr>
          <w:rFonts w:eastAsia="Times New Roman"/>
        </w:rPr>
        <w:t xml:space="preserve">Similar to </w:t>
      </w:r>
      <w:r w:rsidR="00A17440" w:rsidRPr="003D290F">
        <w:rPr>
          <w:rFonts w:eastAsia="Times New Roman"/>
        </w:rPr>
        <w:t>O</w:t>
      </w:r>
      <w:r w:rsidRPr="003D290F">
        <w:rPr>
          <w:rFonts w:eastAsia="Times New Roman"/>
        </w:rPr>
        <w:t xml:space="preserve">ption 2, the legislated pooled redeployment plan </w:t>
      </w:r>
      <w:r w:rsidR="0097340B" w:rsidRPr="003D290F">
        <w:rPr>
          <w:rFonts w:eastAsia="Times New Roman"/>
        </w:rPr>
        <w:t>has</w:t>
      </w:r>
      <w:r w:rsidRPr="003D290F">
        <w:rPr>
          <w:rFonts w:eastAsia="Times New Roman"/>
        </w:rPr>
        <w:t xml:space="preserve"> </w:t>
      </w:r>
      <w:r w:rsidR="009C02AA">
        <w:rPr>
          <w:rFonts w:eastAsia="Times New Roman"/>
        </w:rPr>
        <w:t>unquantified</w:t>
      </w:r>
      <w:r w:rsidRPr="003D290F">
        <w:rPr>
          <w:rFonts w:eastAsia="Times New Roman"/>
        </w:rPr>
        <w:t xml:space="preserve"> and </w:t>
      </w:r>
      <w:r w:rsidR="00D57FDF">
        <w:rPr>
          <w:rFonts w:eastAsia="Times New Roman"/>
        </w:rPr>
        <w:t>quantified</w:t>
      </w:r>
      <w:r w:rsidRPr="003D290F">
        <w:rPr>
          <w:rFonts w:eastAsia="Times New Roman"/>
        </w:rPr>
        <w:t xml:space="preserve"> impacts.</w:t>
      </w:r>
      <w:r w:rsidRPr="003D290F">
        <w:rPr>
          <w:rFonts w:eastAsia="Times New Roman"/>
          <w:b/>
          <w:color w:val="1B375C" w:themeColor="accent1"/>
        </w:rPr>
        <w:t xml:space="preserve"> </w:t>
      </w:r>
      <w:r w:rsidRPr="003D290F">
        <w:rPr>
          <w:rFonts w:eastAsia="Times New Roman"/>
        </w:rPr>
        <w:t xml:space="preserve">The overall </w:t>
      </w:r>
      <w:r w:rsidR="0029281B" w:rsidRPr="003D290F">
        <w:rPr>
          <w:rFonts w:eastAsia="Times New Roman"/>
        </w:rPr>
        <w:t xml:space="preserve">quantified </w:t>
      </w:r>
      <w:r w:rsidRPr="003D290F">
        <w:rPr>
          <w:rFonts w:eastAsia="Times New Roman"/>
        </w:rPr>
        <w:t xml:space="preserve">impact of the unlegislated plan is driven by government costs to administer the </w:t>
      </w:r>
      <w:r w:rsidR="0021615A" w:rsidRPr="003D290F">
        <w:rPr>
          <w:rFonts w:eastAsia="Times New Roman"/>
        </w:rPr>
        <w:lastRenderedPageBreak/>
        <w:t>plan</w:t>
      </w:r>
      <w:r w:rsidRPr="003D290F">
        <w:rPr>
          <w:rFonts w:eastAsia="Times New Roman"/>
        </w:rPr>
        <w:t xml:space="preserve"> and regulatory impacts to businesses. </w:t>
      </w:r>
      <w:r w:rsidR="00210BFC" w:rsidRPr="003D290F">
        <w:rPr>
          <w:rFonts w:eastAsia="Times New Roman"/>
        </w:rPr>
        <w:t>Several benefits of the plan have not been quantified in the analysis.</w:t>
      </w:r>
    </w:p>
    <w:p w14:paraId="08921AE6" w14:textId="77777777" w:rsidR="0057412D" w:rsidRPr="003D290F" w:rsidRDefault="00EC579B" w:rsidP="00F7201F">
      <w:pPr>
        <w:rPr>
          <w:rFonts w:eastAsia="Times New Roman" w:cs="Segoe UI"/>
        </w:rPr>
      </w:pPr>
      <w:r w:rsidRPr="003D290F">
        <w:rPr>
          <w:rFonts w:eastAsia="Times New Roman" w:cs="Segoe UI"/>
        </w:rPr>
        <w:t xml:space="preserve">The </w:t>
      </w:r>
      <w:r w:rsidR="00E51C83" w:rsidRPr="003D290F">
        <w:rPr>
          <w:rFonts w:eastAsia="Times New Roman" w:cs="Segoe UI"/>
        </w:rPr>
        <w:t xml:space="preserve">total </w:t>
      </w:r>
      <w:r w:rsidR="00D57FDF">
        <w:rPr>
          <w:rFonts w:eastAsia="Times New Roman" w:cs="Segoe UI"/>
        </w:rPr>
        <w:t>quantified</w:t>
      </w:r>
      <w:r w:rsidR="00E51C83" w:rsidRPr="003D290F">
        <w:rPr>
          <w:rFonts w:eastAsia="Times New Roman" w:cs="Segoe UI"/>
        </w:rPr>
        <w:t xml:space="preserve"> NPV of Option 3, the </w:t>
      </w:r>
      <w:r w:rsidR="00D20B9C" w:rsidRPr="003D290F">
        <w:rPr>
          <w:rFonts w:eastAsia="Times New Roman" w:cs="Segoe UI"/>
        </w:rPr>
        <w:t xml:space="preserve">pooled redeployment </w:t>
      </w:r>
      <w:r w:rsidR="00F6294A" w:rsidRPr="003D290F">
        <w:rPr>
          <w:rFonts w:eastAsia="Times New Roman" w:cs="Segoe UI"/>
        </w:rPr>
        <w:t>plan</w:t>
      </w:r>
      <w:r w:rsidR="00D20B9C" w:rsidRPr="003D290F">
        <w:rPr>
          <w:rFonts w:eastAsia="Times New Roman" w:cs="Segoe UI"/>
        </w:rPr>
        <w:t xml:space="preserve"> underpinned by a legislative framework</w:t>
      </w:r>
      <w:r w:rsidR="00E51C83" w:rsidRPr="003D290F">
        <w:rPr>
          <w:rFonts w:eastAsia="Times New Roman" w:cs="Segoe UI"/>
        </w:rPr>
        <w:t>,</w:t>
      </w:r>
      <w:r w:rsidRPr="003D290F">
        <w:rPr>
          <w:rFonts w:eastAsia="Times New Roman" w:cs="Segoe UI"/>
        </w:rPr>
        <w:t xml:space="preserve"> </w:t>
      </w:r>
      <w:r w:rsidR="00E51C83" w:rsidRPr="003D290F">
        <w:rPr>
          <w:rFonts w:eastAsia="Times New Roman" w:cs="Segoe UI"/>
        </w:rPr>
        <w:t>is</w:t>
      </w:r>
      <w:r w:rsidRPr="003D290F">
        <w:rPr>
          <w:rFonts w:eastAsia="Times New Roman" w:cs="Segoe UI"/>
        </w:rPr>
        <w:t xml:space="preserve"> </w:t>
      </w:r>
      <w:r w:rsidR="008347C1" w:rsidRPr="003D290F">
        <w:rPr>
          <w:rFonts w:eastAsia="Times New Roman" w:cs="Segoe UI"/>
        </w:rPr>
        <w:t>-</w:t>
      </w:r>
      <w:r w:rsidRPr="003D290F">
        <w:rPr>
          <w:rFonts w:eastAsia="Times New Roman" w:cs="Segoe UI"/>
        </w:rPr>
        <w:t>$</w:t>
      </w:r>
      <w:r w:rsidR="00F53A32">
        <w:rPr>
          <w:rFonts w:eastAsia="Times New Roman" w:cs="Segoe UI"/>
        </w:rPr>
        <w:t>33.</w:t>
      </w:r>
      <w:r w:rsidR="0087593C">
        <w:rPr>
          <w:rFonts w:eastAsia="Times New Roman" w:cs="Segoe UI"/>
        </w:rPr>
        <w:t>1</w:t>
      </w:r>
      <w:r w:rsidRPr="003D290F">
        <w:rPr>
          <w:rFonts w:eastAsia="Times New Roman" w:cs="Segoe UI"/>
        </w:rPr>
        <w:t xml:space="preserve"> million, including regulatory costs. The distribution of the net </w:t>
      </w:r>
      <w:r w:rsidR="00F276DC" w:rsidRPr="003D290F">
        <w:rPr>
          <w:rFonts w:eastAsia="Times New Roman" w:cs="Segoe UI"/>
        </w:rPr>
        <w:t>cost</w:t>
      </w:r>
      <w:r w:rsidRPr="003D290F">
        <w:rPr>
          <w:rFonts w:eastAsia="Times New Roman" w:cs="Segoe UI"/>
        </w:rPr>
        <w:t xml:space="preserve">, across </w:t>
      </w:r>
      <w:r w:rsidR="00925AE6" w:rsidRPr="003D290F">
        <w:rPr>
          <w:rFonts w:eastAsia="Times New Roman" w:cs="Segoe UI"/>
        </w:rPr>
        <w:t xml:space="preserve">closing and </w:t>
      </w:r>
      <w:r w:rsidR="001F471B" w:rsidRPr="003D290F">
        <w:rPr>
          <w:rFonts w:eastAsia="Times New Roman" w:cs="Segoe UI"/>
        </w:rPr>
        <w:t>receiving employers</w:t>
      </w:r>
      <w:r w:rsidRPr="003D290F">
        <w:rPr>
          <w:rFonts w:eastAsia="Times New Roman" w:cs="Segoe UI"/>
        </w:rPr>
        <w:t xml:space="preserve">, </w:t>
      </w:r>
      <w:r w:rsidR="00E51C83" w:rsidRPr="003D290F">
        <w:rPr>
          <w:rFonts w:eastAsia="Times New Roman" w:cs="Segoe UI"/>
        </w:rPr>
        <w:t>emplo</w:t>
      </w:r>
      <w:r w:rsidR="0057412D" w:rsidRPr="003D290F">
        <w:rPr>
          <w:rFonts w:eastAsia="Times New Roman" w:cs="Segoe UI"/>
        </w:rPr>
        <w:t>y</w:t>
      </w:r>
      <w:r w:rsidR="00E51C83" w:rsidRPr="003D290F">
        <w:rPr>
          <w:rFonts w:eastAsia="Times New Roman" w:cs="Segoe UI"/>
        </w:rPr>
        <w:t>ees</w:t>
      </w:r>
      <w:r w:rsidRPr="003D290F">
        <w:rPr>
          <w:rFonts w:eastAsia="Times New Roman" w:cs="Segoe UI"/>
        </w:rPr>
        <w:t xml:space="preserve">, and government is summarised in </w:t>
      </w:r>
      <w:r w:rsidRPr="003D290F">
        <w:rPr>
          <w:rFonts w:eastAsia="Times New Roman" w:cs="Segoe UI"/>
          <w:b/>
          <w:color w:val="1B375C"/>
        </w:rPr>
        <w:t>Table 4.</w:t>
      </w:r>
      <w:r w:rsidR="00757876">
        <w:rPr>
          <w:rFonts w:eastAsia="Times New Roman" w:cs="Segoe UI"/>
          <w:b/>
          <w:color w:val="1B375C"/>
        </w:rPr>
        <w:t>7</w:t>
      </w:r>
      <w:r w:rsidRPr="003D290F">
        <w:rPr>
          <w:rFonts w:eastAsia="Times New Roman" w:cs="Segoe UI"/>
        </w:rPr>
        <w:t>.</w:t>
      </w:r>
    </w:p>
    <w:p w14:paraId="681EA02D" w14:textId="77777777" w:rsidR="0057412D" w:rsidRPr="003D290F" w:rsidRDefault="0057412D" w:rsidP="00FE3DEC">
      <w:pPr>
        <w:rPr>
          <w:rFonts w:eastAsia="Times New Roman" w:cs="Segoe UI"/>
        </w:rPr>
      </w:pPr>
      <w:r w:rsidRPr="003D290F">
        <w:rPr>
          <w:rFonts w:eastAsia="Times New Roman" w:cs="Segoe UI"/>
          <w:szCs w:val="22"/>
        </w:rPr>
        <w:t xml:space="preserve">In comparison to Option 2, the analysis assumes greater participation by receiving employers under a legislated </w:t>
      </w:r>
      <w:r w:rsidR="00D20B9C" w:rsidRPr="003D290F">
        <w:rPr>
          <w:rFonts w:eastAsia="Times New Roman" w:cs="Segoe UI"/>
          <w:szCs w:val="22"/>
        </w:rPr>
        <w:t>model</w:t>
      </w:r>
      <w:r w:rsidRPr="003D290F">
        <w:rPr>
          <w:rFonts w:eastAsia="Times New Roman" w:cs="Segoe UI"/>
          <w:szCs w:val="22"/>
        </w:rPr>
        <w:t xml:space="preserve">. Greater receiving employer participation would create more job vacancies, resulting in more employment opportunities for closing employer employees and enhancing the benefits for employees identified under Option 2. </w:t>
      </w:r>
      <w:r w:rsidRPr="003D290F">
        <w:rPr>
          <w:rFonts w:eastAsia="Times New Roman"/>
        </w:rPr>
        <w:t xml:space="preserve">The flow-on effects for communities have not been quantified but are expected to deliver notable </w:t>
      </w:r>
      <w:r w:rsidR="009C02AA">
        <w:rPr>
          <w:rFonts w:eastAsia="Times New Roman"/>
        </w:rPr>
        <w:t>unquantified</w:t>
      </w:r>
      <w:r w:rsidRPr="003D290F">
        <w:rPr>
          <w:rFonts w:eastAsia="Times New Roman"/>
        </w:rPr>
        <w:t xml:space="preserve"> benefits. </w:t>
      </w:r>
      <w:r w:rsidR="00E228A7" w:rsidRPr="005C1EDF">
        <w:rPr>
          <w:rFonts w:eastAsia="Times New Roman" w:cs="Segoe UI"/>
          <w:szCs w:val="22"/>
        </w:rPr>
        <w:t>T</w:t>
      </w:r>
      <w:r w:rsidRPr="00E228A7">
        <w:rPr>
          <w:rFonts w:eastAsia="Times New Roman" w:cs="Segoe UI"/>
          <w:szCs w:val="22"/>
        </w:rPr>
        <w:t>he presence of legislated obligations and enforcement processes</w:t>
      </w:r>
      <w:r w:rsidR="00582F90" w:rsidRPr="005C1EDF">
        <w:rPr>
          <w:rFonts w:eastAsia="Times New Roman" w:cs="Segoe UI"/>
          <w:szCs w:val="22"/>
        </w:rPr>
        <w:t xml:space="preserve"> for closing employers</w:t>
      </w:r>
      <w:r w:rsidRPr="00E228A7">
        <w:rPr>
          <w:rFonts w:eastAsia="Times New Roman" w:cs="Segoe UI"/>
          <w:szCs w:val="22"/>
        </w:rPr>
        <w:t xml:space="preserve"> in the legislated </w:t>
      </w:r>
      <w:r w:rsidR="00D20B9C" w:rsidRPr="00E228A7">
        <w:rPr>
          <w:rFonts w:eastAsia="Times New Roman" w:cs="Segoe UI"/>
          <w:szCs w:val="22"/>
        </w:rPr>
        <w:t>model</w:t>
      </w:r>
      <w:r w:rsidRPr="00E228A7">
        <w:rPr>
          <w:rFonts w:eastAsia="Times New Roman" w:cs="Segoe UI"/>
          <w:szCs w:val="22"/>
        </w:rPr>
        <w:t xml:space="preserve"> </w:t>
      </w:r>
      <w:r w:rsidR="00E228A7" w:rsidRPr="00E228A7">
        <w:rPr>
          <w:rFonts w:eastAsia="Times New Roman" w:cs="Segoe UI"/>
          <w:szCs w:val="22"/>
        </w:rPr>
        <w:t>drives</w:t>
      </w:r>
      <w:r w:rsidRPr="00E228A7">
        <w:rPr>
          <w:rFonts w:eastAsia="Times New Roman" w:cs="Segoe UI"/>
          <w:szCs w:val="22"/>
        </w:rPr>
        <w:t xml:space="preserve"> higher </w:t>
      </w:r>
      <w:r w:rsidR="00E228A7" w:rsidRPr="00E228A7">
        <w:rPr>
          <w:rFonts w:eastAsia="Times New Roman" w:cs="Segoe UI"/>
          <w:szCs w:val="22"/>
        </w:rPr>
        <w:t>employer and employee participation, which lead to</w:t>
      </w:r>
      <w:r w:rsidRPr="00E228A7">
        <w:rPr>
          <w:rFonts w:eastAsia="Times New Roman" w:cs="Segoe UI"/>
          <w:szCs w:val="22"/>
        </w:rPr>
        <w:t xml:space="preserve"> higher </w:t>
      </w:r>
      <w:r w:rsidR="00E228A7" w:rsidRPr="005C1EDF">
        <w:rPr>
          <w:rFonts w:eastAsia="Times New Roman" w:cs="Segoe UI"/>
          <w:szCs w:val="22"/>
        </w:rPr>
        <w:t>government administration</w:t>
      </w:r>
      <w:r w:rsidRPr="00E228A7">
        <w:rPr>
          <w:rFonts w:eastAsia="Times New Roman" w:cs="Segoe UI"/>
          <w:szCs w:val="22"/>
        </w:rPr>
        <w:t xml:space="preserve"> costs </w:t>
      </w:r>
      <w:r w:rsidRPr="003D290F">
        <w:rPr>
          <w:rFonts w:eastAsia="Times New Roman" w:cs="Segoe UI"/>
          <w:szCs w:val="22"/>
        </w:rPr>
        <w:t>and regulatory costs for closing employers when compared to costs under Option 2.</w:t>
      </w:r>
      <w:r w:rsidR="000711B3" w:rsidRPr="003D290F">
        <w:t xml:space="preserve"> As with </w:t>
      </w:r>
      <w:r w:rsidR="00D20B9C" w:rsidRPr="003D290F">
        <w:t>O</w:t>
      </w:r>
      <w:r w:rsidR="000711B3" w:rsidRPr="003D290F">
        <w:t xml:space="preserve">ption 2, the </w:t>
      </w:r>
      <w:r w:rsidR="00582F90">
        <w:t xml:space="preserve">quantifiable </w:t>
      </w:r>
      <w:r w:rsidR="000711B3" w:rsidRPr="003D290F">
        <w:t>benefit to closing and receiving employer employees is largely driven by the benefit</w:t>
      </w:r>
      <w:r w:rsidR="0097340B" w:rsidRPr="003D290F">
        <w:t>s</w:t>
      </w:r>
      <w:r w:rsidR="000711B3" w:rsidRPr="003D290F">
        <w:t xml:space="preserve"> to receiving employer employees.</w:t>
      </w:r>
    </w:p>
    <w:p w14:paraId="79F3C825" w14:textId="77777777" w:rsidR="00355CA0" w:rsidRPr="003D290F" w:rsidRDefault="0057412D" w:rsidP="00FE3DEC">
      <w:pPr>
        <w:rPr>
          <w:rFonts w:eastAsia="Times New Roman" w:cs="Segoe UI"/>
          <w:szCs w:val="22"/>
        </w:rPr>
      </w:pPr>
      <w:r w:rsidRPr="003D290F">
        <w:rPr>
          <w:rFonts w:eastAsia="Times New Roman" w:cs="Segoe UI"/>
        </w:rPr>
        <w:t>The regulatory burden under Option 2 is</w:t>
      </w:r>
      <w:r w:rsidR="005C5CA0" w:rsidRPr="003D290F">
        <w:rPr>
          <w:rFonts w:eastAsia="Times New Roman" w:cs="Segoe UI"/>
        </w:rPr>
        <w:t xml:space="preserve"> $</w:t>
      </w:r>
      <w:r w:rsidR="00F53A32">
        <w:rPr>
          <w:rFonts w:eastAsia="Times New Roman" w:cs="Segoe UI"/>
        </w:rPr>
        <w:t>1</w:t>
      </w:r>
      <w:r w:rsidR="0087593C">
        <w:rPr>
          <w:rFonts w:eastAsia="Times New Roman" w:cs="Segoe UI"/>
        </w:rPr>
        <w:t>0.7</w:t>
      </w:r>
      <w:r w:rsidR="00786E64" w:rsidRPr="003D290F">
        <w:rPr>
          <w:rFonts w:eastAsia="Times New Roman" w:cs="Segoe UI"/>
        </w:rPr>
        <w:t xml:space="preserve"> </w:t>
      </w:r>
      <w:r w:rsidR="005C5CA0" w:rsidRPr="003D290F">
        <w:rPr>
          <w:rFonts w:eastAsia="Times New Roman" w:cs="Segoe UI"/>
        </w:rPr>
        <w:t>million</w:t>
      </w:r>
      <w:r w:rsidRPr="003D290F">
        <w:rPr>
          <w:rFonts w:eastAsia="Times New Roman" w:cs="Segoe UI"/>
        </w:rPr>
        <w:t>, split between</w:t>
      </w:r>
      <w:r w:rsidR="005C5CA0" w:rsidRPr="003D290F">
        <w:rPr>
          <w:rFonts w:eastAsia="Times New Roman" w:cs="Segoe UI"/>
        </w:rPr>
        <w:t xml:space="preserve"> </w:t>
      </w:r>
      <w:r w:rsidR="00925AE6" w:rsidRPr="003D290F">
        <w:rPr>
          <w:rFonts w:eastAsia="Times New Roman" w:cs="Segoe UI"/>
        </w:rPr>
        <w:t xml:space="preserve">closing and </w:t>
      </w:r>
      <w:r w:rsidR="001F471B" w:rsidRPr="003D290F">
        <w:rPr>
          <w:rFonts w:eastAsia="Times New Roman" w:cs="Segoe UI"/>
        </w:rPr>
        <w:t>receiving employers</w:t>
      </w:r>
      <w:r w:rsidR="004F37CB" w:rsidRPr="003D290F">
        <w:rPr>
          <w:rFonts w:eastAsia="Times New Roman" w:cs="Segoe UI"/>
        </w:rPr>
        <w:t xml:space="preserve">. </w:t>
      </w:r>
      <w:r w:rsidRPr="003D290F">
        <w:rPr>
          <w:rFonts w:eastAsia="Times New Roman" w:cs="Segoe UI"/>
        </w:rPr>
        <w:t xml:space="preserve">As discussed in </w:t>
      </w:r>
      <w:r w:rsidRPr="003D290F">
        <w:rPr>
          <w:rFonts w:eastAsia="Times New Roman" w:cs="Segoe UI"/>
          <w:b/>
          <w:color w:val="1B375C" w:themeColor="accent1"/>
        </w:rPr>
        <w:t>Section 4.1</w:t>
      </w:r>
      <w:r w:rsidRPr="003D290F">
        <w:rPr>
          <w:rFonts w:eastAsia="Times New Roman" w:cs="Segoe UI"/>
        </w:rPr>
        <w:t xml:space="preserve">, regulatory costs, in this instance, refer to the administrative costs for closing and receiving employers associated with participating in the </w:t>
      </w:r>
      <w:r w:rsidR="00F6294A" w:rsidRPr="003D290F">
        <w:rPr>
          <w:rFonts w:eastAsia="Times New Roman" w:cs="Segoe UI"/>
        </w:rPr>
        <w:t>plan</w:t>
      </w:r>
      <w:r w:rsidRPr="003D290F">
        <w:rPr>
          <w:rFonts w:eastAsia="Times New Roman" w:cs="Segoe UI"/>
        </w:rPr>
        <w:t xml:space="preserve"> </w:t>
      </w:r>
      <w:r w:rsidR="00C05BFE" w:rsidRPr="003D290F">
        <w:rPr>
          <w:rFonts w:eastAsia="Times New Roman" w:cs="Segoe UI"/>
        </w:rPr>
        <w:t xml:space="preserve">and are greater for </w:t>
      </w:r>
      <w:r w:rsidR="00530536" w:rsidRPr="003D290F">
        <w:rPr>
          <w:rFonts w:eastAsia="Times New Roman" w:cs="Segoe UI"/>
        </w:rPr>
        <w:t>receiving</w:t>
      </w:r>
      <w:r w:rsidR="00C05BFE" w:rsidRPr="003D290F">
        <w:rPr>
          <w:rFonts w:eastAsia="Times New Roman" w:cs="Segoe UI"/>
        </w:rPr>
        <w:t xml:space="preserve"> employers than closing employers. </w:t>
      </w:r>
      <w:r w:rsidRPr="003D290F">
        <w:rPr>
          <w:rFonts w:eastAsia="Times New Roman" w:cs="Segoe UI"/>
        </w:rPr>
        <w:t>The total regulatory burden is</w:t>
      </w:r>
      <w:r w:rsidR="00C05BFE" w:rsidRPr="003D290F">
        <w:rPr>
          <w:rFonts w:eastAsia="Times New Roman" w:cs="Segoe UI"/>
        </w:rPr>
        <w:t xml:space="preserve"> greater under </w:t>
      </w:r>
      <w:r w:rsidRPr="003D290F">
        <w:rPr>
          <w:rFonts w:eastAsia="Times New Roman" w:cs="Segoe UI"/>
        </w:rPr>
        <w:t xml:space="preserve">Option 3 relative to Option 2 </w:t>
      </w:r>
      <w:r w:rsidR="00C05BFE" w:rsidRPr="003D290F">
        <w:rPr>
          <w:rFonts w:eastAsia="Times New Roman" w:cs="Segoe UI"/>
        </w:rPr>
        <w:t xml:space="preserve">as more employers are assumed to participate in the </w:t>
      </w:r>
      <w:r w:rsidR="00F6294A" w:rsidRPr="003D290F">
        <w:rPr>
          <w:rFonts w:eastAsia="Times New Roman" w:cs="Segoe UI"/>
        </w:rPr>
        <w:t>plan</w:t>
      </w:r>
      <w:r w:rsidR="00C05BFE" w:rsidRPr="003D290F">
        <w:rPr>
          <w:rFonts w:eastAsia="Times New Roman" w:cs="Segoe UI"/>
        </w:rPr>
        <w:t xml:space="preserve"> and there are additional </w:t>
      </w:r>
      <w:r w:rsidRPr="003D290F">
        <w:rPr>
          <w:rFonts w:eastAsia="Times New Roman" w:cs="Segoe UI"/>
        </w:rPr>
        <w:t xml:space="preserve">compulsory </w:t>
      </w:r>
      <w:r w:rsidR="00C05BFE" w:rsidRPr="003D290F">
        <w:rPr>
          <w:rFonts w:eastAsia="Times New Roman" w:cs="Segoe UI"/>
        </w:rPr>
        <w:t xml:space="preserve">obligations associated with </w:t>
      </w:r>
      <w:r w:rsidR="00582F90">
        <w:rPr>
          <w:rFonts w:eastAsia="Times New Roman" w:cs="Segoe UI"/>
        </w:rPr>
        <w:t xml:space="preserve">closing </w:t>
      </w:r>
      <w:r w:rsidR="00C05BFE" w:rsidRPr="003D290F">
        <w:rPr>
          <w:rFonts w:eastAsia="Times New Roman" w:cs="Segoe UI"/>
        </w:rPr>
        <w:t>employer participation.</w:t>
      </w:r>
    </w:p>
    <w:p w14:paraId="18521F91" w14:textId="77777777" w:rsidR="00355CA0" w:rsidRPr="003D290F" w:rsidRDefault="00EC579B" w:rsidP="00EC579B">
      <w:pPr>
        <w:spacing w:line="240" w:lineRule="auto"/>
        <w:rPr>
          <w:rFonts w:eastAsia="Times New Roman" w:cs="Segoe UI"/>
          <w:b/>
          <w:sz w:val="24"/>
        </w:rPr>
      </w:pPr>
      <w:r w:rsidRPr="003D290F">
        <w:rPr>
          <w:rFonts w:eastAsia="Times New Roman" w:cs="Segoe UI"/>
          <w:b/>
          <w:sz w:val="24"/>
        </w:rPr>
        <w:t>TABLE 4.</w:t>
      </w:r>
      <w:r w:rsidR="00757876">
        <w:rPr>
          <w:rFonts w:eastAsia="Times New Roman" w:cs="Segoe UI"/>
          <w:b/>
          <w:sz w:val="24"/>
        </w:rPr>
        <w:t>7</w:t>
      </w:r>
      <w:r w:rsidRPr="003D290F">
        <w:rPr>
          <w:rFonts w:eastAsia="Times New Roman" w:cs="Segoe UI"/>
          <w:b/>
          <w:sz w:val="24"/>
        </w:rPr>
        <w:t xml:space="preserve"> </w:t>
      </w:r>
      <w:r w:rsidR="00120313" w:rsidRPr="003D290F">
        <w:rPr>
          <w:rFonts w:eastAsia="Times New Roman" w:cs="Segoe UI"/>
          <w:b/>
          <w:sz w:val="24"/>
        </w:rPr>
        <w:t xml:space="preserve">ESTIMATED </w:t>
      </w:r>
      <w:r w:rsidR="00F53A32">
        <w:rPr>
          <w:rFonts w:eastAsia="Times New Roman" w:cs="Segoe UI"/>
          <w:b/>
          <w:sz w:val="24"/>
        </w:rPr>
        <w:t xml:space="preserve">QUANTIFIED </w:t>
      </w:r>
      <w:r w:rsidRPr="003D290F">
        <w:rPr>
          <w:rFonts w:eastAsia="Times New Roman" w:cs="Segoe UI"/>
          <w:b/>
          <w:sz w:val="24"/>
        </w:rPr>
        <w:t xml:space="preserve">NET PRESENT VALUE OF OPTION </w:t>
      </w:r>
      <w:r w:rsidR="001D25F0" w:rsidRPr="003D290F">
        <w:rPr>
          <w:rFonts w:eastAsia="Times New Roman" w:cs="Segoe UI"/>
          <w:b/>
          <w:sz w:val="24"/>
        </w:rPr>
        <w:t xml:space="preserve">3 </w:t>
      </w:r>
      <w:r w:rsidR="007B6C5E" w:rsidRPr="003D290F">
        <w:rPr>
          <w:rFonts w:eastAsia="Times New Roman" w:cs="Segoe UI"/>
          <w:b/>
          <w:sz w:val="24"/>
        </w:rPr>
        <w:t>IN</w:t>
      </w:r>
      <w:r w:rsidRPr="003D290F">
        <w:rPr>
          <w:rFonts w:eastAsia="Times New Roman" w:cs="Segoe UI"/>
          <w:b/>
          <w:sz w:val="24"/>
        </w:rPr>
        <w:t>CLUDING REGU</w:t>
      </w:r>
      <w:r w:rsidR="00F276DC" w:rsidRPr="003D290F">
        <w:rPr>
          <w:rFonts w:eastAsia="Times New Roman" w:cs="Segoe UI"/>
          <w:b/>
          <w:sz w:val="24"/>
        </w:rPr>
        <w:t>LA</w:t>
      </w:r>
      <w:r w:rsidRPr="003D290F">
        <w:rPr>
          <w:rFonts w:eastAsia="Times New Roman" w:cs="Segoe UI"/>
          <w:b/>
          <w:sz w:val="24"/>
        </w:rPr>
        <w:t>TORY COSTS</w:t>
      </w:r>
      <w:r w:rsidR="005A2F0F" w:rsidRPr="003D290F">
        <w:rPr>
          <w:rFonts w:eastAsia="Times New Roman" w:cs="Segoe UI"/>
          <w:b/>
          <w:sz w:val="24"/>
        </w:rPr>
        <w:t xml:space="preserve"> </w:t>
      </w:r>
      <w:r w:rsidR="00120313" w:rsidRPr="003D290F">
        <w:rPr>
          <w:rFonts w:eastAsia="Times New Roman" w:cs="Segoe UI"/>
          <w:b/>
          <w:sz w:val="24"/>
        </w:rPr>
        <w:t>RELATIVE TO OPTION 1</w:t>
      </w:r>
    </w:p>
    <w:tbl>
      <w:tblPr>
        <w:tblStyle w:val="Custom11"/>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660" w:firstRow="1" w:lastRow="1" w:firstColumn="0" w:lastColumn="0" w:noHBand="1" w:noVBand="1"/>
      </w:tblPr>
      <w:tblGrid>
        <w:gridCol w:w="7792"/>
        <w:gridCol w:w="2402"/>
      </w:tblGrid>
      <w:tr w:rsidR="00796498" w:rsidRPr="003D290F" w14:paraId="4F82995F" w14:textId="77777777" w:rsidTr="00ED7D02">
        <w:trPr>
          <w:cnfStyle w:val="100000000000" w:firstRow="1" w:lastRow="0" w:firstColumn="0" w:lastColumn="0" w:oddVBand="0" w:evenVBand="0" w:oddHBand="0" w:evenHBand="0" w:firstRowFirstColumn="0" w:firstRowLastColumn="0" w:lastRowFirstColumn="0" w:lastRowLastColumn="0"/>
          <w:trHeight w:val="350"/>
        </w:trPr>
        <w:tc>
          <w:tcPr>
            <w:tcW w:w="3822" w:type="pct"/>
            <w:vAlign w:val="center"/>
          </w:tcPr>
          <w:p w14:paraId="2191B55A" w14:textId="77777777" w:rsidR="00796498" w:rsidRPr="003D290F" w:rsidRDefault="00F53A32" w:rsidP="00264E02">
            <w:pPr>
              <w:rPr>
                <w:rFonts w:eastAsia="Times New Roman" w:cs="Segoe UI"/>
                <w:sz w:val="20"/>
                <w:szCs w:val="20"/>
              </w:rPr>
            </w:pPr>
            <w:r w:rsidRPr="004026C7">
              <w:rPr>
                <w:rFonts w:cs="Segoe UI"/>
                <w:bCs/>
                <w:color w:val="FFFFFF"/>
                <w:sz w:val="20"/>
                <w:szCs w:val="20"/>
              </w:rPr>
              <w:t>STAKEHOLDER</w:t>
            </w:r>
          </w:p>
        </w:tc>
        <w:tc>
          <w:tcPr>
            <w:tcW w:w="1178" w:type="pct"/>
            <w:vAlign w:val="center"/>
          </w:tcPr>
          <w:p w14:paraId="6DE6EF98" w14:textId="77777777" w:rsidR="00796498" w:rsidRPr="003D290F" w:rsidRDefault="00F53A32" w:rsidP="00264E02">
            <w:pPr>
              <w:jc w:val="center"/>
              <w:rPr>
                <w:rFonts w:eastAsia="Times New Roman" w:cs="Segoe UI"/>
                <w:sz w:val="20"/>
                <w:szCs w:val="20"/>
              </w:rPr>
            </w:pPr>
            <w:r w:rsidRPr="004026C7">
              <w:rPr>
                <w:rFonts w:cs="Segoe UI"/>
                <w:bCs/>
                <w:color w:val="FFFFFF"/>
                <w:sz w:val="20"/>
                <w:szCs w:val="20"/>
              </w:rPr>
              <w:t>NET PRESENT VALUE</w:t>
            </w:r>
          </w:p>
        </w:tc>
      </w:tr>
      <w:tr w:rsidR="00796498" w:rsidRPr="003D290F" w14:paraId="037CA6C4" w14:textId="77777777" w:rsidTr="00ED7D02">
        <w:trPr>
          <w:trHeight w:val="283"/>
        </w:trPr>
        <w:tc>
          <w:tcPr>
            <w:tcW w:w="3822" w:type="pct"/>
            <w:shd w:val="clear" w:color="auto" w:fill="E0E8F2"/>
            <w:vAlign w:val="center"/>
          </w:tcPr>
          <w:p w14:paraId="6042B4CA" w14:textId="77777777" w:rsidR="00796498" w:rsidRPr="003D290F" w:rsidRDefault="00F53A32" w:rsidP="00264E02">
            <w:pPr>
              <w:rPr>
                <w:rFonts w:eastAsia="Times New Roman" w:cs="Segoe UI"/>
                <w:b/>
                <w:sz w:val="20"/>
                <w:szCs w:val="20"/>
              </w:rPr>
            </w:pPr>
            <w:r>
              <w:rPr>
                <w:rFonts w:cs="Segoe UI"/>
                <w:b/>
                <w:bCs/>
                <w:color w:val="000000"/>
                <w:sz w:val="20"/>
                <w:szCs w:val="20"/>
              </w:rPr>
              <w:t>Closing and receiving employers</w:t>
            </w:r>
          </w:p>
        </w:tc>
        <w:tc>
          <w:tcPr>
            <w:tcW w:w="1178" w:type="pct"/>
            <w:shd w:val="clear" w:color="auto" w:fill="E0E8F2"/>
            <w:vAlign w:val="center"/>
          </w:tcPr>
          <w:p w14:paraId="7A1E9D12" w14:textId="77777777" w:rsidR="00796498" w:rsidRPr="003D290F" w:rsidRDefault="0087593C" w:rsidP="00264E02">
            <w:pPr>
              <w:jc w:val="right"/>
              <w:rPr>
                <w:rFonts w:eastAsia="Times New Roman" w:cs="Segoe UI"/>
                <w:sz w:val="20"/>
                <w:szCs w:val="20"/>
              </w:rPr>
            </w:pPr>
            <w:r>
              <w:rPr>
                <w:rFonts w:cs="Segoe UI"/>
                <w:color w:val="000000"/>
                <w:sz w:val="20"/>
                <w:szCs w:val="20"/>
              </w:rPr>
              <w:t>-</w:t>
            </w:r>
            <w:r w:rsidR="00186104">
              <w:rPr>
                <w:rFonts w:cs="Segoe UI"/>
                <w:color w:val="000000"/>
                <w:sz w:val="20"/>
                <w:szCs w:val="20"/>
              </w:rPr>
              <w:t>$</w:t>
            </w:r>
            <w:r>
              <w:rPr>
                <w:rFonts w:cs="Segoe UI"/>
                <w:color w:val="000000"/>
                <w:sz w:val="20"/>
                <w:szCs w:val="20"/>
              </w:rPr>
              <w:t>22.8 million</w:t>
            </w:r>
          </w:p>
        </w:tc>
      </w:tr>
      <w:tr w:rsidR="0057412D" w:rsidRPr="003D290F" w14:paraId="52B2076D" w14:textId="77777777" w:rsidTr="00ED7D02">
        <w:trPr>
          <w:trHeight w:val="283"/>
        </w:trPr>
        <w:tc>
          <w:tcPr>
            <w:tcW w:w="3822" w:type="pct"/>
            <w:shd w:val="clear" w:color="auto" w:fill="auto"/>
            <w:vAlign w:val="center"/>
          </w:tcPr>
          <w:p w14:paraId="60165DFB" w14:textId="77777777" w:rsidR="0057412D" w:rsidRPr="003D290F" w:rsidRDefault="00F53A32" w:rsidP="0057412D">
            <w:pPr>
              <w:ind w:left="227"/>
              <w:rPr>
                <w:rFonts w:eastAsia="Times New Roman" w:cs="Segoe UI"/>
                <w:b/>
                <w:sz w:val="20"/>
                <w:szCs w:val="20"/>
              </w:rPr>
            </w:pPr>
            <w:r>
              <w:rPr>
                <w:rFonts w:cs="Segoe UI"/>
                <w:i/>
                <w:iCs/>
                <w:color w:val="000000"/>
                <w:sz w:val="20"/>
                <w:szCs w:val="20"/>
              </w:rPr>
              <w:t>Of which: regulatory costs</w:t>
            </w:r>
          </w:p>
        </w:tc>
        <w:tc>
          <w:tcPr>
            <w:tcW w:w="1178" w:type="pct"/>
            <w:shd w:val="clear" w:color="auto" w:fill="auto"/>
            <w:vAlign w:val="center"/>
          </w:tcPr>
          <w:p w14:paraId="5520498A" w14:textId="77777777" w:rsidR="0057412D" w:rsidRPr="003D290F" w:rsidRDefault="0087593C" w:rsidP="0057412D">
            <w:pPr>
              <w:jc w:val="right"/>
              <w:rPr>
                <w:rFonts w:eastAsia="Times New Roman" w:cs="Segoe UI"/>
                <w:sz w:val="20"/>
                <w:szCs w:val="20"/>
              </w:rPr>
            </w:pPr>
            <w:r>
              <w:rPr>
                <w:rFonts w:cs="Segoe UI"/>
                <w:i/>
                <w:iCs/>
                <w:color w:val="000000"/>
                <w:sz w:val="20"/>
                <w:szCs w:val="20"/>
              </w:rPr>
              <w:t>-</w:t>
            </w:r>
            <w:r w:rsidR="00186104">
              <w:rPr>
                <w:rFonts w:cs="Segoe UI"/>
                <w:i/>
                <w:iCs/>
                <w:color w:val="000000"/>
                <w:sz w:val="20"/>
                <w:szCs w:val="20"/>
              </w:rPr>
              <w:t>$</w:t>
            </w:r>
            <w:r>
              <w:rPr>
                <w:rFonts w:cs="Segoe UI"/>
                <w:i/>
                <w:iCs/>
                <w:color w:val="000000"/>
                <w:sz w:val="20"/>
                <w:szCs w:val="20"/>
              </w:rPr>
              <w:t>10.7 million</w:t>
            </w:r>
          </w:p>
        </w:tc>
      </w:tr>
      <w:tr w:rsidR="00796498" w:rsidRPr="003D290F" w14:paraId="76F5D575" w14:textId="77777777" w:rsidTr="00ED7D02">
        <w:trPr>
          <w:trHeight w:val="283"/>
        </w:trPr>
        <w:tc>
          <w:tcPr>
            <w:tcW w:w="3822" w:type="pct"/>
            <w:shd w:val="clear" w:color="auto" w:fill="E0E8F2" w:themeFill="background2"/>
            <w:vAlign w:val="center"/>
          </w:tcPr>
          <w:p w14:paraId="12D3C7B4" w14:textId="77777777" w:rsidR="00796498" w:rsidRPr="003D290F" w:rsidRDefault="00F53A32" w:rsidP="00925AE6">
            <w:pPr>
              <w:rPr>
                <w:rFonts w:eastAsia="Times New Roman" w:cs="Segoe UI"/>
                <w:b/>
                <w:sz w:val="20"/>
                <w:szCs w:val="20"/>
              </w:rPr>
            </w:pPr>
            <w:r>
              <w:rPr>
                <w:rFonts w:cs="Segoe UI"/>
                <w:b/>
                <w:bCs/>
                <w:color w:val="000000"/>
                <w:sz w:val="20"/>
                <w:szCs w:val="20"/>
              </w:rPr>
              <w:t>Closing and receiving employer employees</w:t>
            </w:r>
          </w:p>
        </w:tc>
        <w:tc>
          <w:tcPr>
            <w:tcW w:w="1178" w:type="pct"/>
            <w:shd w:val="clear" w:color="auto" w:fill="E0E8F2" w:themeFill="background2"/>
            <w:vAlign w:val="center"/>
          </w:tcPr>
          <w:p w14:paraId="61A0F578" w14:textId="77777777" w:rsidR="00796498" w:rsidRPr="003D290F" w:rsidRDefault="00F53A32" w:rsidP="00264E02">
            <w:pPr>
              <w:jc w:val="right"/>
              <w:rPr>
                <w:rFonts w:eastAsia="Times New Roman" w:cs="Segoe UI"/>
                <w:sz w:val="20"/>
                <w:szCs w:val="20"/>
              </w:rPr>
            </w:pPr>
            <w:r>
              <w:rPr>
                <w:rFonts w:cs="Segoe UI"/>
                <w:color w:val="000000"/>
                <w:sz w:val="20"/>
                <w:szCs w:val="20"/>
              </w:rPr>
              <w:t>+$119.4 million</w:t>
            </w:r>
          </w:p>
        </w:tc>
      </w:tr>
      <w:tr w:rsidR="00796498" w:rsidRPr="003D290F" w14:paraId="7F20F100" w14:textId="77777777" w:rsidTr="00ED7D02">
        <w:trPr>
          <w:trHeight w:val="283"/>
        </w:trPr>
        <w:tc>
          <w:tcPr>
            <w:tcW w:w="3822" w:type="pct"/>
            <w:shd w:val="clear" w:color="auto" w:fill="auto"/>
            <w:vAlign w:val="center"/>
          </w:tcPr>
          <w:p w14:paraId="500AD3AD" w14:textId="77777777" w:rsidR="00796498" w:rsidRPr="003D290F" w:rsidRDefault="00F53A32" w:rsidP="00264E02">
            <w:pPr>
              <w:rPr>
                <w:rFonts w:eastAsia="Times New Roman" w:cs="Segoe UI"/>
                <w:b/>
                <w:sz w:val="20"/>
                <w:szCs w:val="20"/>
              </w:rPr>
            </w:pPr>
            <w:r>
              <w:rPr>
                <w:rFonts w:cs="Segoe UI"/>
                <w:b/>
                <w:bCs/>
                <w:color w:val="000000"/>
                <w:sz w:val="20"/>
                <w:szCs w:val="20"/>
              </w:rPr>
              <w:t>Government</w:t>
            </w:r>
          </w:p>
        </w:tc>
        <w:tc>
          <w:tcPr>
            <w:tcW w:w="1178" w:type="pct"/>
            <w:shd w:val="clear" w:color="auto" w:fill="auto"/>
            <w:vAlign w:val="center"/>
          </w:tcPr>
          <w:p w14:paraId="4A677C86" w14:textId="77777777" w:rsidR="00796498" w:rsidRPr="003D290F" w:rsidRDefault="0087593C" w:rsidP="00264E02">
            <w:pPr>
              <w:jc w:val="right"/>
              <w:rPr>
                <w:rFonts w:eastAsia="Times New Roman" w:cs="Segoe UI"/>
                <w:sz w:val="20"/>
                <w:szCs w:val="20"/>
              </w:rPr>
            </w:pPr>
            <w:r>
              <w:rPr>
                <w:rFonts w:cs="Segoe UI"/>
                <w:color w:val="000000"/>
                <w:sz w:val="20"/>
                <w:szCs w:val="20"/>
              </w:rPr>
              <w:t>-</w:t>
            </w:r>
            <w:r w:rsidR="00186104">
              <w:rPr>
                <w:rFonts w:cs="Segoe UI"/>
                <w:color w:val="000000"/>
                <w:sz w:val="20"/>
                <w:szCs w:val="20"/>
              </w:rPr>
              <w:t>$</w:t>
            </w:r>
            <w:r>
              <w:rPr>
                <w:rFonts w:cs="Segoe UI"/>
                <w:color w:val="000000"/>
                <w:sz w:val="20"/>
                <w:szCs w:val="20"/>
              </w:rPr>
              <w:t>129.7 million</w:t>
            </w:r>
          </w:p>
        </w:tc>
      </w:tr>
      <w:tr w:rsidR="00796498" w:rsidRPr="003D290F" w14:paraId="2A501E52" w14:textId="77777777" w:rsidTr="00ED7D02">
        <w:trPr>
          <w:trHeight w:val="283"/>
        </w:trPr>
        <w:tc>
          <w:tcPr>
            <w:tcW w:w="3822" w:type="pct"/>
            <w:shd w:val="clear" w:color="auto" w:fill="27518B"/>
            <w:vAlign w:val="center"/>
          </w:tcPr>
          <w:p w14:paraId="2DCA826A" w14:textId="77777777" w:rsidR="00796498" w:rsidRPr="003D290F" w:rsidRDefault="00F53A32" w:rsidP="00264E02">
            <w:pPr>
              <w:rPr>
                <w:rFonts w:eastAsia="Times New Roman" w:cs="Segoe UI"/>
                <w:b/>
                <w:color w:val="FFFFFF"/>
                <w:sz w:val="20"/>
                <w:szCs w:val="20"/>
              </w:rPr>
            </w:pPr>
            <w:r>
              <w:rPr>
                <w:rFonts w:cs="Segoe UI"/>
                <w:b/>
                <w:bCs/>
                <w:color w:val="FFFFFF"/>
                <w:sz w:val="20"/>
                <w:szCs w:val="20"/>
              </w:rPr>
              <w:t>Total</w:t>
            </w:r>
          </w:p>
        </w:tc>
        <w:tc>
          <w:tcPr>
            <w:tcW w:w="1178" w:type="pct"/>
            <w:shd w:val="clear" w:color="auto" w:fill="27518B"/>
            <w:vAlign w:val="center"/>
          </w:tcPr>
          <w:p w14:paraId="4CF9E843" w14:textId="77777777" w:rsidR="00796498" w:rsidRPr="003D290F" w:rsidRDefault="0087593C" w:rsidP="00264E02">
            <w:pPr>
              <w:jc w:val="right"/>
              <w:rPr>
                <w:rFonts w:eastAsia="Times New Roman" w:cs="Segoe UI"/>
                <w:b/>
                <w:color w:val="FFFFFF"/>
                <w:sz w:val="20"/>
                <w:szCs w:val="20"/>
              </w:rPr>
            </w:pPr>
            <w:r>
              <w:rPr>
                <w:rFonts w:cs="Segoe UI"/>
                <w:b/>
                <w:bCs/>
                <w:color w:val="FFFFFF"/>
                <w:sz w:val="20"/>
                <w:szCs w:val="20"/>
              </w:rPr>
              <w:t>-</w:t>
            </w:r>
            <w:r w:rsidR="00186104">
              <w:rPr>
                <w:rFonts w:cs="Segoe UI"/>
                <w:b/>
                <w:bCs/>
                <w:color w:val="FFFFFF"/>
                <w:sz w:val="20"/>
                <w:szCs w:val="20"/>
              </w:rPr>
              <w:t>$</w:t>
            </w:r>
            <w:r>
              <w:rPr>
                <w:rFonts w:cs="Segoe UI"/>
                <w:b/>
                <w:bCs/>
                <w:color w:val="FFFFFF"/>
                <w:sz w:val="20"/>
                <w:szCs w:val="20"/>
              </w:rPr>
              <w:t>33.1 million</w:t>
            </w:r>
          </w:p>
        </w:tc>
      </w:tr>
      <w:tr w:rsidR="00F75ACA" w:rsidRPr="003D290F" w14:paraId="7C0612FC" w14:textId="77777777" w:rsidTr="00ED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3822" w:type="pct"/>
            <w:tcBorders>
              <w:top w:val="single" w:sz="4" w:space="0" w:color="FFFFFF"/>
              <w:left w:val="single" w:sz="4" w:space="0" w:color="FFFFFF"/>
              <w:bottom w:val="single" w:sz="12" w:space="0" w:color="auto"/>
              <w:right w:val="single" w:sz="4" w:space="0" w:color="FFFFFF"/>
            </w:tcBorders>
            <w:shd w:val="clear" w:color="auto" w:fill="E0E8F2" w:themeFill="background2"/>
            <w:vAlign w:val="center"/>
          </w:tcPr>
          <w:p w14:paraId="5EA7EA4E" w14:textId="77777777" w:rsidR="00F75ACA" w:rsidRPr="00D71283" w:rsidRDefault="00976B8D" w:rsidP="00ED7D02">
            <w:pPr>
              <w:keepNext/>
              <w:jc w:val="both"/>
              <w:rPr>
                <w:rFonts w:eastAsia="Times New Roman" w:cs="Segoe UI"/>
                <w:i/>
                <w:sz w:val="20"/>
                <w:szCs w:val="20"/>
              </w:rPr>
            </w:pPr>
            <w:r>
              <w:rPr>
                <w:rFonts w:eastAsia="Times New Roman" w:cs="Segoe UI"/>
                <w:bCs/>
                <w:i/>
                <w:color w:val="000000"/>
                <w:sz w:val="20"/>
                <w:szCs w:val="20"/>
                <w:lang w:eastAsia="en-AU"/>
              </w:rPr>
              <w:t>Participant success rate</w:t>
            </w:r>
            <w:r w:rsidR="00703F0D">
              <w:rPr>
                <w:rFonts w:eastAsia="Times New Roman" w:cs="Segoe UI"/>
                <w:bCs/>
                <w:i/>
                <w:color w:val="000000"/>
                <w:sz w:val="20"/>
                <w:szCs w:val="20"/>
                <w:lang w:eastAsia="en-AU"/>
              </w:rPr>
              <w:t xml:space="preserve"> </w:t>
            </w:r>
            <w:r w:rsidR="00703F0D" w:rsidRPr="00CA3123">
              <w:rPr>
                <w:rFonts w:eastAsia="Times New Roman" w:cs="Segoe UI"/>
                <w:i/>
                <w:color w:val="000000"/>
                <w:sz w:val="20"/>
                <w:szCs w:val="20"/>
                <w:lang w:eastAsia="en-AU"/>
              </w:rPr>
              <w:t>(drives unquantified benefits)</w:t>
            </w:r>
          </w:p>
        </w:tc>
        <w:tc>
          <w:tcPr>
            <w:tcW w:w="1178" w:type="pct"/>
            <w:tcBorders>
              <w:top w:val="single" w:sz="4" w:space="0" w:color="FFFFFF"/>
              <w:left w:val="single" w:sz="4" w:space="0" w:color="FFFFFF"/>
              <w:bottom w:val="single" w:sz="12" w:space="0" w:color="auto"/>
              <w:right w:val="single" w:sz="4" w:space="0" w:color="FFFFFF"/>
            </w:tcBorders>
            <w:shd w:val="clear" w:color="auto" w:fill="E0E8F2" w:themeFill="background2"/>
            <w:vAlign w:val="center"/>
          </w:tcPr>
          <w:p w14:paraId="6AD4AD37" w14:textId="77777777" w:rsidR="00F75ACA" w:rsidRPr="003D290F" w:rsidRDefault="00976B8D" w:rsidP="0055105F">
            <w:pPr>
              <w:keepNext/>
              <w:jc w:val="right"/>
              <w:rPr>
                <w:rFonts w:cs="Segoe UI"/>
                <w:color w:val="000000"/>
                <w:sz w:val="20"/>
                <w:szCs w:val="20"/>
              </w:rPr>
            </w:pPr>
            <w:r>
              <w:rPr>
                <w:rFonts w:cs="Segoe UI"/>
                <w:i/>
                <w:iCs/>
                <w:color w:val="000000"/>
                <w:sz w:val="20"/>
                <w:szCs w:val="20"/>
              </w:rPr>
              <w:t>85</w:t>
            </w:r>
            <w:r w:rsidR="00F75ACA">
              <w:rPr>
                <w:rFonts w:cs="Segoe UI"/>
                <w:i/>
                <w:iCs/>
                <w:color w:val="000000"/>
                <w:sz w:val="20"/>
                <w:szCs w:val="20"/>
              </w:rPr>
              <w:t>%</w:t>
            </w:r>
          </w:p>
        </w:tc>
      </w:tr>
    </w:tbl>
    <w:p w14:paraId="10133F11" w14:textId="77777777" w:rsidR="0035606F" w:rsidRPr="005C1EDF" w:rsidRDefault="0035606F" w:rsidP="005C1EDF">
      <w:pPr>
        <w:rPr>
          <w:rFonts w:eastAsia="Times New Roman" w:cs="Segoe UI"/>
          <w:sz w:val="20"/>
          <w:szCs w:val="20"/>
        </w:rPr>
      </w:pPr>
      <w:bookmarkStart w:id="310" w:name="_Toc155604641"/>
      <w:r>
        <w:rPr>
          <w:rFonts w:eastAsia="Times New Roman"/>
        </w:rPr>
        <w:t xml:space="preserve">Closing employers would also experience costs associated with contributing to the cost </w:t>
      </w:r>
      <w:r w:rsidRPr="005C1EDF">
        <w:rPr>
          <w:rFonts w:eastAsia="Times New Roman" w:cs="Segoe UI"/>
          <w:szCs w:val="20"/>
        </w:rPr>
        <w:t xml:space="preserve">of on-the-job </w:t>
      </w:r>
      <w:r>
        <w:rPr>
          <w:rFonts w:eastAsia="Times New Roman" w:cs="Segoe UI"/>
          <w:szCs w:val="20"/>
        </w:rPr>
        <w:t>re</w:t>
      </w:r>
      <w:r>
        <w:rPr>
          <w:rFonts w:eastAsia="Times New Roman" w:cs="Segoe UI"/>
          <w:szCs w:val="20"/>
        </w:rPr>
        <w:noBreakHyphen/>
      </w:r>
      <w:r w:rsidRPr="005C1EDF">
        <w:rPr>
          <w:rFonts w:eastAsia="Times New Roman" w:cs="Segoe UI"/>
          <w:szCs w:val="20"/>
        </w:rPr>
        <w:t>training</w:t>
      </w:r>
      <w:r>
        <w:rPr>
          <w:rFonts w:eastAsia="Times New Roman" w:cs="Segoe UI"/>
          <w:szCs w:val="20"/>
        </w:rPr>
        <w:t xml:space="preserve"> and providing additional leave for staff to attend this training</w:t>
      </w:r>
      <w:r w:rsidRPr="005C1EDF">
        <w:rPr>
          <w:rFonts w:eastAsia="Times New Roman" w:cs="Segoe UI"/>
          <w:szCs w:val="20"/>
        </w:rPr>
        <w:t>.</w:t>
      </w:r>
    </w:p>
    <w:p w14:paraId="4D6729D8" w14:textId="77777777" w:rsidR="004F37CB" w:rsidRPr="003D290F" w:rsidRDefault="00355CA0" w:rsidP="005D46F4">
      <w:pPr>
        <w:pStyle w:val="Heading3"/>
        <w:spacing w:line="276" w:lineRule="auto"/>
        <w:rPr>
          <w:rFonts w:eastAsia="Times New Roman"/>
        </w:rPr>
      </w:pPr>
      <w:bookmarkStart w:id="311" w:name="_Toc161395998"/>
      <w:bookmarkStart w:id="312" w:name="_Toc161403534"/>
      <w:bookmarkStart w:id="313" w:name="_Toc161694813"/>
      <w:bookmarkStart w:id="314" w:name="_Toc161752268"/>
      <w:bookmarkStart w:id="315" w:name="_Toc161759706"/>
      <w:r w:rsidRPr="003D290F">
        <w:rPr>
          <w:rFonts w:eastAsia="Times New Roman"/>
        </w:rPr>
        <w:t>4.</w:t>
      </w:r>
      <w:r w:rsidR="007727EE" w:rsidRPr="003D290F">
        <w:rPr>
          <w:rFonts w:eastAsia="Times New Roman"/>
        </w:rPr>
        <w:t>6</w:t>
      </w:r>
      <w:r w:rsidRPr="003D290F">
        <w:rPr>
          <w:rFonts w:eastAsia="Times New Roman"/>
        </w:rPr>
        <w:t xml:space="preserve">.2 </w:t>
      </w:r>
      <w:r w:rsidR="00CE0DCE" w:rsidRPr="003D290F">
        <w:rPr>
          <w:rFonts w:eastAsia="Times New Roman"/>
        </w:rPr>
        <w:t>International experience</w:t>
      </w:r>
      <w:bookmarkEnd w:id="310"/>
      <w:bookmarkEnd w:id="311"/>
      <w:bookmarkEnd w:id="312"/>
      <w:bookmarkEnd w:id="313"/>
      <w:bookmarkEnd w:id="314"/>
      <w:bookmarkEnd w:id="315"/>
    </w:p>
    <w:p w14:paraId="09BD25EE" w14:textId="77777777" w:rsidR="00B2436D" w:rsidRPr="003D290F" w:rsidRDefault="00CE0DCE" w:rsidP="00FE3DEC">
      <w:pPr>
        <w:rPr>
          <w:rFonts w:eastAsia="Times New Roman" w:cs="Segoe UI"/>
        </w:rPr>
      </w:pPr>
      <w:r w:rsidRPr="003D290F">
        <w:rPr>
          <w:rFonts w:eastAsia="Times New Roman" w:cs="Segoe UI"/>
        </w:rPr>
        <w:t xml:space="preserve">International experience provides useful examples of insufficient and best practice policy interventions. </w:t>
      </w:r>
    </w:p>
    <w:p w14:paraId="3864C280" w14:textId="77777777" w:rsidR="00B36CDB" w:rsidRPr="003D290F" w:rsidRDefault="00CE0DCE" w:rsidP="00FE3DEC">
      <w:pPr>
        <w:rPr>
          <w:rFonts w:eastAsia="Times New Roman" w:cs="Segoe UI"/>
        </w:rPr>
      </w:pPr>
      <w:r w:rsidRPr="003D290F">
        <w:rPr>
          <w:rFonts w:eastAsia="Times New Roman" w:cs="Segoe UI"/>
        </w:rPr>
        <w:lastRenderedPageBreak/>
        <w:t xml:space="preserve">In the United States, </w:t>
      </w:r>
      <w:r w:rsidR="00853267" w:rsidRPr="003D290F">
        <w:rPr>
          <w:rFonts w:eastAsia="Times New Roman" w:cs="Segoe UI"/>
        </w:rPr>
        <w:t>the lack of success in Appalachian structural adjustment policies</w:t>
      </w:r>
      <w:r w:rsidRPr="003D290F">
        <w:rPr>
          <w:rFonts w:eastAsia="Times New Roman" w:cs="Segoe UI"/>
        </w:rPr>
        <w:t xml:space="preserve"> </w:t>
      </w:r>
      <w:r w:rsidR="00853267" w:rsidRPr="003D290F">
        <w:rPr>
          <w:rFonts w:eastAsia="Times New Roman" w:cs="Segoe UI"/>
        </w:rPr>
        <w:t xml:space="preserve">following the decline of coal mining in the 1990s </w:t>
      </w:r>
      <w:r w:rsidR="00B2436D" w:rsidRPr="003D290F">
        <w:rPr>
          <w:rFonts w:eastAsia="Times New Roman" w:cs="Segoe UI"/>
        </w:rPr>
        <w:t xml:space="preserve">has been attributed </w:t>
      </w:r>
      <w:r w:rsidR="00853267" w:rsidRPr="003D290F">
        <w:rPr>
          <w:rFonts w:eastAsia="Times New Roman" w:cs="Segoe UI"/>
        </w:rPr>
        <w:t>to</w:t>
      </w:r>
      <w:r w:rsidRPr="003D290F">
        <w:rPr>
          <w:rFonts w:eastAsia="Times New Roman" w:cs="Segoe UI"/>
        </w:rPr>
        <w:t xml:space="preserve"> </w:t>
      </w:r>
      <w:r w:rsidR="00853267" w:rsidRPr="003D290F">
        <w:rPr>
          <w:rFonts w:eastAsia="Times New Roman" w:cs="Segoe UI"/>
        </w:rPr>
        <w:t xml:space="preserve">inadequate </w:t>
      </w:r>
      <w:r w:rsidRPr="003D290F">
        <w:rPr>
          <w:rFonts w:eastAsia="Times New Roman" w:cs="Segoe UI"/>
        </w:rPr>
        <w:t>pl</w:t>
      </w:r>
      <w:r w:rsidR="00853267" w:rsidRPr="003D290F">
        <w:rPr>
          <w:rFonts w:eastAsia="Times New Roman" w:cs="Segoe UI"/>
        </w:rPr>
        <w:t>anning, funding</w:t>
      </w:r>
      <w:r w:rsidR="0071528E" w:rsidRPr="003D290F">
        <w:rPr>
          <w:rFonts w:eastAsia="Times New Roman" w:cs="Segoe UI"/>
        </w:rPr>
        <w:t>,</w:t>
      </w:r>
      <w:r w:rsidR="00853267" w:rsidRPr="003D290F">
        <w:rPr>
          <w:rFonts w:eastAsia="Times New Roman" w:cs="Segoe UI"/>
        </w:rPr>
        <w:t xml:space="preserve"> and coordination by </w:t>
      </w:r>
      <w:r w:rsidR="0071528E" w:rsidRPr="003D290F">
        <w:rPr>
          <w:rFonts w:eastAsia="Times New Roman" w:cs="Segoe UI"/>
        </w:rPr>
        <w:t>g</w:t>
      </w:r>
      <w:r w:rsidR="00853267" w:rsidRPr="003D290F">
        <w:rPr>
          <w:rFonts w:eastAsia="Times New Roman" w:cs="Segoe UI"/>
        </w:rPr>
        <w:t>overnment.</w:t>
      </w:r>
      <w:r w:rsidR="0071528E" w:rsidRPr="003D290F">
        <w:rPr>
          <w:rStyle w:val="FootnoteReference"/>
          <w:rFonts w:eastAsia="Times New Roman" w:cs="Segoe UI"/>
        </w:rPr>
        <w:footnoteReference w:id="86"/>
      </w:r>
      <w:r w:rsidRPr="003D290F">
        <w:rPr>
          <w:rFonts w:eastAsia="Times New Roman" w:cs="Segoe UI"/>
        </w:rPr>
        <w:t xml:space="preserve"> </w:t>
      </w:r>
      <w:r w:rsidR="00B36CDB" w:rsidRPr="003D290F">
        <w:rPr>
          <w:rFonts w:eastAsia="Times New Roman" w:cs="Segoe UI"/>
        </w:rPr>
        <w:t>In the United Kingdom, coal mining declined significantly in the 1980s</w:t>
      </w:r>
      <w:r w:rsidR="005577BE" w:rsidRPr="003D290F">
        <w:rPr>
          <w:rFonts w:eastAsia="Times New Roman" w:cs="Segoe UI"/>
        </w:rPr>
        <w:t>,</w:t>
      </w:r>
      <w:r w:rsidR="00B36CDB" w:rsidRPr="003D290F">
        <w:rPr>
          <w:rFonts w:eastAsia="Times New Roman" w:cs="Segoe UI"/>
        </w:rPr>
        <w:t xml:space="preserve"> precipitating long-term, pervasive unemployment in coal-reliant regions</w:t>
      </w:r>
      <w:r w:rsidR="00B2436D" w:rsidRPr="003D290F">
        <w:rPr>
          <w:rFonts w:eastAsia="Times New Roman" w:cs="Segoe UI"/>
        </w:rPr>
        <w:t>, which has been attributed</w:t>
      </w:r>
      <w:r w:rsidR="00B36CDB" w:rsidRPr="003D290F">
        <w:rPr>
          <w:rFonts w:eastAsia="Times New Roman" w:cs="Segoe UI"/>
        </w:rPr>
        <w:t xml:space="preserve"> in part to a series of unsuccessful economic diversification policies.</w:t>
      </w:r>
      <w:r w:rsidR="00B36CDB" w:rsidRPr="003D290F">
        <w:rPr>
          <w:rStyle w:val="FootnoteReference"/>
          <w:rFonts w:eastAsia="Times New Roman" w:cs="Segoe UI"/>
        </w:rPr>
        <w:footnoteReference w:id="87"/>
      </w:r>
    </w:p>
    <w:p w14:paraId="5E24C4A0" w14:textId="77777777" w:rsidR="00F4594E" w:rsidRPr="003D290F" w:rsidRDefault="00B36CDB" w:rsidP="00FE3DEC">
      <w:pPr>
        <w:rPr>
          <w:rFonts w:eastAsia="Times New Roman" w:cs="Segoe UI"/>
        </w:rPr>
      </w:pPr>
      <w:r w:rsidRPr="003D290F">
        <w:rPr>
          <w:rFonts w:eastAsia="Times New Roman" w:cs="Segoe UI"/>
        </w:rPr>
        <w:t xml:space="preserve">On the other hand, </w:t>
      </w:r>
      <w:r w:rsidR="00F4594E" w:rsidRPr="003D290F">
        <w:rPr>
          <w:rFonts w:eastAsia="Times New Roman" w:cs="Segoe UI"/>
        </w:rPr>
        <w:t xml:space="preserve">Germany’s </w:t>
      </w:r>
      <w:r w:rsidR="006217F1" w:rsidRPr="003D290F">
        <w:rPr>
          <w:rFonts w:eastAsia="Times New Roman" w:cs="Segoe UI"/>
        </w:rPr>
        <w:t>deliberate</w:t>
      </w:r>
      <w:r w:rsidR="00F4594E" w:rsidRPr="003D290F">
        <w:rPr>
          <w:rFonts w:eastAsia="Times New Roman" w:cs="Segoe UI"/>
        </w:rPr>
        <w:t xml:space="preserve">, systematic down </w:t>
      </w:r>
      <w:r w:rsidRPr="003D290F">
        <w:rPr>
          <w:rFonts w:eastAsia="Times New Roman" w:cs="Segoe UI"/>
        </w:rPr>
        <w:t xml:space="preserve">scale </w:t>
      </w:r>
      <w:r w:rsidR="00F4594E" w:rsidRPr="003D290F">
        <w:rPr>
          <w:rFonts w:eastAsia="Times New Roman" w:cs="Segoe UI"/>
        </w:rPr>
        <w:t>of its substantive coal industry over 60</w:t>
      </w:r>
      <w:r w:rsidR="006C0760">
        <w:rPr>
          <w:rFonts w:eastAsia="Times New Roman" w:cs="Segoe UI"/>
        </w:rPr>
        <w:t> </w:t>
      </w:r>
      <w:r w:rsidR="00F4594E" w:rsidRPr="003D290F">
        <w:rPr>
          <w:rFonts w:eastAsia="Times New Roman" w:cs="Segoe UI"/>
        </w:rPr>
        <w:t xml:space="preserve">years provides useful experience relevant to a legislated pooled redeployment </w:t>
      </w:r>
      <w:r w:rsidR="00F6294A" w:rsidRPr="003D290F">
        <w:rPr>
          <w:rFonts w:eastAsia="Times New Roman" w:cs="Segoe UI"/>
        </w:rPr>
        <w:t>plan</w:t>
      </w:r>
      <w:r w:rsidR="00F4594E" w:rsidRPr="003D290F">
        <w:rPr>
          <w:rFonts w:eastAsia="Times New Roman" w:cs="Segoe UI"/>
        </w:rPr>
        <w:t xml:space="preserve"> (see </w:t>
      </w:r>
      <w:r w:rsidR="00F4594E" w:rsidRPr="003D290F">
        <w:rPr>
          <w:rFonts w:eastAsia="Times New Roman" w:cs="Segoe UI"/>
          <w:b/>
          <w:color w:val="1B375C"/>
        </w:rPr>
        <w:t>Box 4.3</w:t>
      </w:r>
      <w:r w:rsidR="00F4594E" w:rsidRPr="003D290F">
        <w:rPr>
          <w:rFonts w:eastAsia="Times New Roman" w:cs="Segoe UI"/>
        </w:rPr>
        <w:t>).</w:t>
      </w:r>
    </w:p>
    <w:p w14:paraId="43982962" w14:textId="77777777" w:rsidR="00F4594E" w:rsidRPr="003D290F" w:rsidRDefault="00F4594E" w:rsidP="00F4594E">
      <w:pPr>
        <w:pBdr>
          <w:top w:val="single" w:sz="48" w:space="1" w:color="E0E8F2"/>
          <w:left w:val="single" w:sz="48" w:space="4" w:color="E0E8F2"/>
          <w:bottom w:val="single" w:sz="48" w:space="1" w:color="E0E8F2"/>
          <w:right w:val="single" w:sz="48" w:space="4" w:color="E0E8F2"/>
        </w:pBdr>
        <w:shd w:val="clear" w:color="auto" w:fill="E0E8F2"/>
        <w:tabs>
          <w:tab w:val="left" w:pos="3300"/>
        </w:tabs>
        <w:spacing w:line="240" w:lineRule="auto"/>
        <w:ind w:left="227" w:right="227"/>
        <w:rPr>
          <w:rFonts w:eastAsia="Times New Roman" w:cs="Times New Roman"/>
          <w:b/>
          <w:color w:val="000000"/>
        </w:rPr>
      </w:pPr>
      <w:r w:rsidRPr="003D290F">
        <w:rPr>
          <w:rFonts w:eastAsia="Times New Roman" w:cs="Times New Roman"/>
          <w:b/>
          <w:color w:val="000000"/>
        </w:rPr>
        <w:t xml:space="preserve">BOX 4.3 GERMANY’S COAL INDUSTRY </w:t>
      </w:r>
      <w:r w:rsidR="0083385C" w:rsidRPr="003D290F">
        <w:rPr>
          <w:rFonts w:eastAsia="Times New Roman" w:cs="Times New Roman"/>
          <w:b/>
          <w:color w:val="000000"/>
        </w:rPr>
        <w:t>TRANSITION</w:t>
      </w:r>
    </w:p>
    <w:p w14:paraId="3F7866B9" w14:textId="77777777" w:rsidR="00FD0C51" w:rsidRPr="003D290F" w:rsidRDefault="00B24523" w:rsidP="00C80C07">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rPr>
          <w:rFonts w:eastAsia="Times New Roman" w:cs="Times New Roman"/>
          <w:color w:val="000000"/>
          <w:sz w:val="20"/>
        </w:rPr>
      </w:pPr>
      <w:r w:rsidRPr="003D290F">
        <w:rPr>
          <w:rFonts w:eastAsia="Times New Roman" w:cs="Times New Roman"/>
          <w:color w:val="000000"/>
          <w:sz w:val="20"/>
        </w:rPr>
        <w:t xml:space="preserve">In the 1960s, </w:t>
      </w:r>
      <w:r w:rsidR="006217F1" w:rsidRPr="003D290F">
        <w:rPr>
          <w:rFonts w:eastAsia="Times New Roman" w:cs="Times New Roman"/>
          <w:color w:val="000000"/>
          <w:sz w:val="20"/>
        </w:rPr>
        <w:t>the Federal Republic of Germany</w:t>
      </w:r>
      <w:r w:rsidRPr="003D290F">
        <w:rPr>
          <w:rFonts w:eastAsia="Times New Roman" w:cs="Times New Roman"/>
          <w:color w:val="000000"/>
          <w:sz w:val="20"/>
        </w:rPr>
        <w:t xml:space="preserve"> </w:t>
      </w:r>
      <w:r w:rsidR="00E9766D">
        <w:rPr>
          <w:rFonts w:eastAsia="Times New Roman" w:cs="Times New Roman"/>
          <w:color w:val="000000"/>
          <w:sz w:val="20"/>
        </w:rPr>
        <w:t>scaled down</w:t>
      </w:r>
      <w:r w:rsidR="00E9766D" w:rsidRPr="003D290F">
        <w:rPr>
          <w:rFonts w:eastAsia="Times New Roman" w:cs="Times New Roman"/>
          <w:color w:val="000000"/>
          <w:sz w:val="20"/>
        </w:rPr>
        <w:t xml:space="preserve"> </w:t>
      </w:r>
      <w:r w:rsidRPr="003D290F">
        <w:rPr>
          <w:rFonts w:eastAsia="Times New Roman" w:cs="Times New Roman"/>
          <w:color w:val="000000"/>
          <w:sz w:val="20"/>
        </w:rPr>
        <w:t>coal production</w:t>
      </w:r>
      <w:r w:rsidR="00F6709B" w:rsidRPr="003D290F">
        <w:rPr>
          <w:rFonts w:eastAsia="Times New Roman" w:cs="Times New Roman"/>
          <w:color w:val="000000"/>
          <w:sz w:val="20"/>
        </w:rPr>
        <w:t>, a major source of economic activity and employment,</w:t>
      </w:r>
      <w:r w:rsidRPr="003D290F">
        <w:rPr>
          <w:rFonts w:eastAsia="Times New Roman" w:cs="Times New Roman"/>
          <w:color w:val="000000"/>
          <w:sz w:val="20"/>
        </w:rPr>
        <w:t xml:space="preserve"> as the </w:t>
      </w:r>
      <w:r w:rsidR="00C559F9" w:rsidRPr="003D290F">
        <w:rPr>
          <w:rFonts w:eastAsia="Times New Roman" w:cs="Times New Roman"/>
          <w:color w:val="000000"/>
          <w:sz w:val="20"/>
        </w:rPr>
        <w:t xml:space="preserve">influx </w:t>
      </w:r>
      <w:r w:rsidRPr="003D290F">
        <w:rPr>
          <w:rFonts w:eastAsia="Times New Roman" w:cs="Times New Roman"/>
          <w:color w:val="000000"/>
          <w:sz w:val="20"/>
        </w:rPr>
        <w:t>of cheaper foreign</w:t>
      </w:r>
      <w:r w:rsidR="00C559F9" w:rsidRPr="003D290F">
        <w:rPr>
          <w:rFonts w:eastAsia="Times New Roman" w:cs="Times New Roman"/>
          <w:color w:val="000000"/>
          <w:sz w:val="20"/>
        </w:rPr>
        <w:t xml:space="preserve"> coal and oil </w:t>
      </w:r>
      <w:r w:rsidRPr="003D290F">
        <w:rPr>
          <w:rFonts w:eastAsia="Times New Roman" w:cs="Times New Roman"/>
          <w:color w:val="000000"/>
          <w:sz w:val="20"/>
        </w:rPr>
        <w:t>made expensive domestic production less competitive</w:t>
      </w:r>
      <w:r w:rsidR="00F4594E" w:rsidRPr="003D290F">
        <w:rPr>
          <w:rFonts w:eastAsia="Times New Roman" w:cs="Times New Roman"/>
          <w:color w:val="000000"/>
          <w:sz w:val="20"/>
        </w:rPr>
        <w:t xml:space="preserve">. </w:t>
      </w:r>
      <w:r w:rsidR="00C559F9" w:rsidRPr="003D290F">
        <w:rPr>
          <w:rFonts w:eastAsia="Times New Roman" w:cs="Times New Roman"/>
          <w:color w:val="000000"/>
          <w:sz w:val="20"/>
        </w:rPr>
        <w:t>At its peak in 1957, the industry employed more than</w:t>
      </w:r>
      <w:r w:rsidR="0022091C" w:rsidRPr="003D290F">
        <w:rPr>
          <w:rFonts w:eastAsia="Times New Roman" w:cs="Times New Roman"/>
          <w:color w:val="000000"/>
          <w:sz w:val="20"/>
        </w:rPr>
        <w:t xml:space="preserve"> </w:t>
      </w:r>
      <w:r w:rsidR="006217F1" w:rsidRPr="003D290F">
        <w:rPr>
          <w:rFonts w:eastAsia="Times New Roman" w:cs="Times New Roman"/>
          <w:color w:val="000000"/>
          <w:sz w:val="20"/>
        </w:rPr>
        <w:t>607,</w:t>
      </w:r>
      <w:r w:rsidR="00C559F9" w:rsidRPr="003D290F">
        <w:rPr>
          <w:rFonts w:eastAsia="Times New Roman" w:cs="Times New Roman"/>
          <w:color w:val="000000"/>
          <w:sz w:val="20"/>
        </w:rPr>
        <w:t>000</w:t>
      </w:r>
      <w:r w:rsidR="00F4594E" w:rsidRPr="003D290F">
        <w:rPr>
          <w:rFonts w:eastAsia="Times New Roman" w:cs="Times New Roman"/>
          <w:color w:val="000000"/>
          <w:sz w:val="20"/>
        </w:rPr>
        <w:t xml:space="preserve"> </w:t>
      </w:r>
      <w:r w:rsidR="00DC068D" w:rsidRPr="003D290F">
        <w:rPr>
          <w:rFonts w:eastAsia="Times New Roman" w:cs="Times New Roman"/>
          <w:color w:val="000000"/>
          <w:sz w:val="20"/>
        </w:rPr>
        <w:t>employees</w:t>
      </w:r>
      <w:r w:rsidR="00C559F9" w:rsidRPr="003D290F">
        <w:rPr>
          <w:rFonts w:eastAsia="Times New Roman" w:cs="Times New Roman"/>
          <w:color w:val="000000"/>
          <w:sz w:val="20"/>
        </w:rPr>
        <w:t xml:space="preserve">, roughly 3 per cent of all </w:t>
      </w:r>
      <w:r w:rsidR="00DC068D" w:rsidRPr="003D290F">
        <w:rPr>
          <w:rFonts w:eastAsia="Times New Roman" w:cs="Times New Roman"/>
          <w:color w:val="000000"/>
          <w:sz w:val="20"/>
        </w:rPr>
        <w:t>employees</w:t>
      </w:r>
      <w:r w:rsidR="00C559F9" w:rsidRPr="003D290F">
        <w:rPr>
          <w:rFonts w:eastAsia="Times New Roman" w:cs="Times New Roman"/>
          <w:color w:val="000000"/>
          <w:sz w:val="20"/>
        </w:rPr>
        <w:t>.</w:t>
      </w:r>
      <w:r w:rsidR="00F6709B" w:rsidRPr="003D290F">
        <w:rPr>
          <w:rStyle w:val="FootnoteReference"/>
          <w:rFonts w:eastAsia="Times New Roman" w:cs="Times New Roman"/>
          <w:color w:val="000000"/>
          <w:sz w:val="20"/>
        </w:rPr>
        <w:footnoteReference w:id="88"/>
      </w:r>
      <w:r w:rsidR="00C559F9" w:rsidRPr="003D290F">
        <w:rPr>
          <w:rFonts w:eastAsia="Times New Roman" w:cs="Times New Roman"/>
          <w:color w:val="000000"/>
          <w:sz w:val="20"/>
        </w:rPr>
        <w:t xml:space="preserve"> As of 2018, the industry employed around</w:t>
      </w:r>
      <w:r w:rsidR="00F4594E" w:rsidRPr="003D290F">
        <w:rPr>
          <w:rFonts w:eastAsia="Times New Roman" w:cs="Times New Roman"/>
          <w:color w:val="000000"/>
          <w:sz w:val="20"/>
        </w:rPr>
        <w:t xml:space="preserve"> </w:t>
      </w:r>
      <w:r w:rsidR="006217F1" w:rsidRPr="003D290F">
        <w:rPr>
          <w:rFonts w:eastAsia="Times New Roman" w:cs="Times New Roman"/>
          <w:color w:val="000000"/>
          <w:sz w:val="20"/>
        </w:rPr>
        <w:t>4,</w:t>
      </w:r>
      <w:r w:rsidR="00C559F9" w:rsidRPr="003D290F">
        <w:rPr>
          <w:rFonts w:eastAsia="Times New Roman" w:cs="Times New Roman"/>
          <w:color w:val="000000"/>
          <w:sz w:val="20"/>
        </w:rPr>
        <w:t xml:space="preserve">000 </w:t>
      </w:r>
      <w:r w:rsidR="00DC068D" w:rsidRPr="003D290F">
        <w:rPr>
          <w:rFonts w:eastAsia="Times New Roman" w:cs="Times New Roman"/>
          <w:color w:val="000000"/>
          <w:sz w:val="20"/>
        </w:rPr>
        <w:t>employees</w:t>
      </w:r>
      <w:r w:rsidR="00C559F9" w:rsidRPr="003D290F">
        <w:rPr>
          <w:rFonts w:eastAsia="Times New Roman" w:cs="Times New Roman"/>
          <w:color w:val="000000"/>
          <w:sz w:val="20"/>
        </w:rPr>
        <w:t xml:space="preserve">, less than 0.01 per cent of </w:t>
      </w:r>
      <w:r w:rsidR="00DC068D" w:rsidRPr="003D290F">
        <w:rPr>
          <w:rFonts w:eastAsia="Times New Roman" w:cs="Times New Roman"/>
          <w:color w:val="000000"/>
          <w:sz w:val="20"/>
        </w:rPr>
        <w:t>employees</w:t>
      </w:r>
      <w:r w:rsidR="00C559F9" w:rsidRPr="003D290F">
        <w:rPr>
          <w:rFonts w:eastAsia="Times New Roman" w:cs="Times New Roman"/>
          <w:color w:val="000000"/>
          <w:sz w:val="20"/>
        </w:rPr>
        <w:t>.</w:t>
      </w:r>
      <w:r w:rsidR="008551F5" w:rsidRPr="003D290F">
        <w:rPr>
          <w:rStyle w:val="FootnoteReference"/>
          <w:rFonts w:eastAsia="Times New Roman" w:cs="Times New Roman"/>
          <w:color w:val="000000"/>
          <w:sz w:val="20"/>
        </w:rPr>
        <w:footnoteReference w:id="89"/>
      </w:r>
      <w:r w:rsidR="00FD0C51" w:rsidRPr="003D290F">
        <w:rPr>
          <w:rFonts w:eastAsia="Times New Roman" w:cs="Times New Roman"/>
          <w:color w:val="000000"/>
          <w:sz w:val="20"/>
        </w:rPr>
        <w:t xml:space="preserve"> </w:t>
      </w:r>
      <w:r w:rsidR="00EF3EA5" w:rsidRPr="003D290F">
        <w:rPr>
          <w:rFonts w:eastAsia="Times New Roman" w:cs="Times New Roman"/>
          <w:color w:val="000000"/>
          <w:sz w:val="20"/>
        </w:rPr>
        <w:t xml:space="preserve">During the transition, Germany introduced </w:t>
      </w:r>
      <w:r w:rsidR="00FD0C51" w:rsidRPr="003D290F">
        <w:rPr>
          <w:rFonts w:eastAsia="Times New Roman" w:cs="Times New Roman"/>
          <w:color w:val="000000"/>
          <w:sz w:val="20"/>
        </w:rPr>
        <w:t>legislation</w:t>
      </w:r>
      <w:r w:rsidR="00F4594E" w:rsidRPr="003D290F">
        <w:rPr>
          <w:rFonts w:eastAsia="Times New Roman" w:cs="Times New Roman"/>
          <w:color w:val="000000"/>
          <w:sz w:val="20"/>
        </w:rPr>
        <w:t xml:space="preserve"> </w:t>
      </w:r>
      <w:r w:rsidR="00EF3EA5" w:rsidRPr="003D290F">
        <w:rPr>
          <w:rFonts w:eastAsia="Times New Roman" w:cs="Times New Roman"/>
          <w:color w:val="000000"/>
          <w:sz w:val="20"/>
        </w:rPr>
        <w:t xml:space="preserve">that sought </w:t>
      </w:r>
      <w:r w:rsidR="00F4594E" w:rsidRPr="003D290F">
        <w:rPr>
          <w:rFonts w:eastAsia="Times New Roman" w:cs="Times New Roman"/>
          <w:color w:val="000000"/>
          <w:sz w:val="20"/>
        </w:rPr>
        <w:t xml:space="preserve">to </w:t>
      </w:r>
      <w:r w:rsidR="00EF3EA5" w:rsidRPr="003D290F">
        <w:rPr>
          <w:rFonts w:eastAsia="Times New Roman" w:cs="Times New Roman"/>
          <w:color w:val="000000"/>
          <w:sz w:val="20"/>
        </w:rPr>
        <w:t>minimise</w:t>
      </w:r>
      <w:r w:rsidR="00F4594E" w:rsidRPr="003D290F">
        <w:rPr>
          <w:rFonts w:eastAsia="Times New Roman" w:cs="Times New Roman"/>
          <w:color w:val="000000"/>
          <w:sz w:val="20"/>
        </w:rPr>
        <w:t xml:space="preserve"> the risk of</w:t>
      </w:r>
      <w:r w:rsidR="00963D53" w:rsidRPr="003D290F">
        <w:rPr>
          <w:rFonts w:eastAsia="Times New Roman" w:cs="Times New Roman"/>
          <w:color w:val="000000"/>
          <w:sz w:val="20"/>
        </w:rPr>
        <w:t xml:space="preserve"> </w:t>
      </w:r>
      <w:r w:rsidR="00F4594E" w:rsidRPr="003D290F">
        <w:rPr>
          <w:rFonts w:eastAsia="Times New Roman" w:cs="Times New Roman"/>
          <w:color w:val="000000"/>
          <w:sz w:val="20"/>
        </w:rPr>
        <w:t xml:space="preserve">economic, social, and environmental </w:t>
      </w:r>
      <w:r w:rsidR="00EF3EA5" w:rsidRPr="003D290F">
        <w:rPr>
          <w:rFonts w:eastAsia="Times New Roman" w:cs="Times New Roman"/>
          <w:color w:val="000000"/>
          <w:sz w:val="20"/>
        </w:rPr>
        <w:t>fallout from</w:t>
      </w:r>
      <w:r w:rsidR="00F4594E" w:rsidRPr="003D290F">
        <w:rPr>
          <w:rFonts w:eastAsia="Times New Roman" w:cs="Times New Roman"/>
          <w:color w:val="000000"/>
          <w:sz w:val="20"/>
        </w:rPr>
        <w:t xml:space="preserve"> the production</w:t>
      </w:r>
      <w:r w:rsidR="00EF3EA5" w:rsidRPr="003D290F">
        <w:rPr>
          <w:rFonts w:eastAsia="Times New Roman" w:cs="Times New Roman"/>
          <w:color w:val="000000"/>
          <w:sz w:val="20"/>
        </w:rPr>
        <w:t xml:space="preserve"> decline</w:t>
      </w:r>
      <w:r w:rsidR="00F4594E" w:rsidRPr="003D290F">
        <w:rPr>
          <w:rFonts w:eastAsia="Times New Roman" w:cs="Times New Roman"/>
          <w:color w:val="000000"/>
          <w:sz w:val="20"/>
        </w:rPr>
        <w:t xml:space="preserve">. </w:t>
      </w:r>
    </w:p>
    <w:p w14:paraId="293E66ED" w14:textId="77777777" w:rsidR="0022091C" w:rsidRPr="003D290F" w:rsidRDefault="00FD0C51" w:rsidP="00C80C07">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rPr>
          <w:rFonts w:eastAsia="Times New Roman" w:cs="Times New Roman"/>
          <w:color w:val="000000"/>
          <w:sz w:val="20"/>
        </w:rPr>
      </w:pPr>
      <w:r w:rsidRPr="003D290F">
        <w:rPr>
          <w:rFonts w:eastAsia="Times New Roman" w:cs="Times New Roman"/>
          <w:color w:val="000000"/>
          <w:sz w:val="20"/>
        </w:rPr>
        <w:t xml:space="preserve">In 2007, the German </w:t>
      </w:r>
      <w:r w:rsidR="00F4765D" w:rsidRPr="003D290F">
        <w:rPr>
          <w:rFonts w:eastAsia="Times New Roman" w:cs="Times New Roman"/>
          <w:color w:val="000000"/>
          <w:sz w:val="20"/>
        </w:rPr>
        <w:t>G</w:t>
      </w:r>
      <w:r w:rsidRPr="003D290F">
        <w:rPr>
          <w:rFonts w:eastAsia="Times New Roman" w:cs="Times New Roman"/>
          <w:color w:val="000000"/>
          <w:sz w:val="20"/>
        </w:rPr>
        <w:t>overnment committed to</w:t>
      </w:r>
      <w:r w:rsidR="0022091C" w:rsidRPr="003D290F">
        <w:rPr>
          <w:rFonts w:eastAsia="Times New Roman" w:cs="Times New Roman"/>
          <w:color w:val="000000"/>
          <w:sz w:val="20"/>
        </w:rPr>
        <w:t xml:space="preserve"> closing the last eight thermal coal mines</w:t>
      </w:r>
      <w:r w:rsidRPr="003D290F">
        <w:rPr>
          <w:rFonts w:eastAsia="Times New Roman" w:cs="Times New Roman"/>
          <w:color w:val="000000"/>
          <w:sz w:val="20"/>
        </w:rPr>
        <w:t xml:space="preserve"> </w:t>
      </w:r>
      <w:r w:rsidR="0022091C" w:rsidRPr="003D290F">
        <w:rPr>
          <w:rFonts w:eastAsia="Times New Roman" w:cs="Times New Roman"/>
          <w:color w:val="000000"/>
          <w:sz w:val="20"/>
        </w:rPr>
        <w:t xml:space="preserve">and </w:t>
      </w:r>
      <w:r w:rsidRPr="003D290F">
        <w:rPr>
          <w:rFonts w:eastAsia="Times New Roman" w:cs="Times New Roman"/>
          <w:color w:val="000000"/>
          <w:sz w:val="20"/>
        </w:rPr>
        <w:t>phas</w:t>
      </w:r>
      <w:r w:rsidR="00300CA9" w:rsidRPr="003D290F">
        <w:rPr>
          <w:rFonts w:eastAsia="Times New Roman" w:cs="Times New Roman"/>
          <w:color w:val="000000"/>
          <w:sz w:val="20"/>
        </w:rPr>
        <w:t>ing</w:t>
      </w:r>
      <w:r w:rsidRPr="003D290F">
        <w:rPr>
          <w:rFonts w:eastAsia="Times New Roman" w:cs="Times New Roman"/>
          <w:color w:val="000000"/>
          <w:sz w:val="20"/>
        </w:rPr>
        <w:t xml:space="preserve"> out all subsidies for the coal industry by 2018. </w:t>
      </w:r>
      <w:r w:rsidR="0022091C" w:rsidRPr="003D290F">
        <w:rPr>
          <w:rFonts w:eastAsia="Times New Roman" w:cs="Times New Roman"/>
          <w:color w:val="000000"/>
          <w:sz w:val="20"/>
        </w:rPr>
        <w:t xml:space="preserve">For </w:t>
      </w:r>
      <w:r w:rsidR="00DC068D" w:rsidRPr="003D290F">
        <w:rPr>
          <w:rFonts w:eastAsia="Times New Roman" w:cs="Times New Roman"/>
          <w:color w:val="000000"/>
          <w:sz w:val="20"/>
        </w:rPr>
        <w:t>employees</w:t>
      </w:r>
      <w:r w:rsidR="0022091C" w:rsidRPr="003D290F">
        <w:rPr>
          <w:rFonts w:eastAsia="Times New Roman" w:cs="Times New Roman"/>
          <w:color w:val="000000"/>
          <w:sz w:val="20"/>
        </w:rPr>
        <w:t xml:space="preserve"> who wanted to retire, the German </w:t>
      </w:r>
      <w:r w:rsidR="00F4765D" w:rsidRPr="003D290F">
        <w:rPr>
          <w:rFonts w:eastAsia="Times New Roman" w:cs="Times New Roman"/>
          <w:color w:val="000000"/>
          <w:sz w:val="20"/>
        </w:rPr>
        <w:t>G</w:t>
      </w:r>
      <w:r w:rsidR="0022091C" w:rsidRPr="003D290F">
        <w:rPr>
          <w:rFonts w:eastAsia="Times New Roman" w:cs="Times New Roman"/>
          <w:color w:val="000000"/>
          <w:sz w:val="20"/>
        </w:rPr>
        <w:t>overnment subsidised early retirement packages for up to five years, offering a fixed contribution of €5,160 euros (</w:t>
      </w:r>
      <w:r w:rsidR="0083385C" w:rsidRPr="003D290F">
        <w:rPr>
          <w:rFonts w:eastAsia="Times New Roman" w:cs="Times New Roman"/>
          <w:color w:val="000000"/>
          <w:sz w:val="20"/>
        </w:rPr>
        <w:t>approx</w:t>
      </w:r>
      <w:r w:rsidR="00B2436D" w:rsidRPr="003D290F">
        <w:rPr>
          <w:rFonts w:eastAsia="Times New Roman" w:cs="Times New Roman"/>
          <w:color w:val="000000"/>
          <w:sz w:val="20"/>
        </w:rPr>
        <w:t>imately</w:t>
      </w:r>
      <w:r w:rsidR="0083385C" w:rsidRPr="003D290F">
        <w:rPr>
          <w:rFonts w:eastAsia="Times New Roman" w:cs="Times New Roman"/>
          <w:color w:val="000000"/>
          <w:sz w:val="20"/>
        </w:rPr>
        <w:t xml:space="preserve"> AUD</w:t>
      </w:r>
      <w:r w:rsidR="0022091C" w:rsidRPr="003D290F">
        <w:rPr>
          <w:rFonts w:eastAsia="Times New Roman" w:cs="Times New Roman"/>
          <w:color w:val="000000"/>
          <w:sz w:val="20"/>
        </w:rPr>
        <w:t>$8,250)</w:t>
      </w:r>
      <w:r w:rsidR="0070315A" w:rsidRPr="003D290F">
        <w:rPr>
          <w:rStyle w:val="FootnoteReference"/>
          <w:rFonts w:eastAsia="Times New Roman" w:cs="Times New Roman"/>
          <w:color w:val="000000"/>
          <w:sz w:val="20"/>
        </w:rPr>
        <w:footnoteReference w:id="90"/>
      </w:r>
      <w:r w:rsidR="0022091C" w:rsidRPr="003D290F">
        <w:rPr>
          <w:rFonts w:eastAsia="Times New Roman" w:cs="Times New Roman"/>
          <w:color w:val="000000"/>
          <w:sz w:val="20"/>
        </w:rPr>
        <w:t xml:space="preserve"> per annum to each package.</w:t>
      </w:r>
      <w:r w:rsidR="005815B8" w:rsidRPr="003D290F">
        <w:rPr>
          <w:rStyle w:val="FootnoteReference"/>
          <w:rFonts w:eastAsia="Times New Roman" w:cs="Times New Roman"/>
          <w:color w:val="000000"/>
          <w:sz w:val="20"/>
        </w:rPr>
        <w:footnoteReference w:id="91"/>
      </w:r>
      <w:r w:rsidR="0022091C" w:rsidRPr="003D290F">
        <w:rPr>
          <w:rFonts w:eastAsia="Times New Roman" w:cs="Times New Roman"/>
          <w:color w:val="000000"/>
          <w:sz w:val="20"/>
        </w:rPr>
        <w:t xml:space="preserve"> The closing employer contributed any residual </w:t>
      </w:r>
      <w:r w:rsidR="00B2436D" w:rsidRPr="003D290F">
        <w:rPr>
          <w:rFonts w:eastAsia="Times New Roman" w:cs="Times New Roman"/>
          <w:color w:val="000000"/>
          <w:sz w:val="20"/>
        </w:rPr>
        <w:t xml:space="preserve">amount </w:t>
      </w:r>
      <w:r w:rsidR="0022091C" w:rsidRPr="003D290F">
        <w:rPr>
          <w:rFonts w:eastAsia="Times New Roman" w:cs="Times New Roman"/>
          <w:color w:val="000000"/>
          <w:sz w:val="20"/>
        </w:rPr>
        <w:t xml:space="preserve">required to make the total package equal </w:t>
      </w:r>
      <w:r w:rsidR="00300CA9" w:rsidRPr="003D290F">
        <w:rPr>
          <w:rFonts w:eastAsia="Times New Roman" w:cs="Times New Roman"/>
          <w:color w:val="000000"/>
          <w:sz w:val="20"/>
        </w:rPr>
        <w:t xml:space="preserve">to </w:t>
      </w:r>
      <w:r w:rsidR="0022091C" w:rsidRPr="003D290F">
        <w:rPr>
          <w:rFonts w:eastAsia="Times New Roman" w:cs="Times New Roman"/>
          <w:color w:val="000000"/>
          <w:sz w:val="20"/>
        </w:rPr>
        <w:t>60 per cent of the worker’s salary at the time of closure.</w:t>
      </w:r>
    </w:p>
    <w:p w14:paraId="1FAD5160" w14:textId="77777777" w:rsidR="005815B8" w:rsidRPr="003D290F" w:rsidRDefault="0022091C" w:rsidP="00C80C07">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rPr>
          <w:rFonts w:eastAsia="Times New Roman" w:cs="Times New Roman"/>
          <w:color w:val="000000"/>
          <w:sz w:val="20"/>
        </w:rPr>
      </w:pPr>
      <w:r w:rsidRPr="003D290F">
        <w:rPr>
          <w:rFonts w:eastAsia="Times New Roman" w:cs="Times New Roman"/>
          <w:color w:val="000000"/>
          <w:sz w:val="20"/>
        </w:rPr>
        <w:t xml:space="preserve">For </w:t>
      </w:r>
      <w:r w:rsidR="00DC068D" w:rsidRPr="003D290F">
        <w:rPr>
          <w:rFonts w:eastAsia="Times New Roman" w:cs="Times New Roman"/>
          <w:color w:val="000000"/>
          <w:sz w:val="20"/>
        </w:rPr>
        <w:t>employees</w:t>
      </w:r>
      <w:r w:rsidRPr="003D290F">
        <w:rPr>
          <w:rFonts w:eastAsia="Times New Roman" w:cs="Times New Roman"/>
          <w:color w:val="000000"/>
          <w:sz w:val="20"/>
        </w:rPr>
        <w:t xml:space="preserve"> who wanted to continue working, the </w:t>
      </w:r>
      <w:r w:rsidR="00B2436D" w:rsidRPr="003D290F">
        <w:rPr>
          <w:rFonts w:eastAsia="Times New Roman" w:cs="Times New Roman"/>
          <w:color w:val="000000"/>
          <w:sz w:val="20"/>
        </w:rPr>
        <w:t>g</w:t>
      </w:r>
      <w:r w:rsidRPr="003D290F">
        <w:rPr>
          <w:rFonts w:eastAsia="Times New Roman" w:cs="Times New Roman"/>
          <w:color w:val="000000"/>
          <w:sz w:val="20"/>
        </w:rPr>
        <w:t xml:space="preserve">overnment supported redeployment of </w:t>
      </w:r>
      <w:r w:rsidR="00F4594E" w:rsidRPr="003D290F">
        <w:rPr>
          <w:rFonts w:eastAsia="Times New Roman" w:cs="Times New Roman"/>
          <w:color w:val="000000"/>
          <w:sz w:val="20"/>
        </w:rPr>
        <w:t>over 10,</w:t>
      </w:r>
      <w:r w:rsidR="00B2436D" w:rsidRPr="003D290F">
        <w:rPr>
          <w:rFonts w:eastAsia="Times New Roman" w:cs="Times New Roman"/>
          <w:color w:val="000000"/>
          <w:sz w:val="20"/>
        </w:rPr>
        <w:t>600 </w:t>
      </w:r>
      <w:r w:rsidR="00DC068D" w:rsidRPr="003D290F">
        <w:rPr>
          <w:rFonts w:eastAsia="Times New Roman" w:cs="Times New Roman"/>
          <w:color w:val="000000"/>
          <w:sz w:val="20"/>
        </w:rPr>
        <w:t>employees</w:t>
      </w:r>
      <w:r w:rsidR="00F4594E" w:rsidRPr="003D290F">
        <w:rPr>
          <w:rFonts w:eastAsia="Times New Roman" w:cs="Times New Roman"/>
          <w:color w:val="000000"/>
          <w:sz w:val="20"/>
        </w:rPr>
        <w:t xml:space="preserve"> from closing </w:t>
      </w:r>
      <w:r w:rsidR="00FD0C51" w:rsidRPr="003D290F">
        <w:rPr>
          <w:rFonts w:eastAsia="Times New Roman" w:cs="Times New Roman"/>
          <w:color w:val="000000"/>
          <w:sz w:val="20"/>
        </w:rPr>
        <w:t xml:space="preserve">mines </w:t>
      </w:r>
      <w:r w:rsidR="00F4594E" w:rsidRPr="003D290F">
        <w:rPr>
          <w:rFonts w:eastAsia="Times New Roman" w:cs="Times New Roman"/>
          <w:color w:val="000000"/>
          <w:sz w:val="20"/>
        </w:rPr>
        <w:t xml:space="preserve">to </w:t>
      </w:r>
      <w:r w:rsidR="00EF3EA5" w:rsidRPr="003D290F">
        <w:rPr>
          <w:rFonts w:eastAsia="Times New Roman" w:cs="Times New Roman"/>
          <w:color w:val="000000"/>
          <w:sz w:val="20"/>
        </w:rPr>
        <w:t>active mines</w:t>
      </w:r>
      <w:r w:rsidRPr="003D290F">
        <w:rPr>
          <w:rFonts w:eastAsia="Times New Roman" w:cs="Times New Roman"/>
          <w:color w:val="000000"/>
          <w:sz w:val="20"/>
        </w:rPr>
        <w:t xml:space="preserve"> between 2008 and 2018</w:t>
      </w:r>
      <w:r w:rsidR="00FD0C51" w:rsidRPr="003D290F">
        <w:rPr>
          <w:rFonts w:eastAsia="Times New Roman" w:cs="Times New Roman"/>
          <w:color w:val="000000"/>
          <w:sz w:val="20"/>
        </w:rPr>
        <w:t>.</w:t>
      </w:r>
      <w:r w:rsidR="00FD0C51" w:rsidRPr="003D290F">
        <w:rPr>
          <w:rStyle w:val="FootnoteReference"/>
          <w:rFonts w:eastAsia="Times New Roman" w:cs="Times New Roman"/>
          <w:color w:val="000000"/>
          <w:sz w:val="20"/>
        </w:rPr>
        <w:footnoteReference w:id="92"/>
      </w:r>
      <w:r w:rsidR="002F299A" w:rsidRPr="003D290F">
        <w:rPr>
          <w:rFonts w:eastAsia="Times New Roman" w:cs="Times New Roman"/>
          <w:color w:val="000000"/>
          <w:sz w:val="20"/>
        </w:rPr>
        <w:t xml:space="preserve"> </w:t>
      </w:r>
      <w:r w:rsidR="00B2436D" w:rsidRPr="003D290F">
        <w:rPr>
          <w:rFonts w:eastAsia="Times New Roman" w:cs="Times New Roman"/>
          <w:color w:val="000000"/>
          <w:sz w:val="20"/>
        </w:rPr>
        <w:t xml:space="preserve">Eighteen </w:t>
      </w:r>
      <w:r w:rsidR="00CD16A2" w:rsidRPr="003D290F">
        <w:rPr>
          <w:rFonts w:eastAsia="Times New Roman" w:cs="Times New Roman"/>
          <w:color w:val="000000"/>
          <w:sz w:val="20"/>
        </w:rPr>
        <w:t xml:space="preserve">months in advance of the </w:t>
      </w:r>
      <w:r w:rsidR="002F299A" w:rsidRPr="003D290F">
        <w:rPr>
          <w:rFonts w:eastAsia="Times New Roman" w:cs="Times New Roman"/>
          <w:color w:val="000000"/>
          <w:sz w:val="20"/>
        </w:rPr>
        <w:t xml:space="preserve">last coal mine </w:t>
      </w:r>
      <w:r w:rsidR="00CD16A2" w:rsidRPr="003D290F">
        <w:rPr>
          <w:rFonts w:eastAsia="Times New Roman" w:cs="Times New Roman"/>
          <w:color w:val="000000"/>
          <w:sz w:val="20"/>
        </w:rPr>
        <w:t>closure in 2018, alternate employment had been secured for a</w:t>
      </w:r>
      <w:r w:rsidR="00F4594E" w:rsidRPr="003D290F">
        <w:rPr>
          <w:rFonts w:eastAsia="Times New Roman" w:cs="Times New Roman"/>
          <w:color w:val="000000"/>
          <w:sz w:val="20"/>
        </w:rPr>
        <w:t xml:space="preserve"> majority of the workforce</w:t>
      </w:r>
      <w:r w:rsidR="00CD16A2" w:rsidRPr="003D290F">
        <w:rPr>
          <w:rFonts w:eastAsia="Times New Roman" w:cs="Times New Roman"/>
          <w:color w:val="000000"/>
          <w:sz w:val="20"/>
        </w:rPr>
        <w:t>.</w:t>
      </w:r>
      <w:r w:rsidR="002F299A" w:rsidRPr="003D290F">
        <w:rPr>
          <w:rStyle w:val="FootnoteReference"/>
          <w:rFonts w:eastAsia="Times New Roman" w:cs="Times New Roman"/>
          <w:color w:val="000000"/>
          <w:sz w:val="20"/>
        </w:rPr>
        <w:footnoteReference w:id="93"/>
      </w:r>
    </w:p>
    <w:p w14:paraId="7CAB14E2" w14:textId="77777777" w:rsidR="00355CA0" w:rsidRPr="003D290F" w:rsidRDefault="00355CA0" w:rsidP="005D46F4">
      <w:pPr>
        <w:pStyle w:val="Heading3"/>
        <w:spacing w:line="276" w:lineRule="auto"/>
      </w:pPr>
      <w:bookmarkStart w:id="316" w:name="_Toc155604642"/>
      <w:bookmarkStart w:id="317" w:name="_Toc161395999"/>
      <w:bookmarkStart w:id="318" w:name="_Toc161403535"/>
      <w:bookmarkStart w:id="319" w:name="_Toc161694814"/>
      <w:bookmarkStart w:id="320" w:name="_Toc161752269"/>
      <w:bookmarkStart w:id="321" w:name="_Toc161759707"/>
      <w:r w:rsidRPr="003D290F">
        <w:t>4.</w:t>
      </w:r>
      <w:r w:rsidR="007727EE" w:rsidRPr="003D290F">
        <w:t>6</w:t>
      </w:r>
      <w:r w:rsidRPr="003D290F">
        <w:t>.</w:t>
      </w:r>
      <w:r w:rsidR="004F37CB" w:rsidRPr="003D290F">
        <w:t xml:space="preserve">3 </w:t>
      </w:r>
      <w:r w:rsidRPr="003D290F">
        <w:t xml:space="preserve">Stakeholder </w:t>
      </w:r>
      <w:r w:rsidR="004F37CB" w:rsidRPr="003D290F">
        <w:t xml:space="preserve">outcomes under a legislated </w:t>
      </w:r>
      <w:r w:rsidR="00F6294A" w:rsidRPr="003D290F">
        <w:t>plan</w:t>
      </w:r>
      <w:bookmarkEnd w:id="316"/>
      <w:bookmarkEnd w:id="317"/>
      <w:bookmarkEnd w:id="318"/>
      <w:bookmarkEnd w:id="319"/>
      <w:bookmarkEnd w:id="320"/>
      <w:bookmarkEnd w:id="321"/>
    </w:p>
    <w:p w14:paraId="4A4D0A8D" w14:textId="77777777" w:rsidR="00355CA0" w:rsidRPr="003D290F" w:rsidRDefault="004F37CB" w:rsidP="00FE3DEC">
      <w:pPr>
        <w:rPr>
          <w:rFonts w:eastAsia="Times New Roman" w:cs="Segoe UI"/>
          <w:szCs w:val="22"/>
        </w:rPr>
      </w:pPr>
      <w:r w:rsidRPr="003D290F">
        <w:rPr>
          <w:rFonts w:eastAsia="Times New Roman" w:cs="Segoe UI"/>
          <w:szCs w:val="22"/>
        </w:rPr>
        <w:t>The outcomes</w:t>
      </w:r>
      <w:r w:rsidR="00355CA0" w:rsidRPr="003D290F">
        <w:rPr>
          <w:rFonts w:eastAsia="Times New Roman" w:cs="Segoe UI"/>
          <w:szCs w:val="22"/>
        </w:rPr>
        <w:t xml:space="preserve"> of </w:t>
      </w:r>
      <w:r w:rsidRPr="003D290F">
        <w:rPr>
          <w:rFonts w:eastAsia="Times New Roman" w:cs="Segoe UI"/>
          <w:szCs w:val="22"/>
        </w:rPr>
        <w:t xml:space="preserve">a </w:t>
      </w:r>
      <w:r w:rsidR="00355CA0" w:rsidRPr="003D290F">
        <w:rPr>
          <w:rFonts w:eastAsia="Times New Roman" w:cs="Segoe UI"/>
          <w:szCs w:val="22"/>
        </w:rPr>
        <w:t xml:space="preserve">legislated pooled redeployment </w:t>
      </w:r>
      <w:r w:rsidR="00F6294A" w:rsidRPr="003D290F">
        <w:rPr>
          <w:rFonts w:eastAsia="Times New Roman" w:cs="Segoe UI"/>
          <w:szCs w:val="22"/>
        </w:rPr>
        <w:t>plan</w:t>
      </w:r>
      <w:r w:rsidR="00355CA0" w:rsidRPr="003D290F">
        <w:rPr>
          <w:rFonts w:eastAsia="Times New Roman" w:cs="Segoe UI"/>
          <w:szCs w:val="22"/>
        </w:rPr>
        <w:t xml:space="preserve"> </w:t>
      </w:r>
      <w:r w:rsidRPr="003D290F">
        <w:rPr>
          <w:rFonts w:eastAsia="Times New Roman" w:cs="Segoe UI"/>
          <w:szCs w:val="22"/>
        </w:rPr>
        <w:t xml:space="preserve">for each stakeholder group are mostly consistent with an unlegislated </w:t>
      </w:r>
      <w:r w:rsidR="008A4A55" w:rsidRPr="003D290F">
        <w:rPr>
          <w:rFonts w:eastAsia="Times New Roman" w:cs="Segoe UI"/>
          <w:szCs w:val="22"/>
        </w:rPr>
        <w:t>model</w:t>
      </w:r>
      <w:r w:rsidRPr="003D290F">
        <w:rPr>
          <w:rFonts w:eastAsia="Times New Roman" w:cs="Segoe UI"/>
          <w:szCs w:val="22"/>
        </w:rPr>
        <w:t xml:space="preserve">. This section sets out any deviations of outcomes under </w:t>
      </w:r>
      <w:r w:rsidR="001D25F0" w:rsidRPr="003D290F">
        <w:rPr>
          <w:rFonts w:eastAsia="Times New Roman" w:cs="Segoe UI"/>
          <w:szCs w:val="22"/>
        </w:rPr>
        <w:t>Option 3</w:t>
      </w:r>
      <w:r w:rsidRPr="003D290F">
        <w:rPr>
          <w:rFonts w:eastAsia="Times New Roman" w:cs="Segoe UI"/>
          <w:szCs w:val="22"/>
        </w:rPr>
        <w:t xml:space="preserve"> from </w:t>
      </w:r>
      <w:r w:rsidR="001D25F0" w:rsidRPr="003D290F">
        <w:rPr>
          <w:rFonts w:eastAsia="Times New Roman" w:cs="Segoe UI"/>
          <w:szCs w:val="22"/>
        </w:rPr>
        <w:t>Option 2</w:t>
      </w:r>
      <w:r w:rsidRPr="003D290F">
        <w:rPr>
          <w:rFonts w:eastAsia="Times New Roman" w:cs="Segoe UI"/>
          <w:szCs w:val="22"/>
        </w:rPr>
        <w:t>.</w:t>
      </w:r>
    </w:p>
    <w:p w14:paraId="089AA528" w14:textId="77777777" w:rsidR="00FF7B1D" w:rsidRPr="003D290F" w:rsidRDefault="00355CA0" w:rsidP="00FE3DEC">
      <w:pPr>
        <w:rPr>
          <w:rFonts w:eastAsia="Times New Roman" w:cs="Segoe UI"/>
        </w:rPr>
      </w:pPr>
      <w:r w:rsidRPr="003D290F">
        <w:rPr>
          <w:rFonts w:eastAsia="Times New Roman" w:cs="Segoe UI"/>
          <w:szCs w:val="22"/>
        </w:rPr>
        <w:lastRenderedPageBreak/>
        <w:t xml:space="preserve">A legislated </w:t>
      </w:r>
      <w:r w:rsidR="00F6294A" w:rsidRPr="003D290F">
        <w:rPr>
          <w:rFonts w:eastAsia="Times New Roman" w:cs="Segoe UI"/>
          <w:szCs w:val="22"/>
        </w:rPr>
        <w:t>plan</w:t>
      </w:r>
      <w:r w:rsidRPr="003D290F">
        <w:rPr>
          <w:rFonts w:eastAsia="Times New Roman" w:cs="Segoe UI"/>
          <w:szCs w:val="22"/>
        </w:rPr>
        <w:t xml:space="preserve"> </w:t>
      </w:r>
      <w:r w:rsidR="004F37CB" w:rsidRPr="003D290F">
        <w:rPr>
          <w:rFonts w:eastAsia="Times New Roman" w:cs="Segoe UI"/>
          <w:szCs w:val="22"/>
        </w:rPr>
        <w:t>would empower</w:t>
      </w:r>
      <w:r w:rsidRPr="003D290F">
        <w:rPr>
          <w:rFonts w:eastAsia="Times New Roman" w:cs="Segoe UI"/>
          <w:szCs w:val="22"/>
        </w:rPr>
        <w:t xml:space="preserve"> the </w:t>
      </w:r>
      <w:r w:rsidR="00BA2A3F" w:rsidRPr="003D290F">
        <w:rPr>
          <w:rFonts w:eastAsia="Times New Roman" w:cs="Segoe UI"/>
          <w:szCs w:val="22"/>
        </w:rPr>
        <w:t>FWC</w:t>
      </w:r>
      <w:r w:rsidRPr="003D290F">
        <w:rPr>
          <w:rFonts w:eastAsia="Times New Roman" w:cs="Segoe UI"/>
          <w:szCs w:val="22"/>
        </w:rPr>
        <w:t xml:space="preserve"> </w:t>
      </w:r>
      <w:r w:rsidR="004F37CB" w:rsidRPr="003D290F">
        <w:rPr>
          <w:rFonts w:eastAsia="Times New Roman" w:cs="Segoe UI"/>
          <w:szCs w:val="22"/>
        </w:rPr>
        <w:t xml:space="preserve">to </w:t>
      </w:r>
      <w:r w:rsidR="00311DC9" w:rsidRPr="003D290F">
        <w:rPr>
          <w:rFonts w:eastAsia="Times New Roman" w:cs="Segoe UI"/>
          <w:szCs w:val="22"/>
        </w:rPr>
        <w:t xml:space="preserve">make </w:t>
      </w:r>
      <w:r w:rsidRPr="003D290F">
        <w:rPr>
          <w:rFonts w:eastAsia="Times New Roman" w:cs="Segoe UI"/>
          <w:szCs w:val="22"/>
        </w:rPr>
        <w:t xml:space="preserve">legal determinations </w:t>
      </w:r>
      <w:r w:rsidR="00E64668" w:rsidRPr="003D290F">
        <w:rPr>
          <w:rFonts w:eastAsia="Times New Roman" w:cs="Segoe UI"/>
          <w:szCs w:val="22"/>
        </w:rPr>
        <w:t xml:space="preserve">in limited circumstances </w:t>
      </w:r>
      <w:r w:rsidRPr="003D290F">
        <w:rPr>
          <w:rFonts w:eastAsia="Times New Roman" w:cs="Segoe UI"/>
          <w:szCs w:val="22"/>
        </w:rPr>
        <w:t xml:space="preserve">to </w:t>
      </w:r>
      <w:r w:rsidR="00311DC9" w:rsidRPr="003D290F">
        <w:rPr>
          <w:rFonts w:eastAsia="Times New Roman" w:cs="Segoe UI"/>
          <w:szCs w:val="22"/>
        </w:rPr>
        <w:t xml:space="preserve">compel </w:t>
      </w:r>
      <w:r w:rsidR="00B214FB">
        <w:rPr>
          <w:rFonts w:eastAsia="Times New Roman" w:cs="Segoe UI"/>
          <w:b/>
          <w:color w:val="1B375C" w:themeColor="accent1"/>
          <w:szCs w:val="22"/>
        </w:rPr>
        <w:t>closing</w:t>
      </w:r>
      <w:r w:rsidR="00B214FB" w:rsidRPr="003D290F">
        <w:rPr>
          <w:rFonts w:eastAsia="Times New Roman" w:cs="Segoe UI"/>
          <w:b/>
          <w:color w:val="1B375C" w:themeColor="accent1"/>
          <w:szCs w:val="22"/>
        </w:rPr>
        <w:t xml:space="preserve"> </w:t>
      </w:r>
      <w:r w:rsidR="001F471B" w:rsidRPr="003D290F">
        <w:rPr>
          <w:rFonts w:eastAsia="Times New Roman" w:cs="Segoe UI"/>
          <w:b/>
          <w:color w:val="1B375C" w:themeColor="accent1"/>
          <w:szCs w:val="22"/>
        </w:rPr>
        <w:t>employers</w:t>
      </w:r>
      <w:r w:rsidRPr="003D290F">
        <w:rPr>
          <w:rFonts w:eastAsia="Times New Roman" w:cs="Segoe UI"/>
          <w:szCs w:val="22"/>
        </w:rPr>
        <w:t xml:space="preserve"> to </w:t>
      </w:r>
      <w:r w:rsidR="00311DC9" w:rsidRPr="003D290F">
        <w:rPr>
          <w:rFonts w:eastAsia="Times New Roman" w:cs="Segoe UI"/>
          <w:szCs w:val="22"/>
        </w:rPr>
        <w:t xml:space="preserve">participate </w:t>
      </w:r>
      <w:r w:rsidR="004F5C1A" w:rsidRPr="003D290F">
        <w:rPr>
          <w:rFonts w:eastAsia="Times New Roman" w:cs="Segoe UI"/>
          <w:szCs w:val="22"/>
        </w:rPr>
        <w:t xml:space="preserve">in </w:t>
      </w:r>
      <w:r w:rsidR="00311DC9" w:rsidRPr="003D290F">
        <w:rPr>
          <w:rFonts w:eastAsia="Times New Roman" w:cs="Segoe UI"/>
          <w:szCs w:val="22"/>
        </w:rPr>
        <w:t>the</w:t>
      </w:r>
      <w:r w:rsidRPr="003D290F">
        <w:rPr>
          <w:rFonts w:eastAsia="Times New Roman" w:cs="Segoe UI"/>
          <w:szCs w:val="22"/>
        </w:rPr>
        <w:t xml:space="preserve"> community of interest</w:t>
      </w:r>
      <w:r w:rsidR="00E64668" w:rsidRPr="003D290F">
        <w:rPr>
          <w:rFonts w:eastAsia="Times New Roman" w:cs="Segoe UI"/>
          <w:szCs w:val="22"/>
        </w:rPr>
        <w:t>,</w:t>
      </w:r>
      <w:r w:rsidR="008A4A55" w:rsidRPr="003D290F">
        <w:rPr>
          <w:rFonts w:eastAsia="Times New Roman" w:cs="Segoe UI"/>
          <w:szCs w:val="22"/>
        </w:rPr>
        <w:t xml:space="preserve"> </w:t>
      </w:r>
      <w:r w:rsidR="00E64668" w:rsidRPr="003D290F">
        <w:rPr>
          <w:rFonts w:eastAsia="Times New Roman" w:cs="Segoe UI"/>
          <w:szCs w:val="22"/>
        </w:rPr>
        <w:t xml:space="preserve">and would require participating </w:t>
      </w:r>
      <w:r w:rsidR="00582F90">
        <w:rPr>
          <w:rFonts w:eastAsia="Times New Roman" w:cs="Segoe UI"/>
          <w:szCs w:val="22"/>
        </w:rPr>
        <w:t xml:space="preserve">closing </w:t>
      </w:r>
      <w:r w:rsidR="00E64668" w:rsidRPr="003D290F">
        <w:rPr>
          <w:rFonts w:eastAsia="Times New Roman" w:cs="Segoe UI"/>
          <w:szCs w:val="22"/>
        </w:rPr>
        <w:t>employers</w:t>
      </w:r>
      <w:r w:rsidR="00A47D0C" w:rsidRPr="003D290F">
        <w:rPr>
          <w:rFonts w:eastAsia="Times New Roman" w:cs="Segoe UI"/>
          <w:szCs w:val="22"/>
        </w:rPr>
        <w:t xml:space="preserve"> </w:t>
      </w:r>
      <w:r w:rsidR="00E64668" w:rsidRPr="003D290F">
        <w:rPr>
          <w:rFonts w:eastAsia="Times New Roman" w:cs="Segoe UI"/>
          <w:szCs w:val="22"/>
        </w:rPr>
        <w:t xml:space="preserve">to </w:t>
      </w:r>
      <w:r w:rsidR="00582F90">
        <w:rPr>
          <w:rFonts w:eastAsia="Times New Roman" w:cs="Segoe UI"/>
          <w:szCs w:val="22"/>
        </w:rPr>
        <w:t>meet legislated obligations to support their employees</w:t>
      </w:r>
      <w:r w:rsidR="00A47D0C" w:rsidRPr="003D290F">
        <w:rPr>
          <w:rFonts w:eastAsia="Times New Roman" w:cs="Segoe UI"/>
          <w:szCs w:val="22"/>
        </w:rPr>
        <w:t xml:space="preserve">. </w:t>
      </w:r>
      <w:r w:rsidR="004A47C4">
        <w:rPr>
          <w:rFonts w:eastAsia="Times New Roman" w:cs="Segoe UI"/>
          <w:szCs w:val="22"/>
        </w:rPr>
        <w:t xml:space="preserve">This includes closing employers </w:t>
      </w:r>
      <w:r w:rsidR="00582F90">
        <w:rPr>
          <w:rFonts w:eastAsia="Times New Roman" w:cs="Segoe UI"/>
          <w:szCs w:val="22"/>
        </w:rPr>
        <w:t>facilitating</w:t>
      </w:r>
      <w:r w:rsidR="004A47C4">
        <w:rPr>
          <w:rFonts w:eastAsia="Times New Roman" w:cs="Segoe UI"/>
          <w:szCs w:val="22"/>
        </w:rPr>
        <w:t xml:space="preserve"> re-training of their staff, including contributing to the cost of re-training and providing additional leave for relevant staff. </w:t>
      </w:r>
      <w:r w:rsidR="00A47D0C" w:rsidRPr="003D290F">
        <w:rPr>
          <w:rFonts w:eastAsia="Times New Roman" w:cs="Segoe UI"/>
          <w:szCs w:val="22"/>
        </w:rPr>
        <w:t xml:space="preserve">As </w:t>
      </w:r>
      <w:r w:rsidR="004A47C4">
        <w:rPr>
          <w:rFonts w:eastAsia="Times New Roman" w:cs="Segoe UI"/>
          <w:szCs w:val="22"/>
        </w:rPr>
        <w:t>this would lead to closing employer employees being better trained under the legislated scheme</w:t>
      </w:r>
      <w:r w:rsidRPr="003D290F">
        <w:rPr>
          <w:rFonts w:eastAsia="Times New Roman" w:cs="Segoe UI"/>
          <w:szCs w:val="22"/>
        </w:rPr>
        <w:t xml:space="preserve">, </w:t>
      </w:r>
      <w:r w:rsidR="009044B2" w:rsidRPr="003D290F">
        <w:rPr>
          <w:rFonts w:eastAsia="Times New Roman" w:cs="Segoe UI"/>
          <w:szCs w:val="22"/>
        </w:rPr>
        <w:t xml:space="preserve">more </w:t>
      </w:r>
      <w:r w:rsidR="001F471B" w:rsidRPr="005C1EDF">
        <w:rPr>
          <w:rFonts w:eastAsia="Times New Roman" w:cs="Segoe UI"/>
          <w:b/>
          <w:color w:val="1B375C" w:themeColor="accent1"/>
          <w:szCs w:val="22"/>
        </w:rPr>
        <w:t>receiving employers</w:t>
      </w:r>
      <w:r w:rsidR="00B908FA" w:rsidRPr="003D290F">
        <w:rPr>
          <w:rFonts w:eastAsia="Times New Roman" w:cs="Segoe UI"/>
          <w:szCs w:val="22"/>
        </w:rPr>
        <w:t xml:space="preserve"> would</w:t>
      </w:r>
      <w:r w:rsidR="00B908FA" w:rsidRPr="003D290F" w:rsidDel="009044B2">
        <w:rPr>
          <w:rFonts w:eastAsia="Times New Roman" w:cs="Segoe UI"/>
          <w:szCs w:val="22"/>
        </w:rPr>
        <w:t xml:space="preserve"> </w:t>
      </w:r>
      <w:r w:rsidR="00B908FA" w:rsidRPr="003D290F">
        <w:rPr>
          <w:rFonts w:eastAsia="Times New Roman" w:cs="Segoe UI"/>
          <w:szCs w:val="22"/>
        </w:rPr>
        <w:t>participate</w:t>
      </w:r>
      <w:r w:rsidR="009044B2" w:rsidRPr="003D290F">
        <w:rPr>
          <w:rFonts w:eastAsia="Times New Roman" w:cs="Segoe UI"/>
          <w:szCs w:val="22"/>
        </w:rPr>
        <w:t xml:space="preserve"> in a community of interest</w:t>
      </w:r>
      <w:r w:rsidR="004A47C4">
        <w:rPr>
          <w:rFonts w:eastAsia="Times New Roman" w:cs="Segoe UI"/>
          <w:szCs w:val="22"/>
        </w:rPr>
        <w:t>. They</w:t>
      </w:r>
      <w:r w:rsidR="009044B2" w:rsidRPr="003D290F">
        <w:rPr>
          <w:rFonts w:eastAsia="Times New Roman" w:cs="Segoe UI"/>
          <w:szCs w:val="22"/>
        </w:rPr>
        <w:t xml:space="preserve"> would </w:t>
      </w:r>
      <w:r w:rsidR="004A47C4">
        <w:rPr>
          <w:rFonts w:eastAsia="Times New Roman" w:cs="Segoe UI"/>
          <w:szCs w:val="22"/>
        </w:rPr>
        <w:t xml:space="preserve">also </w:t>
      </w:r>
      <w:r w:rsidR="009044B2" w:rsidRPr="003D290F">
        <w:rPr>
          <w:rFonts w:eastAsia="Times New Roman" w:cs="Segoe UI"/>
          <w:szCs w:val="22"/>
        </w:rPr>
        <w:t xml:space="preserve">participate more meaningfully, </w:t>
      </w:r>
      <w:r w:rsidR="00B908FA" w:rsidRPr="003D290F">
        <w:rPr>
          <w:rFonts w:eastAsia="Times New Roman" w:cs="Segoe UI"/>
          <w:szCs w:val="22"/>
        </w:rPr>
        <w:t>leading to</w:t>
      </w:r>
      <w:r w:rsidRPr="003D290F">
        <w:rPr>
          <w:rFonts w:eastAsia="Times New Roman" w:cs="Segoe UI"/>
          <w:szCs w:val="22"/>
        </w:rPr>
        <w:t xml:space="preserve"> an increased number of early retirement</w:t>
      </w:r>
      <w:r w:rsidR="004F5C1A" w:rsidRPr="003D290F">
        <w:rPr>
          <w:rFonts w:eastAsia="Times New Roman" w:cs="Segoe UI"/>
          <w:szCs w:val="22"/>
        </w:rPr>
        <w:t>s</w:t>
      </w:r>
      <w:r w:rsidR="00A47D0C" w:rsidRPr="003D290F">
        <w:rPr>
          <w:rFonts w:eastAsia="Times New Roman" w:cs="Segoe UI"/>
          <w:szCs w:val="22"/>
        </w:rPr>
        <w:t>,</w:t>
      </w:r>
      <w:r w:rsidRPr="003D290F">
        <w:rPr>
          <w:rFonts w:eastAsia="Times New Roman" w:cs="Segoe UI"/>
          <w:szCs w:val="22"/>
        </w:rPr>
        <w:t xml:space="preserve"> and </w:t>
      </w:r>
      <w:r w:rsidR="00B908FA" w:rsidRPr="003D290F">
        <w:rPr>
          <w:rFonts w:eastAsia="Times New Roman" w:cs="Segoe UI"/>
          <w:szCs w:val="22"/>
        </w:rPr>
        <w:t xml:space="preserve">more vacancies for incoming </w:t>
      </w:r>
      <w:r w:rsidRPr="003D290F">
        <w:rPr>
          <w:rFonts w:eastAsia="Times New Roman" w:cs="Segoe UI"/>
          <w:szCs w:val="22"/>
        </w:rPr>
        <w:t xml:space="preserve">closing employer </w:t>
      </w:r>
      <w:r w:rsidR="00DC068D" w:rsidRPr="003D290F">
        <w:rPr>
          <w:rFonts w:eastAsia="Times New Roman" w:cs="Segoe UI"/>
          <w:szCs w:val="22"/>
        </w:rPr>
        <w:t>employees</w:t>
      </w:r>
      <w:r w:rsidRPr="003D290F">
        <w:rPr>
          <w:rFonts w:eastAsia="Times New Roman" w:cs="Segoe UI"/>
          <w:szCs w:val="22"/>
        </w:rPr>
        <w:t>.</w:t>
      </w:r>
      <w:r w:rsidR="00FF7B1D" w:rsidRPr="003D290F">
        <w:rPr>
          <w:rFonts w:eastAsia="Times New Roman" w:cs="Segoe UI"/>
        </w:rPr>
        <w:t xml:space="preserve"> </w:t>
      </w:r>
      <w:r w:rsidR="00765CE6" w:rsidRPr="003D290F">
        <w:rPr>
          <w:rFonts w:eastAsia="Times New Roman" w:cs="Segoe UI"/>
        </w:rPr>
        <w:t>Due</w:t>
      </w:r>
      <w:r w:rsidR="00B908FA" w:rsidRPr="003D290F">
        <w:rPr>
          <w:rFonts w:eastAsia="Times New Roman" w:cs="Segoe UI"/>
        </w:rPr>
        <w:t xml:space="preserve"> to higher participation</w:t>
      </w:r>
      <w:r w:rsidR="00765CE6" w:rsidRPr="003D290F">
        <w:rPr>
          <w:rFonts w:eastAsia="Times New Roman" w:cs="Segoe UI"/>
        </w:rPr>
        <w:t xml:space="preserve">, </w:t>
      </w:r>
      <w:r w:rsidR="007D2AED" w:rsidRPr="003D290F">
        <w:rPr>
          <w:rFonts w:eastAsia="Times New Roman" w:cs="Segoe UI"/>
        </w:rPr>
        <w:t xml:space="preserve">expenditure </w:t>
      </w:r>
      <w:r w:rsidR="001B3949" w:rsidRPr="003D290F">
        <w:rPr>
          <w:rFonts w:eastAsia="Times New Roman" w:cs="Segoe UI"/>
        </w:rPr>
        <w:t xml:space="preserve">by Government </w:t>
      </w:r>
      <w:r w:rsidR="007D2AED" w:rsidRPr="003D290F">
        <w:rPr>
          <w:rFonts w:eastAsia="Times New Roman" w:cs="Segoe UI"/>
        </w:rPr>
        <w:t>on early retirement packages</w:t>
      </w:r>
      <w:r w:rsidR="000B0165" w:rsidRPr="003D290F">
        <w:rPr>
          <w:rFonts w:eastAsia="Times New Roman" w:cs="Segoe UI"/>
        </w:rPr>
        <w:t xml:space="preserve"> would increase</w:t>
      </w:r>
      <w:r w:rsidR="007D2AED" w:rsidRPr="003D290F">
        <w:rPr>
          <w:rFonts w:eastAsia="Times New Roman" w:cs="Segoe UI"/>
        </w:rPr>
        <w:t>.</w:t>
      </w:r>
    </w:p>
    <w:p w14:paraId="2FBEB285" w14:textId="77777777" w:rsidR="00FF7B1D" w:rsidRPr="003D290F" w:rsidRDefault="007D2AED" w:rsidP="00FE3DEC">
      <w:pPr>
        <w:rPr>
          <w:rFonts w:eastAsia="Times New Roman" w:cs="Segoe UI"/>
        </w:rPr>
      </w:pPr>
      <w:r w:rsidRPr="003D290F">
        <w:rPr>
          <w:rFonts w:eastAsia="Times New Roman" w:cs="Segoe UI"/>
        </w:rPr>
        <w:t xml:space="preserve">Likewise the cost of subsidising early retirement packages would increase for </w:t>
      </w:r>
      <w:r w:rsidR="00F4765D" w:rsidRPr="003D290F">
        <w:rPr>
          <w:rFonts w:eastAsia="Times New Roman" w:cs="Segoe UI"/>
          <w:b/>
          <w:color w:val="1B375C" w:themeColor="accent1"/>
        </w:rPr>
        <w:t>g</w:t>
      </w:r>
      <w:r w:rsidR="00FF7B1D" w:rsidRPr="003D290F">
        <w:rPr>
          <w:rFonts w:eastAsia="Times New Roman" w:cs="Segoe UI"/>
          <w:b/>
          <w:color w:val="1B375C" w:themeColor="accent1"/>
        </w:rPr>
        <w:t>overnment</w:t>
      </w:r>
      <w:r w:rsidRPr="003D290F">
        <w:rPr>
          <w:rFonts w:eastAsia="Times New Roman" w:cs="Segoe UI"/>
        </w:rPr>
        <w:t>.</w:t>
      </w:r>
      <w:r w:rsidR="00FF7B1D" w:rsidRPr="003D290F">
        <w:rPr>
          <w:rFonts w:eastAsia="Times New Roman" w:cs="Segoe UI"/>
        </w:rPr>
        <w:t xml:space="preserve"> </w:t>
      </w:r>
      <w:r w:rsidR="00163345" w:rsidRPr="003D290F">
        <w:rPr>
          <w:rFonts w:eastAsia="Times New Roman" w:cs="Segoe UI"/>
        </w:rPr>
        <w:t xml:space="preserve">In addition, the costs to the </w:t>
      </w:r>
      <w:r w:rsidR="00665069" w:rsidRPr="003D290F">
        <w:rPr>
          <w:rFonts w:eastAsia="Times New Roman" w:cs="Segoe UI"/>
        </w:rPr>
        <w:t xml:space="preserve">Australian </w:t>
      </w:r>
      <w:r w:rsidR="00163345" w:rsidRPr="003D290F">
        <w:rPr>
          <w:rFonts w:eastAsia="Times New Roman" w:cs="Segoe UI"/>
        </w:rPr>
        <w:t xml:space="preserve">Government of administering and enforcing a legislated </w:t>
      </w:r>
      <w:r w:rsidR="00F6294A" w:rsidRPr="003D290F">
        <w:rPr>
          <w:rFonts w:eastAsia="Times New Roman" w:cs="Segoe UI"/>
        </w:rPr>
        <w:t>plan</w:t>
      </w:r>
      <w:r w:rsidR="00163345" w:rsidRPr="003D290F">
        <w:rPr>
          <w:rFonts w:eastAsia="Times New Roman" w:cs="Segoe UI"/>
        </w:rPr>
        <w:t xml:space="preserve"> would increase</w:t>
      </w:r>
      <w:r w:rsidR="00D45B6F" w:rsidRPr="003D290F">
        <w:rPr>
          <w:rFonts w:eastAsia="Times New Roman" w:cs="Segoe UI"/>
        </w:rPr>
        <w:t>.</w:t>
      </w:r>
      <w:r w:rsidR="00BA2A3F" w:rsidRPr="003D290F">
        <w:rPr>
          <w:rFonts w:eastAsia="Times New Roman" w:cs="Segoe UI"/>
        </w:rPr>
        <w:t xml:space="preserve"> </w:t>
      </w:r>
      <w:r w:rsidR="00D45B6F" w:rsidRPr="003D290F">
        <w:rPr>
          <w:rFonts w:eastAsia="Times New Roman" w:cs="Segoe UI"/>
        </w:rPr>
        <w:t>N</w:t>
      </w:r>
      <w:r w:rsidR="00BA2A3F" w:rsidRPr="003D290F">
        <w:rPr>
          <w:rFonts w:eastAsia="Times New Roman" w:cs="Segoe UI"/>
        </w:rPr>
        <w:t>otably</w:t>
      </w:r>
      <w:r w:rsidR="00D45B6F" w:rsidRPr="003D290F">
        <w:rPr>
          <w:rFonts w:eastAsia="Times New Roman" w:cs="Segoe UI"/>
        </w:rPr>
        <w:t>, under the legislated redeployment plan,</w:t>
      </w:r>
      <w:r w:rsidR="00BA2A3F" w:rsidRPr="003D290F">
        <w:rPr>
          <w:rFonts w:eastAsia="Times New Roman" w:cs="Segoe UI"/>
        </w:rPr>
        <w:t xml:space="preserve"> </w:t>
      </w:r>
      <w:r w:rsidR="003E4EE0" w:rsidRPr="003D290F">
        <w:rPr>
          <w:rFonts w:eastAsia="Times New Roman" w:cs="Segoe UI"/>
        </w:rPr>
        <w:t xml:space="preserve">the </w:t>
      </w:r>
      <w:r w:rsidR="00BA2A3F" w:rsidRPr="003D290F">
        <w:rPr>
          <w:rFonts w:eastAsia="Times New Roman" w:cs="Segoe UI"/>
        </w:rPr>
        <w:t>FWC</w:t>
      </w:r>
      <w:r w:rsidR="003E4EE0" w:rsidRPr="003D290F">
        <w:rPr>
          <w:rFonts w:eastAsia="Times New Roman" w:cs="Segoe UI"/>
        </w:rPr>
        <w:t xml:space="preserve"> would have</w:t>
      </w:r>
      <w:r w:rsidR="00163345" w:rsidRPr="003D290F">
        <w:rPr>
          <w:rFonts w:eastAsia="Times New Roman" w:cs="Segoe UI"/>
        </w:rPr>
        <w:t xml:space="preserve"> </w:t>
      </w:r>
      <w:r w:rsidR="003E4EE0" w:rsidRPr="003D290F">
        <w:rPr>
          <w:rFonts w:eastAsia="Times New Roman" w:cs="Segoe UI"/>
        </w:rPr>
        <w:t xml:space="preserve">departmental and administrative costs under Option 3 </w:t>
      </w:r>
      <w:r w:rsidR="00BA2A3F" w:rsidRPr="003D290F">
        <w:rPr>
          <w:rFonts w:eastAsia="Times New Roman" w:cs="Segoe UI"/>
        </w:rPr>
        <w:t>not present</w:t>
      </w:r>
      <w:r w:rsidR="003E4EE0" w:rsidRPr="003D290F">
        <w:rPr>
          <w:rFonts w:eastAsia="Times New Roman" w:cs="Segoe UI"/>
        </w:rPr>
        <w:t xml:space="preserve"> under Option 2. </w:t>
      </w:r>
      <w:r w:rsidR="00D45B6F" w:rsidRPr="003D290F">
        <w:rPr>
          <w:rFonts w:eastAsia="Times New Roman" w:cs="Segoe UI"/>
        </w:rPr>
        <w:t>These additional costs are included in the impact of the legislated redeployment plan on government.</w:t>
      </w:r>
      <w:r w:rsidR="0021615A" w:rsidRPr="003D290F">
        <w:rPr>
          <w:rFonts w:eastAsia="Times New Roman" w:cs="Segoe UI"/>
        </w:rPr>
        <w:t xml:space="preserve"> As with the unlegislated plan, overall tax revenue would decrease as the </w:t>
      </w:r>
      <w:r w:rsidR="007D70DC">
        <w:rPr>
          <w:rFonts w:eastAsia="Times New Roman" w:cs="Segoe UI"/>
        </w:rPr>
        <w:t xml:space="preserve">cost of less income tax revenue from </w:t>
      </w:r>
      <w:r w:rsidR="0021615A" w:rsidRPr="003D290F">
        <w:rPr>
          <w:rFonts w:eastAsia="Times New Roman" w:cs="Segoe UI"/>
        </w:rPr>
        <w:t xml:space="preserve">receiving employer workers </w:t>
      </w:r>
      <w:r w:rsidR="007D70DC">
        <w:rPr>
          <w:rFonts w:eastAsia="Times New Roman" w:cs="Segoe UI"/>
        </w:rPr>
        <w:t xml:space="preserve">outweighs </w:t>
      </w:r>
      <w:r w:rsidR="0021615A" w:rsidRPr="003D290F">
        <w:rPr>
          <w:rFonts w:eastAsia="Times New Roman" w:cs="Segoe UI"/>
        </w:rPr>
        <w:t xml:space="preserve">the </w:t>
      </w:r>
      <w:r w:rsidR="007D70DC">
        <w:rPr>
          <w:rFonts w:eastAsia="Times New Roman" w:cs="Segoe UI"/>
        </w:rPr>
        <w:t>tax revenue benefit from</w:t>
      </w:r>
      <w:r w:rsidR="0021615A" w:rsidRPr="003D290F">
        <w:rPr>
          <w:rFonts w:eastAsia="Times New Roman" w:cs="Segoe UI"/>
        </w:rPr>
        <w:t xml:space="preserve"> closing employer workers who maintain employment.</w:t>
      </w:r>
    </w:p>
    <w:p w14:paraId="41D35AA1" w14:textId="77777777" w:rsidR="00A47D0C" w:rsidRPr="003D290F" w:rsidRDefault="00A47D0C" w:rsidP="00FE3DEC">
      <w:pPr>
        <w:rPr>
          <w:rFonts w:eastAsia="Times New Roman" w:cs="Segoe UI"/>
        </w:rPr>
      </w:pPr>
      <w:r w:rsidRPr="003D290F">
        <w:rPr>
          <w:rFonts w:eastAsia="Times New Roman" w:cs="Segoe UI"/>
        </w:rPr>
        <w:t xml:space="preserve">Under a legislated redeployment </w:t>
      </w:r>
      <w:r w:rsidR="00F6294A" w:rsidRPr="003D290F">
        <w:rPr>
          <w:rFonts w:eastAsia="Times New Roman" w:cs="Segoe UI"/>
        </w:rPr>
        <w:t>plan</w:t>
      </w:r>
      <w:r w:rsidRPr="003D290F">
        <w:rPr>
          <w:rFonts w:eastAsia="Times New Roman" w:cs="Segoe UI"/>
        </w:rPr>
        <w:t>, more</w:t>
      </w:r>
      <w:r w:rsidRPr="003D290F">
        <w:rPr>
          <w:rFonts w:eastAsia="Times New Roman" w:cs="Segoe UI"/>
          <w:b/>
          <w:color w:val="1B375C"/>
        </w:rPr>
        <w:t xml:space="preserve"> closing employer </w:t>
      </w:r>
      <w:r w:rsidR="00DC068D" w:rsidRPr="003D290F">
        <w:rPr>
          <w:rFonts w:eastAsia="Times New Roman" w:cs="Segoe UI"/>
          <w:b/>
          <w:color w:val="1B375C"/>
        </w:rPr>
        <w:t>employees</w:t>
      </w:r>
      <w:r w:rsidRPr="003D290F">
        <w:rPr>
          <w:rFonts w:eastAsia="Times New Roman" w:cs="Segoe UI"/>
        </w:rPr>
        <w:t xml:space="preserve"> would secure alternate ongoing employment, </w:t>
      </w:r>
      <w:r w:rsidR="009044B2" w:rsidRPr="003D290F">
        <w:rPr>
          <w:rFonts w:eastAsia="Times New Roman" w:cs="Segoe UI"/>
        </w:rPr>
        <w:t xml:space="preserve">with receiving employers, </w:t>
      </w:r>
      <w:r w:rsidRPr="003D290F">
        <w:rPr>
          <w:rFonts w:eastAsia="Times New Roman" w:cs="Segoe UI"/>
        </w:rPr>
        <w:t>leading to improved economic and social outcomes</w:t>
      </w:r>
      <w:r w:rsidR="009044B2" w:rsidRPr="003D290F">
        <w:rPr>
          <w:rFonts w:eastAsia="Times New Roman" w:cs="Segoe UI"/>
        </w:rPr>
        <w:t>.</w:t>
      </w:r>
      <w:r w:rsidRPr="003D290F">
        <w:rPr>
          <w:rFonts w:eastAsia="Times New Roman" w:cs="Segoe UI"/>
        </w:rPr>
        <w:t xml:space="preserve"> </w:t>
      </w:r>
      <w:r w:rsidR="004A47C4">
        <w:rPr>
          <w:rFonts w:eastAsia="Times New Roman" w:cs="Segoe UI"/>
        </w:rPr>
        <w:t xml:space="preserve">Closing employer employees would also benefit from re-training support. </w:t>
      </w:r>
      <w:r w:rsidR="009044B2" w:rsidRPr="003D290F">
        <w:rPr>
          <w:rFonts w:eastAsia="Times New Roman" w:cs="Segoe UI"/>
        </w:rPr>
        <w:t>M</w:t>
      </w:r>
      <w:r w:rsidRPr="003D290F">
        <w:rPr>
          <w:rFonts w:eastAsia="Times New Roman" w:cs="Segoe UI"/>
        </w:rPr>
        <w:t xml:space="preserve">ore early retirement packages would be offered to </w:t>
      </w:r>
      <w:r w:rsidR="00B2277E" w:rsidRPr="003D290F">
        <w:rPr>
          <w:rFonts w:eastAsia="Times New Roman" w:cs="Segoe UI"/>
          <w:b/>
          <w:color w:val="1B375C" w:themeColor="accent1"/>
        </w:rPr>
        <w:t>receiving employer</w:t>
      </w:r>
      <w:r w:rsidRPr="003D290F">
        <w:rPr>
          <w:rFonts w:eastAsia="Times New Roman" w:cs="Segoe UI"/>
          <w:b/>
          <w:color w:val="1B375C" w:themeColor="accent1"/>
        </w:rPr>
        <w:t xml:space="preserve"> </w:t>
      </w:r>
      <w:r w:rsidR="00DC068D" w:rsidRPr="003D290F">
        <w:rPr>
          <w:rFonts w:eastAsia="Times New Roman" w:cs="Segoe UI"/>
          <w:b/>
          <w:color w:val="1B375C" w:themeColor="accent1"/>
        </w:rPr>
        <w:t>employees</w:t>
      </w:r>
      <w:r w:rsidR="009044B2" w:rsidRPr="003D290F">
        <w:rPr>
          <w:rFonts w:eastAsia="Times New Roman" w:cs="Segoe UI"/>
        </w:rPr>
        <w:t xml:space="preserve"> to create job vacancies for closing employer </w:t>
      </w:r>
      <w:r w:rsidR="00DC068D" w:rsidRPr="003D290F">
        <w:rPr>
          <w:rFonts w:eastAsia="Times New Roman" w:cs="Segoe UI"/>
        </w:rPr>
        <w:t>employees</w:t>
      </w:r>
      <w:r w:rsidRPr="003D290F">
        <w:rPr>
          <w:rFonts w:eastAsia="Times New Roman" w:cs="Segoe UI"/>
        </w:rPr>
        <w:t xml:space="preserve">. In the analysis, this is the predominant factor driving the greater positive net benefit for </w:t>
      </w:r>
      <w:r w:rsidR="00173222" w:rsidRPr="003D290F">
        <w:rPr>
          <w:rFonts w:eastAsia="Times New Roman" w:cs="Segoe UI"/>
        </w:rPr>
        <w:t xml:space="preserve">closing and receiving employer </w:t>
      </w:r>
      <w:r w:rsidR="00DC068D" w:rsidRPr="003D290F">
        <w:rPr>
          <w:rFonts w:eastAsia="Times New Roman" w:cs="Segoe UI"/>
        </w:rPr>
        <w:t>employees</w:t>
      </w:r>
      <w:r w:rsidRPr="003D290F">
        <w:rPr>
          <w:rFonts w:eastAsia="Times New Roman" w:cs="Segoe UI"/>
        </w:rPr>
        <w:t xml:space="preserve"> compared to </w:t>
      </w:r>
      <w:r w:rsidR="001D25F0" w:rsidRPr="003D290F">
        <w:rPr>
          <w:rFonts w:eastAsia="Times New Roman" w:cs="Segoe UI"/>
        </w:rPr>
        <w:t>Option 2</w:t>
      </w:r>
      <w:r w:rsidRPr="003D290F">
        <w:rPr>
          <w:rFonts w:eastAsia="Times New Roman" w:cs="Segoe UI"/>
        </w:rPr>
        <w:t>.</w:t>
      </w:r>
    </w:p>
    <w:p w14:paraId="6448A2CF" w14:textId="77777777" w:rsidR="00FD4279" w:rsidRPr="003D290F" w:rsidRDefault="00A47D0C" w:rsidP="00FE3DEC">
      <w:r w:rsidRPr="003D290F">
        <w:rPr>
          <w:rFonts w:eastAsia="Times New Roman" w:cs="Segoe UI"/>
          <w:szCs w:val="22"/>
        </w:rPr>
        <w:t>T</w:t>
      </w:r>
      <w:r w:rsidR="00355CA0" w:rsidRPr="003D290F">
        <w:rPr>
          <w:rFonts w:eastAsia="Times New Roman" w:cs="Segoe UI"/>
          <w:szCs w:val="22"/>
        </w:rPr>
        <w:t xml:space="preserve">he higher success rate and improved employment outcomes </w:t>
      </w:r>
      <w:r w:rsidRPr="003D290F">
        <w:rPr>
          <w:rFonts w:eastAsia="Times New Roman" w:cs="Segoe UI"/>
          <w:szCs w:val="22"/>
        </w:rPr>
        <w:t xml:space="preserve">for affected </w:t>
      </w:r>
      <w:r w:rsidR="00DC068D" w:rsidRPr="003D290F">
        <w:rPr>
          <w:rFonts w:eastAsia="Times New Roman" w:cs="Segoe UI"/>
          <w:szCs w:val="22"/>
        </w:rPr>
        <w:t>employees</w:t>
      </w:r>
      <w:r w:rsidRPr="003D290F">
        <w:rPr>
          <w:rFonts w:eastAsia="Times New Roman" w:cs="Segoe UI"/>
          <w:szCs w:val="22"/>
        </w:rPr>
        <w:t xml:space="preserve"> would </w:t>
      </w:r>
      <w:r w:rsidR="00355CA0" w:rsidRPr="003D290F">
        <w:rPr>
          <w:rFonts w:eastAsia="Times New Roman" w:cs="Segoe UI"/>
          <w:szCs w:val="22"/>
        </w:rPr>
        <w:t xml:space="preserve">generate further indirect benefits for </w:t>
      </w:r>
      <w:r w:rsidR="00925AE6" w:rsidRPr="003D290F">
        <w:rPr>
          <w:rFonts w:eastAsia="Times New Roman" w:cs="Segoe UI"/>
          <w:szCs w:val="22"/>
        </w:rPr>
        <w:t xml:space="preserve">small </w:t>
      </w:r>
      <w:r w:rsidR="00355CA0" w:rsidRPr="003D290F">
        <w:rPr>
          <w:rFonts w:eastAsia="Times New Roman" w:cs="Segoe UI"/>
          <w:szCs w:val="22"/>
        </w:rPr>
        <w:t xml:space="preserve">businesses and the </w:t>
      </w:r>
      <w:r w:rsidR="00355CA0" w:rsidRPr="003D290F">
        <w:rPr>
          <w:rFonts w:eastAsia="Times New Roman" w:cs="Segoe UI"/>
          <w:b/>
          <w:color w:val="1B375C" w:themeColor="accent1"/>
          <w:szCs w:val="22"/>
        </w:rPr>
        <w:t>community</w:t>
      </w:r>
      <w:r w:rsidR="00355CA0" w:rsidRPr="003D290F">
        <w:rPr>
          <w:rFonts w:eastAsia="Times New Roman" w:cs="Segoe UI"/>
          <w:szCs w:val="22"/>
        </w:rPr>
        <w:t xml:space="preserve"> in the region.</w:t>
      </w:r>
      <w:r w:rsidR="00FD4279" w:rsidRPr="003D290F">
        <w:t xml:space="preserve"> </w:t>
      </w:r>
    </w:p>
    <w:p w14:paraId="519AD49C" w14:textId="77777777" w:rsidR="00925AE6" w:rsidRPr="003D290F" w:rsidRDefault="00765CE6" w:rsidP="00FE3DEC">
      <w:pPr>
        <w:rPr>
          <w:i/>
        </w:rPr>
      </w:pPr>
      <w:r w:rsidRPr="003D290F">
        <w:rPr>
          <w:i/>
        </w:rPr>
        <w:t xml:space="preserve">Regulatory costs for </w:t>
      </w:r>
      <w:r w:rsidR="00925AE6" w:rsidRPr="003D290F">
        <w:rPr>
          <w:i/>
        </w:rPr>
        <w:t xml:space="preserve">closing and </w:t>
      </w:r>
      <w:r w:rsidR="001F471B" w:rsidRPr="003D290F">
        <w:rPr>
          <w:i/>
        </w:rPr>
        <w:t>receiving employers</w:t>
      </w:r>
    </w:p>
    <w:p w14:paraId="3BDB56B7" w14:textId="77777777" w:rsidR="00765CE6" w:rsidRPr="003D290F" w:rsidRDefault="00765CE6" w:rsidP="00FE3DEC">
      <w:pPr>
        <w:rPr>
          <w:rFonts w:cs="Segoe UI"/>
        </w:rPr>
      </w:pPr>
      <w:r w:rsidRPr="003D290F">
        <w:rPr>
          <w:rFonts w:eastAsia="Times New Roman" w:cs="Segoe UI"/>
          <w:szCs w:val="22"/>
        </w:rPr>
        <w:t>Regulatory costs would increase for</w:t>
      </w:r>
      <w:r w:rsidRPr="003D290F">
        <w:rPr>
          <w:rFonts w:eastAsia="Times New Roman" w:cs="Segoe UI"/>
          <w:b/>
          <w:szCs w:val="22"/>
        </w:rPr>
        <w:t xml:space="preserve"> </w:t>
      </w:r>
      <w:r w:rsidRPr="003D290F">
        <w:rPr>
          <w:rFonts w:eastAsia="Times New Roman" w:cs="Segoe UI"/>
          <w:b/>
          <w:color w:val="1B375C" w:themeColor="accent1"/>
          <w:szCs w:val="22"/>
        </w:rPr>
        <w:t>closing employers</w:t>
      </w:r>
      <w:r w:rsidRPr="003D290F">
        <w:rPr>
          <w:rFonts w:eastAsia="Times New Roman" w:cs="Segoe UI"/>
          <w:szCs w:val="22"/>
        </w:rPr>
        <w:t xml:space="preserve"> under a legislated </w:t>
      </w:r>
      <w:r w:rsidR="00F6294A" w:rsidRPr="003D290F">
        <w:rPr>
          <w:rFonts w:eastAsia="Times New Roman" w:cs="Segoe UI"/>
          <w:szCs w:val="22"/>
        </w:rPr>
        <w:t>plan</w:t>
      </w:r>
      <w:r w:rsidRPr="003D290F">
        <w:rPr>
          <w:rFonts w:eastAsia="Times New Roman" w:cs="Segoe UI"/>
          <w:szCs w:val="22"/>
        </w:rPr>
        <w:t xml:space="preserve"> due to higher participation by </w:t>
      </w:r>
      <w:r w:rsidR="00DC068D" w:rsidRPr="003D290F">
        <w:rPr>
          <w:rFonts w:eastAsia="Times New Roman" w:cs="Segoe UI"/>
          <w:szCs w:val="22"/>
        </w:rPr>
        <w:t>employees</w:t>
      </w:r>
      <w:r w:rsidRPr="003D290F">
        <w:rPr>
          <w:rFonts w:eastAsia="Times New Roman" w:cs="Segoe UI"/>
          <w:szCs w:val="22"/>
        </w:rPr>
        <w:t xml:space="preserve"> and </w:t>
      </w:r>
      <w:r w:rsidR="009044B2" w:rsidRPr="003D290F">
        <w:rPr>
          <w:rFonts w:eastAsia="Times New Roman" w:cs="Segoe UI"/>
          <w:szCs w:val="22"/>
        </w:rPr>
        <w:t xml:space="preserve">legislated </w:t>
      </w:r>
      <w:r w:rsidRPr="003D290F">
        <w:rPr>
          <w:rFonts w:eastAsia="Times New Roman" w:cs="Segoe UI"/>
          <w:szCs w:val="22"/>
        </w:rPr>
        <w:t>obligation</w:t>
      </w:r>
      <w:r w:rsidR="009044B2" w:rsidRPr="003D290F">
        <w:rPr>
          <w:rFonts w:eastAsia="Times New Roman" w:cs="Segoe UI"/>
          <w:szCs w:val="22"/>
        </w:rPr>
        <w:t xml:space="preserve">s for their participation in pooled redeployment </w:t>
      </w:r>
      <w:r w:rsidR="00F6294A" w:rsidRPr="003D290F">
        <w:rPr>
          <w:rFonts w:eastAsia="Times New Roman" w:cs="Segoe UI"/>
          <w:szCs w:val="22"/>
        </w:rPr>
        <w:t>plan</w:t>
      </w:r>
      <w:r w:rsidR="009044B2" w:rsidRPr="003D290F">
        <w:rPr>
          <w:rFonts w:eastAsia="Times New Roman" w:cs="Segoe UI"/>
          <w:szCs w:val="22"/>
        </w:rPr>
        <w:t>s</w:t>
      </w:r>
      <w:r w:rsidRPr="003D290F">
        <w:rPr>
          <w:rFonts w:cs="Segoe UI"/>
        </w:rPr>
        <w:t xml:space="preserve">. </w:t>
      </w:r>
      <w:r w:rsidR="002F4B70" w:rsidRPr="003D290F">
        <w:rPr>
          <w:rFonts w:cs="Segoe UI"/>
        </w:rPr>
        <w:t xml:space="preserve">The costs associated with seeking legal advice would be higher under </w:t>
      </w:r>
      <w:r w:rsidR="001D25F0" w:rsidRPr="003D290F">
        <w:rPr>
          <w:rFonts w:cs="Segoe UI"/>
        </w:rPr>
        <w:t>Option 3</w:t>
      </w:r>
      <w:r w:rsidR="002F4B70" w:rsidRPr="003D290F">
        <w:rPr>
          <w:rFonts w:cs="Segoe UI"/>
        </w:rPr>
        <w:t xml:space="preserve"> relative to </w:t>
      </w:r>
      <w:r w:rsidR="001D25F0" w:rsidRPr="003D290F">
        <w:rPr>
          <w:rFonts w:cs="Segoe UI"/>
        </w:rPr>
        <w:t>Option</w:t>
      </w:r>
      <w:r w:rsidR="008D6360">
        <w:rPr>
          <w:rFonts w:cs="Segoe UI"/>
        </w:rPr>
        <w:t> </w:t>
      </w:r>
      <w:r w:rsidR="001D25F0" w:rsidRPr="003D290F">
        <w:rPr>
          <w:rFonts w:cs="Segoe UI"/>
        </w:rPr>
        <w:t>2</w:t>
      </w:r>
      <w:r w:rsidR="002F4B70" w:rsidRPr="003D290F">
        <w:rPr>
          <w:rFonts w:cs="Segoe UI"/>
        </w:rPr>
        <w:t xml:space="preserve">. </w:t>
      </w:r>
      <w:r w:rsidR="00F2594A">
        <w:rPr>
          <w:rFonts w:cs="Segoe UI"/>
        </w:rPr>
        <w:t xml:space="preserve">The regulatory costs for </w:t>
      </w:r>
      <w:r w:rsidR="00F2594A" w:rsidRPr="005C1EDF">
        <w:rPr>
          <w:rFonts w:eastAsia="Times New Roman" w:cs="Segoe UI"/>
          <w:b/>
          <w:color w:val="1B375C" w:themeColor="accent1"/>
          <w:szCs w:val="22"/>
        </w:rPr>
        <w:t>receiving employers</w:t>
      </w:r>
      <w:r w:rsidR="00F2594A">
        <w:rPr>
          <w:rFonts w:cs="Segoe UI"/>
        </w:rPr>
        <w:t xml:space="preserve"> would be the same as under Option 2.</w:t>
      </w:r>
    </w:p>
    <w:p w14:paraId="689A6F7D" w14:textId="77777777" w:rsidR="00765CE6" w:rsidRPr="003D290F" w:rsidRDefault="007971AB" w:rsidP="00FE3DEC">
      <w:pPr>
        <w:rPr>
          <w:rFonts w:eastAsia="Times New Roman" w:cs="Segoe UI"/>
          <w:szCs w:val="22"/>
        </w:rPr>
      </w:pPr>
      <w:r>
        <w:rPr>
          <w:rFonts w:cs="Segoe UI"/>
        </w:rPr>
        <w:t>C</w:t>
      </w:r>
      <w:r w:rsidR="00925491" w:rsidRPr="003D290F">
        <w:rPr>
          <w:rFonts w:cs="Segoe UI"/>
        </w:rPr>
        <w:t xml:space="preserve">losing </w:t>
      </w:r>
      <w:r w:rsidR="001F471B" w:rsidRPr="003D290F">
        <w:rPr>
          <w:rFonts w:cs="Segoe UI"/>
        </w:rPr>
        <w:t>employers</w:t>
      </w:r>
      <w:r w:rsidR="00765CE6" w:rsidRPr="003D290F">
        <w:rPr>
          <w:rFonts w:cs="Segoe UI"/>
        </w:rPr>
        <w:t xml:space="preserve"> </w:t>
      </w:r>
      <w:r w:rsidR="00765CE6" w:rsidRPr="003D290F">
        <w:rPr>
          <w:rFonts w:eastAsia="Times New Roman"/>
        </w:rPr>
        <w:t xml:space="preserve">would need to allocate more time and resources to comply with </w:t>
      </w:r>
      <w:r w:rsidR="00925491" w:rsidRPr="003D290F">
        <w:rPr>
          <w:rFonts w:eastAsia="Times New Roman"/>
        </w:rPr>
        <w:t>their legislative obligations</w:t>
      </w:r>
      <w:r w:rsidR="00765CE6" w:rsidRPr="003D290F">
        <w:rPr>
          <w:rFonts w:eastAsia="Times New Roman"/>
        </w:rPr>
        <w:t xml:space="preserve"> relative to </w:t>
      </w:r>
      <w:r w:rsidR="00210BFC" w:rsidRPr="003D290F">
        <w:rPr>
          <w:rFonts w:eastAsia="Times New Roman"/>
        </w:rPr>
        <w:t>Option 1 and Option 2</w:t>
      </w:r>
      <w:r w:rsidR="00765CE6" w:rsidRPr="003D290F">
        <w:rPr>
          <w:rFonts w:eastAsia="Times New Roman"/>
        </w:rPr>
        <w:t xml:space="preserve">. </w:t>
      </w:r>
      <w:r w:rsidR="00765CE6" w:rsidRPr="003D290F">
        <w:rPr>
          <w:rFonts w:cs="Segoe UI"/>
        </w:rPr>
        <w:t xml:space="preserve">For a small cohort of </w:t>
      </w:r>
      <w:r w:rsidR="001F471B" w:rsidRPr="003D290F">
        <w:rPr>
          <w:rFonts w:cs="Segoe UI"/>
        </w:rPr>
        <w:t>employers</w:t>
      </w:r>
      <w:r w:rsidR="00765CE6" w:rsidRPr="003D290F">
        <w:rPr>
          <w:rFonts w:cs="Segoe UI"/>
        </w:rPr>
        <w:t xml:space="preserve">, </w:t>
      </w:r>
      <w:r w:rsidR="00765CE6" w:rsidRPr="003D290F">
        <w:rPr>
          <w:rFonts w:eastAsia="Times New Roman" w:cs="Segoe UI"/>
          <w:szCs w:val="22"/>
        </w:rPr>
        <w:t>failure</w:t>
      </w:r>
      <w:r w:rsidR="00043904" w:rsidRPr="003D290F">
        <w:rPr>
          <w:rFonts w:eastAsia="Times New Roman" w:cs="Segoe UI"/>
          <w:szCs w:val="22"/>
        </w:rPr>
        <w:t xml:space="preserve"> (or perceived failure)</w:t>
      </w:r>
      <w:r w:rsidR="00765CE6" w:rsidRPr="003D290F">
        <w:rPr>
          <w:rFonts w:eastAsia="Times New Roman" w:cs="Segoe UI"/>
          <w:szCs w:val="22"/>
        </w:rPr>
        <w:t xml:space="preserve"> to comply with the expectations of the </w:t>
      </w:r>
      <w:r w:rsidR="00F6294A" w:rsidRPr="003D290F">
        <w:rPr>
          <w:rFonts w:eastAsia="Times New Roman" w:cs="Segoe UI"/>
          <w:szCs w:val="22"/>
        </w:rPr>
        <w:t>plan</w:t>
      </w:r>
      <w:r w:rsidR="00765CE6" w:rsidRPr="003D290F">
        <w:rPr>
          <w:rFonts w:eastAsia="Times New Roman" w:cs="Segoe UI"/>
          <w:szCs w:val="22"/>
        </w:rPr>
        <w:t xml:space="preserve"> could lead to proceedings</w:t>
      </w:r>
      <w:r w:rsidR="00925491" w:rsidRPr="003D290F">
        <w:rPr>
          <w:rFonts w:eastAsia="Times New Roman" w:cs="Segoe UI"/>
          <w:szCs w:val="22"/>
        </w:rPr>
        <w:t xml:space="preserve"> at the </w:t>
      </w:r>
      <w:r w:rsidR="00BA2A3F" w:rsidRPr="003D290F">
        <w:rPr>
          <w:rFonts w:eastAsia="Times New Roman" w:cs="Segoe UI"/>
          <w:szCs w:val="22"/>
        </w:rPr>
        <w:t>FWC</w:t>
      </w:r>
      <w:r w:rsidR="00765CE6" w:rsidRPr="003D290F">
        <w:rPr>
          <w:rFonts w:eastAsia="Times New Roman" w:cs="Segoe UI"/>
          <w:szCs w:val="22"/>
        </w:rPr>
        <w:t xml:space="preserve">, </w:t>
      </w:r>
      <w:r w:rsidR="00925491" w:rsidRPr="003D290F">
        <w:rPr>
          <w:rFonts w:eastAsia="Times New Roman" w:cs="Segoe UI"/>
          <w:szCs w:val="22"/>
        </w:rPr>
        <w:t xml:space="preserve">adding </w:t>
      </w:r>
      <w:r w:rsidR="00765CE6" w:rsidRPr="003D290F">
        <w:rPr>
          <w:rFonts w:eastAsia="Times New Roman" w:cs="Segoe UI"/>
          <w:szCs w:val="22"/>
        </w:rPr>
        <w:t>further</w:t>
      </w:r>
      <w:r w:rsidR="00765CE6" w:rsidRPr="003D290F" w:rsidDel="00925491">
        <w:rPr>
          <w:rFonts w:eastAsia="Times New Roman" w:cs="Segoe UI"/>
          <w:szCs w:val="22"/>
        </w:rPr>
        <w:t xml:space="preserve"> </w:t>
      </w:r>
      <w:r w:rsidR="00765CE6" w:rsidRPr="003D290F">
        <w:rPr>
          <w:rFonts w:eastAsia="Times New Roman" w:cs="Segoe UI"/>
          <w:szCs w:val="22"/>
        </w:rPr>
        <w:t xml:space="preserve">regulatory and administrative </w:t>
      </w:r>
      <w:r w:rsidR="00925491" w:rsidRPr="003D290F">
        <w:rPr>
          <w:rFonts w:eastAsia="Times New Roman" w:cs="Segoe UI"/>
          <w:szCs w:val="22"/>
        </w:rPr>
        <w:t>costs</w:t>
      </w:r>
      <w:r w:rsidR="00765CE6" w:rsidRPr="003D290F">
        <w:rPr>
          <w:rFonts w:eastAsia="Times New Roman" w:cs="Segoe UI"/>
          <w:szCs w:val="22"/>
        </w:rPr>
        <w:t>.</w:t>
      </w:r>
      <w:r w:rsidR="00765CE6" w:rsidRPr="003D290F" w:rsidDel="00925491">
        <w:rPr>
          <w:rFonts w:eastAsia="Times New Roman" w:cs="Segoe UI"/>
          <w:szCs w:val="22"/>
        </w:rPr>
        <w:t xml:space="preserve"> </w:t>
      </w:r>
      <w:r w:rsidR="00F70994" w:rsidRPr="003D290F">
        <w:rPr>
          <w:rFonts w:eastAsia="Times New Roman" w:cs="Segoe UI"/>
          <w:szCs w:val="22"/>
        </w:rPr>
        <w:t xml:space="preserve">The </w:t>
      </w:r>
      <w:r w:rsidR="00F95A50" w:rsidRPr="003D290F">
        <w:rPr>
          <w:rFonts w:eastAsia="Times New Roman" w:cs="Segoe UI"/>
          <w:szCs w:val="22"/>
        </w:rPr>
        <w:t>increase</w:t>
      </w:r>
      <w:r w:rsidR="00F70994" w:rsidRPr="003D290F">
        <w:rPr>
          <w:rFonts w:eastAsia="Times New Roman" w:cs="Segoe UI"/>
          <w:szCs w:val="22"/>
        </w:rPr>
        <w:t xml:space="preserve"> in regulatory costs for </w:t>
      </w:r>
      <w:r w:rsidR="008D6360">
        <w:rPr>
          <w:rFonts w:eastAsia="Times New Roman" w:cs="Segoe UI"/>
          <w:szCs w:val="22"/>
        </w:rPr>
        <w:t xml:space="preserve">closing </w:t>
      </w:r>
      <w:r w:rsidR="00F70994" w:rsidRPr="003D290F">
        <w:rPr>
          <w:rFonts w:eastAsia="Times New Roman" w:cs="Segoe UI"/>
          <w:szCs w:val="22"/>
        </w:rPr>
        <w:t xml:space="preserve">employers </w:t>
      </w:r>
      <w:r w:rsidR="00765CE6" w:rsidRPr="003D290F">
        <w:rPr>
          <w:rFonts w:eastAsia="Times New Roman" w:cs="Segoe UI"/>
          <w:szCs w:val="22"/>
        </w:rPr>
        <w:t>underpin</w:t>
      </w:r>
      <w:r w:rsidR="00F70994" w:rsidRPr="003D290F">
        <w:rPr>
          <w:rFonts w:eastAsia="Times New Roman" w:cs="Segoe UI"/>
          <w:szCs w:val="22"/>
        </w:rPr>
        <w:t>s</w:t>
      </w:r>
      <w:r w:rsidR="00765CE6" w:rsidRPr="003D290F">
        <w:rPr>
          <w:rFonts w:eastAsia="Times New Roman" w:cs="Segoe UI"/>
          <w:szCs w:val="22"/>
        </w:rPr>
        <w:t xml:space="preserve"> the negative net benefit for businesses under </w:t>
      </w:r>
      <w:r w:rsidR="001D25F0" w:rsidRPr="003D290F">
        <w:rPr>
          <w:rFonts w:eastAsia="Times New Roman" w:cs="Segoe UI"/>
          <w:szCs w:val="22"/>
        </w:rPr>
        <w:t>Option 3</w:t>
      </w:r>
      <w:r w:rsidR="00765CE6" w:rsidRPr="003D290F">
        <w:rPr>
          <w:rFonts w:eastAsia="Times New Roman" w:cs="Segoe UI"/>
          <w:szCs w:val="22"/>
        </w:rPr>
        <w:t>.</w:t>
      </w:r>
    </w:p>
    <w:p w14:paraId="07B3F36B" w14:textId="77777777" w:rsidR="00355CA0" w:rsidRPr="003D290F" w:rsidRDefault="00FD4279" w:rsidP="00FE3DEC">
      <w:pPr>
        <w:rPr>
          <w:rFonts w:eastAsia="Times New Roman" w:cs="Segoe UI"/>
          <w:szCs w:val="22"/>
        </w:rPr>
      </w:pPr>
      <w:r w:rsidRPr="003D290F">
        <w:rPr>
          <w:rFonts w:eastAsia="Times New Roman" w:cs="Segoe UI"/>
          <w:szCs w:val="22"/>
        </w:rPr>
        <w:t xml:space="preserve">The costs and benefits accruing to each stakeholder group, in addition to </w:t>
      </w:r>
      <w:r w:rsidR="001D25F0" w:rsidRPr="003D290F">
        <w:rPr>
          <w:rFonts w:eastAsia="Times New Roman" w:cs="Segoe UI"/>
          <w:szCs w:val="22"/>
        </w:rPr>
        <w:t>Option 2</w:t>
      </w:r>
      <w:r w:rsidRPr="003D290F">
        <w:rPr>
          <w:rFonts w:eastAsia="Times New Roman" w:cs="Segoe UI"/>
          <w:szCs w:val="22"/>
        </w:rPr>
        <w:t xml:space="preserve">, are outlined in </w:t>
      </w:r>
      <w:r w:rsidRPr="003D290F">
        <w:rPr>
          <w:rFonts w:eastAsia="Times New Roman" w:cs="Segoe UI"/>
          <w:b/>
          <w:color w:val="1B375C" w:themeColor="accent1"/>
          <w:szCs w:val="22"/>
        </w:rPr>
        <w:t>Table</w:t>
      </w:r>
      <w:r w:rsidR="00CD0EB0" w:rsidRPr="003D290F">
        <w:rPr>
          <w:rFonts w:eastAsia="Times New Roman" w:cs="Segoe UI"/>
          <w:b/>
          <w:color w:val="1B375C" w:themeColor="accent1"/>
          <w:szCs w:val="22"/>
        </w:rPr>
        <w:t> </w:t>
      </w:r>
      <w:r w:rsidRPr="003D290F">
        <w:rPr>
          <w:rFonts w:eastAsia="Times New Roman" w:cs="Segoe UI"/>
          <w:b/>
          <w:color w:val="1B375C" w:themeColor="accent1"/>
          <w:szCs w:val="22"/>
        </w:rPr>
        <w:t>4.</w:t>
      </w:r>
      <w:r w:rsidR="00757876">
        <w:rPr>
          <w:rFonts w:eastAsia="Times New Roman" w:cs="Segoe UI"/>
          <w:b/>
          <w:color w:val="1B375C" w:themeColor="accent1"/>
          <w:szCs w:val="22"/>
        </w:rPr>
        <w:t>8</w:t>
      </w:r>
      <w:r w:rsidRPr="003D290F">
        <w:rPr>
          <w:rFonts w:eastAsia="Times New Roman" w:cs="Segoe UI"/>
          <w:szCs w:val="22"/>
        </w:rPr>
        <w:t>.</w:t>
      </w:r>
      <w:r w:rsidR="004C28FA" w:rsidRPr="003D290F">
        <w:rPr>
          <w:rFonts w:eastAsia="Times New Roman" w:cs="Segoe UI"/>
          <w:szCs w:val="22"/>
        </w:rPr>
        <w:t xml:space="preserve"> Similar to </w:t>
      </w:r>
      <w:r w:rsidR="00A17440" w:rsidRPr="003D290F">
        <w:rPr>
          <w:rFonts w:eastAsia="Times New Roman" w:cs="Segoe UI"/>
          <w:szCs w:val="22"/>
        </w:rPr>
        <w:t>O</w:t>
      </w:r>
      <w:r w:rsidR="004C28FA" w:rsidRPr="003D290F">
        <w:rPr>
          <w:rFonts w:eastAsia="Times New Roman" w:cs="Segoe UI"/>
          <w:szCs w:val="22"/>
        </w:rPr>
        <w:t xml:space="preserve">ption 2, </w:t>
      </w:r>
      <w:r w:rsidR="00226F08" w:rsidRPr="003D290F">
        <w:rPr>
          <w:rFonts w:eastAsia="Times New Roman" w:cs="Segoe UI"/>
          <w:szCs w:val="22"/>
        </w:rPr>
        <w:t xml:space="preserve">since </w:t>
      </w:r>
      <w:r w:rsidR="00226F08" w:rsidRPr="003D290F">
        <w:rPr>
          <w:rFonts w:eastAsia="Times New Roman" w:cs="Segoe UI"/>
        </w:rPr>
        <w:t xml:space="preserve">there are more </w:t>
      </w:r>
      <w:r w:rsidR="009C02AA">
        <w:rPr>
          <w:rFonts w:eastAsia="Times New Roman" w:cs="Segoe UI"/>
        </w:rPr>
        <w:t>unquantified</w:t>
      </w:r>
      <w:r w:rsidR="00226F08" w:rsidRPr="003D290F">
        <w:rPr>
          <w:rFonts w:eastAsia="Times New Roman" w:cs="Segoe UI"/>
        </w:rPr>
        <w:t xml:space="preserve"> benefits than </w:t>
      </w:r>
      <w:r w:rsidR="009C02AA">
        <w:rPr>
          <w:rFonts w:eastAsia="Times New Roman" w:cs="Segoe UI"/>
        </w:rPr>
        <w:t>unquantified</w:t>
      </w:r>
      <w:r w:rsidR="00226F08" w:rsidRPr="003D290F">
        <w:rPr>
          <w:rFonts w:eastAsia="Times New Roman" w:cs="Segoe UI"/>
        </w:rPr>
        <w:t xml:space="preserve"> costs, it is likely that if </w:t>
      </w:r>
      <w:r w:rsidR="009C02AA">
        <w:rPr>
          <w:rFonts w:eastAsia="Times New Roman" w:cs="Segoe UI"/>
        </w:rPr>
        <w:t>unquantified</w:t>
      </w:r>
      <w:r w:rsidR="00226F08" w:rsidRPr="003D290F">
        <w:rPr>
          <w:rFonts w:eastAsia="Times New Roman" w:cs="Segoe UI"/>
        </w:rPr>
        <w:t xml:space="preserve"> </w:t>
      </w:r>
      <w:r w:rsidR="008D6360">
        <w:rPr>
          <w:rFonts w:eastAsia="Times New Roman" w:cs="Segoe UI"/>
        </w:rPr>
        <w:t xml:space="preserve">impacts </w:t>
      </w:r>
      <w:r w:rsidR="00226F08" w:rsidRPr="003D290F">
        <w:rPr>
          <w:rFonts w:eastAsia="Times New Roman" w:cs="Segoe UI"/>
        </w:rPr>
        <w:t>were quantified the net present value of the plan would be higher.</w:t>
      </w:r>
    </w:p>
    <w:p w14:paraId="1D8DFDA8" w14:textId="77777777" w:rsidR="00355CA0" w:rsidRPr="003D290F" w:rsidRDefault="00FD4279" w:rsidP="00C80C07">
      <w:pPr>
        <w:keepNext/>
        <w:spacing w:line="240" w:lineRule="auto"/>
        <w:rPr>
          <w:rFonts w:eastAsia="Times New Roman" w:cs="Segoe UI"/>
          <w:b/>
          <w:sz w:val="24"/>
          <w:szCs w:val="24"/>
        </w:rPr>
      </w:pPr>
      <w:r w:rsidRPr="003D290F">
        <w:rPr>
          <w:rFonts w:eastAsia="Times New Roman" w:cs="Segoe UI"/>
          <w:b/>
          <w:sz w:val="24"/>
          <w:szCs w:val="24"/>
        </w:rPr>
        <w:lastRenderedPageBreak/>
        <w:t xml:space="preserve">TABLE </w:t>
      </w:r>
      <w:r w:rsidR="00355CA0" w:rsidRPr="003D290F">
        <w:rPr>
          <w:rFonts w:eastAsia="Times New Roman" w:cs="Segoe UI"/>
          <w:b/>
          <w:sz w:val="24"/>
          <w:szCs w:val="24"/>
        </w:rPr>
        <w:t>4.</w:t>
      </w:r>
      <w:r w:rsidR="00757876">
        <w:rPr>
          <w:rFonts w:eastAsia="Times New Roman" w:cs="Segoe UI"/>
          <w:b/>
          <w:sz w:val="24"/>
          <w:szCs w:val="24"/>
        </w:rPr>
        <w:t>8</w:t>
      </w:r>
      <w:r w:rsidRPr="003D290F">
        <w:rPr>
          <w:rFonts w:eastAsia="Times New Roman" w:cs="Segoe UI"/>
          <w:b/>
          <w:sz w:val="24"/>
          <w:szCs w:val="24"/>
        </w:rPr>
        <w:t xml:space="preserve"> COSTS AND BENEFITS OF OPTION </w:t>
      </w:r>
      <w:r w:rsidR="001D25F0" w:rsidRPr="003D290F">
        <w:rPr>
          <w:rFonts w:eastAsia="Times New Roman" w:cs="Segoe UI"/>
          <w:b/>
          <w:sz w:val="24"/>
          <w:szCs w:val="24"/>
        </w:rPr>
        <w:t xml:space="preserve">3 </w:t>
      </w:r>
      <w:r w:rsidR="00F77D51" w:rsidRPr="003D290F">
        <w:rPr>
          <w:rFonts w:eastAsia="Times New Roman" w:cs="Segoe UI"/>
          <w:b/>
          <w:sz w:val="24"/>
          <w:szCs w:val="24"/>
        </w:rPr>
        <w:t xml:space="preserve">IN ADDITION </w:t>
      </w:r>
      <w:r w:rsidRPr="003D290F">
        <w:rPr>
          <w:rFonts w:eastAsia="Times New Roman" w:cs="Segoe UI"/>
          <w:b/>
          <w:sz w:val="24"/>
          <w:szCs w:val="24"/>
        </w:rPr>
        <w:t xml:space="preserve">TO OPTION </w:t>
      </w:r>
      <w:r w:rsidR="001D25F0" w:rsidRPr="003D290F">
        <w:rPr>
          <w:rFonts w:eastAsia="Times New Roman" w:cs="Segoe UI"/>
          <w:b/>
          <w:sz w:val="24"/>
          <w:szCs w:val="24"/>
        </w:rPr>
        <w:t>2</w:t>
      </w:r>
      <w:r w:rsidR="00711EF3" w:rsidRPr="00EE34FB">
        <w:rPr>
          <w:rStyle w:val="FootnoteReference"/>
          <w:rFonts w:eastAsia="Times New Roman" w:cs="Segoe UI"/>
          <w:sz w:val="24"/>
          <w:szCs w:val="24"/>
        </w:rPr>
        <w:footnoteReference w:id="94"/>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bottom w:w="57" w:type="dxa"/>
        </w:tblCellMar>
        <w:tblLook w:val="04A0" w:firstRow="1" w:lastRow="0" w:firstColumn="1" w:lastColumn="0" w:noHBand="0" w:noVBand="1"/>
      </w:tblPr>
      <w:tblGrid>
        <w:gridCol w:w="1696"/>
        <w:gridCol w:w="993"/>
        <w:gridCol w:w="4252"/>
        <w:gridCol w:w="1418"/>
        <w:gridCol w:w="1835"/>
      </w:tblGrid>
      <w:tr w:rsidR="00635825" w:rsidRPr="003D290F" w14:paraId="45186BEB" w14:textId="77777777" w:rsidTr="001E79E2">
        <w:trPr>
          <w:tblHeader/>
        </w:trPr>
        <w:tc>
          <w:tcPr>
            <w:tcW w:w="1696" w:type="dxa"/>
            <w:tcBorders>
              <w:bottom w:val="single" w:sz="4" w:space="0" w:color="FFFFFF" w:themeColor="background1"/>
            </w:tcBorders>
            <w:shd w:val="clear" w:color="auto" w:fill="1B375C" w:themeFill="accent1"/>
          </w:tcPr>
          <w:p w14:paraId="624D7310" w14:textId="77777777" w:rsidR="00635825" w:rsidRPr="003D290F" w:rsidRDefault="00635825" w:rsidP="00635825">
            <w:pPr>
              <w:rPr>
                <w:rFonts w:eastAsia="Times New Roman" w:cs="Segoe UI"/>
                <w:b/>
                <w:sz w:val="24"/>
                <w:szCs w:val="24"/>
              </w:rPr>
            </w:pPr>
            <w:r w:rsidRPr="003D290F">
              <w:rPr>
                <w:rFonts w:eastAsia="Times New Roman" w:cs="Segoe UI"/>
                <w:b/>
                <w:color w:val="FFFFFF" w:themeColor="background1"/>
                <w:sz w:val="20"/>
                <w:szCs w:val="20"/>
              </w:rPr>
              <w:t>STAKEHOLDER</w:t>
            </w:r>
          </w:p>
        </w:tc>
        <w:tc>
          <w:tcPr>
            <w:tcW w:w="993" w:type="dxa"/>
            <w:shd w:val="clear" w:color="auto" w:fill="1B375C" w:themeFill="accent1"/>
          </w:tcPr>
          <w:p w14:paraId="50440501" w14:textId="77777777" w:rsidR="00635825" w:rsidRPr="003D290F" w:rsidRDefault="00635825" w:rsidP="00635825">
            <w:pPr>
              <w:rPr>
                <w:rFonts w:eastAsia="Times New Roman" w:cs="Segoe UI"/>
                <w:b/>
                <w:sz w:val="24"/>
                <w:szCs w:val="24"/>
              </w:rPr>
            </w:pPr>
            <w:r w:rsidRPr="003D290F">
              <w:rPr>
                <w:rFonts w:eastAsia="Times New Roman" w:cs="Segoe UI"/>
                <w:b/>
                <w:color w:val="FFFFFF" w:themeColor="background1"/>
                <w:sz w:val="20"/>
                <w:szCs w:val="20"/>
              </w:rPr>
              <w:t>IMPACT</w:t>
            </w:r>
          </w:p>
        </w:tc>
        <w:tc>
          <w:tcPr>
            <w:tcW w:w="4252" w:type="dxa"/>
            <w:shd w:val="clear" w:color="auto" w:fill="1B375C" w:themeFill="accent1"/>
          </w:tcPr>
          <w:p w14:paraId="5C80C92F" w14:textId="77777777" w:rsidR="00635825" w:rsidRPr="003D290F" w:rsidRDefault="00635825" w:rsidP="00635825">
            <w:pPr>
              <w:rPr>
                <w:rFonts w:eastAsia="Times New Roman" w:cs="Segoe UI"/>
                <w:b/>
                <w:sz w:val="24"/>
                <w:szCs w:val="24"/>
              </w:rPr>
            </w:pPr>
            <w:r w:rsidRPr="003D290F">
              <w:rPr>
                <w:rFonts w:eastAsia="Times New Roman" w:cs="Segoe UI"/>
                <w:b/>
                <w:color w:val="FFFFFF" w:themeColor="background1"/>
                <w:sz w:val="20"/>
                <w:szCs w:val="20"/>
              </w:rPr>
              <w:t>DESCRIPTION</w:t>
            </w:r>
          </w:p>
        </w:tc>
        <w:tc>
          <w:tcPr>
            <w:tcW w:w="1418" w:type="dxa"/>
            <w:shd w:val="clear" w:color="auto" w:fill="1B375C" w:themeFill="accent1"/>
          </w:tcPr>
          <w:p w14:paraId="53B2F766" w14:textId="77777777" w:rsidR="00635825" w:rsidRPr="003D290F" w:rsidRDefault="00635825" w:rsidP="00635825">
            <w:pPr>
              <w:rPr>
                <w:rFonts w:eastAsia="Times New Roman" w:cs="Segoe UI"/>
                <w:b/>
                <w:sz w:val="24"/>
                <w:szCs w:val="24"/>
              </w:rPr>
            </w:pPr>
            <w:r w:rsidRPr="003D290F">
              <w:rPr>
                <w:rFonts w:eastAsia="Times New Roman" w:cs="Segoe UI"/>
                <w:b/>
                <w:color w:val="FFFFFF" w:themeColor="background1"/>
                <w:sz w:val="20"/>
                <w:szCs w:val="20"/>
              </w:rPr>
              <w:t>QUANTIFIED</w:t>
            </w:r>
          </w:p>
        </w:tc>
        <w:tc>
          <w:tcPr>
            <w:tcW w:w="1835" w:type="dxa"/>
            <w:shd w:val="clear" w:color="auto" w:fill="1B375C" w:themeFill="accent1"/>
          </w:tcPr>
          <w:p w14:paraId="13C9F067" w14:textId="77777777" w:rsidR="00635825" w:rsidRPr="003D290F" w:rsidRDefault="009C02AA" w:rsidP="00635825">
            <w:pPr>
              <w:rPr>
                <w:rFonts w:eastAsia="Times New Roman" w:cs="Segoe UI"/>
                <w:b/>
                <w:sz w:val="24"/>
                <w:szCs w:val="24"/>
              </w:rPr>
            </w:pPr>
            <w:r>
              <w:rPr>
                <w:rFonts w:eastAsia="Times New Roman" w:cs="Segoe UI"/>
                <w:b/>
                <w:color w:val="FFFFFF" w:themeColor="background1"/>
                <w:sz w:val="20"/>
                <w:szCs w:val="20"/>
              </w:rPr>
              <w:t>UNQUANTIFIED</w:t>
            </w:r>
          </w:p>
        </w:tc>
      </w:tr>
      <w:tr w:rsidR="00635825" w:rsidRPr="003D290F" w14:paraId="3E18EEEB" w14:textId="77777777" w:rsidTr="001E79E2">
        <w:tc>
          <w:tcPr>
            <w:tcW w:w="1696" w:type="dxa"/>
            <w:vMerge w:val="restart"/>
            <w:shd w:val="clear" w:color="auto" w:fill="E0E8F2" w:themeFill="background2"/>
          </w:tcPr>
          <w:p w14:paraId="54F101AB" w14:textId="77777777" w:rsidR="00561C88" w:rsidRPr="003D290F" w:rsidRDefault="00635825" w:rsidP="00635825">
            <w:pPr>
              <w:rPr>
                <w:rFonts w:eastAsia="Times New Roman" w:cs="Segoe UI"/>
                <w:b/>
                <w:sz w:val="24"/>
                <w:szCs w:val="24"/>
              </w:rPr>
            </w:pPr>
            <w:r w:rsidRPr="003D290F">
              <w:rPr>
                <w:rFonts w:eastAsia="Times New Roman" w:cs="Segoe UI"/>
                <w:b/>
                <w:sz w:val="20"/>
                <w:szCs w:val="20"/>
              </w:rPr>
              <w:t>Closing employers</w:t>
            </w:r>
          </w:p>
          <w:p w14:paraId="3CD9DB28" w14:textId="77777777" w:rsidR="00635825" w:rsidRPr="003D290F" w:rsidRDefault="00635825" w:rsidP="00635825">
            <w:pPr>
              <w:rPr>
                <w:rFonts w:eastAsia="Times New Roman" w:cs="Segoe UI"/>
                <w:b/>
                <w:sz w:val="24"/>
                <w:szCs w:val="24"/>
              </w:rPr>
            </w:pPr>
          </w:p>
        </w:tc>
        <w:tc>
          <w:tcPr>
            <w:tcW w:w="993" w:type="dxa"/>
            <w:vMerge w:val="restart"/>
            <w:shd w:val="clear" w:color="auto" w:fill="E0E8F2" w:themeFill="background2"/>
          </w:tcPr>
          <w:p w14:paraId="0CB965CD" w14:textId="77777777" w:rsidR="00561C88" w:rsidRPr="003D290F" w:rsidRDefault="00635825" w:rsidP="00635825">
            <w:pPr>
              <w:rPr>
                <w:rFonts w:eastAsia="Times New Roman" w:cs="Segoe UI"/>
                <w:b/>
                <w:sz w:val="24"/>
                <w:szCs w:val="24"/>
              </w:rPr>
            </w:pPr>
            <w:r w:rsidRPr="003D290F">
              <w:rPr>
                <w:rFonts w:eastAsia="Times New Roman" w:cs="Segoe UI"/>
                <w:sz w:val="20"/>
                <w:szCs w:val="20"/>
              </w:rPr>
              <w:t>Costs</w:t>
            </w:r>
          </w:p>
          <w:p w14:paraId="3F831BE6" w14:textId="77777777" w:rsidR="00635825" w:rsidRPr="003D290F" w:rsidRDefault="00635825" w:rsidP="00635825">
            <w:pPr>
              <w:rPr>
                <w:rFonts w:eastAsia="Times New Roman" w:cs="Segoe UI"/>
                <w:b/>
                <w:sz w:val="24"/>
                <w:szCs w:val="24"/>
              </w:rPr>
            </w:pPr>
          </w:p>
        </w:tc>
        <w:tc>
          <w:tcPr>
            <w:tcW w:w="4252" w:type="dxa"/>
            <w:shd w:val="clear" w:color="auto" w:fill="E0E8F2" w:themeFill="background2"/>
          </w:tcPr>
          <w:p w14:paraId="23D229C3" w14:textId="77777777" w:rsidR="00635825" w:rsidRPr="003D290F" w:rsidRDefault="00635825" w:rsidP="00635825">
            <w:pPr>
              <w:rPr>
                <w:rFonts w:eastAsia="Times New Roman" w:cs="Segoe UI"/>
                <w:b/>
                <w:sz w:val="24"/>
                <w:szCs w:val="24"/>
              </w:rPr>
            </w:pPr>
            <w:r w:rsidRPr="003D290F">
              <w:rPr>
                <w:rFonts w:eastAsia="Times New Roman" w:cs="Segoe UI"/>
                <w:sz w:val="20"/>
                <w:szCs w:val="20"/>
              </w:rPr>
              <w:t xml:space="preserve">Greater administrative costs of participating in the </w:t>
            </w:r>
            <w:r w:rsidR="00F6294A" w:rsidRPr="003D290F">
              <w:rPr>
                <w:rFonts w:eastAsia="Times New Roman" w:cs="Segoe UI"/>
                <w:sz w:val="20"/>
                <w:szCs w:val="20"/>
              </w:rPr>
              <w:t>plan</w:t>
            </w:r>
            <w:r w:rsidRPr="003D290F">
              <w:rPr>
                <w:rFonts w:eastAsia="Times New Roman" w:cs="Segoe UI"/>
                <w:sz w:val="20"/>
                <w:szCs w:val="20"/>
              </w:rPr>
              <w:t xml:space="preserve"> due to higher participation.</w:t>
            </w:r>
          </w:p>
        </w:tc>
        <w:tc>
          <w:tcPr>
            <w:tcW w:w="1418" w:type="dxa"/>
            <w:shd w:val="clear" w:color="auto" w:fill="E0E8F2" w:themeFill="background2"/>
            <w:vAlign w:val="center"/>
          </w:tcPr>
          <w:p w14:paraId="5098E432" w14:textId="77777777" w:rsidR="00635825" w:rsidRPr="003D290F" w:rsidRDefault="00635825" w:rsidP="00635825">
            <w:pPr>
              <w:jc w:val="center"/>
              <w:rPr>
                <w:rFonts w:eastAsia="Times New Roman" w:cs="Segoe UI"/>
                <w:b/>
                <w:sz w:val="24"/>
                <w:szCs w:val="24"/>
              </w:rPr>
            </w:pPr>
            <w:r w:rsidRPr="003D290F">
              <w:rPr>
                <w:rFonts w:eastAsia="Times New Roman" w:cs="Segoe UI"/>
                <w:sz w:val="30"/>
                <w:szCs w:val="30"/>
              </w:rPr>
              <w:sym w:font="Wingdings" w:char="F0FE"/>
            </w:r>
          </w:p>
        </w:tc>
        <w:tc>
          <w:tcPr>
            <w:tcW w:w="1835" w:type="dxa"/>
            <w:shd w:val="clear" w:color="auto" w:fill="E0E8F2" w:themeFill="background2"/>
            <w:vAlign w:val="center"/>
          </w:tcPr>
          <w:p w14:paraId="14774183" w14:textId="77777777" w:rsidR="00635825" w:rsidRPr="003D290F" w:rsidRDefault="00635825" w:rsidP="00635825">
            <w:pPr>
              <w:jc w:val="center"/>
              <w:rPr>
                <w:rFonts w:eastAsia="Times New Roman" w:cs="Segoe UI"/>
                <w:b/>
                <w:sz w:val="24"/>
                <w:szCs w:val="24"/>
              </w:rPr>
            </w:pPr>
          </w:p>
        </w:tc>
      </w:tr>
      <w:tr w:rsidR="00561C88" w:rsidRPr="003D290F" w14:paraId="1E5DF56C" w14:textId="77777777" w:rsidTr="001E79E2">
        <w:tc>
          <w:tcPr>
            <w:tcW w:w="1696" w:type="dxa"/>
            <w:vMerge/>
            <w:shd w:val="clear" w:color="auto" w:fill="E0E8F2" w:themeFill="background2"/>
          </w:tcPr>
          <w:p w14:paraId="5D928D47" w14:textId="77777777" w:rsidR="00561C88" w:rsidRPr="003D290F" w:rsidRDefault="00561C88" w:rsidP="00561C88">
            <w:pPr>
              <w:rPr>
                <w:rFonts w:eastAsia="Times New Roman" w:cs="Segoe UI"/>
                <w:b/>
                <w:sz w:val="20"/>
                <w:szCs w:val="20"/>
              </w:rPr>
            </w:pPr>
          </w:p>
        </w:tc>
        <w:tc>
          <w:tcPr>
            <w:tcW w:w="993" w:type="dxa"/>
            <w:vMerge/>
            <w:shd w:val="clear" w:color="auto" w:fill="E0E8F2" w:themeFill="background2"/>
          </w:tcPr>
          <w:p w14:paraId="5A42C9D0" w14:textId="77777777" w:rsidR="00561C88" w:rsidRPr="003D290F" w:rsidRDefault="00561C88" w:rsidP="00561C88">
            <w:pPr>
              <w:rPr>
                <w:rFonts w:eastAsia="Times New Roman" w:cs="Segoe UI"/>
                <w:sz w:val="20"/>
                <w:szCs w:val="20"/>
              </w:rPr>
            </w:pPr>
          </w:p>
        </w:tc>
        <w:tc>
          <w:tcPr>
            <w:tcW w:w="4252" w:type="dxa"/>
            <w:shd w:val="clear" w:color="auto" w:fill="FFFFFF" w:themeFill="background1"/>
          </w:tcPr>
          <w:p w14:paraId="4F45156A" w14:textId="77777777" w:rsidR="00561C88" w:rsidRPr="003D290F" w:rsidRDefault="00561C88" w:rsidP="00561C88">
            <w:pPr>
              <w:rPr>
                <w:rFonts w:eastAsia="Times New Roman" w:cs="Segoe UI"/>
                <w:sz w:val="20"/>
                <w:szCs w:val="20"/>
              </w:rPr>
            </w:pPr>
            <w:r>
              <w:rPr>
                <w:rFonts w:eastAsia="Times New Roman" w:cs="Segoe UI"/>
                <w:sz w:val="20"/>
                <w:szCs w:val="20"/>
              </w:rPr>
              <w:t xml:space="preserve">Cost of </w:t>
            </w:r>
            <w:r w:rsidR="00B214FB">
              <w:rPr>
                <w:rFonts w:eastAsia="Times New Roman" w:cs="Segoe UI"/>
                <w:sz w:val="20"/>
                <w:szCs w:val="20"/>
              </w:rPr>
              <w:t>facilitating</w:t>
            </w:r>
            <w:r>
              <w:rPr>
                <w:rFonts w:eastAsia="Times New Roman" w:cs="Segoe UI"/>
                <w:sz w:val="20"/>
                <w:szCs w:val="20"/>
              </w:rPr>
              <w:t xml:space="preserve"> o</w:t>
            </w:r>
            <w:r w:rsidRPr="003D290F">
              <w:rPr>
                <w:rFonts w:eastAsia="Times New Roman" w:cs="Segoe UI"/>
                <w:sz w:val="20"/>
                <w:szCs w:val="20"/>
              </w:rPr>
              <w:t>n-the-job training to address any skills gaps between incoming workers and vacancies.</w:t>
            </w:r>
          </w:p>
        </w:tc>
        <w:tc>
          <w:tcPr>
            <w:tcW w:w="1418" w:type="dxa"/>
            <w:shd w:val="clear" w:color="auto" w:fill="FFFFFF" w:themeFill="background1"/>
            <w:vAlign w:val="center"/>
          </w:tcPr>
          <w:p w14:paraId="28537015" w14:textId="77777777" w:rsidR="00561C88" w:rsidRPr="003D290F" w:rsidRDefault="00561C88" w:rsidP="00561C88">
            <w:pPr>
              <w:jc w:val="center"/>
              <w:rPr>
                <w:rFonts w:eastAsia="Times New Roman" w:cs="Segoe UI"/>
                <w:sz w:val="30"/>
                <w:szCs w:val="30"/>
              </w:rPr>
            </w:pPr>
            <w:r w:rsidRPr="003D290F">
              <w:rPr>
                <w:rFonts w:eastAsia="Times New Roman" w:cs="Segoe UI"/>
                <w:sz w:val="30"/>
                <w:szCs w:val="30"/>
              </w:rPr>
              <w:sym w:font="Wingdings" w:char="F0FE"/>
            </w:r>
          </w:p>
        </w:tc>
        <w:tc>
          <w:tcPr>
            <w:tcW w:w="1835" w:type="dxa"/>
            <w:shd w:val="clear" w:color="auto" w:fill="FFFFFF" w:themeFill="background1"/>
            <w:vAlign w:val="center"/>
          </w:tcPr>
          <w:p w14:paraId="23FF90AD" w14:textId="77777777" w:rsidR="00561C88" w:rsidRPr="003D290F" w:rsidRDefault="00561C88" w:rsidP="00561C88">
            <w:pPr>
              <w:jc w:val="center"/>
              <w:rPr>
                <w:rFonts w:eastAsia="Times New Roman" w:cs="Segoe UI"/>
                <w:b/>
                <w:sz w:val="24"/>
                <w:szCs w:val="24"/>
              </w:rPr>
            </w:pPr>
          </w:p>
        </w:tc>
      </w:tr>
      <w:tr w:rsidR="000925B6" w:rsidRPr="003D290F" w14:paraId="26E4FB01" w14:textId="77777777" w:rsidTr="001E79E2">
        <w:tc>
          <w:tcPr>
            <w:tcW w:w="1696" w:type="dxa"/>
            <w:vMerge/>
            <w:tcBorders>
              <w:bottom w:val="nil"/>
            </w:tcBorders>
            <w:shd w:val="clear" w:color="auto" w:fill="E0E8F2" w:themeFill="background2"/>
          </w:tcPr>
          <w:p w14:paraId="159CE908" w14:textId="77777777" w:rsidR="000925B6" w:rsidRPr="003D290F" w:rsidRDefault="000925B6" w:rsidP="000925B6">
            <w:pPr>
              <w:rPr>
                <w:rFonts w:eastAsia="Times New Roman" w:cs="Segoe UI"/>
                <w:b/>
                <w:sz w:val="20"/>
                <w:szCs w:val="20"/>
              </w:rPr>
            </w:pPr>
          </w:p>
        </w:tc>
        <w:tc>
          <w:tcPr>
            <w:tcW w:w="993" w:type="dxa"/>
            <w:vMerge/>
            <w:shd w:val="clear" w:color="auto" w:fill="E0E8F2" w:themeFill="background2"/>
          </w:tcPr>
          <w:p w14:paraId="3FA4A59B" w14:textId="77777777" w:rsidR="000925B6" w:rsidRPr="003D290F" w:rsidRDefault="000925B6" w:rsidP="000925B6">
            <w:pPr>
              <w:rPr>
                <w:rFonts w:eastAsia="Times New Roman" w:cs="Segoe UI"/>
                <w:sz w:val="20"/>
                <w:szCs w:val="20"/>
              </w:rPr>
            </w:pPr>
          </w:p>
        </w:tc>
        <w:tc>
          <w:tcPr>
            <w:tcW w:w="4252" w:type="dxa"/>
            <w:shd w:val="clear" w:color="auto" w:fill="E0E8F2" w:themeFill="background2"/>
          </w:tcPr>
          <w:p w14:paraId="2A721303" w14:textId="77777777" w:rsidR="000925B6" w:rsidRDefault="000925B6" w:rsidP="000925B6">
            <w:pPr>
              <w:rPr>
                <w:rFonts w:eastAsia="Times New Roman" w:cs="Segoe UI"/>
                <w:sz w:val="20"/>
                <w:szCs w:val="20"/>
              </w:rPr>
            </w:pPr>
            <w:r w:rsidRPr="003D290F">
              <w:rPr>
                <w:rFonts w:eastAsia="Times New Roman" w:cs="Segoe UI"/>
                <w:sz w:val="20"/>
                <w:szCs w:val="20"/>
              </w:rPr>
              <w:t>Noncompliant receiving employers would need to finance the administrative, legal, and reputational costs associated with noncompliance.</w:t>
            </w:r>
          </w:p>
        </w:tc>
        <w:tc>
          <w:tcPr>
            <w:tcW w:w="1418" w:type="dxa"/>
            <w:shd w:val="clear" w:color="auto" w:fill="E0E8F2" w:themeFill="background2"/>
            <w:vAlign w:val="center"/>
          </w:tcPr>
          <w:p w14:paraId="75501C8C" w14:textId="77777777" w:rsidR="000925B6" w:rsidRPr="003D290F" w:rsidRDefault="000925B6" w:rsidP="000925B6">
            <w:pPr>
              <w:jc w:val="center"/>
              <w:rPr>
                <w:rFonts w:eastAsia="Times New Roman" w:cs="Segoe UI"/>
                <w:sz w:val="30"/>
                <w:szCs w:val="30"/>
              </w:rPr>
            </w:pPr>
          </w:p>
        </w:tc>
        <w:tc>
          <w:tcPr>
            <w:tcW w:w="1835" w:type="dxa"/>
            <w:shd w:val="clear" w:color="auto" w:fill="E0E8F2" w:themeFill="background2"/>
            <w:vAlign w:val="center"/>
          </w:tcPr>
          <w:p w14:paraId="1D642B7C" w14:textId="77777777" w:rsidR="000925B6" w:rsidRPr="003D290F" w:rsidRDefault="000925B6" w:rsidP="000925B6">
            <w:pPr>
              <w:jc w:val="center"/>
              <w:rPr>
                <w:rFonts w:eastAsia="Times New Roman" w:cs="Segoe UI"/>
                <w:b/>
                <w:sz w:val="24"/>
                <w:szCs w:val="24"/>
              </w:rPr>
            </w:pPr>
            <w:r w:rsidRPr="003D290F">
              <w:rPr>
                <w:rFonts w:eastAsia="Times New Roman" w:cs="Segoe UI"/>
                <w:sz w:val="30"/>
                <w:szCs w:val="30"/>
              </w:rPr>
              <w:sym w:font="Wingdings" w:char="F0FE"/>
            </w:r>
          </w:p>
        </w:tc>
      </w:tr>
      <w:tr w:rsidR="00635825" w:rsidRPr="003D290F" w14:paraId="05FBACA5" w14:textId="77777777" w:rsidTr="001E79E2">
        <w:tc>
          <w:tcPr>
            <w:tcW w:w="1696" w:type="dxa"/>
            <w:tcBorders>
              <w:top w:val="nil"/>
              <w:bottom w:val="single" w:sz="8" w:space="0" w:color="1B375C" w:themeColor="accent1"/>
            </w:tcBorders>
            <w:shd w:val="clear" w:color="auto" w:fill="E0E8F2" w:themeFill="background2"/>
          </w:tcPr>
          <w:p w14:paraId="397E2FBA" w14:textId="77777777" w:rsidR="00635825" w:rsidRPr="003D290F" w:rsidRDefault="00635825" w:rsidP="00635825">
            <w:pPr>
              <w:rPr>
                <w:rFonts w:eastAsia="Times New Roman" w:cs="Segoe UI"/>
                <w:b/>
                <w:sz w:val="24"/>
                <w:szCs w:val="24"/>
              </w:rPr>
            </w:pPr>
          </w:p>
        </w:tc>
        <w:tc>
          <w:tcPr>
            <w:tcW w:w="993" w:type="dxa"/>
            <w:tcBorders>
              <w:bottom w:val="single" w:sz="8" w:space="0" w:color="1B375C" w:themeColor="accent1"/>
            </w:tcBorders>
            <w:shd w:val="clear" w:color="auto" w:fill="E0E8F2" w:themeFill="background2"/>
          </w:tcPr>
          <w:p w14:paraId="38F9CEA8" w14:textId="77777777" w:rsidR="00635825" w:rsidRPr="003D290F" w:rsidRDefault="00635825" w:rsidP="00635825">
            <w:pPr>
              <w:rPr>
                <w:rFonts w:eastAsia="Times New Roman" w:cs="Segoe UI"/>
                <w:b/>
                <w:sz w:val="24"/>
                <w:szCs w:val="24"/>
              </w:rPr>
            </w:pPr>
            <w:r w:rsidRPr="003D290F">
              <w:rPr>
                <w:rFonts w:eastAsia="Times New Roman" w:cs="Segoe UI"/>
                <w:sz w:val="20"/>
                <w:szCs w:val="20"/>
              </w:rPr>
              <w:t>Benefits</w:t>
            </w:r>
          </w:p>
        </w:tc>
        <w:tc>
          <w:tcPr>
            <w:tcW w:w="4252" w:type="dxa"/>
            <w:tcBorders>
              <w:bottom w:val="single" w:sz="8" w:space="0" w:color="1B375C" w:themeColor="accent1"/>
            </w:tcBorders>
          </w:tcPr>
          <w:p w14:paraId="6279E5EF" w14:textId="77777777" w:rsidR="00635825" w:rsidRPr="003D290F" w:rsidRDefault="00635825" w:rsidP="00635825">
            <w:pPr>
              <w:rPr>
                <w:rFonts w:eastAsia="Times New Roman" w:cs="Segoe UI"/>
                <w:b/>
                <w:sz w:val="24"/>
                <w:szCs w:val="24"/>
              </w:rPr>
            </w:pPr>
            <w:r w:rsidRPr="003D290F">
              <w:rPr>
                <w:rFonts w:eastAsia="Times New Roman" w:cs="Segoe UI"/>
                <w:sz w:val="20"/>
                <w:szCs w:val="20"/>
              </w:rPr>
              <w:t>No additional benefits relative to Option 2</w:t>
            </w:r>
            <w:r w:rsidR="0015396B" w:rsidRPr="003D290F">
              <w:rPr>
                <w:rFonts w:eastAsia="Times New Roman" w:cs="Segoe UI"/>
                <w:sz w:val="20"/>
                <w:szCs w:val="20"/>
              </w:rPr>
              <w:t>.</w:t>
            </w:r>
          </w:p>
        </w:tc>
        <w:tc>
          <w:tcPr>
            <w:tcW w:w="1418" w:type="dxa"/>
            <w:tcBorders>
              <w:bottom w:val="single" w:sz="8" w:space="0" w:color="1B375C" w:themeColor="accent1"/>
            </w:tcBorders>
            <w:vAlign w:val="center"/>
          </w:tcPr>
          <w:p w14:paraId="7976F908" w14:textId="77777777" w:rsidR="00635825" w:rsidRPr="003D290F" w:rsidRDefault="00635825" w:rsidP="00635825">
            <w:pPr>
              <w:jc w:val="center"/>
              <w:rPr>
                <w:rFonts w:eastAsia="Times New Roman" w:cs="Segoe UI"/>
                <w:b/>
                <w:sz w:val="24"/>
                <w:szCs w:val="24"/>
              </w:rPr>
            </w:pPr>
          </w:p>
        </w:tc>
        <w:tc>
          <w:tcPr>
            <w:tcW w:w="1835" w:type="dxa"/>
            <w:tcBorders>
              <w:bottom w:val="single" w:sz="8" w:space="0" w:color="1B375C" w:themeColor="accent1"/>
            </w:tcBorders>
            <w:vAlign w:val="center"/>
          </w:tcPr>
          <w:p w14:paraId="643CA7BB" w14:textId="77777777" w:rsidR="00635825" w:rsidRPr="003D290F" w:rsidRDefault="00635825" w:rsidP="00635825">
            <w:pPr>
              <w:jc w:val="center"/>
              <w:rPr>
                <w:rFonts w:eastAsia="Times New Roman" w:cs="Segoe UI"/>
                <w:b/>
                <w:sz w:val="24"/>
                <w:szCs w:val="24"/>
              </w:rPr>
            </w:pPr>
          </w:p>
        </w:tc>
      </w:tr>
      <w:tr w:rsidR="00B375F3" w:rsidRPr="003D290F" w14:paraId="53A89B44" w14:textId="77777777" w:rsidTr="001E79E2">
        <w:tc>
          <w:tcPr>
            <w:tcW w:w="1696" w:type="dxa"/>
            <w:tcBorders>
              <w:top w:val="single" w:sz="8" w:space="0" w:color="1B375C" w:themeColor="accent1"/>
              <w:bottom w:val="nil"/>
            </w:tcBorders>
            <w:shd w:val="clear" w:color="auto" w:fill="E0E8F2" w:themeFill="background2"/>
          </w:tcPr>
          <w:p w14:paraId="231AE526" w14:textId="77777777" w:rsidR="00B375F3" w:rsidRPr="003D290F" w:rsidRDefault="00B375F3" w:rsidP="00635825">
            <w:pPr>
              <w:rPr>
                <w:rFonts w:eastAsia="Times New Roman" w:cs="Segoe UI"/>
                <w:b/>
                <w:sz w:val="24"/>
                <w:szCs w:val="24"/>
              </w:rPr>
            </w:pPr>
            <w:r w:rsidRPr="003D290F">
              <w:rPr>
                <w:rFonts w:eastAsia="Times New Roman" w:cs="Segoe UI"/>
                <w:b/>
                <w:sz w:val="20"/>
                <w:szCs w:val="20"/>
              </w:rPr>
              <w:t>Receiving employe</w:t>
            </w:r>
            <w:r w:rsidR="007A2D76">
              <w:rPr>
                <w:rFonts w:eastAsia="Times New Roman" w:cs="Segoe UI"/>
                <w:b/>
                <w:sz w:val="20"/>
                <w:szCs w:val="20"/>
              </w:rPr>
              <w:t>r</w:t>
            </w:r>
            <w:r w:rsidRPr="003D290F">
              <w:rPr>
                <w:rFonts w:eastAsia="Times New Roman" w:cs="Segoe UI"/>
                <w:b/>
                <w:sz w:val="20"/>
                <w:szCs w:val="20"/>
              </w:rPr>
              <w:t>s</w:t>
            </w:r>
          </w:p>
        </w:tc>
        <w:tc>
          <w:tcPr>
            <w:tcW w:w="993" w:type="dxa"/>
            <w:vMerge w:val="restart"/>
            <w:tcBorders>
              <w:top w:val="single" w:sz="8" w:space="0" w:color="1B375C" w:themeColor="accent1"/>
            </w:tcBorders>
            <w:shd w:val="clear" w:color="auto" w:fill="E0E8F2" w:themeFill="background2"/>
            <w:vAlign w:val="center"/>
          </w:tcPr>
          <w:p w14:paraId="59D5A6EA" w14:textId="77777777" w:rsidR="00B375F3" w:rsidRPr="003D290F" w:rsidRDefault="00B375F3" w:rsidP="00635825">
            <w:pPr>
              <w:rPr>
                <w:rFonts w:eastAsia="Times New Roman" w:cs="Segoe UI"/>
                <w:b/>
                <w:sz w:val="24"/>
                <w:szCs w:val="24"/>
              </w:rPr>
            </w:pPr>
            <w:r w:rsidRPr="003D290F">
              <w:rPr>
                <w:rFonts w:eastAsia="Times New Roman" w:cs="Segoe UI"/>
                <w:sz w:val="20"/>
                <w:szCs w:val="20"/>
              </w:rPr>
              <w:t>Costs</w:t>
            </w:r>
          </w:p>
        </w:tc>
        <w:tc>
          <w:tcPr>
            <w:tcW w:w="4252" w:type="dxa"/>
            <w:vMerge w:val="restart"/>
            <w:tcBorders>
              <w:top w:val="single" w:sz="8" w:space="0" w:color="1B375C" w:themeColor="accent1"/>
            </w:tcBorders>
            <w:shd w:val="clear" w:color="auto" w:fill="E0E8F2" w:themeFill="background2"/>
          </w:tcPr>
          <w:p w14:paraId="74713D1D" w14:textId="77777777" w:rsidR="00B375F3" w:rsidRPr="003D290F" w:rsidRDefault="00B375F3" w:rsidP="00635825">
            <w:pPr>
              <w:rPr>
                <w:rFonts w:eastAsia="Times New Roman" w:cs="Segoe UI"/>
                <w:b/>
                <w:sz w:val="24"/>
                <w:szCs w:val="24"/>
              </w:rPr>
            </w:pPr>
            <w:r w:rsidRPr="003D290F">
              <w:rPr>
                <w:rFonts w:eastAsia="Times New Roman" w:cs="Segoe UI"/>
                <w:sz w:val="20"/>
                <w:szCs w:val="20"/>
              </w:rPr>
              <w:t>Greater regulatory costs due to higher participation.</w:t>
            </w:r>
          </w:p>
        </w:tc>
        <w:tc>
          <w:tcPr>
            <w:tcW w:w="1418" w:type="dxa"/>
            <w:vMerge w:val="restart"/>
            <w:tcBorders>
              <w:top w:val="single" w:sz="8" w:space="0" w:color="1B375C" w:themeColor="accent1"/>
            </w:tcBorders>
            <w:shd w:val="clear" w:color="auto" w:fill="E0E8F2" w:themeFill="background2"/>
            <w:vAlign w:val="center"/>
          </w:tcPr>
          <w:p w14:paraId="37428722" w14:textId="77777777" w:rsidR="00B375F3" w:rsidRPr="003D290F" w:rsidRDefault="00B375F3">
            <w:pPr>
              <w:jc w:val="center"/>
              <w:rPr>
                <w:rFonts w:eastAsia="Times New Roman" w:cs="Segoe UI"/>
                <w:b/>
                <w:sz w:val="24"/>
                <w:szCs w:val="24"/>
              </w:rPr>
            </w:pPr>
            <w:r w:rsidRPr="003D290F">
              <w:rPr>
                <w:rFonts w:eastAsia="Times New Roman" w:cs="Segoe UI"/>
                <w:sz w:val="30"/>
                <w:szCs w:val="30"/>
              </w:rPr>
              <w:sym w:font="Wingdings" w:char="F0FE"/>
            </w:r>
          </w:p>
        </w:tc>
        <w:tc>
          <w:tcPr>
            <w:tcW w:w="1835" w:type="dxa"/>
            <w:vMerge w:val="restart"/>
            <w:tcBorders>
              <w:top w:val="single" w:sz="8" w:space="0" w:color="1B375C" w:themeColor="accent1"/>
            </w:tcBorders>
            <w:shd w:val="clear" w:color="auto" w:fill="E0E8F2" w:themeFill="background2"/>
            <w:vAlign w:val="center"/>
          </w:tcPr>
          <w:p w14:paraId="0E46F819" w14:textId="77777777" w:rsidR="00B375F3" w:rsidRPr="003D290F" w:rsidRDefault="00B375F3" w:rsidP="00A17A47">
            <w:pPr>
              <w:rPr>
                <w:rFonts w:eastAsia="Times New Roman" w:cs="Segoe UI"/>
                <w:b/>
                <w:sz w:val="24"/>
                <w:szCs w:val="24"/>
              </w:rPr>
            </w:pPr>
          </w:p>
        </w:tc>
      </w:tr>
      <w:tr w:rsidR="00B375F3" w:rsidRPr="003D290F" w14:paraId="6F40E265" w14:textId="77777777" w:rsidTr="00EE34FB">
        <w:tc>
          <w:tcPr>
            <w:tcW w:w="1696" w:type="dxa"/>
            <w:tcBorders>
              <w:top w:val="nil"/>
              <w:bottom w:val="nil"/>
            </w:tcBorders>
            <w:shd w:val="clear" w:color="auto" w:fill="E0E8F2" w:themeFill="background2"/>
          </w:tcPr>
          <w:p w14:paraId="065964C9" w14:textId="77777777" w:rsidR="00B375F3" w:rsidRPr="003D290F" w:rsidRDefault="00B375F3" w:rsidP="00635825">
            <w:pPr>
              <w:rPr>
                <w:rFonts w:eastAsia="Times New Roman" w:cs="Segoe UI"/>
                <w:b/>
                <w:sz w:val="24"/>
                <w:szCs w:val="24"/>
              </w:rPr>
            </w:pPr>
          </w:p>
        </w:tc>
        <w:tc>
          <w:tcPr>
            <w:tcW w:w="993" w:type="dxa"/>
            <w:vMerge/>
            <w:shd w:val="clear" w:color="auto" w:fill="E0E8F2" w:themeFill="background2"/>
          </w:tcPr>
          <w:p w14:paraId="2E7C27C5" w14:textId="77777777" w:rsidR="00B375F3" w:rsidRPr="003D290F" w:rsidRDefault="00B375F3" w:rsidP="00635825">
            <w:pPr>
              <w:rPr>
                <w:rFonts w:eastAsia="Times New Roman" w:cs="Segoe UI"/>
                <w:b/>
                <w:sz w:val="24"/>
                <w:szCs w:val="24"/>
              </w:rPr>
            </w:pPr>
          </w:p>
        </w:tc>
        <w:tc>
          <w:tcPr>
            <w:tcW w:w="4252" w:type="dxa"/>
            <w:vMerge/>
            <w:tcBorders>
              <w:bottom w:val="nil"/>
            </w:tcBorders>
            <w:shd w:val="clear" w:color="auto" w:fill="E0E8F2" w:themeFill="background2"/>
          </w:tcPr>
          <w:p w14:paraId="6C0E859C" w14:textId="77777777" w:rsidR="00B375F3" w:rsidRPr="003D290F" w:rsidRDefault="00B375F3" w:rsidP="00635825">
            <w:pPr>
              <w:rPr>
                <w:rFonts w:eastAsia="Times New Roman" w:cs="Segoe UI"/>
                <w:b/>
                <w:sz w:val="24"/>
                <w:szCs w:val="24"/>
              </w:rPr>
            </w:pPr>
          </w:p>
        </w:tc>
        <w:tc>
          <w:tcPr>
            <w:tcW w:w="1418" w:type="dxa"/>
            <w:vMerge/>
            <w:tcBorders>
              <w:bottom w:val="nil"/>
            </w:tcBorders>
            <w:shd w:val="clear" w:color="auto" w:fill="E0E8F2" w:themeFill="background2"/>
            <w:vAlign w:val="center"/>
          </w:tcPr>
          <w:p w14:paraId="042891BC" w14:textId="77777777" w:rsidR="00B375F3" w:rsidRPr="003D290F" w:rsidRDefault="00B375F3" w:rsidP="00635825">
            <w:pPr>
              <w:jc w:val="center"/>
              <w:rPr>
                <w:rFonts w:eastAsia="Times New Roman" w:cs="Segoe UI"/>
                <w:b/>
                <w:sz w:val="24"/>
                <w:szCs w:val="24"/>
              </w:rPr>
            </w:pPr>
          </w:p>
        </w:tc>
        <w:tc>
          <w:tcPr>
            <w:tcW w:w="1835" w:type="dxa"/>
            <w:vMerge/>
            <w:tcBorders>
              <w:bottom w:val="nil"/>
            </w:tcBorders>
            <w:shd w:val="clear" w:color="auto" w:fill="E0E8F2" w:themeFill="background2"/>
            <w:vAlign w:val="center"/>
          </w:tcPr>
          <w:p w14:paraId="236B87AE" w14:textId="77777777" w:rsidR="00B375F3" w:rsidRPr="003D290F" w:rsidRDefault="00B375F3" w:rsidP="00635825">
            <w:pPr>
              <w:jc w:val="center"/>
              <w:rPr>
                <w:rFonts w:eastAsia="Times New Roman" w:cs="Segoe UI"/>
                <w:b/>
                <w:sz w:val="24"/>
                <w:szCs w:val="24"/>
              </w:rPr>
            </w:pPr>
          </w:p>
        </w:tc>
      </w:tr>
      <w:tr w:rsidR="00B742E8" w:rsidRPr="003D290F" w14:paraId="21AABC40" w14:textId="77777777" w:rsidTr="00EE34FB">
        <w:tc>
          <w:tcPr>
            <w:tcW w:w="1696" w:type="dxa"/>
            <w:vMerge w:val="restart"/>
            <w:tcBorders>
              <w:top w:val="nil"/>
              <w:bottom w:val="nil"/>
            </w:tcBorders>
            <w:shd w:val="clear" w:color="auto" w:fill="E0E8F2" w:themeFill="background2"/>
          </w:tcPr>
          <w:p w14:paraId="273A21C6" w14:textId="77777777" w:rsidR="00B742E8" w:rsidRPr="003D290F" w:rsidRDefault="00B742E8" w:rsidP="00635825">
            <w:pPr>
              <w:rPr>
                <w:rFonts w:eastAsia="Times New Roman" w:cs="Segoe UI"/>
                <w:b/>
                <w:sz w:val="24"/>
                <w:szCs w:val="24"/>
              </w:rPr>
            </w:pPr>
          </w:p>
        </w:tc>
        <w:tc>
          <w:tcPr>
            <w:tcW w:w="993" w:type="dxa"/>
            <w:vMerge/>
            <w:tcBorders>
              <w:right w:val="nil"/>
            </w:tcBorders>
            <w:shd w:val="clear" w:color="auto" w:fill="E0E8F2" w:themeFill="background2"/>
          </w:tcPr>
          <w:p w14:paraId="7C2E5DC0" w14:textId="77777777" w:rsidR="00B742E8" w:rsidRPr="003D290F" w:rsidRDefault="00B742E8" w:rsidP="00635825">
            <w:pPr>
              <w:rPr>
                <w:rFonts w:eastAsia="Times New Roman" w:cs="Segoe UI"/>
                <w:b/>
                <w:sz w:val="24"/>
                <w:szCs w:val="24"/>
              </w:rPr>
            </w:pPr>
          </w:p>
        </w:tc>
        <w:tc>
          <w:tcPr>
            <w:tcW w:w="4252" w:type="dxa"/>
            <w:tcBorders>
              <w:top w:val="nil"/>
              <w:left w:val="nil"/>
              <w:bottom w:val="nil"/>
              <w:right w:val="nil"/>
            </w:tcBorders>
            <w:shd w:val="clear" w:color="auto" w:fill="FFFFFF" w:themeFill="background1"/>
          </w:tcPr>
          <w:p w14:paraId="19CF9121" w14:textId="77777777" w:rsidR="00B742E8" w:rsidRPr="003D290F" w:rsidRDefault="000925B6" w:rsidP="00635825">
            <w:pPr>
              <w:rPr>
                <w:rFonts w:eastAsia="Times New Roman" w:cs="Segoe UI"/>
                <w:b/>
                <w:sz w:val="24"/>
                <w:szCs w:val="24"/>
              </w:rPr>
            </w:pPr>
            <w:r>
              <w:rPr>
                <w:rFonts w:eastAsia="Times New Roman" w:cs="Segoe UI"/>
                <w:sz w:val="20"/>
              </w:rPr>
              <w:t>No longer need to fund o</w:t>
            </w:r>
            <w:r w:rsidRPr="00337AAE">
              <w:rPr>
                <w:rFonts w:eastAsia="Times New Roman" w:cs="Segoe UI"/>
                <w:sz w:val="20"/>
              </w:rPr>
              <w:t>n-the-job training to address any skills gaps between incoming workers and vacancies.</w:t>
            </w:r>
            <w:r w:rsidR="0021203C">
              <w:rPr>
                <w:rFonts w:eastAsia="Times New Roman" w:cs="Segoe UI"/>
                <w:sz w:val="20"/>
              </w:rPr>
              <w:t xml:space="preserve"> </w:t>
            </w:r>
            <w:r w:rsidRPr="003D290F" w:rsidDel="00F93244">
              <w:rPr>
                <w:rFonts w:eastAsia="Times New Roman" w:cs="Segoe UI"/>
                <w:sz w:val="20"/>
                <w:szCs w:val="20"/>
              </w:rPr>
              <w:t xml:space="preserve">No additional </w:t>
            </w:r>
            <w:r w:rsidR="0021203C">
              <w:rPr>
                <w:rFonts w:eastAsia="Times New Roman" w:cs="Segoe UI"/>
                <w:sz w:val="20"/>
                <w:szCs w:val="20"/>
              </w:rPr>
              <w:t>costs</w:t>
            </w:r>
            <w:r w:rsidR="0021203C" w:rsidRPr="003D290F" w:rsidDel="00F93244">
              <w:rPr>
                <w:rFonts w:eastAsia="Times New Roman" w:cs="Segoe UI"/>
                <w:sz w:val="20"/>
                <w:szCs w:val="20"/>
              </w:rPr>
              <w:t xml:space="preserve"> </w:t>
            </w:r>
            <w:r w:rsidRPr="003D290F" w:rsidDel="00F93244">
              <w:rPr>
                <w:rFonts w:eastAsia="Times New Roman" w:cs="Segoe UI"/>
                <w:sz w:val="20"/>
                <w:szCs w:val="20"/>
              </w:rPr>
              <w:t>relative to Option 2.</w:t>
            </w:r>
          </w:p>
        </w:tc>
        <w:tc>
          <w:tcPr>
            <w:tcW w:w="1418" w:type="dxa"/>
            <w:tcBorders>
              <w:top w:val="nil"/>
              <w:left w:val="nil"/>
              <w:bottom w:val="nil"/>
              <w:right w:val="nil"/>
            </w:tcBorders>
            <w:shd w:val="clear" w:color="auto" w:fill="FFFFFF" w:themeFill="background1"/>
            <w:vAlign w:val="center"/>
          </w:tcPr>
          <w:p w14:paraId="4AFF5490" w14:textId="77777777" w:rsidR="00B742E8" w:rsidRPr="003D290F" w:rsidRDefault="00B742E8" w:rsidP="00635825">
            <w:pPr>
              <w:jc w:val="center"/>
              <w:rPr>
                <w:rFonts w:eastAsia="Times New Roman" w:cs="Segoe UI"/>
                <w:b/>
                <w:sz w:val="24"/>
                <w:szCs w:val="24"/>
              </w:rPr>
            </w:pPr>
          </w:p>
        </w:tc>
        <w:tc>
          <w:tcPr>
            <w:tcW w:w="1835" w:type="dxa"/>
            <w:tcBorders>
              <w:top w:val="nil"/>
              <w:left w:val="nil"/>
              <w:bottom w:val="nil"/>
              <w:right w:val="nil"/>
            </w:tcBorders>
            <w:shd w:val="clear" w:color="auto" w:fill="FFFFFF" w:themeFill="background1"/>
            <w:vAlign w:val="center"/>
          </w:tcPr>
          <w:p w14:paraId="405BED48" w14:textId="77777777" w:rsidR="00B742E8" w:rsidRPr="003D290F" w:rsidRDefault="000925B6" w:rsidP="00635825">
            <w:pPr>
              <w:jc w:val="center"/>
              <w:rPr>
                <w:rFonts w:eastAsia="Times New Roman" w:cs="Segoe UI"/>
                <w:b/>
                <w:sz w:val="24"/>
                <w:szCs w:val="24"/>
              </w:rPr>
            </w:pPr>
            <w:r w:rsidRPr="003D290F">
              <w:rPr>
                <w:rFonts w:eastAsia="Times New Roman" w:cs="Segoe UI"/>
                <w:sz w:val="30"/>
                <w:szCs w:val="30"/>
              </w:rPr>
              <w:sym w:font="Wingdings" w:char="F0FE"/>
            </w:r>
          </w:p>
        </w:tc>
      </w:tr>
      <w:tr w:rsidR="00635825" w:rsidRPr="003D290F" w14:paraId="4677B78F" w14:textId="77777777" w:rsidTr="00EE34FB">
        <w:tc>
          <w:tcPr>
            <w:tcW w:w="1696" w:type="dxa"/>
            <w:vMerge/>
            <w:tcBorders>
              <w:bottom w:val="single" w:sz="8" w:space="0" w:color="1B375C" w:themeColor="accent1"/>
            </w:tcBorders>
            <w:shd w:val="clear" w:color="auto" w:fill="E0E8F2" w:themeFill="background2"/>
          </w:tcPr>
          <w:p w14:paraId="2E04959A" w14:textId="77777777" w:rsidR="00635825" w:rsidRPr="003D290F" w:rsidRDefault="00635825" w:rsidP="00635825">
            <w:pPr>
              <w:rPr>
                <w:rFonts w:eastAsia="Times New Roman" w:cs="Segoe UI"/>
                <w:b/>
                <w:sz w:val="24"/>
                <w:szCs w:val="24"/>
              </w:rPr>
            </w:pPr>
          </w:p>
        </w:tc>
        <w:tc>
          <w:tcPr>
            <w:tcW w:w="993" w:type="dxa"/>
            <w:tcBorders>
              <w:bottom w:val="single" w:sz="8" w:space="0" w:color="1B375C" w:themeColor="accent1"/>
              <w:right w:val="nil"/>
            </w:tcBorders>
            <w:shd w:val="clear" w:color="auto" w:fill="E0E8F2" w:themeFill="background2"/>
          </w:tcPr>
          <w:p w14:paraId="00EC1130" w14:textId="77777777" w:rsidR="00635825" w:rsidRPr="003D290F" w:rsidRDefault="00635825" w:rsidP="00635825">
            <w:pPr>
              <w:rPr>
                <w:rFonts w:eastAsia="Times New Roman" w:cs="Segoe UI"/>
                <w:b/>
                <w:sz w:val="24"/>
                <w:szCs w:val="24"/>
              </w:rPr>
            </w:pPr>
            <w:r w:rsidRPr="003D290F">
              <w:rPr>
                <w:rFonts w:eastAsia="Times New Roman" w:cs="Segoe UI"/>
                <w:sz w:val="20"/>
                <w:szCs w:val="20"/>
              </w:rPr>
              <w:t>Benefits</w:t>
            </w:r>
          </w:p>
        </w:tc>
        <w:tc>
          <w:tcPr>
            <w:tcW w:w="4252" w:type="dxa"/>
            <w:tcBorders>
              <w:top w:val="nil"/>
              <w:left w:val="nil"/>
              <w:bottom w:val="single" w:sz="4" w:space="0" w:color="auto"/>
              <w:right w:val="nil"/>
            </w:tcBorders>
            <w:shd w:val="clear" w:color="auto" w:fill="E0E8F2" w:themeFill="background2"/>
          </w:tcPr>
          <w:p w14:paraId="7B5C028D" w14:textId="77777777" w:rsidR="00635825" w:rsidRPr="003D290F" w:rsidRDefault="000925B6" w:rsidP="00635825">
            <w:pPr>
              <w:rPr>
                <w:rFonts w:eastAsia="Times New Roman" w:cs="Segoe UI"/>
                <w:b/>
                <w:sz w:val="24"/>
                <w:szCs w:val="24"/>
              </w:rPr>
            </w:pPr>
            <w:r w:rsidRPr="003D290F">
              <w:rPr>
                <w:rFonts w:eastAsia="Times New Roman" w:cs="Segoe UI"/>
                <w:sz w:val="20"/>
                <w:szCs w:val="20"/>
              </w:rPr>
              <w:t>No additional benefits relative to Option 2.</w:t>
            </w:r>
          </w:p>
        </w:tc>
        <w:tc>
          <w:tcPr>
            <w:tcW w:w="1418" w:type="dxa"/>
            <w:tcBorders>
              <w:top w:val="nil"/>
              <w:left w:val="nil"/>
              <w:bottom w:val="single" w:sz="4" w:space="0" w:color="auto"/>
              <w:right w:val="nil"/>
            </w:tcBorders>
            <w:shd w:val="clear" w:color="auto" w:fill="E0E8F2" w:themeFill="background2"/>
            <w:vAlign w:val="center"/>
          </w:tcPr>
          <w:p w14:paraId="13DACA32" w14:textId="77777777" w:rsidR="00635825" w:rsidRPr="003D290F" w:rsidRDefault="00635825" w:rsidP="00635825">
            <w:pPr>
              <w:jc w:val="center"/>
              <w:rPr>
                <w:rFonts w:eastAsia="Times New Roman" w:cs="Segoe UI"/>
                <w:b/>
                <w:sz w:val="24"/>
                <w:szCs w:val="24"/>
              </w:rPr>
            </w:pPr>
          </w:p>
        </w:tc>
        <w:tc>
          <w:tcPr>
            <w:tcW w:w="1835" w:type="dxa"/>
            <w:tcBorders>
              <w:top w:val="nil"/>
              <w:left w:val="nil"/>
              <w:bottom w:val="single" w:sz="4" w:space="0" w:color="auto"/>
              <w:right w:val="nil"/>
            </w:tcBorders>
            <w:shd w:val="clear" w:color="auto" w:fill="E0E8F2" w:themeFill="background2"/>
            <w:vAlign w:val="center"/>
          </w:tcPr>
          <w:p w14:paraId="4B8B9FA1" w14:textId="77777777" w:rsidR="00635825" w:rsidRPr="003D290F" w:rsidRDefault="00635825" w:rsidP="00635825">
            <w:pPr>
              <w:jc w:val="center"/>
              <w:rPr>
                <w:rFonts w:eastAsia="Times New Roman" w:cs="Segoe UI"/>
                <w:b/>
                <w:sz w:val="24"/>
                <w:szCs w:val="24"/>
              </w:rPr>
            </w:pPr>
          </w:p>
        </w:tc>
      </w:tr>
      <w:tr w:rsidR="00B742E8" w:rsidRPr="003D290F" w14:paraId="1EBEF98F" w14:textId="77777777" w:rsidTr="00EE34FB">
        <w:trPr>
          <w:trHeight w:val="113"/>
        </w:trPr>
        <w:tc>
          <w:tcPr>
            <w:tcW w:w="1696" w:type="dxa"/>
            <w:vMerge w:val="restart"/>
            <w:tcBorders>
              <w:top w:val="single" w:sz="8" w:space="0" w:color="1B375C" w:themeColor="accent1"/>
            </w:tcBorders>
            <w:shd w:val="clear" w:color="auto" w:fill="E0E8F2" w:themeFill="background2"/>
          </w:tcPr>
          <w:p w14:paraId="79C9BB24" w14:textId="77777777" w:rsidR="00B742E8" w:rsidRPr="003D290F" w:rsidRDefault="00B742E8" w:rsidP="00635825">
            <w:pPr>
              <w:rPr>
                <w:rFonts w:eastAsia="Times New Roman" w:cs="Segoe UI"/>
                <w:b/>
                <w:sz w:val="24"/>
                <w:szCs w:val="24"/>
              </w:rPr>
            </w:pPr>
            <w:r w:rsidRPr="003D290F">
              <w:rPr>
                <w:rFonts w:eastAsia="Times New Roman" w:cs="Segoe UI"/>
                <w:b/>
                <w:sz w:val="20"/>
                <w:szCs w:val="20"/>
              </w:rPr>
              <w:t>Closing employer employees</w:t>
            </w:r>
          </w:p>
        </w:tc>
        <w:tc>
          <w:tcPr>
            <w:tcW w:w="993" w:type="dxa"/>
            <w:tcBorders>
              <w:top w:val="single" w:sz="8" w:space="0" w:color="1B375C" w:themeColor="accent1"/>
              <w:right w:val="nil"/>
            </w:tcBorders>
            <w:shd w:val="clear" w:color="auto" w:fill="E0E8F2" w:themeFill="background2"/>
          </w:tcPr>
          <w:p w14:paraId="4B1D5E3F" w14:textId="77777777" w:rsidR="00B742E8" w:rsidRPr="003D290F" w:rsidRDefault="00B742E8" w:rsidP="00635825">
            <w:pPr>
              <w:rPr>
                <w:rFonts w:eastAsia="Times New Roman" w:cs="Segoe UI"/>
                <w:b/>
                <w:sz w:val="24"/>
                <w:szCs w:val="24"/>
              </w:rPr>
            </w:pPr>
            <w:r w:rsidRPr="003D290F">
              <w:rPr>
                <w:rFonts w:eastAsia="Times New Roman" w:cs="Segoe UI"/>
                <w:sz w:val="20"/>
                <w:szCs w:val="20"/>
              </w:rPr>
              <w:t>Costs</w:t>
            </w:r>
          </w:p>
        </w:tc>
        <w:tc>
          <w:tcPr>
            <w:tcW w:w="4252" w:type="dxa"/>
            <w:tcBorders>
              <w:top w:val="single" w:sz="4" w:space="0" w:color="auto"/>
              <w:left w:val="nil"/>
              <w:bottom w:val="nil"/>
              <w:right w:val="nil"/>
            </w:tcBorders>
            <w:shd w:val="clear" w:color="auto" w:fill="FFFFFF" w:themeFill="background1"/>
          </w:tcPr>
          <w:p w14:paraId="40B56EA1" w14:textId="77777777" w:rsidR="00B742E8" w:rsidRPr="003D290F" w:rsidRDefault="007B146D" w:rsidP="00635825">
            <w:pPr>
              <w:rPr>
                <w:rFonts w:eastAsia="Times New Roman" w:cs="Segoe UI"/>
                <w:b/>
                <w:sz w:val="24"/>
                <w:szCs w:val="24"/>
              </w:rPr>
            </w:pPr>
            <w:r w:rsidRPr="003D290F">
              <w:rPr>
                <w:rFonts w:eastAsia="Times New Roman" w:cs="Segoe UI"/>
                <w:sz w:val="20"/>
                <w:szCs w:val="20"/>
              </w:rPr>
              <w:t>No additional costs relative to Option 2.</w:t>
            </w:r>
          </w:p>
        </w:tc>
        <w:tc>
          <w:tcPr>
            <w:tcW w:w="1418" w:type="dxa"/>
            <w:tcBorders>
              <w:top w:val="single" w:sz="4" w:space="0" w:color="auto"/>
              <w:left w:val="nil"/>
              <w:bottom w:val="nil"/>
              <w:right w:val="nil"/>
            </w:tcBorders>
            <w:shd w:val="clear" w:color="auto" w:fill="FFFFFF" w:themeFill="background1"/>
            <w:vAlign w:val="center"/>
          </w:tcPr>
          <w:p w14:paraId="0B61E4DE" w14:textId="77777777" w:rsidR="00B742E8" w:rsidRPr="003D290F" w:rsidRDefault="00B742E8" w:rsidP="00635825">
            <w:pPr>
              <w:jc w:val="center"/>
              <w:rPr>
                <w:rFonts w:eastAsia="Times New Roman" w:cs="Segoe UI"/>
                <w:b/>
                <w:sz w:val="24"/>
                <w:szCs w:val="24"/>
              </w:rPr>
            </w:pPr>
          </w:p>
        </w:tc>
        <w:tc>
          <w:tcPr>
            <w:tcW w:w="1835" w:type="dxa"/>
            <w:tcBorders>
              <w:top w:val="single" w:sz="4" w:space="0" w:color="auto"/>
              <w:left w:val="nil"/>
              <w:bottom w:val="nil"/>
              <w:right w:val="nil"/>
            </w:tcBorders>
            <w:shd w:val="clear" w:color="auto" w:fill="FFFFFF" w:themeFill="background1"/>
            <w:vAlign w:val="center"/>
          </w:tcPr>
          <w:p w14:paraId="4595CBF9" w14:textId="77777777" w:rsidR="00B742E8" w:rsidRPr="003D290F" w:rsidRDefault="00B742E8" w:rsidP="00635825">
            <w:pPr>
              <w:jc w:val="center"/>
              <w:rPr>
                <w:rFonts w:eastAsia="Times New Roman" w:cs="Segoe UI"/>
                <w:b/>
                <w:sz w:val="24"/>
                <w:szCs w:val="24"/>
              </w:rPr>
            </w:pPr>
          </w:p>
        </w:tc>
      </w:tr>
      <w:tr w:rsidR="00B742E8" w:rsidRPr="003D290F" w14:paraId="515EDC13" w14:textId="77777777" w:rsidTr="00EE34FB">
        <w:tc>
          <w:tcPr>
            <w:tcW w:w="1696" w:type="dxa"/>
            <w:vMerge/>
            <w:shd w:val="clear" w:color="auto" w:fill="E0E8F2" w:themeFill="background2"/>
          </w:tcPr>
          <w:p w14:paraId="1F789E38" w14:textId="77777777" w:rsidR="00B742E8" w:rsidRPr="003D290F" w:rsidRDefault="00B742E8" w:rsidP="00635825">
            <w:pPr>
              <w:rPr>
                <w:rFonts w:eastAsia="Times New Roman" w:cs="Segoe UI"/>
                <w:b/>
                <w:sz w:val="24"/>
                <w:szCs w:val="24"/>
              </w:rPr>
            </w:pPr>
          </w:p>
        </w:tc>
        <w:tc>
          <w:tcPr>
            <w:tcW w:w="993" w:type="dxa"/>
            <w:vMerge w:val="restart"/>
            <w:tcBorders>
              <w:right w:val="nil"/>
            </w:tcBorders>
            <w:shd w:val="clear" w:color="auto" w:fill="E0E8F2" w:themeFill="background2"/>
            <w:vAlign w:val="center"/>
          </w:tcPr>
          <w:p w14:paraId="715A97D1" w14:textId="77777777" w:rsidR="00B742E8" w:rsidRPr="003D290F" w:rsidRDefault="00B742E8" w:rsidP="00635825">
            <w:pPr>
              <w:rPr>
                <w:rFonts w:eastAsia="Times New Roman" w:cs="Segoe UI"/>
                <w:b/>
                <w:sz w:val="24"/>
                <w:szCs w:val="24"/>
              </w:rPr>
            </w:pPr>
            <w:r w:rsidRPr="003D290F">
              <w:rPr>
                <w:rFonts w:eastAsia="Times New Roman" w:cs="Segoe UI"/>
                <w:sz w:val="20"/>
                <w:szCs w:val="20"/>
              </w:rPr>
              <w:t>Benefits</w:t>
            </w:r>
          </w:p>
        </w:tc>
        <w:tc>
          <w:tcPr>
            <w:tcW w:w="4252" w:type="dxa"/>
            <w:tcBorders>
              <w:top w:val="nil"/>
              <w:left w:val="nil"/>
              <w:bottom w:val="nil"/>
              <w:right w:val="nil"/>
            </w:tcBorders>
            <w:shd w:val="clear" w:color="auto" w:fill="E0E8F2" w:themeFill="background2"/>
          </w:tcPr>
          <w:p w14:paraId="3B7F2616" w14:textId="77777777" w:rsidR="00B742E8" w:rsidRPr="007B146D" w:rsidRDefault="007B146D" w:rsidP="0015396B">
            <w:pPr>
              <w:rPr>
                <w:rFonts w:eastAsia="Times New Roman" w:cs="Segoe UI"/>
                <w:sz w:val="20"/>
                <w:szCs w:val="20"/>
              </w:rPr>
            </w:pPr>
            <w:r w:rsidRPr="003D290F">
              <w:rPr>
                <w:rFonts w:eastAsia="Times New Roman" w:cs="Segoe UI"/>
                <w:sz w:val="20"/>
                <w:szCs w:val="20"/>
              </w:rPr>
              <w:t>More affected employees secure alternate employment than Option 2, maintaining an ongoing income.</w:t>
            </w:r>
          </w:p>
        </w:tc>
        <w:tc>
          <w:tcPr>
            <w:tcW w:w="1418" w:type="dxa"/>
            <w:tcBorders>
              <w:top w:val="nil"/>
              <w:left w:val="nil"/>
              <w:bottom w:val="nil"/>
              <w:right w:val="nil"/>
            </w:tcBorders>
            <w:shd w:val="clear" w:color="auto" w:fill="E0E8F2" w:themeFill="background2"/>
            <w:vAlign w:val="center"/>
          </w:tcPr>
          <w:p w14:paraId="17E4E8E5" w14:textId="77777777" w:rsidR="00B742E8" w:rsidRPr="003D290F" w:rsidRDefault="007B146D" w:rsidP="00635825">
            <w:pPr>
              <w:jc w:val="center"/>
              <w:rPr>
                <w:rFonts w:eastAsia="Times New Roman" w:cs="Segoe UI"/>
                <w:b/>
                <w:sz w:val="24"/>
                <w:szCs w:val="24"/>
              </w:rPr>
            </w:pPr>
            <w:r w:rsidRPr="003D290F">
              <w:rPr>
                <w:rFonts w:eastAsia="Times New Roman" w:cs="Segoe UI"/>
                <w:sz w:val="30"/>
                <w:szCs w:val="30"/>
              </w:rPr>
              <w:sym w:font="Wingdings" w:char="F0FE"/>
            </w:r>
          </w:p>
        </w:tc>
        <w:tc>
          <w:tcPr>
            <w:tcW w:w="1835" w:type="dxa"/>
            <w:tcBorders>
              <w:top w:val="nil"/>
              <w:left w:val="nil"/>
              <w:bottom w:val="nil"/>
              <w:right w:val="nil"/>
            </w:tcBorders>
            <w:shd w:val="clear" w:color="auto" w:fill="E0E8F2" w:themeFill="background2"/>
            <w:vAlign w:val="center"/>
          </w:tcPr>
          <w:p w14:paraId="43C756EF" w14:textId="77777777" w:rsidR="00B742E8" w:rsidRPr="003D290F" w:rsidRDefault="00B742E8" w:rsidP="00635825">
            <w:pPr>
              <w:jc w:val="center"/>
              <w:rPr>
                <w:rFonts w:eastAsia="Times New Roman" w:cs="Segoe UI"/>
                <w:b/>
                <w:sz w:val="24"/>
                <w:szCs w:val="24"/>
              </w:rPr>
            </w:pPr>
          </w:p>
        </w:tc>
      </w:tr>
      <w:tr w:rsidR="00B742E8" w:rsidRPr="003D290F" w14:paraId="4DD5C6E6" w14:textId="77777777" w:rsidTr="00EE34FB">
        <w:tc>
          <w:tcPr>
            <w:tcW w:w="1696" w:type="dxa"/>
            <w:vMerge/>
            <w:tcBorders>
              <w:bottom w:val="single" w:sz="8" w:space="0" w:color="1B375C" w:themeColor="accent1"/>
            </w:tcBorders>
            <w:shd w:val="clear" w:color="auto" w:fill="E0E8F2" w:themeFill="background2"/>
          </w:tcPr>
          <w:p w14:paraId="3F2DA928" w14:textId="77777777" w:rsidR="00B742E8" w:rsidRPr="003D290F" w:rsidRDefault="00B742E8" w:rsidP="00635825">
            <w:pPr>
              <w:rPr>
                <w:rFonts w:eastAsia="Times New Roman" w:cs="Segoe UI"/>
                <w:b/>
                <w:sz w:val="24"/>
                <w:szCs w:val="24"/>
              </w:rPr>
            </w:pPr>
          </w:p>
        </w:tc>
        <w:tc>
          <w:tcPr>
            <w:tcW w:w="993" w:type="dxa"/>
            <w:vMerge/>
            <w:tcBorders>
              <w:bottom w:val="single" w:sz="8" w:space="0" w:color="1B375C" w:themeColor="accent1"/>
              <w:right w:val="nil"/>
            </w:tcBorders>
            <w:shd w:val="clear" w:color="auto" w:fill="E0E8F2" w:themeFill="background2"/>
          </w:tcPr>
          <w:p w14:paraId="55BF3EB8" w14:textId="77777777" w:rsidR="00B742E8" w:rsidRPr="003D290F" w:rsidRDefault="00B742E8" w:rsidP="00635825">
            <w:pPr>
              <w:rPr>
                <w:rFonts w:eastAsia="Times New Roman" w:cs="Segoe UI"/>
                <w:b/>
                <w:sz w:val="24"/>
                <w:szCs w:val="24"/>
              </w:rPr>
            </w:pPr>
          </w:p>
        </w:tc>
        <w:tc>
          <w:tcPr>
            <w:tcW w:w="4252" w:type="dxa"/>
            <w:tcBorders>
              <w:top w:val="nil"/>
              <w:left w:val="nil"/>
              <w:bottom w:val="single" w:sz="4" w:space="0" w:color="auto"/>
              <w:right w:val="nil"/>
            </w:tcBorders>
            <w:shd w:val="clear" w:color="auto" w:fill="FFFFFF" w:themeFill="background1"/>
          </w:tcPr>
          <w:p w14:paraId="24D5F4DC" w14:textId="77777777" w:rsidR="00B742E8" w:rsidRPr="003D290F" w:rsidRDefault="007B146D" w:rsidP="00635825">
            <w:pPr>
              <w:rPr>
                <w:rFonts w:eastAsia="Times New Roman" w:cs="Segoe UI"/>
                <w:b/>
                <w:sz w:val="24"/>
                <w:szCs w:val="24"/>
              </w:rPr>
            </w:pPr>
            <w:r w:rsidRPr="003D290F">
              <w:rPr>
                <w:rFonts w:eastAsia="Times New Roman" w:cs="Segoe UI"/>
                <w:sz w:val="20"/>
                <w:szCs w:val="20"/>
              </w:rPr>
              <w:t>More indirect benefits from ongoing employment relative to Option 2.</w:t>
            </w:r>
          </w:p>
        </w:tc>
        <w:tc>
          <w:tcPr>
            <w:tcW w:w="1418" w:type="dxa"/>
            <w:tcBorders>
              <w:top w:val="nil"/>
              <w:left w:val="nil"/>
              <w:bottom w:val="single" w:sz="4" w:space="0" w:color="auto"/>
              <w:right w:val="nil"/>
            </w:tcBorders>
            <w:shd w:val="clear" w:color="auto" w:fill="FFFFFF" w:themeFill="background1"/>
            <w:vAlign w:val="center"/>
          </w:tcPr>
          <w:p w14:paraId="3F1F517F" w14:textId="77777777" w:rsidR="00B742E8" w:rsidRPr="003D290F" w:rsidRDefault="00B742E8" w:rsidP="00635825">
            <w:pPr>
              <w:jc w:val="center"/>
              <w:rPr>
                <w:rFonts w:eastAsia="Times New Roman" w:cs="Segoe UI"/>
                <w:b/>
                <w:sz w:val="24"/>
                <w:szCs w:val="24"/>
              </w:rPr>
            </w:pPr>
          </w:p>
        </w:tc>
        <w:tc>
          <w:tcPr>
            <w:tcW w:w="1835" w:type="dxa"/>
            <w:tcBorders>
              <w:top w:val="nil"/>
              <w:left w:val="nil"/>
              <w:bottom w:val="single" w:sz="4" w:space="0" w:color="auto"/>
              <w:right w:val="nil"/>
            </w:tcBorders>
            <w:shd w:val="clear" w:color="auto" w:fill="FFFFFF" w:themeFill="background1"/>
            <w:vAlign w:val="center"/>
          </w:tcPr>
          <w:p w14:paraId="2F864A1B" w14:textId="77777777" w:rsidR="00B742E8" w:rsidRPr="003D290F" w:rsidRDefault="007B146D" w:rsidP="00635825">
            <w:pPr>
              <w:jc w:val="center"/>
              <w:rPr>
                <w:rFonts w:eastAsia="Times New Roman" w:cs="Segoe UI"/>
                <w:b/>
                <w:sz w:val="24"/>
                <w:szCs w:val="24"/>
              </w:rPr>
            </w:pPr>
            <w:r w:rsidRPr="003D290F">
              <w:rPr>
                <w:rFonts w:eastAsia="Times New Roman" w:cs="Segoe UI"/>
                <w:sz w:val="30"/>
                <w:szCs w:val="30"/>
              </w:rPr>
              <w:sym w:font="Wingdings" w:char="F0FE"/>
            </w:r>
          </w:p>
        </w:tc>
      </w:tr>
      <w:tr w:rsidR="00B742E8" w:rsidRPr="003D290F" w14:paraId="2A58E5EA" w14:textId="77777777" w:rsidTr="00EE34FB">
        <w:tc>
          <w:tcPr>
            <w:tcW w:w="1696" w:type="dxa"/>
            <w:vMerge w:val="restart"/>
            <w:tcBorders>
              <w:top w:val="single" w:sz="8" w:space="0" w:color="1B375C" w:themeColor="accent1"/>
            </w:tcBorders>
            <w:shd w:val="clear" w:color="auto" w:fill="E0E8F2" w:themeFill="background2"/>
          </w:tcPr>
          <w:p w14:paraId="1D3C3E46" w14:textId="77777777" w:rsidR="00B742E8" w:rsidRPr="003D290F" w:rsidRDefault="00B742E8" w:rsidP="00635825">
            <w:pPr>
              <w:rPr>
                <w:rFonts w:eastAsia="Times New Roman" w:cs="Segoe UI"/>
                <w:b/>
                <w:sz w:val="24"/>
                <w:szCs w:val="24"/>
              </w:rPr>
            </w:pPr>
            <w:r w:rsidRPr="003D290F">
              <w:rPr>
                <w:rFonts w:eastAsia="Times New Roman" w:cs="Segoe UI"/>
                <w:b/>
                <w:sz w:val="20"/>
                <w:szCs w:val="20"/>
              </w:rPr>
              <w:t>Receiving employer employees</w:t>
            </w:r>
          </w:p>
        </w:tc>
        <w:tc>
          <w:tcPr>
            <w:tcW w:w="993" w:type="dxa"/>
            <w:tcBorders>
              <w:top w:val="single" w:sz="8" w:space="0" w:color="1B375C" w:themeColor="accent1"/>
              <w:bottom w:val="single" w:sz="4" w:space="0" w:color="FFFFFF" w:themeColor="background1"/>
              <w:right w:val="nil"/>
            </w:tcBorders>
            <w:shd w:val="clear" w:color="auto" w:fill="E0E8F2" w:themeFill="background2"/>
          </w:tcPr>
          <w:p w14:paraId="2B2DB94E" w14:textId="77777777" w:rsidR="00B742E8" w:rsidRPr="003D290F" w:rsidRDefault="00B742E8" w:rsidP="00635825">
            <w:pPr>
              <w:rPr>
                <w:rFonts w:eastAsia="Times New Roman" w:cs="Segoe UI"/>
                <w:b/>
                <w:sz w:val="24"/>
                <w:szCs w:val="24"/>
              </w:rPr>
            </w:pPr>
            <w:r w:rsidRPr="003D290F">
              <w:rPr>
                <w:rFonts w:eastAsia="Times New Roman" w:cs="Segoe UI"/>
                <w:sz w:val="20"/>
                <w:szCs w:val="20"/>
              </w:rPr>
              <w:t>Costs</w:t>
            </w:r>
          </w:p>
        </w:tc>
        <w:tc>
          <w:tcPr>
            <w:tcW w:w="4252" w:type="dxa"/>
            <w:tcBorders>
              <w:top w:val="single" w:sz="4" w:space="0" w:color="auto"/>
              <w:left w:val="nil"/>
              <w:bottom w:val="nil"/>
              <w:right w:val="nil"/>
            </w:tcBorders>
            <w:shd w:val="clear" w:color="auto" w:fill="E0E8F2" w:themeFill="background2"/>
          </w:tcPr>
          <w:p w14:paraId="142AAFD1" w14:textId="77777777" w:rsidR="00B742E8" w:rsidRPr="003D290F" w:rsidRDefault="000925B6" w:rsidP="00635825">
            <w:pPr>
              <w:rPr>
                <w:rFonts w:eastAsia="Times New Roman" w:cs="Segoe UI"/>
                <w:b/>
                <w:sz w:val="24"/>
                <w:szCs w:val="24"/>
              </w:rPr>
            </w:pPr>
            <w:r w:rsidRPr="003D290F">
              <w:rPr>
                <w:rFonts w:eastAsia="Times New Roman" w:cs="Segoe UI"/>
                <w:sz w:val="20"/>
                <w:szCs w:val="20"/>
              </w:rPr>
              <w:t>More early retirement packages would be offered and taken up</w:t>
            </w:r>
            <w:r w:rsidR="00EE34FB">
              <w:rPr>
                <w:rFonts w:eastAsia="Times New Roman" w:cs="Segoe UI"/>
                <w:sz w:val="20"/>
                <w:szCs w:val="20"/>
              </w:rPr>
              <w:t>, reducing individual incomes</w:t>
            </w:r>
            <w:r w:rsidRPr="003D290F">
              <w:rPr>
                <w:rFonts w:eastAsia="Times New Roman" w:cs="Segoe UI"/>
                <w:sz w:val="20"/>
                <w:szCs w:val="20"/>
              </w:rPr>
              <w:t>.</w:t>
            </w:r>
          </w:p>
        </w:tc>
        <w:tc>
          <w:tcPr>
            <w:tcW w:w="1418" w:type="dxa"/>
            <w:tcBorders>
              <w:top w:val="single" w:sz="4" w:space="0" w:color="auto"/>
              <w:left w:val="nil"/>
              <w:bottom w:val="nil"/>
              <w:right w:val="nil"/>
            </w:tcBorders>
            <w:shd w:val="clear" w:color="auto" w:fill="E0E8F2" w:themeFill="background2"/>
            <w:vAlign w:val="center"/>
          </w:tcPr>
          <w:p w14:paraId="44A7AD88" w14:textId="77777777" w:rsidR="00B742E8" w:rsidRPr="003D290F" w:rsidRDefault="000925B6" w:rsidP="00635825">
            <w:pPr>
              <w:jc w:val="center"/>
              <w:rPr>
                <w:rFonts w:eastAsia="Times New Roman" w:cs="Segoe UI"/>
                <w:b/>
                <w:sz w:val="24"/>
                <w:szCs w:val="24"/>
              </w:rPr>
            </w:pPr>
            <w:r w:rsidRPr="003D290F">
              <w:rPr>
                <w:rFonts w:eastAsia="Times New Roman" w:cs="Segoe UI"/>
                <w:sz w:val="30"/>
                <w:szCs w:val="30"/>
              </w:rPr>
              <w:sym w:font="Wingdings" w:char="F0FE"/>
            </w:r>
          </w:p>
        </w:tc>
        <w:tc>
          <w:tcPr>
            <w:tcW w:w="1835" w:type="dxa"/>
            <w:tcBorders>
              <w:top w:val="single" w:sz="4" w:space="0" w:color="auto"/>
              <w:left w:val="nil"/>
              <w:bottom w:val="nil"/>
              <w:right w:val="nil"/>
            </w:tcBorders>
            <w:shd w:val="clear" w:color="auto" w:fill="E0E8F2" w:themeFill="background2"/>
            <w:vAlign w:val="center"/>
          </w:tcPr>
          <w:p w14:paraId="6FB9149E" w14:textId="77777777" w:rsidR="00B742E8" w:rsidRPr="003D290F" w:rsidRDefault="00B742E8" w:rsidP="00635825">
            <w:pPr>
              <w:jc w:val="center"/>
              <w:rPr>
                <w:rFonts w:eastAsia="Times New Roman" w:cs="Segoe UI"/>
                <w:b/>
                <w:sz w:val="24"/>
                <w:szCs w:val="24"/>
              </w:rPr>
            </w:pPr>
          </w:p>
        </w:tc>
      </w:tr>
      <w:tr w:rsidR="00B742E8" w:rsidRPr="003D290F" w14:paraId="1792EB19" w14:textId="77777777" w:rsidTr="00EE34FB">
        <w:tc>
          <w:tcPr>
            <w:tcW w:w="1696" w:type="dxa"/>
            <w:vMerge/>
            <w:tcBorders>
              <w:bottom w:val="single" w:sz="8" w:space="0" w:color="1B375C" w:themeColor="accent1"/>
            </w:tcBorders>
            <w:shd w:val="clear" w:color="auto" w:fill="E0E8F2" w:themeFill="background2"/>
          </w:tcPr>
          <w:p w14:paraId="2F7906DE" w14:textId="77777777" w:rsidR="00B742E8" w:rsidRPr="003D290F" w:rsidRDefault="00B742E8" w:rsidP="00635825">
            <w:pPr>
              <w:rPr>
                <w:rFonts w:eastAsia="Times New Roman" w:cs="Segoe UI"/>
                <w:b/>
                <w:sz w:val="24"/>
                <w:szCs w:val="24"/>
              </w:rPr>
            </w:pPr>
          </w:p>
        </w:tc>
        <w:tc>
          <w:tcPr>
            <w:tcW w:w="993" w:type="dxa"/>
            <w:tcBorders>
              <w:bottom w:val="single" w:sz="8" w:space="0" w:color="1B375C" w:themeColor="accent1"/>
              <w:right w:val="nil"/>
            </w:tcBorders>
            <w:shd w:val="clear" w:color="auto" w:fill="E0E8F2" w:themeFill="background2"/>
          </w:tcPr>
          <w:p w14:paraId="510949B7" w14:textId="77777777" w:rsidR="00B742E8" w:rsidRPr="003D290F" w:rsidRDefault="00B742E8" w:rsidP="00635825">
            <w:pPr>
              <w:rPr>
                <w:rFonts w:eastAsia="Times New Roman" w:cs="Segoe UI"/>
                <w:b/>
                <w:sz w:val="24"/>
                <w:szCs w:val="24"/>
              </w:rPr>
            </w:pPr>
            <w:r w:rsidRPr="003D290F">
              <w:rPr>
                <w:rFonts w:eastAsia="Times New Roman" w:cs="Segoe UI"/>
                <w:sz w:val="20"/>
                <w:szCs w:val="20"/>
              </w:rPr>
              <w:t>Benefits</w:t>
            </w:r>
          </w:p>
        </w:tc>
        <w:tc>
          <w:tcPr>
            <w:tcW w:w="4252" w:type="dxa"/>
            <w:tcBorders>
              <w:top w:val="nil"/>
              <w:left w:val="nil"/>
              <w:bottom w:val="single" w:sz="4" w:space="0" w:color="auto"/>
              <w:right w:val="nil"/>
            </w:tcBorders>
            <w:shd w:val="clear" w:color="auto" w:fill="FFFFFF" w:themeFill="background1"/>
          </w:tcPr>
          <w:p w14:paraId="6C5DCDDD" w14:textId="77777777" w:rsidR="00B742E8" w:rsidRPr="003D290F" w:rsidRDefault="00EE34FB" w:rsidP="00635825">
            <w:pPr>
              <w:rPr>
                <w:rFonts w:eastAsia="Times New Roman" w:cs="Segoe UI"/>
                <w:b/>
                <w:sz w:val="24"/>
                <w:szCs w:val="24"/>
              </w:rPr>
            </w:pPr>
            <w:r>
              <w:rPr>
                <w:sz w:val="20"/>
              </w:rPr>
              <w:t>More e</w:t>
            </w:r>
            <w:r w:rsidRPr="003D290F">
              <w:rPr>
                <w:sz w:val="20"/>
              </w:rPr>
              <w:t xml:space="preserve">mployees take up early retirement </w:t>
            </w:r>
            <w:r>
              <w:rPr>
                <w:sz w:val="20"/>
              </w:rPr>
              <w:t xml:space="preserve">and </w:t>
            </w:r>
            <w:r w:rsidRPr="003D290F">
              <w:rPr>
                <w:sz w:val="20"/>
              </w:rPr>
              <w:t>receive a one-off tax-favourable payment that would otherwise unavailable to them.</w:t>
            </w:r>
          </w:p>
        </w:tc>
        <w:tc>
          <w:tcPr>
            <w:tcW w:w="1418" w:type="dxa"/>
            <w:tcBorders>
              <w:top w:val="nil"/>
              <w:left w:val="nil"/>
              <w:bottom w:val="single" w:sz="4" w:space="0" w:color="auto"/>
              <w:right w:val="nil"/>
            </w:tcBorders>
            <w:shd w:val="clear" w:color="auto" w:fill="FFFFFF" w:themeFill="background1"/>
            <w:vAlign w:val="center"/>
          </w:tcPr>
          <w:p w14:paraId="65AF9610" w14:textId="77777777" w:rsidR="00B742E8" w:rsidRPr="003D290F" w:rsidRDefault="000925B6" w:rsidP="00635825">
            <w:pPr>
              <w:jc w:val="center"/>
              <w:rPr>
                <w:rFonts w:eastAsia="Times New Roman" w:cs="Segoe UI"/>
                <w:b/>
                <w:sz w:val="24"/>
                <w:szCs w:val="24"/>
              </w:rPr>
            </w:pPr>
            <w:r w:rsidRPr="003D290F">
              <w:rPr>
                <w:rFonts w:eastAsia="Times New Roman" w:cs="Segoe UI"/>
                <w:sz w:val="30"/>
                <w:szCs w:val="30"/>
              </w:rPr>
              <w:sym w:font="Wingdings" w:char="F0FE"/>
            </w:r>
          </w:p>
        </w:tc>
        <w:tc>
          <w:tcPr>
            <w:tcW w:w="1835" w:type="dxa"/>
            <w:tcBorders>
              <w:top w:val="nil"/>
              <w:left w:val="nil"/>
              <w:bottom w:val="single" w:sz="4" w:space="0" w:color="auto"/>
              <w:right w:val="nil"/>
            </w:tcBorders>
            <w:shd w:val="clear" w:color="auto" w:fill="FFFFFF" w:themeFill="background1"/>
            <w:vAlign w:val="center"/>
          </w:tcPr>
          <w:p w14:paraId="1C1CCA8B" w14:textId="77777777" w:rsidR="00B742E8" w:rsidRPr="003D290F" w:rsidRDefault="00B742E8" w:rsidP="00635825">
            <w:pPr>
              <w:jc w:val="center"/>
              <w:rPr>
                <w:rFonts w:eastAsia="Times New Roman" w:cs="Segoe UI"/>
                <w:b/>
                <w:sz w:val="24"/>
                <w:szCs w:val="24"/>
              </w:rPr>
            </w:pPr>
          </w:p>
        </w:tc>
      </w:tr>
      <w:tr w:rsidR="00290F48" w:rsidRPr="003D290F" w14:paraId="07DA73F5" w14:textId="77777777" w:rsidTr="00EE34FB">
        <w:tc>
          <w:tcPr>
            <w:tcW w:w="1696" w:type="dxa"/>
            <w:tcBorders>
              <w:top w:val="single" w:sz="8" w:space="0" w:color="1B375C" w:themeColor="accent1"/>
              <w:bottom w:val="nil"/>
            </w:tcBorders>
            <w:shd w:val="clear" w:color="auto" w:fill="E0E8F2" w:themeFill="background2"/>
          </w:tcPr>
          <w:p w14:paraId="7A51E530" w14:textId="77777777" w:rsidR="00290F48" w:rsidRPr="003D290F" w:rsidRDefault="00290F48" w:rsidP="00290F48">
            <w:pPr>
              <w:rPr>
                <w:rFonts w:eastAsia="Times New Roman" w:cs="Segoe UI"/>
                <w:b/>
                <w:sz w:val="24"/>
                <w:szCs w:val="24"/>
              </w:rPr>
            </w:pPr>
            <w:r w:rsidRPr="003D290F">
              <w:rPr>
                <w:rFonts w:eastAsia="Times New Roman" w:cs="Segoe UI"/>
                <w:b/>
                <w:sz w:val="20"/>
                <w:szCs w:val="20"/>
              </w:rPr>
              <w:t>Government</w:t>
            </w:r>
          </w:p>
        </w:tc>
        <w:tc>
          <w:tcPr>
            <w:tcW w:w="993" w:type="dxa"/>
            <w:tcBorders>
              <w:top w:val="single" w:sz="8" w:space="0" w:color="1B375C" w:themeColor="accent1"/>
              <w:bottom w:val="nil"/>
              <w:right w:val="nil"/>
            </w:tcBorders>
            <w:shd w:val="clear" w:color="auto" w:fill="E0E8F2" w:themeFill="background2"/>
          </w:tcPr>
          <w:p w14:paraId="32D24ABD" w14:textId="77777777" w:rsidR="00290F48" w:rsidRPr="003D290F" w:rsidRDefault="00290F48" w:rsidP="00290F48">
            <w:pPr>
              <w:rPr>
                <w:rFonts w:eastAsia="Times New Roman" w:cs="Segoe UI"/>
                <w:b/>
                <w:sz w:val="24"/>
                <w:szCs w:val="24"/>
              </w:rPr>
            </w:pPr>
            <w:r w:rsidRPr="003D290F">
              <w:rPr>
                <w:rFonts w:eastAsia="Times New Roman" w:cs="Segoe UI"/>
                <w:sz w:val="20"/>
                <w:szCs w:val="20"/>
              </w:rPr>
              <w:t>Costs</w:t>
            </w:r>
          </w:p>
        </w:tc>
        <w:tc>
          <w:tcPr>
            <w:tcW w:w="4252" w:type="dxa"/>
            <w:tcBorders>
              <w:top w:val="single" w:sz="4" w:space="0" w:color="auto"/>
              <w:left w:val="nil"/>
              <w:bottom w:val="nil"/>
              <w:right w:val="nil"/>
            </w:tcBorders>
            <w:shd w:val="clear" w:color="auto" w:fill="E0E8F2" w:themeFill="background2"/>
          </w:tcPr>
          <w:p w14:paraId="488A0881" w14:textId="77777777" w:rsidR="00290F48" w:rsidRPr="003D290F" w:rsidRDefault="00EE34FB" w:rsidP="000B3156">
            <w:pPr>
              <w:rPr>
                <w:rFonts w:eastAsia="Times New Roman" w:cs="Segoe UI"/>
                <w:b/>
                <w:sz w:val="24"/>
                <w:szCs w:val="24"/>
              </w:rPr>
            </w:pPr>
            <w:r w:rsidRPr="003D290F">
              <w:rPr>
                <w:rStyle w:val="ui-provider"/>
                <w:rFonts w:cs="Segoe UI"/>
                <w:sz w:val="20"/>
                <w:szCs w:val="20"/>
              </w:rPr>
              <w:t>Greater administrative and regulatory expenditure to deliver the plan and l</w:t>
            </w:r>
            <w:r w:rsidRPr="003D290F">
              <w:rPr>
                <w:rFonts w:eastAsia="Times New Roman" w:cs="Segoe UI"/>
                <w:sz w:val="20"/>
                <w:szCs w:val="20"/>
              </w:rPr>
              <w:t>ess tax revenue from receiving employer workers</w:t>
            </w:r>
          </w:p>
        </w:tc>
        <w:tc>
          <w:tcPr>
            <w:tcW w:w="1418" w:type="dxa"/>
            <w:tcBorders>
              <w:top w:val="single" w:sz="4" w:space="0" w:color="auto"/>
              <w:left w:val="nil"/>
              <w:bottom w:val="nil"/>
              <w:right w:val="nil"/>
            </w:tcBorders>
            <w:shd w:val="clear" w:color="auto" w:fill="E0E8F2" w:themeFill="background2"/>
            <w:vAlign w:val="center"/>
          </w:tcPr>
          <w:p w14:paraId="72752084" w14:textId="77777777" w:rsidR="00290F48" w:rsidRPr="003D290F" w:rsidRDefault="000925B6" w:rsidP="00290F48">
            <w:pPr>
              <w:jc w:val="center"/>
              <w:rPr>
                <w:rFonts w:eastAsia="Times New Roman" w:cs="Segoe UI"/>
                <w:b/>
                <w:sz w:val="24"/>
                <w:szCs w:val="24"/>
              </w:rPr>
            </w:pPr>
            <w:r w:rsidRPr="003D290F">
              <w:rPr>
                <w:rFonts w:eastAsia="Times New Roman" w:cs="Segoe UI"/>
                <w:sz w:val="30"/>
                <w:szCs w:val="30"/>
              </w:rPr>
              <w:sym w:font="Wingdings" w:char="F0FE"/>
            </w:r>
          </w:p>
        </w:tc>
        <w:tc>
          <w:tcPr>
            <w:tcW w:w="1835" w:type="dxa"/>
            <w:tcBorders>
              <w:top w:val="single" w:sz="4" w:space="0" w:color="auto"/>
              <w:left w:val="nil"/>
              <w:bottom w:val="nil"/>
              <w:right w:val="nil"/>
            </w:tcBorders>
            <w:shd w:val="clear" w:color="auto" w:fill="E0E8F2" w:themeFill="background2"/>
            <w:vAlign w:val="center"/>
          </w:tcPr>
          <w:p w14:paraId="126D5820" w14:textId="77777777" w:rsidR="00290F48" w:rsidRPr="003D290F" w:rsidRDefault="00290F48" w:rsidP="00290F48">
            <w:pPr>
              <w:jc w:val="center"/>
              <w:rPr>
                <w:rFonts w:eastAsia="Times New Roman" w:cs="Segoe UI"/>
                <w:b/>
                <w:sz w:val="24"/>
                <w:szCs w:val="24"/>
              </w:rPr>
            </w:pPr>
          </w:p>
        </w:tc>
      </w:tr>
      <w:tr w:rsidR="00635825" w:rsidRPr="003D290F" w14:paraId="58085A4D" w14:textId="77777777" w:rsidTr="00EE34FB">
        <w:tc>
          <w:tcPr>
            <w:tcW w:w="1696" w:type="dxa"/>
            <w:tcBorders>
              <w:top w:val="nil"/>
              <w:bottom w:val="single" w:sz="8" w:space="0" w:color="1B375C" w:themeColor="accent1"/>
            </w:tcBorders>
            <w:shd w:val="clear" w:color="auto" w:fill="E0E8F2" w:themeFill="background2"/>
          </w:tcPr>
          <w:p w14:paraId="629F378C" w14:textId="77777777" w:rsidR="00635825" w:rsidRPr="003D290F" w:rsidRDefault="00635825" w:rsidP="00635825">
            <w:pPr>
              <w:rPr>
                <w:rFonts w:eastAsia="Times New Roman" w:cs="Segoe UI"/>
                <w:b/>
                <w:sz w:val="24"/>
                <w:szCs w:val="24"/>
              </w:rPr>
            </w:pPr>
          </w:p>
        </w:tc>
        <w:tc>
          <w:tcPr>
            <w:tcW w:w="993" w:type="dxa"/>
            <w:tcBorders>
              <w:bottom w:val="single" w:sz="8" w:space="0" w:color="1B375C" w:themeColor="accent1"/>
              <w:right w:val="nil"/>
            </w:tcBorders>
            <w:shd w:val="clear" w:color="auto" w:fill="E0E8F2" w:themeFill="background2"/>
          </w:tcPr>
          <w:p w14:paraId="1122E2E2" w14:textId="77777777" w:rsidR="00635825" w:rsidRPr="003D290F" w:rsidRDefault="0044024D" w:rsidP="00635825">
            <w:pPr>
              <w:rPr>
                <w:rFonts w:eastAsia="Times New Roman" w:cs="Segoe UI"/>
                <w:b/>
                <w:sz w:val="24"/>
                <w:szCs w:val="24"/>
              </w:rPr>
            </w:pPr>
            <w:r w:rsidRPr="003D290F">
              <w:rPr>
                <w:rFonts w:eastAsia="Times New Roman" w:cs="Segoe UI"/>
                <w:sz w:val="20"/>
                <w:szCs w:val="20"/>
              </w:rPr>
              <w:t>Benefits</w:t>
            </w:r>
          </w:p>
        </w:tc>
        <w:tc>
          <w:tcPr>
            <w:tcW w:w="4252" w:type="dxa"/>
            <w:tcBorders>
              <w:top w:val="nil"/>
              <w:left w:val="nil"/>
              <w:bottom w:val="single" w:sz="4" w:space="0" w:color="auto"/>
              <w:right w:val="nil"/>
            </w:tcBorders>
            <w:shd w:val="clear" w:color="auto" w:fill="FFFFFF" w:themeFill="background1"/>
          </w:tcPr>
          <w:p w14:paraId="0266B699" w14:textId="77777777" w:rsidR="00635825" w:rsidRPr="003D290F" w:rsidRDefault="00EE34FB" w:rsidP="00346413">
            <w:pPr>
              <w:rPr>
                <w:rFonts w:eastAsia="Times New Roman" w:cs="Segoe UI"/>
                <w:b/>
                <w:sz w:val="24"/>
                <w:szCs w:val="24"/>
              </w:rPr>
            </w:pPr>
            <w:r w:rsidRPr="003D290F">
              <w:rPr>
                <w:rFonts w:eastAsia="Times New Roman" w:cs="Segoe UI"/>
                <w:sz w:val="20"/>
                <w:szCs w:val="20"/>
              </w:rPr>
              <w:t>More tax revenue from closing employer workers who maintain employment</w:t>
            </w:r>
          </w:p>
        </w:tc>
        <w:tc>
          <w:tcPr>
            <w:tcW w:w="1418" w:type="dxa"/>
            <w:tcBorders>
              <w:top w:val="nil"/>
              <w:left w:val="nil"/>
              <w:bottom w:val="single" w:sz="4" w:space="0" w:color="auto"/>
              <w:right w:val="nil"/>
            </w:tcBorders>
            <w:shd w:val="clear" w:color="auto" w:fill="FFFFFF" w:themeFill="background1"/>
            <w:vAlign w:val="center"/>
          </w:tcPr>
          <w:p w14:paraId="3977AB6D" w14:textId="77777777" w:rsidR="00635825" w:rsidRPr="003D290F" w:rsidRDefault="00EE34FB" w:rsidP="00635825">
            <w:pPr>
              <w:jc w:val="center"/>
              <w:rPr>
                <w:rFonts w:eastAsia="Times New Roman" w:cs="Segoe UI"/>
                <w:b/>
                <w:sz w:val="24"/>
                <w:szCs w:val="24"/>
              </w:rPr>
            </w:pPr>
            <w:r w:rsidRPr="003D290F">
              <w:rPr>
                <w:rFonts w:eastAsia="Times New Roman" w:cs="Segoe UI"/>
                <w:sz w:val="30"/>
                <w:szCs w:val="30"/>
              </w:rPr>
              <w:sym w:font="Wingdings" w:char="F0FE"/>
            </w:r>
          </w:p>
        </w:tc>
        <w:tc>
          <w:tcPr>
            <w:tcW w:w="1835" w:type="dxa"/>
            <w:tcBorders>
              <w:top w:val="nil"/>
              <w:left w:val="nil"/>
              <w:bottom w:val="single" w:sz="4" w:space="0" w:color="auto"/>
              <w:right w:val="nil"/>
            </w:tcBorders>
            <w:shd w:val="clear" w:color="auto" w:fill="FFFFFF" w:themeFill="background1"/>
            <w:vAlign w:val="center"/>
          </w:tcPr>
          <w:p w14:paraId="3EF85602" w14:textId="77777777" w:rsidR="00635825" w:rsidRPr="003D290F" w:rsidRDefault="00635825" w:rsidP="00635825">
            <w:pPr>
              <w:jc w:val="center"/>
              <w:rPr>
                <w:rFonts w:eastAsia="Times New Roman" w:cs="Segoe UI"/>
                <w:b/>
                <w:sz w:val="24"/>
                <w:szCs w:val="24"/>
              </w:rPr>
            </w:pPr>
          </w:p>
        </w:tc>
      </w:tr>
      <w:tr w:rsidR="00635825" w:rsidRPr="003D290F" w14:paraId="05BC6068" w14:textId="77777777" w:rsidTr="00EE34FB">
        <w:tc>
          <w:tcPr>
            <w:tcW w:w="1696" w:type="dxa"/>
            <w:tcBorders>
              <w:top w:val="single" w:sz="8" w:space="0" w:color="1B375C" w:themeColor="accent1"/>
              <w:bottom w:val="nil"/>
            </w:tcBorders>
            <w:shd w:val="clear" w:color="auto" w:fill="E0E8F2" w:themeFill="background2"/>
          </w:tcPr>
          <w:p w14:paraId="537D1210" w14:textId="77777777" w:rsidR="00635825" w:rsidRPr="003D290F" w:rsidRDefault="00635825" w:rsidP="00635825">
            <w:pPr>
              <w:rPr>
                <w:rFonts w:eastAsia="Times New Roman" w:cs="Segoe UI"/>
                <w:b/>
                <w:sz w:val="24"/>
                <w:szCs w:val="24"/>
              </w:rPr>
            </w:pPr>
            <w:r w:rsidRPr="003D290F">
              <w:rPr>
                <w:rFonts w:eastAsia="Times New Roman" w:cs="Segoe UI"/>
                <w:b/>
                <w:sz w:val="20"/>
                <w:szCs w:val="20"/>
              </w:rPr>
              <w:t>Community</w:t>
            </w:r>
          </w:p>
        </w:tc>
        <w:tc>
          <w:tcPr>
            <w:tcW w:w="993" w:type="dxa"/>
            <w:tcBorders>
              <w:top w:val="single" w:sz="8" w:space="0" w:color="1B375C" w:themeColor="accent1"/>
              <w:bottom w:val="single" w:sz="4" w:space="0" w:color="FFFFFF" w:themeColor="background1"/>
              <w:right w:val="nil"/>
            </w:tcBorders>
            <w:shd w:val="clear" w:color="auto" w:fill="E0E8F2" w:themeFill="background2"/>
          </w:tcPr>
          <w:p w14:paraId="002AE4B4" w14:textId="77777777" w:rsidR="00635825" w:rsidRPr="003D290F" w:rsidRDefault="00635825" w:rsidP="00635825">
            <w:pPr>
              <w:rPr>
                <w:rFonts w:eastAsia="Times New Roman" w:cs="Segoe UI"/>
                <w:b/>
                <w:sz w:val="24"/>
                <w:szCs w:val="24"/>
              </w:rPr>
            </w:pPr>
            <w:r w:rsidRPr="003D290F">
              <w:rPr>
                <w:rFonts w:eastAsia="Times New Roman" w:cs="Segoe UI"/>
                <w:sz w:val="20"/>
                <w:szCs w:val="20"/>
              </w:rPr>
              <w:t>Costs</w:t>
            </w:r>
          </w:p>
        </w:tc>
        <w:tc>
          <w:tcPr>
            <w:tcW w:w="4252" w:type="dxa"/>
            <w:tcBorders>
              <w:top w:val="single" w:sz="4" w:space="0" w:color="auto"/>
              <w:left w:val="nil"/>
              <w:bottom w:val="nil"/>
              <w:right w:val="nil"/>
            </w:tcBorders>
            <w:shd w:val="clear" w:color="auto" w:fill="E0E8F2" w:themeFill="background2"/>
          </w:tcPr>
          <w:p w14:paraId="08948EA8" w14:textId="77777777" w:rsidR="00635825" w:rsidRPr="003D290F" w:rsidRDefault="000925B6" w:rsidP="00635825">
            <w:pPr>
              <w:rPr>
                <w:rFonts w:eastAsia="Times New Roman" w:cs="Segoe UI"/>
                <w:b/>
                <w:sz w:val="24"/>
                <w:szCs w:val="24"/>
              </w:rPr>
            </w:pPr>
            <w:r w:rsidRPr="003D290F">
              <w:rPr>
                <w:rFonts w:eastAsia="Times New Roman" w:cs="Segoe UI"/>
                <w:sz w:val="20"/>
                <w:szCs w:val="20"/>
              </w:rPr>
              <w:t>No additional costs relative to Option 2.</w:t>
            </w:r>
          </w:p>
        </w:tc>
        <w:tc>
          <w:tcPr>
            <w:tcW w:w="1418" w:type="dxa"/>
            <w:tcBorders>
              <w:top w:val="single" w:sz="4" w:space="0" w:color="auto"/>
              <w:left w:val="nil"/>
              <w:bottom w:val="nil"/>
              <w:right w:val="nil"/>
            </w:tcBorders>
            <w:shd w:val="clear" w:color="auto" w:fill="E0E8F2" w:themeFill="background2"/>
            <w:vAlign w:val="center"/>
          </w:tcPr>
          <w:p w14:paraId="46317E87" w14:textId="77777777" w:rsidR="00635825" w:rsidRPr="003D290F" w:rsidRDefault="00635825" w:rsidP="00635825">
            <w:pPr>
              <w:jc w:val="center"/>
              <w:rPr>
                <w:rFonts w:eastAsia="Times New Roman" w:cs="Segoe UI"/>
                <w:b/>
                <w:sz w:val="24"/>
                <w:szCs w:val="24"/>
              </w:rPr>
            </w:pPr>
          </w:p>
        </w:tc>
        <w:tc>
          <w:tcPr>
            <w:tcW w:w="1835" w:type="dxa"/>
            <w:tcBorders>
              <w:top w:val="single" w:sz="4" w:space="0" w:color="auto"/>
              <w:left w:val="nil"/>
              <w:bottom w:val="nil"/>
              <w:right w:val="nil"/>
            </w:tcBorders>
            <w:shd w:val="clear" w:color="auto" w:fill="E0E8F2" w:themeFill="background2"/>
            <w:vAlign w:val="center"/>
          </w:tcPr>
          <w:p w14:paraId="73CFCB6F" w14:textId="77777777" w:rsidR="00635825" w:rsidRPr="003D290F" w:rsidRDefault="00635825" w:rsidP="00635825">
            <w:pPr>
              <w:jc w:val="center"/>
              <w:rPr>
                <w:rFonts w:eastAsia="Times New Roman" w:cs="Segoe UI"/>
                <w:b/>
                <w:sz w:val="24"/>
                <w:szCs w:val="24"/>
              </w:rPr>
            </w:pPr>
          </w:p>
        </w:tc>
      </w:tr>
      <w:tr w:rsidR="00635825" w:rsidRPr="003D290F" w14:paraId="5361FC1D" w14:textId="77777777" w:rsidTr="00EE34FB">
        <w:tc>
          <w:tcPr>
            <w:tcW w:w="1696" w:type="dxa"/>
            <w:tcBorders>
              <w:top w:val="nil"/>
              <w:bottom w:val="single" w:sz="8" w:space="0" w:color="1B375C" w:themeColor="accent1"/>
            </w:tcBorders>
            <w:shd w:val="clear" w:color="auto" w:fill="E0E8F2" w:themeFill="background2"/>
          </w:tcPr>
          <w:p w14:paraId="26CB2BA8" w14:textId="77777777" w:rsidR="00635825" w:rsidRPr="003D290F" w:rsidRDefault="00635825" w:rsidP="00635825">
            <w:pPr>
              <w:rPr>
                <w:rFonts w:eastAsia="Times New Roman" w:cs="Segoe UI"/>
                <w:b/>
                <w:sz w:val="24"/>
                <w:szCs w:val="24"/>
              </w:rPr>
            </w:pPr>
          </w:p>
        </w:tc>
        <w:tc>
          <w:tcPr>
            <w:tcW w:w="993" w:type="dxa"/>
            <w:tcBorders>
              <w:bottom w:val="single" w:sz="4" w:space="0" w:color="auto"/>
              <w:right w:val="nil"/>
            </w:tcBorders>
            <w:shd w:val="clear" w:color="auto" w:fill="E0E8F2" w:themeFill="background2"/>
          </w:tcPr>
          <w:p w14:paraId="5B569682" w14:textId="77777777" w:rsidR="00635825" w:rsidRPr="003D290F" w:rsidRDefault="00635825" w:rsidP="00635825">
            <w:pPr>
              <w:rPr>
                <w:rFonts w:eastAsia="Times New Roman" w:cs="Segoe UI"/>
                <w:b/>
                <w:sz w:val="24"/>
                <w:szCs w:val="24"/>
              </w:rPr>
            </w:pPr>
            <w:r w:rsidRPr="003D290F">
              <w:rPr>
                <w:rFonts w:eastAsia="Times New Roman" w:cs="Segoe UI"/>
                <w:sz w:val="20"/>
                <w:szCs w:val="20"/>
              </w:rPr>
              <w:t>Benefits</w:t>
            </w:r>
          </w:p>
        </w:tc>
        <w:tc>
          <w:tcPr>
            <w:tcW w:w="4252" w:type="dxa"/>
            <w:tcBorders>
              <w:top w:val="nil"/>
              <w:left w:val="nil"/>
              <w:bottom w:val="single" w:sz="4" w:space="0" w:color="auto"/>
              <w:right w:val="nil"/>
            </w:tcBorders>
            <w:shd w:val="clear" w:color="auto" w:fill="FFFFFF" w:themeFill="background1"/>
          </w:tcPr>
          <w:p w14:paraId="23D8E833" w14:textId="77777777" w:rsidR="00635825" w:rsidRPr="003D290F" w:rsidRDefault="000925B6" w:rsidP="00635825">
            <w:pPr>
              <w:rPr>
                <w:rFonts w:eastAsia="Times New Roman" w:cs="Segoe UI"/>
                <w:b/>
                <w:sz w:val="24"/>
                <w:szCs w:val="24"/>
              </w:rPr>
            </w:pPr>
            <w:r w:rsidRPr="003D290F">
              <w:rPr>
                <w:rFonts w:eastAsia="Times New Roman" w:cs="Segoe UI"/>
                <w:sz w:val="20"/>
                <w:szCs w:val="20"/>
              </w:rPr>
              <w:t>Flow-on benefits from less unemployed employees are greater relative to Option 2.</w:t>
            </w:r>
          </w:p>
        </w:tc>
        <w:tc>
          <w:tcPr>
            <w:tcW w:w="1418" w:type="dxa"/>
            <w:tcBorders>
              <w:top w:val="nil"/>
              <w:left w:val="nil"/>
              <w:bottom w:val="single" w:sz="4" w:space="0" w:color="auto"/>
              <w:right w:val="nil"/>
            </w:tcBorders>
            <w:shd w:val="clear" w:color="auto" w:fill="FFFFFF" w:themeFill="background1"/>
            <w:vAlign w:val="center"/>
          </w:tcPr>
          <w:p w14:paraId="5350A060" w14:textId="77777777" w:rsidR="00635825" w:rsidRPr="003D290F" w:rsidRDefault="00635825" w:rsidP="00635825">
            <w:pPr>
              <w:jc w:val="center"/>
              <w:rPr>
                <w:rFonts w:eastAsia="Times New Roman" w:cs="Segoe UI"/>
                <w:b/>
                <w:sz w:val="24"/>
                <w:szCs w:val="24"/>
              </w:rPr>
            </w:pPr>
          </w:p>
        </w:tc>
        <w:tc>
          <w:tcPr>
            <w:tcW w:w="1835" w:type="dxa"/>
            <w:tcBorders>
              <w:top w:val="nil"/>
              <w:left w:val="nil"/>
              <w:bottom w:val="single" w:sz="4" w:space="0" w:color="auto"/>
              <w:right w:val="nil"/>
            </w:tcBorders>
            <w:shd w:val="clear" w:color="auto" w:fill="FFFFFF" w:themeFill="background1"/>
            <w:vAlign w:val="center"/>
          </w:tcPr>
          <w:p w14:paraId="57257763" w14:textId="77777777" w:rsidR="00635825" w:rsidRPr="003D290F" w:rsidRDefault="000925B6" w:rsidP="00635825">
            <w:pPr>
              <w:jc w:val="center"/>
              <w:rPr>
                <w:rFonts w:eastAsia="Times New Roman" w:cs="Segoe UI"/>
                <w:b/>
                <w:sz w:val="24"/>
                <w:szCs w:val="24"/>
              </w:rPr>
            </w:pPr>
            <w:r w:rsidRPr="003D290F">
              <w:rPr>
                <w:rFonts w:eastAsia="Times New Roman" w:cs="Segoe UI"/>
                <w:sz w:val="30"/>
                <w:szCs w:val="30"/>
              </w:rPr>
              <w:sym w:font="Wingdings" w:char="F0FE"/>
            </w:r>
          </w:p>
        </w:tc>
      </w:tr>
    </w:tbl>
    <w:p w14:paraId="7111B4A1" w14:textId="77777777" w:rsidR="00B50C31" w:rsidRPr="003D290F" w:rsidRDefault="00921F06" w:rsidP="005D46F4">
      <w:r w:rsidRPr="003D290F">
        <w:lastRenderedPageBreak/>
        <w:t>The</w:t>
      </w:r>
      <w:r w:rsidR="00C12EE9" w:rsidRPr="003D290F">
        <w:t xml:space="preserve"> assumptions </w:t>
      </w:r>
      <w:r w:rsidRPr="003D290F">
        <w:t xml:space="preserve">used to quantify the net benefit </w:t>
      </w:r>
      <w:r w:rsidR="00210BFC" w:rsidRPr="003D290F">
        <w:t xml:space="preserve">under each </w:t>
      </w:r>
      <w:r w:rsidRPr="003D290F">
        <w:t xml:space="preserve">of </w:t>
      </w:r>
      <w:r w:rsidR="00210BFC" w:rsidRPr="003D290F">
        <w:t xml:space="preserve">the </w:t>
      </w:r>
      <w:r w:rsidRPr="003D290F">
        <w:t xml:space="preserve">three options is set out in </w:t>
      </w:r>
      <w:r w:rsidRPr="003D290F">
        <w:rPr>
          <w:rFonts w:eastAsia="Times New Roman"/>
          <w:b/>
          <w:color w:val="1B375C" w:themeColor="accent1"/>
        </w:rPr>
        <w:t>Appendix</w:t>
      </w:r>
      <w:r w:rsidR="00FC0965">
        <w:rPr>
          <w:rFonts w:eastAsia="Times New Roman"/>
          <w:b/>
          <w:color w:val="1B375C" w:themeColor="accent1"/>
        </w:rPr>
        <w:t> </w:t>
      </w:r>
      <w:r w:rsidRPr="003D290F">
        <w:rPr>
          <w:rFonts w:eastAsia="Times New Roman"/>
          <w:b/>
          <w:color w:val="1B375C" w:themeColor="accent1"/>
        </w:rPr>
        <w:t>C</w:t>
      </w:r>
      <w:r w:rsidRPr="003D290F">
        <w:t xml:space="preserve">. These assumptions </w:t>
      </w:r>
      <w:r w:rsidR="0034390A">
        <w:t>impact</w:t>
      </w:r>
      <w:r w:rsidR="0034390A" w:rsidRPr="003D290F">
        <w:t xml:space="preserve"> </w:t>
      </w:r>
      <w:r w:rsidRPr="003D290F">
        <w:t>the number of employers and workers affected, the value of early retirement benefits</w:t>
      </w:r>
      <w:r w:rsidRPr="003D290F" w:rsidDel="00C12EE9">
        <w:t xml:space="preserve"> </w:t>
      </w:r>
      <w:r w:rsidRPr="003D290F">
        <w:t>and assumed labour force decisions of workers under each of the three options.</w:t>
      </w:r>
    </w:p>
    <w:p w14:paraId="4F4B8B5C" w14:textId="77777777" w:rsidR="00FC0965" w:rsidRDefault="00FC0965" w:rsidP="00F27EDD">
      <w:pPr>
        <w:pStyle w:val="Heading2"/>
        <w:rPr>
          <w:rFonts w:eastAsia="Times New Roman"/>
        </w:rPr>
      </w:pPr>
      <w:bookmarkStart w:id="322" w:name="_Toc161396000"/>
      <w:bookmarkStart w:id="323" w:name="_Toc161403536"/>
      <w:bookmarkStart w:id="324" w:name="_Toc161752270"/>
      <w:bookmarkStart w:id="325" w:name="_Toc161759708"/>
      <w:r>
        <w:rPr>
          <w:rFonts w:eastAsia="Times New Roman"/>
        </w:rPr>
        <w:t>4.7 Gender impacts</w:t>
      </w:r>
      <w:bookmarkEnd w:id="322"/>
      <w:bookmarkEnd w:id="323"/>
      <w:bookmarkEnd w:id="324"/>
      <w:bookmarkEnd w:id="325"/>
    </w:p>
    <w:p w14:paraId="202E2077" w14:textId="77777777" w:rsidR="00D51CC0" w:rsidRDefault="00050173" w:rsidP="00B77288">
      <w:r>
        <w:t>Compared to the status quo, t</w:t>
      </w:r>
      <w:r w:rsidR="00D51CC0">
        <w:t xml:space="preserve">he unlegislated and legislated plans would provide direct support to women employed in closing employers. </w:t>
      </w:r>
      <w:r>
        <w:t>M</w:t>
      </w:r>
      <w:r w:rsidR="00D51CC0">
        <w:t xml:space="preserve">ost direct benefits </w:t>
      </w:r>
      <w:r>
        <w:t>would</w:t>
      </w:r>
      <w:r w:rsidR="00D51CC0">
        <w:t xml:space="preserve"> flow to male workers, reflecting the </w:t>
      </w:r>
      <w:r w:rsidR="007251DF">
        <w:t xml:space="preserve">gender composition </w:t>
      </w:r>
      <w:r w:rsidR="00D51CC0">
        <w:t>of industries covered by the plan.</w:t>
      </w:r>
      <w:r w:rsidR="00D51CC0" w:rsidRPr="00D51CC0">
        <w:t xml:space="preserve"> </w:t>
      </w:r>
      <w:r w:rsidR="00D51CC0">
        <w:t>However, while industrial closures can have significant localised and regional impacts, i</w:t>
      </w:r>
      <w:r w:rsidR="00D51CC0" w:rsidRPr="0019659C">
        <w:t xml:space="preserve">n the context of the Australian labour market the overall number of workers </w:t>
      </w:r>
      <w:r w:rsidR="00D51CC0">
        <w:t>affected</w:t>
      </w:r>
      <w:r w:rsidR="00D51CC0" w:rsidRPr="0019659C">
        <w:t xml:space="preserve"> is small</w:t>
      </w:r>
      <w:r w:rsidR="00D51CC0">
        <w:t>.</w:t>
      </w:r>
      <w:r w:rsidR="00D51CC0" w:rsidRPr="0019659C">
        <w:t xml:space="preserve"> </w:t>
      </w:r>
      <w:r w:rsidR="00D51CC0">
        <w:t>T</w:t>
      </w:r>
      <w:r w:rsidR="00D51CC0" w:rsidRPr="0019659C">
        <w:t xml:space="preserve">otal </w:t>
      </w:r>
      <w:r w:rsidR="00D51CC0">
        <w:t xml:space="preserve">ongoing </w:t>
      </w:r>
      <w:r w:rsidR="00D51CC0" w:rsidRPr="0019659C">
        <w:t>employee</w:t>
      </w:r>
      <w:r w:rsidR="00D51CC0">
        <w:t xml:space="preserve"> numbers</w:t>
      </w:r>
      <w:r w:rsidR="00D51CC0" w:rsidRPr="0019659C">
        <w:t xml:space="preserve"> for in-scope facilities</w:t>
      </w:r>
      <w:r w:rsidR="00D51CC0">
        <w:t xml:space="preserve"> in the </w:t>
      </w:r>
      <w:r>
        <w:t>unlegislated and legislated p</w:t>
      </w:r>
      <w:r w:rsidR="00D51CC0">
        <w:t>lan</w:t>
      </w:r>
      <w:r>
        <w:t>s</w:t>
      </w:r>
      <w:r w:rsidR="00D51CC0" w:rsidRPr="0019659C">
        <w:t xml:space="preserve"> represent</w:t>
      </w:r>
      <w:r w:rsidR="00D51CC0">
        <w:t>ed</w:t>
      </w:r>
      <w:r w:rsidR="00D51CC0" w:rsidRPr="0019659C">
        <w:t xml:space="preserve"> less than 0.1 per cent of the labour force</w:t>
      </w:r>
      <w:r w:rsidR="00D51CC0">
        <w:t xml:space="preserve"> in the 2021-22</w:t>
      </w:r>
      <w:r w:rsidR="00D51CC0" w:rsidRPr="00FC0965">
        <w:t xml:space="preserve"> </w:t>
      </w:r>
      <w:r w:rsidR="00D51CC0">
        <w:t>financial year</w:t>
      </w:r>
      <w:r w:rsidR="00D51CC0" w:rsidRPr="0019659C">
        <w:t>.</w:t>
      </w:r>
    </w:p>
    <w:p w14:paraId="24A0391E" w14:textId="77777777" w:rsidR="00FC0965" w:rsidRDefault="00FC0965" w:rsidP="00B77288">
      <w:r>
        <w:t>2021 Census data indicates t</w:t>
      </w:r>
      <w:r w:rsidRPr="00E06CA0">
        <w:t xml:space="preserve">he </w:t>
      </w:r>
      <w:r>
        <w:t>labour force in closing employers and coal industry recipient employers are</w:t>
      </w:r>
      <w:r w:rsidRPr="00E06CA0">
        <w:t xml:space="preserve"> dominated</w:t>
      </w:r>
      <w:r>
        <w:t xml:space="preserve"> by men. In 2021, </w:t>
      </w:r>
      <w:r w:rsidR="007251DF">
        <w:t xml:space="preserve">women accounted for around 16 per cent of </w:t>
      </w:r>
      <w:r>
        <w:t>c</w:t>
      </w:r>
      <w:r w:rsidRPr="00E06CA0">
        <w:t xml:space="preserve">oal mining and </w:t>
      </w:r>
      <w:r w:rsidR="007251DF">
        <w:t xml:space="preserve">19 per cent of </w:t>
      </w:r>
      <w:r w:rsidRPr="00E06CA0">
        <w:t xml:space="preserve">fossil fuel </w:t>
      </w:r>
      <w:r>
        <w:t>electricity generation</w:t>
      </w:r>
      <w:r w:rsidR="0034390A">
        <w:t xml:space="preserve"> workers</w:t>
      </w:r>
      <w:r>
        <w:t>.</w:t>
      </w:r>
      <w:r w:rsidRPr="00FC0965">
        <w:t xml:space="preserve"> </w:t>
      </w:r>
      <w:r>
        <w:t xml:space="preserve">The closure of coal mining and fossil fuel generation facilities will have direct impacts on women working at these facilities, as well as impacts on women living in households affected by closures. </w:t>
      </w:r>
    </w:p>
    <w:p w14:paraId="31BBFD1B" w14:textId="77777777" w:rsidR="00FC0965" w:rsidRDefault="00945199" w:rsidP="00B77288">
      <w:r>
        <w:t xml:space="preserve">Women comprise a greater proportion of </w:t>
      </w:r>
      <w:r w:rsidR="00FC0965">
        <w:t xml:space="preserve">recipient employer </w:t>
      </w:r>
      <w:r>
        <w:t xml:space="preserve">workers </w:t>
      </w:r>
      <w:r w:rsidR="00FC0965">
        <w:t xml:space="preserve">in alternative industries. </w:t>
      </w:r>
      <w:r>
        <w:t>2021 Census data indicates women comprise 39 per cent of workers in clean energy generation, 30 per cent in manufacturing,</w:t>
      </w:r>
      <w:r w:rsidRPr="00B77288">
        <w:rPr>
          <w:rFonts w:eastAsia="Times New Roman"/>
        </w:rPr>
        <w:fldChar w:fldCharType="begin"/>
      </w:r>
      <w:r w:rsidRPr="00B77288">
        <w:rPr>
          <w:rFonts w:eastAsia="Times New Roman"/>
        </w:rPr>
        <w:instrText xml:space="preserve"> NOTEREF _Ref148084877 \h  \* MERGEFORMAT </w:instrText>
      </w:r>
      <w:r w:rsidRPr="00B77288">
        <w:rPr>
          <w:rFonts w:eastAsia="Times New Roman"/>
        </w:rPr>
      </w:r>
      <w:r w:rsidRPr="00B77288">
        <w:rPr>
          <w:rFonts w:eastAsia="Times New Roman"/>
        </w:rPr>
        <w:fldChar w:fldCharType="end"/>
      </w:r>
      <w:r>
        <w:t xml:space="preserve"> 26 per cent in electricity, gas, w</w:t>
      </w:r>
      <w:r w:rsidRPr="006B7F72">
        <w:t xml:space="preserve">ater </w:t>
      </w:r>
      <w:r>
        <w:t>and waste s</w:t>
      </w:r>
      <w:r w:rsidRPr="006B7F72">
        <w:t>ervices</w:t>
      </w:r>
      <w:r>
        <w:t>, 19 per cent</w:t>
      </w:r>
      <w:r w:rsidRPr="00945199">
        <w:t xml:space="preserve"> </w:t>
      </w:r>
      <w:r>
        <w:t>in mining and</w:t>
      </w:r>
      <w:r w:rsidRPr="00B77288">
        <w:rPr>
          <w:rFonts w:eastAsia="Times New Roman"/>
        </w:rPr>
        <w:t xml:space="preserve"> </w:t>
      </w:r>
      <w:r>
        <w:t>15 per cent in construction.</w:t>
      </w:r>
    </w:p>
    <w:p w14:paraId="13E9BA0C" w14:textId="77777777" w:rsidR="00050173" w:rsidRDefault="00050173" w:rsidP="00050173">
      <w:pPr>
        <w:pStyle w:val="Heading2"/>
        <w:rPr>
          <w:rFonts w:eastAsia="Times New Roman"/>
        </w:rPr>
      </w:pPr>
      <w:bookmarkStart w:id="326" w:name="_Toc161396001"/>
      <w:bookmarkStart w:id="327" w:name="_Toc161403537"/>
      <w:bookmarkStart w:id="328" w:name="_Toc161752271"/>
      <w:bookmarkStart w:id="329" w:name="_Toc161759709"/>
      <w:r w:rsidRPr="003D290F">
        <w:rPr>
          <w:rFonts w:eastAsia="Times New Roman"/>
        </w:rPr>
        <w:t>4.</w:t>
      </w:r>
      <w:r>
        <w:rPr>
          <w:rFonts w:eastAsia="Times New Roman"/>
        </w:rPr>
        <w:t>8</w:t>
      </w:r>
      <w:r w:rsidRPr="003D290F">
        <w:rPr>
          <w:rFonts w:eastAsia="Times New Roman"/>
        </w:rPr>
        <w:t xml:space="preserve"> </w:t>
      </w:r>
      <w:r w:rsidRPr="00050173">
        <w:rPr>
          <w:rFonts w:eastAsia="Times New Roman"/>
        </w:rPr>
        <w:t xml:space="preserve">Comparison of impacts of different </w:t>
      </w:r>
      <w:r>
        <w:rPr>
          <w:rFonts w:eastAsia="Times New Roman"/>
        </w:rPr>
        <w:t>options</w:t>
      </w:r>
      <w:bookmarkEnd w:id="326"/>
      <w:bookmarkEnd w:id="327"/>
      <w:bookmarkEnd w:id="328"/>
      <w:bookmarkEnd w:id="329"/>
    </w:p>
    <w:p w14:paraId="08930B8B" w14:textId="77777777" w:rsidR="00050173" w:rsidRDefault="00050173" w:rsidP="00050173">
      <w:pPr>
        <w:rPr>
          <w:rFonts w:eastAsia="Times New Roman"/>
        </w:rPr>
      </w:pPr>
      <w:r>
        <w:rPr>
          <w:rFonts w:eastAsia="Times New Roman"/>
        </w:rPr>
        <w:t xml:space="preserve">The appropriateness of each of the identified policy options was assessed by comparing the </w:t>
      </w:r>
      <w:r w:rsidR="00D57FDF">
        <w:rPr>
          <w:rFonts w:eastAsia="Times New Roman"/>
        </w:rPr>
        <w:t>quantified</w:t>
      </w:r>
      <w:r>
        <w:rPr>
          <w:rFonts w:eastAsia="Times New Roman"/>
        </w:rPr>
        <w:t xml:space="preserve"> and un</w:t>
      </w:r>
      <w:r w:rsidR="00D57FDF">
        <w:rPr>
          <w:rFonts w:eastAsia="Times New Roman"/>
        </w:rPr>
        <w:t>quantified</w:t>
      </w:r>
      <w:r>
        <w:rPr>
          <w:rFonts w:eastAsia="Times New Roman"/>
        </w:rPr>
        <w:t xml:space="preserve"> </w:t>
      </w:r>
      <w:r w:rsidRPr="003D290F">
        <w:rPr>
          <w:rFonts w:eastAsia="Times New Roman"/>
        </w:rPr>
        <w:t>impacts</w:t>
      </w:r>
      <w:r>
        <w:rPr>
          <w:rFonts w:eastAsia="Times New Roman"/>
        </w:rPr>
        <w:t xml:space="preserve"> of t</w:t>
      </w:r>
      <w:r w:rsidRPr="003D290F">
        <w:rPr>
          <w:rFonts w:eastAsia="Times New Roman"/>
        </w:rPr>
        <w:t>he unlegislated and legislated pooled redeployment plans</w:t>
      </w:r>
      <w:r>
        <w:rPr>
          <w:rFonts w:eastAsia="Times New Roman"/>
        </w:rPr>
        <w:t xml:space="preserve"> relative to the status quo</w:t>
      </w:r>
      <w:r w:rsidRPr="003D290F">
        <w:rPr>
          <w:rFonts w:eastAsia="Times New Roman"/>
        </w:rPr>
        <w:t>.</w:t>
      </w:r>
    </w:p>
    <w:p w14:paraId="0C2E9B48" w14:textId="77777777" w:rsidR="00050173" w:rsidRDefault="00050173" w:rsidP="00050173">
      <w:pPr>
        <w:rPr>
          <w:rFonts w:eastAsia="Times New Roman" w:cs="Segoe UI"/>
        </w:rPr>
      </w:pPr>
      <w:r>
        <w:rPr>
          <w:rFonts w:eastAsia="Times New Roman" w:cs="Segoe UI"/>
        </w:rPr>
        <w:t xml:space="preserve">When only considering the </w:t>
      </w:r>
      <w:r w:rsidR="00D57FDF">
        <w:rPr>
          <w:rFonts w:eastAsia="Times New Roman" w:cs="Segoe UI"/>
        </w:rPr>
        <w:t>quantified</w:t>
      </w:r>
      <w:r>
        <w:rPr>
          <w:rFonts w:eastAsia="Times New Roman" w:cs="Segoe UI"/>
        </w:rPr>
        <w:t xml:space="preserve"> impacts of </w:t>
      </w:r>
      <w:r w:rsidR="00BD0909">
        <w:rPr>
          <w:rFonts w:eastAsia="Times New Roman" w:cs="Segoe UI"/>
        </w:rPr>
        <w:t>O</w:t>
      </w:r>
      <w:r>
        <w:rPr>
          <w:rFonts w:eastAsia="Times New Roman" w:cs="Segoe UI"/>
        </w:rPr>
        <w:t xml:space="preserve">ptions 2 and 3, both options are a negative net present value when compared to the status quo (see </w:t>
      </w:r>
      <w:r w:rsidRPr="00D27608">
        <w:rPr>
          <w:rFonts w:eastAsia="Times New Roman"/>
          <w:b/>
          <w:color w:val="1B375C" w:themeColor="accent1"/>
        </w:rPr>
        <w:t>Table 4.</w:t>
      </w:r>
      <w:r w:rsidR="00757876">
        <w:rPr>
          <w:rFonts w:eastAsia="Times New Roman"/>
          <w:b/>
          <w:color w:val="1B375C" w:themeColor="accent1"/>
        </w:rPr>
        <w:t>2</w:t>
      </w:r>
      <w:r>
        <w:rPr>
          <w:rFonts w:eastAsia="Times New Roman" w:cs="Segoe UI"/>
        </w:rPr>
        <w:t>). However,</w:t>
      </w:r>
      <w:r w:rsidDel="0034390A">
        <w:rPr>
          <w:rFonts w:eastAsia="Times New Roman" w:cs="Segoe UI"/>
        </w:rPr>
        <w:t xml:space="preserve"> </w:t>
      </w:r>
      <w:r>
        <w:rPr>
          <w:rFonts w:eastAsia="Times New Roman" w:cs="Segoe UI"/>
        </w:rPr>
        <w:t>un</w:t>
      </w:r>
      <w:r w:rsidR="00D57FDF">
        <w:rPr>
          <w:rFonts w:eastAsia="Times New Roman" w:cs="Segoe UI"/>
        </w:rPr>
        <w:t>quantified</w:t>
      </w:r>
      <w:r>
        <w:rPr>
          <w:rFonts w:eastAsia="Times New Roman" w:cs="Segoe UI"/>
        </w:rPr>
        <w:t xml:space="preserve"> impacts should also be considered when assessing the merits of the different options. The un</w:t>
      </w:r>
      <w:r w:rsidR="00D57FDF">
        <w:rPr>
          <w:rFonts w:eastAsia="Times New Roman" w:cs="Segoe UI"/>
        </w:rPr>
        <w:t>quantified</w:t>
      </w:r>
      <w:r>
        <w:rPr>
          <w:rFonts w:eastAsia="Times New Roman" w:cs="Segoe UI"/>
        </w:rPr>
        <w:t xml:space="preserve"> impacts of </w:t>
      </w:r>
      <w:r w:rsidR="00D57FDF">
        <w:rPr>
          <w:rFonts w:eastAsia="Times New Roman" w:cs="Segoe UI"/>
        </w:rPr>
        <w:t>Option</w:t>
      </w:r>
      <w:r>
        <w:rPr>
          <w:rFonts w:eastAsia="Times New Roman" w:cs="Segoe UI"/>
        </w:rPr>
        <w:t xml:space="preserve"> 2, relative to the status quo, are summarised in </w:t>
      </w:r>
      <w:r w:rsidRPr="00D27608">
        <w:rPr>
          <w:rFonts w:eastAsia="Times New Roman"/>
          <w:b/>
          <w:color w:val="1B375C" w:themeColor="accent1"/>
        </w:rPr>
        <w:t>Table 4.</w:t>
      </w:r>
      <w:r w:rsidR="00757876">
        <w:rPr>
          <w:rFonts w:eastAsia="Times New Roman"/>
          <w:b/>
          <w:color w:val="1B375C" w:themeColor="accent1"/>
        </w:rPr>
        <w:t>9</w:t>
      </w:r>
      <w:r>
        <w:rPr>
          <w:rFonts w:eastAsia="Times New Roman" w:cs="Segoe UI"/>
        </w:rPr>
        <w:t xml:space="preserve"> below.</w:t>
      </w:r>
    </w:p>
    <w:p w14:paraId="7307CD14" w14:textId="77777777" w:rsidR="00050173" w:rsidRPr="009B0304" w:rsidRDefault="00050173" w:rsidP="00050173">
      <w:pPr>
        <w:keepNext/>
        <w:spacing w:before="120" w:after="120" w:line="240" w:lineRule="auto"/>
        <w:rPr>
          <w:rFonts w:eastAsia="Times New Roman" w:cs="Segoe UI"/>
          <w:b/>
          <w:sz w:val="24"/>
        </w:rPr>
      </w:pPr>
      <w:r>
        <w:rPr>
          <w:rFonts w:eastAsia="Times New Roman" w:cs="Segoe UI"/>
          <w:b/>
          <w:sz w:val="24"/>
        </w:rPr>
        <w:lastRenderedPageBreak/>
        <w:t>TABLE 4.</w:t>
      </w:r>
      <w:r w:rsidR="00757876">
        <w:rPr>
          <w:rFonts w:eastAsia="Times New Roman" w:cs="Segoe UI"/>
          <w:b/>
          <w:sz w:val="24"/>
        </w:rPr>
        <w:t>9</w:t>
      </w:r>
      <w:r w:rsidRPr="003D290F">
        <w:rPr>
          <w:rFonts w:eastAsia="Times New Roman" w:cs="Segoe UI"/>
          <w:b/>
          <w:sz w:val="24"/>
        </w:rPr>
        <w:t xml:space="preserve"> </w:t>
      </w:r>
      <w:r>
        <w:rPr>
          <w:rFonts w:eastAsia="Times New Roman" w:cs="Segoe UI"/>
          <w:b/>
          <w:sz w:val="24"/>
        </w:rPr>
        <w:t>UNQUANTIFIED IMPACTS IN OPTION 2, RELATIVE TO OPTION 1</w:t>
      </w:r>
    </w:p>
    <w:tbl>
      <w:tblPr>
        <w:tblStyle w:val="Custom1"/>
        <w:tblW w:w="0" w:type="auto"/>
        <w:tblLook w:val="04A0" w:firstRow="1" w:lastRow="0" w:firstColumn="1" w:lastColumn="0" w:noHBand="0" w:noVBand="1"/>
      </w:tblPr>
      <w:tblGrid>
        <w:gridCol w:w="2252"/>
        <w:gridCol w:w="981"/>
        <w:gridCol w:w="6971"/>
      </w:tblGrid>
      <w:tr w:rsidR="00050173" w14:paraId="6A0C992B" w14:textId="77777777" w:rsidTr="001D7393">
        <w:trPr>
          <w:cnfStyle w:val="100000000000" w:firstRow="1" w:lastRow="0" w:firstColumn="0" w:lastColumn="0" w:oddVBand="0" w:evenVBand="0" w:oddHBand="0" w:evenHBand="0" w:firstRowFirstColumn="0" w:firstRowLastColumn="0" w:lastRowFirstColumn="0" w:lastRowLastColumn="0"/>
        </w:trPr>
        <w:tc>
          <w:tcPr>
            <w:tcW w:w="0" w:type="auto"/>
          </w:tcPr>
          <w:p w14:paraId="0D5373C0" w14:textId="77777777" w:rsidR="00050173" w:rsidRPr="009B0304" w:rsidRDefault="00050173" w:rsidP="001D7393">
            <w:pPr>
              <w:keepNext/>
              <w:rPr>
                <w:rFonts w:eastAsia="Times New Roman" w:cs="Segoe UI"/>
                <w:sz w:val="20"/>
              </w:rPr>
            </w:pPr>
            <w:r w:rsidRPr="007E2B38">
              <w:rPr>
                <w:rFonts w:eastAsia="Times New Roman" w:cs="Segoe UI"/>
                <w:sz w:val="20"/>
              </w:rPr>
              <w:t>STAKEHOLDER</w:t>
            </w:r>
          </w:p>
        </w:tc>
        <w:tc>
          <w:tcPr>
            <w:tcW w:w="0" w:type="auto"/>
          </w:tcPr>
          <w:p w14:paraId="558C4D6A" w14:textId="77777777" w:rsidR="00050173" w:rsidRPr="009B0304" w:rsidRDefault="00050173" w:rsidP="001D7393">
            <w:pPr>
              <w:keepNext/>
              <w:rPr>
                <w:rFonts w:eastAsia="Times New Roman" w:cs="Segoe UI"/>
                <w:sz w:val="20"/>
              </w:rPr>
            </w:pPr>
            <w:r w:rsidRPr="007E2B38">
              <w:rPr>
                <w:rFonts w:eastAsia="Times New Roman" w:cs="Segoe UI"/>
                <w:sz w:val="20"/>
              </w:rPr>
              <w:t>IMPACT</w:t>
            </w:r>
          </w:p>
        </w:tc>
        <w:tc>
          <w:tcPr>
            <w:tcW w:w="0" w:type="auto"/>
          </w:tcPr>
          <w:p w14:paraId="0282ABFC" w14:textId="77777777" w:rsidR="00050173" w:rsidRPr="009B0304" w:rsidRDefault="00050173" w:rsidP="001D7393">
            <w:pPr>
              <w:keepNext/>
              <w:rPr>
                <w:rFonts w:eastAsia="Times New Roman" w:cs="Segoe UI"/>
                <w:sz w:val="20"/>
              </w:rPr>
            </w:pPr>
            <w:r w:rsidRPr="007E2B38">
              <w:rPr>
                <w:rFonts w:eastAsia="Times New Roman" w:cs="Segoe UI"/>
                <w:sz w:val="20"/>
              </w:rPr>
              <w:t>DESCRIPTION</w:t>
            </w:r>
          </w:p>
        </w:tc>
      </w:tr>
      <w:tr w:rsidR="00050173" w14:paraId="6D8B93E7" w14:textId="77777777" w:rsidTr="001D7393">
        <w:trPr>
          <w:cnfStyle w:val="000000100000" w:firstRow="0" w:lastRow="0" w:firstColumn="0" w:lastColumn="0" w:oddVBand="0" w:evenVBand="0" w:oddHBand="1" w:evenHBand="0" w:firstRowFirstColumn="0" w:firstRowLastColumn="0" w:lastRowFirstColumn="0" w:lastRowLastColumn="0"/>
        </w:trPr>
        <w:tc>
          <w:tcPr>
            <w:tcW w:w="0" w:type="auto"/>
          </w:tcPr>
          <w:p w14:paraId="005CF06D" w14:textId="77777777" w:rsidR="00050173" w:rsidRPr="00337AAE" w:rsidRDefault="00050173" w:rsidP="001D7393">
            <w:pPr>
              <w:keepNext/>
              <w:rPr>
                <w:rFonts w:eastAsia="Times New Roman" w:cs="Segoe UI"/>
                <w:b/>
                <w:sz w:val="20"/>
              </w:rPr>
            </w:pPr>
            <w:r w:rsidRPr="00337AAE">
              <w:rPr>
                <w:rFonts w:eastAsia="Times New Roman" w:cs="Segoe UI"/>
                <w:b/>
                <w:sz w:val="20"/>
              </w:rPr>
              <w:t>Closing employers</w:t>
            </w:r>
          </w:p>
        </w:tc>
        <w:tc>
          <w:tcPr>
            <w:tcW w:w="0" w:type="auto"/>
          </w:tcPr>
          <w:p w14:paraId="08803C00" w14:textId="77777777" w:rsidR="00050173" w:rsidRPr="00337AAE" w:rsidRDefault="00050173" w:rsidP="001D7393">
            <w:pPr>
              <w:keepNext/>
              <w:rPr>
                <w:rFonts w:eastAsia="Times New Roman" w:cs="Segoe UI"/>
                <w:b/>
                <w:sz w:val="20"/>
              </w:rPr>
            </w:pPr>
            <w:r w:rsidRPr="00337AAE">
              <w:rPr>
                <w:rFonts w:eastAsia="Times New Roman" w:cs="Segoe UI"/>
                <w:b/>
                <w:sz w:val="20"/>
              </w:rPr>
              <w:t>Benefits</w:t>
            </w:r>
          </w:p>
        </w:tc>
        <w:tc>
          <w:tcPr>
            <w:tcW w:w="0" w:type="auto"/>
          </w:tcPr>
          <w:p w14:paraId="3A8A7A88" w14:textId="77777777" w:rsidR="00050173" w:rsidRPr="00337AAE" w:rsidRDefault="00050173" w:rsidP="001D7393">
            <w:pPr>
              <w:keepNext/>
              <w:rPr>
                <w:rFonts w:eastAsia="Times New Roman" w:cs="Segoe UI"/>
                <w:sz w:val="20"/>
              </w:rPr>
            </w:pPr>
            <w:r w:rsidRPr="00337AAE">
              <w:rPr>
                <w:rFonts w:eastAsia="Times New Roman" w:cs="Segoe UI"/>
                <w:sz w:val="20"/>
              </w:rPr>
              <w:t>Greater certainty around workforce retention in the lead-up to facility closure.</w:t>
            </w:r>
          </w:p>
        </w:tc>
      </w:tr>
      <w:tr w:rsidR="00050173" w14:paraId="4E9788DD" w14:textId="77777777" w:rsidTr="001D7393">
        <w:tc>
          <w:tcPr>
            <w:tcW w:w="0" w:type="auto"/>
            <w:vMerge w:val="restart"/>
            <w:shd w:val="clear" w:color="auto" w:fill="E0E8F2" w:themeFill="background2"/>
          </w:tcPr>
          <w:p w14:paraId="1EB5F40A" w14:textId="77777777" w:rsidR="00050173" w:rsidRPr="00337AAE" w:rsidRDefault="00050173" w:rsidP="001D7393">
            <w:pPr>
              <w:keepNext/>
              <w:rPr>
                <w:rFonts w:eastAsia="Times New Roman" w:cs="Segoe UI"/>
                <w:b/>
                <w:sz w:val="20"/>
              </w:rPr>
            </w:pPr>
            <w:r w:rsidRPr="00337AAE">
              <w:rPr>
                <w:rFonts w:eastAsia="Times New Roman" w:cs="Segoe UI"/>
                <w:b/>
                <w:sz w:val="20"/>
              </w:rPr>
              <w:t>Receiving employers</w:t>
            </w:r>
          </w:p>
        </w:tc>
        <w:tc>
          <w:tcPr>
            <w:tcW w:w="0" w:type="auto"/>
          </w:tcPr>
          <w:p w14:paraId="455FE57F" w14:textId="77777777" w:rsidR="00050173" w:rsidRPr="00337AAE" w:rsidRDefault="00050173" w:rsidP="001D7393">
            <w:pPr>
              <w:keepNext/>
              <w:rPr>
                <w:rFonts w:eastAsia="Times New Roman" w:cs="Segoe UI"/>
                <w:b/>
                <w:sz w:val="20"/>
              </w:rPr>
            </w:pPr>
            <w:r w:rsidRPr="00337AAE">
              <w:rPr>
                <w:rFonts w:eastAsia="Times New Roman" w:cs="Segoe UI"/>
                <w:b/>
                <w:sz w:val="20"/>
              </w:rPr>
              <w:t>Costs</w:t>
            </w:r>
          </w:p>
        </w:tc>
        <w:tc>
          <w:tcPr>
            <w:tcW w:w="0" w:type="auto"/>
          </w:tcPr>
          <w:p w14:paraId="0AF40604" w14:textId="77777777" w:rsidR="00050173" w:rsidRPr="00337AAE" w:rsidRDefault="00050173" w:rsidP="001D7393">
            <w:pPr>
              <w:keepNext/>
              <w:rPr>
                <w:rFonts w:eastAsia="Times New Roman" w:cs="Segoe UI"/>
                <w:sz w:val="20"/>
              </w:rPr>
            </w:pPr>
            <w:r w:rsidRPr="00337AAE">
              <w:rPr>
                <w:rFonts w:eastAsia="Times New Roman" w:cs="Segoe UI"/>
                <w:sz w:val="20"/>
              </w:rPr>
              <w:t>On-the-job training to address any skills gaps between incoming workers and vacancies.</w:t>
            </w:r>
          </w:p>
        </w:tc>
      </w:tr>
      <w:tr w:rsidR="00050173" w14:paraId="3211E7A3" w14:textId="77777777" w:rsidTr="001D7393">
        <w:trPr>
          <w:cnfStyle w:val="000000100000" w:firstRow="0" w:lastRow="0" w:firstColumn="0" w:lastColumn="0" w:oddVBand="0" w:evenVBand="0" w:oddHBand="1" w:evenHBand="0" w:firstRowFirstColumn="0" w:firstRowLastColumn="0" w:lastRowFirstColumn="0" w:lastRowLastColumn="0"/>
        </w:trPr>
        <w:tc>
          <w:tcPr>
            <w:tcW w:w="0" w:type="auto"/>
            <w:vMerge/>
          </w:tcPr>
          <w:p w14:paraId="266A7614" w14:textId="77777777" w:rsidR="00050173" w:rsidRPr="00337AAE" w:rsidRDefault="00050173" w:rsidP="001D7393">
            <w:pPr>
              <w:keepNext/>
              <w:rPr>
                <w:rFonts w:eastAsia="Times New Roman" w:cs="Segoe UI"/>
                <w:b/>
                <w:sz w:val="20"/>
              </w:rPr>
            </w:pPr>
          </w:p>
        </w:tc>
        <w:tc>
          <w:tcPr>
            <w:tcW w:w="0" w:type="auto"/>
          </w:tcPr>
          <w:p w14:paraId="5D40B767" w14:textId="77777777" w:rsidR="00050173" w:rsidRPr="00337AAE" w:rsidRDefault="00050173" w:rsidP="001D7393">
            <w:pPr>
              <w:keepNext/>
              <w:rPr>
                <w:rFonts w:eastAsia="Times New Roman" w:cs="Segoe UI"/>
                <w:b/>
                <w:sz w:val="20"/>
              </w:rPr>
            </w:pPr>
            <w:r w:rsidRPr="00337AAE">
              <w:rPr>
                <w:rFonts w:eastAsia="Times New Roman" w:cs="Segoe UI"/>
                <w:b/>
                <w:sz w:val="20"/>
              </w:rPr>
              <w:t>Benefits</w:t>
            </w:r>
          </w:p>
        </w:tc>
        <w:tc>
          <w:tcPr>
            <w:tcW w:w="0" w:type="auto"/>
          </w:tcPr>
          <w:p w14:paraId="16C8D7F7" w14:textId="77777777" w:rsidR="00050173" w:rsidRPr="00337AAE" w:rsidRDefault="00050173" w:rsidP="001D7393">
            <w:pPr>
              <w:keepNext/>
              <w:rPr>
                <w:rFonts w:eastAsia="Times New Roman" w:cs="Segoe UI"/>
                <w:sz w:val="20"/>
              </w:rPr>
            </w:pPr>
            <w:r w:rsidRPr="00337AAE">
              <w:rPr>
                <w:rFonts w:eastAsia="Times New Roman" w:cs="Segoe UI"/>
                <w:sz w:val="20"/>
              </w:rPr>
              <w:t>Lower search costs to fill vacancies.</w:t>
            </w:r>
          </w:p>
        </w:tc>
      </w:tr>
      <w:tr w:rsidR="00ED2E86" w14:paraId="73C5A533" w14:textId="77777777" w:rsidTr="001D7393">
        <w:tc>
          <w:tcPr>
            <w:tcW w:w="0" w:type="auto"/>
            <w:vMerge w:val="restart"/>
            <w:shd w:val="clear" w:color="auto" w:fill="E0E8F2" w:themeFill="background2"/>
          </w:tcPr>
          <w:p w14:paraId="73F027F0" w14:textId="77777777" w:rsidR="00ED2E86" w:rsidRPr="00337AAE" w:rsidRDefault="00ED2E86" w:rsidP="001D7393">
            <w:pPr>
              <w:keepNext/>
              <w:rPr>
                <w:rFonts w:eastAsia="Times New Roman" w:cs="Segoe UI"/>
                <w:b/>
                <w:sz w:val="20"/>
              </w:rPr>
            </w:pPr>
            <w:r w:rsidRPr="00337AAE">
              <w:rPr>
                <w:rFonts w:eastAsia="Times New Roman" w:cs="Segoe UI"/>
                <w:b/>
                <w:sz w:val="20"/>
              </w:rPr>
              <w:t>Closing employer employees</w:t>
            </w:r>
          </w:p>
          <w:p w14:paraId="5F390637" w14:textId="77777777" w:rsidR="00ED2E86" w:rsidRPr="00337AAE" w:rsidRDefault="00ED2E86" w:rsidP="001D7393">
            <w:pPr>
              <w:keepNext/>
              <w:rPr>
                <w:rFonts w:eastAsia="Times New Roman" w:cs="Segoe UI"/>
                <w:b/>
                <w:sz w:val="20"/>
              </w:rPr>
            </w:pPr>
          </w:p>
        </w:tc>
        <w:tc>
          <w:tcPr>
            <w:tcW w:w="0" w:type="auto"/>
            <w:vMerge w:val="restart"/>
            <w:shd w:val="clear" w:color="auto" w:fill="E0E8F2" w:themeFill="background2"/>
          </w:tcPr>
          <w:p w14:paraId="29B058B4" w14:textId="77777777" w:rsidR="00ED2E86" w:rsidRPr="00337AAE" w:rsidRDefault="00ED2E86" w:rsidP="001D7393">
            <w:pPr>
              <w:keepNext/>
              <w:rPr>
                <w:rFonts w:eastAsia="Times New Roman" w:cs="Segoe UI"/>
                <w:b/>
                <w:sz w:val="20"/>
              </w:rPr>
            </w:pPr>
            <w:r w:rsidRPr="00337AAE">
              <w:rPr>
                <w:rFonts w:eastAsia="Times New Roman" w:cs="Segoe UI"/>
                <w:b/>
                <w:sz w:val="20"/>
              </w:rPr>
              <w:t>Benefits</w:t>
            </w:r>
          </w:p>
        </w:tc>
        <w:tc>
          <w:tcPr>
            <w:tcW w:w="0" w:type="auto"/>
            <w:shd w:val="clear" w:color="auto" w:fill="E0E8F2" w:themeFill="background2"/>
          </w:tcPr>
          <w:p w14:paraId="6D47BA5E" w14:textId="77777777" w:rsidR="00ED2E86" w:rsidRPr="00337AAE" w:rsidRDefault="00ED2E86" w:rsidP="001D7393">
            <w:pPr>
              <w:keepNext/>
              <w:rPr>
                <w:rFonts w:eastAsia="Times New Roman" w:cs="Segoe UI"/>
                <w:sz w:val="20"/>
              </w:rPr>
            </w:pPr>
            <w:r w:rsidRPr="00337AAE">
              <w:rPr>
                <w:rFonts w:eastAsia="Times New Roman" w:cs="Segoe UI"/>
                <w:sz w:val="20"/>
              </w:rPr>
              <w:t>Ongoing employment for closing employer employees that participate in the plan will maintain current health, welfare, and social outcomes.</w:t>
            </w:r>
          </w:p>
        </w:tc>
      </w:tr>
      <w:tr w:rsidR="00ED2E86" w14:paraId="2EDE6928" w14:textId="77777777" w:rsidTr="001D7393">
        <w:trPr>
          <w:cnfStyle w:val="000000100000" w:firstRow="0" w:lastRow="0" w:firstColumn="0" w:lastColumn="0" w:oddVBand="0" w:evenVBand="0" w:oddHBand="1" w:evenHBand="0" w:firstRowFirstColumn="0" w:firstRowLastColumn="0" w:lastRowFirstColumn="0" w:lastRowLastColumn="0"/>
        </w:trPr>
        <w:tc>
          <w:tcPr>
            <w:tcW w:w="0" w:type="auto"/>
            <w:vMerge/>
          </w:tcPr>
          <w:p w14:paraId="005F9BE1" w14:textId="77777777" w:rsidR="00ED2E86" w:rsidRPr="00337AAE" w:rsidRDefault="00ED2E86" w:rsidP="00ED2E86">
            <w:pPr>
              <w:keepNext/>
              <w:rPr>
                <w:rFonts w:eastAsia="Times New Roman" w:cs="Segoe UI"/>
                <w:b/>
                <w:sz w:val="20"/>
              </w:rPr>
            </w:pPr>
          </w:p>
        </w:tc>
        <w:tc>
          <w:tcPr>
            <w:tcW w:w="0" w:type="auto"/>
            <w:vMerge/>
          </w:tcPr>
          <w:p w14:paraId="6EEBAE13" w14:textId="77777777" w:rsidR="00ED2E86" w:rsidRPr="00337AAE" w:rsidRDefault="00ED2E86" w:rsidP="00ED2E86">
            <w:pPr>
              <w:keepNext/>
              <w:rPr>
                <w:rFonts w:eastAsia="Times New Roman" w:cs="Segoe UI"/>
                <w:b/>
                <w:sz w:val="20"/>
              </w:rPr>
            </w:pPr>
          </w:p>
        </w:tc>
        <w:tc>
          <w:tcPr>
            <w:tcW w:w="0" w:type="auto"/>
          </w:tcPr>
          <w:p w14:paraId="6281F69A" w14:textId="77777777" w:rsidR="00ED2E86" w:rsidRPr="00337AAE" w:rsidRDefault="00ED2E86" w:rsidP="00ED2E86">
            <w:pPr>
              <w:keepNext/>
              <w:rPr>
                <w:rFonts w:eastAsia="Times New Roman" w:cs="Segoe UI"/>
                <w:sz w:val="20"/>
              </w:rPr>
            </w:pPr>
            <w:r>
              <w:rPr>
                <w:rFonts w:eastAsia="Times New Roman" w:cs="Segoe UI"/>
                <w:sz w:val="20"/>
                <w:szCs w:val="20"/>
              </w:rPr>
              <w:t>Benefit of o</w:t>
            </w:r>
            <w:r w:rsidRPr="003D290F">
              <w:rPr>
                <w:rFonts w:eastAsia="Times New Roman" w:cs="Segoe UI"/>
                <w:sz w:val="20"/>
                <w:szCs w:val="20"/>
              </w:rPr>
              <w:t>n-the-job training to address any skills gaps between incoming workers and vacancies.</w:t>
            </w:r>
          </w:p>
        </w:tc>
      </w:tr>
      <w:tr w:rsidR="00ED2E86" w14:paraId="3037D571" w14:textId="77777777" w:rsidTr="001D7393">
        <w:tc>
          <w:tcPr>
            <w:tcW w:w="0" w:type="auto"/>
            <w:shd w:val="clear" w:color="auto" w:fill="E0E8F2" w:themeFill="background2"/>
          </w:tcPr>
          <w:p w14:paraId="2574FCFF" w14:textId="77777777" w:rsidR="00ED2E86" w:rsidRPr="00337AAE" w:rsidRDefault="00ED2E86" w:rsidP="00ED2E86">
            <w:pPr>
              <w:keepNext/>
              <w:rPr>
                <w:rFonts w:eastAsia="Times New Roman" w:cs="Segoe UI"/>
                <w:b/>
                <w:sz w:val="20"/>
              </w:rPr>
            </w:pPr>
            <w:r w:rsidRPr="00337AAE">
              <w:rPr>
                <w:rFonts w:eastAsia="Times New Roman" w:cs="Segoe UI"/>
                <w:b/>
                <w:sz w:val="20"/>
              </w:rPr>
              <w:t>Government</w:t>
            </w:r>
          </w:p>
        </w:tc>
        <w:tc>
          <w:tcPr>
            <w:tcW w:w="0" w:type="auto"/>
            <w:shd w:val="clear" w:color="auto" w:fill="E0E8F2" w:themeFill="background2"/>
          </w:tcPr>
          <w:p w14:paraId="141A97D5" w14:textId="77777777" w:rsidR="00ED2E86" w:rsidRPr="00337AAE" w:rsidRDefault="00ED2E86" w:rsidP="00ED2E86">
            <w:pPr>
              <w:keepNext/>
              <w:rPr>
                <w:rFonts w:eastAsia="Times New Roman" w:cs="Segoe UI"/>
                <w:b/>
                <w:sz w:val="20"/>
              </w:rPr>
            </w:pPr>
            <w:r w:rsidRPr="00337AAE">
              <w:rPr>
                <w:rFonts w:eastAsia="Times New Roman" w:cs="Segoe UI"/>
                <w:b/>
                <w:sz w:val="20"/>
              </w:rPr>
              <w:t>Benefits</w:t>
            </w:r>
          </w:p>
        </w:tc>
        <w:tc>
          <w:tcPr>
            <w:tcW w:w="0" w:type="auto"/>
            <w:shd w:val="clear" w:color="auto" w:fill="E0E8F2" w:themeFill="background2"/>
          </w:tcPr>
          <w:p w14:paraId="5B3F8E02" w14:textId="77777777" w:rsidR="00ED2E86" w:rsidRPr="00337AAE" w:rsidRDefault="00ED2E86" w:rsidP="00ED2E86">
            <w:pPr>
              <w:keepNext/>
              <w:rPr>
                <w:rFonts w:eastAsia="Times New Roman" w:cs="Segoe UI"/>
                <w:sz w:val="20"/>
              </w:rPr>
            </w:pPr>
            <w:r w:rsidRPr="00337AAE">
              <w:rPr>
                <w:rFonts w:eastAsia="Times New Roman" w:cs="Segoe UI"/>
                <w:sz w:val="20"/>
              </w:rPr>
              <w:t>Positive reputational benefits if plan is successful.</w:t>
            </w:r>
          </w:p>
        </w:tc>
      </w:tr>
      <w:tr w:rsidR="00ED2E86" w14:paraId="75EAE695" w14:textId="77777777" w:rsidTr="001D7393">
        <w:trPr>
          <w:cnfStyle w:val="000000100000" w:firstRow="0" w:lastRow="0" w:firstColumn="0" w:lastColumn="0" w:oddVBand="0" w:evenVBand="0" w:oddHBand="1" w:evenHBand="0" w:firstRowFirstColumn="0" w:firstRowLastColumn="0" w:lastRowFirstColumn="0" w:lastRowLastColumn="0"/>
        </w:trPr>
        <w:tc>
          <w:tcPr>
            <w:tcW w:w="0" w:type="auto"/>
            <w:vMerge w:val="restart"/>
          </w:tcPr>
          <w:p w14:paraId="69042D69" w14:textId="77777777" w:rsidR="00ED2E86" w:rsidRPr="00337AAE" w:rsidRDefault="00ED2E86" w:rsidP="00ED2E86">
            <w:pPr>
              <w:keepNext/>
              <w:rPr>
                <w:rFonts w:eastAsia="Times New Roman" w:cs="Segoe UI"/>
                <w:b/>
                <w:sz w:val="20"/>
              </w:rPr>
            </w:pPr>
            <w:r w:rsidRPr="00337AAE">
              <w:rPr>
                <w:rFonts w:eastAsia="Times New Roman" w:cs="Segoe UI"/>
                <w:b/>
                <w:sz w:val="20"/>
              </w:rPr>
              <w:t>Community</w:t>
            </w:r>
          </w:p>
        </w:tc>
        <w:tc>
          <w:tcPr>
            <w:tcW w:w="0" w:type="auto"/>
            <w:vMerge w:val="restart"/>
          </w:tcPr>
          <w:p w14:paraId="604EFB6C" w14:textId="77777777" w:rsidR="00ED2E86" w:rsidRPr="00337AAE" w:rsidRDefault="00ED2E86" w:rsidP="00ED2E86">
            <w:pPr>
              <w:keepNext/>
              <w:tabs>
                <w:tab w:val="left" w:pos="1340"/>
              </w:tabs>
              <w:rPr>
                <w:rFonts w:eastAsia="Times New Roman" w:cs="Segoe UI"/>
                <w:b/>
                <w:sz w:val="20"/>
              </w:rPr>
            </w:pPr>
            <w:r w:rsidRPr="00337AAE">
              <w:rPr>
                <w:rFonts w:eastAsia="Times New Roman" w:cs="Segoe UI"/>
                <w:b/>
                <w:sz w:val="20"/>
              </w:rPr>
              <w:t>Benefits</w:t>
            </w:r>
          </w:p>
        </w:tc>
        <w:tc>
          <w:tcPr>
            <w:tcW w:w="0" w:type="auto"/>
          </w:tcPr>
          <w:p w14:paraId="511035C0" w14:textId="77777777" w:rsidR="00ED2E86" w:rsidRPr="00337AAE" w:rsidRDefault="00ED2E86" w:rsidP="00ED2E86">
            <w:pPr>
              <w:keepNext/>
              <w:rPr>
                <w:rFonts w:eastAsia="Times New Roman" w:cs="Segoe UI"/>
                <w:sz w:val="20"/>
              </w:rPr>
            </w:pPr>
            <w:r w:rsidRPr="00337AAE">
              <w:rPr>
                <w:rFonts w:eastAsia="Times New Roman" w:cs="Segoe UI"/>
                <w:sz w:val="20"/>
              </w:rPr>
              <w:t>Regional economic prospects improve as more employees secure alternate employment, increasing household income and consumption.</w:t>
            </w:r>
          </w:p>
        </w:tc>
      </w:tr>
      <w:tr w:rsidR="00ED2E86" w14:paraId="5AA28C46" w14:textId="77777777" w:rsidTr="001D7393">
        <w:tc>
          <w:tcPr>
            <w:tcW w:w="0" w:type="auto"/>
            <w:vMerge/>
            <w:shd w:val="clear" w:color="auto" w:fill="E0E8F2" w:themeFill="background2"/>
          </w:tcPr>
          <w:p w14:paraId="4F9CC82E" w14:textId="77777777" w:rsidR="00ED2E86" w:rsidRPr="00337AAE" w:rsidRDefault="00ED2E86" w:rsidP="00ED2E86">
            <w:pPr>
              <w:keepNext/>
              <w:rPr>
                <w:rFonts w:eastAsia="Times New Roman" w:cs="Segoe UI"/>
                <w:b/>
                <w:sz w:val="20"/>
              </w:rPr>
            </w:pPr>
          </w:p>
        </w:tc>
        <w:tc>
          <w:tcPr>
            <w:tcW w:w="0" w:type="auto"/>
            <w:vMerge/>
            <w:shd w:val="clear" w:color="auto" w:fill="E0E8F2" w:themeFill="background2"/>
          </w:tcPr>
          <w:p w14:paraId="4CB875D6" w14:textId="77777777" w:rsidR="00ED2E86" w:rsidRPr="00337AAE" w:rsidRDefault="00ED2E86" w:rsidP="00ED2E86">
            <w:pPr>
              <w:keepNext/>
              <w:rPr>
                <w:rFonts w:eastAsia="Times New Roman" w:cs="Segoe UI"/>
                <w:b/>
                <w:sz w:val="20"/>
              </w:rPr>
            </w:pPr>
          </w:p>
        </w:tc>
        <w:tc>
          <w:tcPr>
            <w:tcW w:w="0" w:type="auto"/>
            <w:shd w:val="clear" w:color="auto" w:fill="E0E8F2" w:themeFill="background2"/>
          </w:tcPr>
          <w:p w14:paraId="5B8D6683" w14:textId="77777777" w:rsidR="00ED2E86" w:rsidRPr="00337AAE" w:rsidRDefault="00ED2E86" w:rsidP="00ED2E86">
            <w:pPr>
              <w:keepNext/>
              <w:rPr>
                <w:rFonts w:eastAsia="Times New Roman" w:cs="Segoe UI"/>
                <w:sz w:val="20"/>
              </w:rPr>
            </w:pPr>
            <w:r w:rsidRPr="00337AAE">
              <w:rPr>
                <w:rFonts w:eastAsia="Times New Roman" w:cs="Segoe UI"/>
                <w:sz w:val="20"/>
              </w:rPr>
              <w:t xml:space="preserve">Social cohesion is supported by lower unemployment, emigration and loss of community identity. </w:t>
            </w:r>
          </w:p>
        </w:tc>
      </w:tr>
    </w:tbl>
    <w:p w14:paraId="28EC4DB8" w14:textId="77777777" w:rsidR="00050173" w:rsidDel="00DF1448" w:rsidRDefault="00050173" w:rsidP="00050173">
      <w:pPr>
        <w:rPr>
          <w:rFonts w:eastAsia="Times New Roman" w:cs="Segoe UI"/>
        </w:rPr>
      </w:pPr>
    </w:p>
    <w:p w14:paraId="0C6E6217" w14:textId="77777777" w:rsidR="00DF1448" w:rsidRDefault="001D6F86" w:rsidP="00050173">
      <w:pPr>
        <w:rPr>
          <w:rFonts w:eastAsia="Times New Roman" w:cs="Segoe UI"/>
        </w:rPr>
      </w:pPr>
      <w:r>
        <w:rPr>
          <w:rFonts w:eastAsia="Times New Roman" w:cs="Segoe UI"/>
        </w:rPr>
        <w:t>The</w:t>
      </w:r>
      <w:r w:rsidR="00884C04">
        <w:rPr>
          <w:rFonts w:eastAsia="Times New Roman" w:cs="Segoe UI"/>
        </w:rPr>
        <w:t xml:space="preserve"> overall net present value of </w:t>
      </w:r>
      <w:r w:rsidR="00D57FDF">
        <w:rPr>
          <w:rFonts w:eastAsia="Times New Roman" w:cs="Segoe UI"/>
        </w:rPr>
        <w:t>Option</w:t>
      </w:r>
      <w:r w:rsidR="00884C04">
        <w:rPr>
          <w:rFonts w:eastAsia="Times New Roman" w:cs="Segoe UI"/>
        </w:rPr>
        <w:t xml:space="preserve"> 2 </w:t>
      </w:r>
      <w:r>
        <w:rPr>
          <w:rFonts w:eastAsia="Times New Roman" w:cs="Segoe UI"/>
        </w:rPr>
        <w:t xml:space="preserve">has been assessed to be </w:t>
      </w:r>
      <w:r w:rsidR="00884C04">
        <w:rPr>
          <w:rFonts w:eastAsia="Times New Roman" w:cs="Segoe UI"/>
        </w:rPr>
        <w:t xml:space="preserve">likely to be positive. </w:t>
      </w:r>
      <w:r w:rsidR="00B77288">
        <w:rPr>
          <w:rFonts w:eastAsia="Times New Roman" w:cs="Segoe UI"/>
        </w:rPr>
        <w:t>T</w:t>
      </w:r>
      <w:r w:rsidR="00050173">
        <w:rPr>
          <w:rFonts w:eastAsia="Times New Roman" w:cs="Segoe UI"/>
        </w:rPr>
        <w:t xml:space="preserve">he </w:t>
      </w:r>
      <w:r w:rsidR="00884C04">
        <w:rPr>
          <w:rFonts w:eastAsia="Times New Roman" w:cs="Segoe UI"/>
        </w:rPr>
        <w:t>un</w:t>
      </w:r>
      <w:r w:rsidR="00D57FDF">
        <w:rPr>
          <w:rFonts w:eastAsia="Times New Roman" w:cs="Segoe UI"/>
        </w:rPr>
        <w:t>quantified</w:t>
      </w:r>
      <w:r w:rsidR="00884C04">
        <w:rPr>
          <w:rFonts w:eastAsia="Times New Roman" w:cs="Segoe UI"/>
        </w:rPr>
        <w:t xml:space="preserve"> </w:t>
      </w:r>
      <w:r w:rsidR="00DF1448">
        <w:rPr>
          <w:rFonts w:eastAsia="Times New Roman" w:cs="Segoe UI"/>
        </w:rPr>
        <w:t xml:space="preserve">net cost to receiving employers of on-the-job training to address skill gaps is </w:t>
      </w:r>
      <w:r w:rsidR="00884C04">
        <w:rPr>
          <w:rFonts w:eastAsia="Times New Roman" w:cs="Segoe UI"/>
        </w:rPr>
        <w:t xml:space="preserve">likely to be </w:t>
      </w:r>
      <w:r w:rsidR="00DF1448">
        <w:rPr>
          <w:rFonts w:eastAsia="Times New Roman" w:cs="Segoe UI"/>
        </w:rPr>
        <w:t xml:space="preserve">outweighed by the </w:t>
      </w:r>
      <w:r w:rsidR="00884C04">
        <w:rPr>
          <w:rFonts w:eastAsia="Times New Roman" w:cs="Segoe UI"/>
        </w:rPr>
        <w:t>un</w:t>
      </w:r>
      <w:r w:rsidR="00D57FDF">
        <w:rPr>
          <w:rFonts w:eastAsia="Times New Roman" w:cs="Segoe UI"/>
        </w:rPr>
        <w:t>quantified</w:t>
      </w:r>
      <w:r w:rsidR="00884C04">
        <w:rPr>
          <w:rFonts w:eastAsia="Times New Roman" w:cs="Segoe UI"/>
        </w:rPr>
        <w:t xml:space="preserve"> </w:t>
      </w:r>
      <w:r w:rsidR="00DF1448">
        <w:rPr>
          <w:rFonts w:eastAsia="Times New Roman" w:cs="Segoe UI"/>
        </w:rPr>
        <w:t xml:space="preserve">net benefits to receiving employers and other stakeholders. This means that the overall net present value of </w:t>
      </w:r>
      <w:r w:rsidR="00D57FDF">
        <w:rPr>
          <w:rFonts w:eastAsia="Times New Roman" w:cs="Segoe UI"/>
        </w:rPr>
        <w:t>Option</w:t>
      </w:r>
      <w:r w:rsidR="00DF1448">
        <w:rPr>
          <w:rFonts w:eastAsia="Times New Roman" w:cs="Segoe UI"/>
        </w:rPr>
        <w:t xml:space="preserve">s 2 is more positive than the net present value of </w:t>
      </w:r>
      <w:r w:rsidR="00B77288">
        <w:rPr>
          <w:rFonts w:eastAsia="Times New Roman" w:cs="Segoe UI"/>
        </w:rPr>
        <w:t>only</w:t>
      </w:r>
      <w:r w:rsidR="00DF1448">
        <w:rPr>
          <w:rFonts w:eastAsia="Times New Roman" w:cs="Segoe UI"/>
        </w:rPr>
        <w:t xml:space="preserve"> the quantified impacts of </w:t>
      </w:r>
      <w:r w:rsidR="00D57FDF">
        <w:rPr>
          <w:rFonts w:eastAsia="Times New Roman" w:cs="Segoe UI"/>
        </w:rPr>
        <w:t>Option</w:t>
      </w:r>
      <w:r w:rsidR="00DF1448">
        <w:rPr>
          <w:rFonts w:eastAsia="Times New Roman" w:cs="Segoe UI"/>
        </w:rPr>
        <w:t xml:space="preserve"> 2.</w:t>
      </w:r>
    </w:p>
    <w:p w14:paraId="01B5C275" w14:textId="77777777" w:rsidR="00884C04" w:rsidRDefault="00DF1448" w:rsidP="00050173">
      <w:pPr>
        <w:rPr>
          <w:rFonts w:eastAsia="Times New Roman" w:cs="Segoe UI"/>
        </w:rPr>
      </w:pPr>
      <w:r>
        <w:rPr>
          <w:rFonts w:eastAsia="Times New Roman" w:cs="Segoe UI"/>
        </w:rPr>
        <w:t xml:space="preserve">Further, the benefits of the </w:t>
      </w:r>
      <w:r w:rsidR="00050173">
        <w:rPr>
          <w:rFonts w:eastAsia="Times New Roman" w:cs="Segoe UI"/>
        </w:rPr>
        <w:t>un</w:t>
      </w:r>
      <w:r w:rsidR="00D57FDF">
        <w:rPr>
          <w:rFonts w:eastAsia="Times New Roman" w:cs="Segoe UI"/>
        </w:rPr>
        <w:t>quantified</w:t>
      </w:r>
      <w:r w:rsidR="00050173">
        <w:rPr>
          <w:rFonts w:eastAsia="Times New Roman" w:cs="Segoe UI"/>
        </w:rPr>
        <w:t xml:space="preserve"> impacts </w:t>
      </w:r>
      <w:r>
        <w:rPr>
          <w:rFonts w:eastAsia="Times New Roman" w:cs="Segoe UI"/>
        </w:rPr>
        <w:t xml:space="preserve">of </w:t>
      </w:r>
      <w:r w:rsidR="00D57FDF">
        <w:rPr>
          <w:rFonts w:eastAsia="Times New Roman" w:cs="Segoe UI"/>
        </w:rPr>
        <w:t>Option</w:t>
      </w:r>
      <w:r>
        <w:rPr>
          <w:rFonts w:eastAsia="Times New Roman" w:cs="Segoe UI"/>
        </w:rPr>
        <w:t xml:space="preserve"> 2 </w:t>
      </w:r>
      <w:r w:rsidR="001D6F86">
        <w:rPr>
          <w:rFonts w:eastAsia="Times New Roman" w:cs="Segoe UI"/>
        </w:rPr>
        <w:t>have been assessed to be</w:t>
      </w:r>
      <w:r w:rsidR="00050173">
        <w:rPr>
          <w:rFonts w:eastAsia="Times New Roman" w:cs="Segoe UI"/>
        </w:rPr>
        <w:t xml:space="preserve"> very likely to outweigh the negative quantified net present values.</w:t>
      </w:r>
      <w:r>
        <w:rPr>
          <w:rFonts w:eastAsia="Times New Roman" w:cs="Segoe UI"/>
        </w:rPr>
        <w:t xml:space="preserve"> </w:t>
      </w:r>
      <w:r w:rsidRPr="003D290F">
        <w:rPr>
          <w:rFonts w:eastAsia="Times New Roman"/>
        </w:rPr>
        <w:t>The flow-on effects of sustained employment for communities, including small businesses, have not been quantified in the analysis but are expected to deliver considerable benefits beyond those accruing to directly-affected workers.</w:t>
      </w:r>
      <w:r>
        <w:rPr>
          <w:rFonts w:eastAsia="Times New Roman"/>
        </w:rPr>
        <w:t xml:space="preserve"> </w:t>
      </w:r>
      <w:r w:rsidR="008D1AE8">
        <w:rPr>
          <w:rFonts w:eastAsia="Times New Roman"/>
        </w:rPr>
        <w:t xml:space="preserve">These economic and social benefits to regional communities are important to maintaining the economic prosperity of Australians who live in </w:t>
      </w:r>
      <w:r w:rsidR="00D27608">
        <w:rPr>
          <w:rFonts w:eastAsia="Times New Roman"/>
        </w:rPr>
        <w:t>the</w:t>
      </w:r>
      <w:r w:rsidR="008D1AE8">
        <w:rPr>
          <w:rFonts w:eastAsia="Times New Roman"/>
        </w:rPr>
        <w:t xml:space="preserve"> regions</w:t>
      </w:r>
      <w:r w:rsidR="00B77288">
        <w:rPr>
          <w:rFonts w:eastAsia="Times New Roman"/>
        </w:rPr>
        <w:t>,</w:t>
      </w:r>
      <w:r w:rsidR="008D1AE8">
        <w:rPr>
          <w:rFonts w:eastAsia="Times New Roman"/>
        </w:rPr>
        <w:t xml:space="preserve"> enabling Australia to better harness the opportunities in these regions in the net zero transition. </w:t>
      </w:r>
      <w:r w:rsidR="00F54750">
        <w:rPr>
          <w:rFonts w:eastAsia="Times New Roman"/>
        </w:rPr>
        <w:t xml:space="preserve">As mentioned in </w:t>
      </w:r>
      <w:r w:rsidR="00F54750" w:rsidRPr="00D27608">
        <w:rPr>
          <w:rFonts w:eastAsia="Times New Roman"/>
          <w:b/>
          <w:color w:val="1B375C" w:themeColor="accent1"/>
        </w:rPr>
        <w:t>Section 2.1.6</w:t>
      </w:r>
      <w:r w:rsidR="00F54750">
        <w:rPr>
          <w:rFonts w:eastAsia="Times New Roman"/>
        </w:rPr>
        <w:t xml:space="preserve">, providing support for worker transition is consistent with Australia’s global commitments under the Paris Agreement to a just transition during the net zero transformation of the economy. Option 2 is more consistent with global commitments than the status quo, improving the government’s reputation and strengthening public support for the net zero transition. </w:t>
      </w:r>
    </w:p>
    <w:p w14:paraId="34F1BB86" w14:textId="77777777" w:rsidR="00050173" w:rsidRPr="00DF1448" w:rsidRDefault="00DF1448" w:rsidP="00DF1448">
      <w:pPr>
        <w:rPr>
          <w:rFonts w:eastAsia="Times New Roman"/>
        </w:rPr>
      </w:pPr>
      <w:r w:rsidRPr="00DF1448">
        <w:rPr>
          <w:rFonts w:eastAsia="Times New Roman"/>
        </w:rPr>
        <w:t xml:space="preserve">The </w:t>
      </w:r>
      <w:r w:rsidR="00884C04">
        <w:rPr>
          <w:rFonts w:eastAsia="Times New Roman"/>
        </w:rPr>
        <w:t xml:space="preserve">overall </w:t>
      </w:r>
      <w:r w:rsidRPr="00DF1448">
        <w:rPr>
          <w:rFonts w:eastAsia="Times New Roman"/>
        </w:rPr>
        <w:t xml:space="preserve">net present value </w:t>
      </w:r>
      <w:r>
        <w:rPr>
          <w:rFonts w:eastAsia="Times New Roman"/>
        </w:rPr>
        <w:t xml:space="preserve">of </w:t>
      </w:r>
      <w:r w:rsidR="00D57FDF">
        <w:rPr>
          <w:rFonts w:eastAsia="Times New Roman"/>
        </w:rPr>
        <w:t>Option</w:t>
      </w:r>
      <w:r>
        <w:rPr>
          <w:rFonts w:eastAsia="Times New Roman"/>
        </w:rPr>
        <w:t xml:space="preserve"> 3 is expected to be </w:t>
      </w:r>
      <w:r w:rsidR="00884C04">
        <w:rPr>
          <w:rFonts w:eastAsia="Times New Roman"/>
        </w:rPr>
        <w:t>more positive</w:t>
      </w:r>
      <w:r>
        <w:rPr>
          <w:rFonts w:eastAsia="Times New Roman"/>
        </w:rPr>
        <w:t xml:space="preserve"> than that of </w:t>
      </w:r>
      <w:r w:rsidR="00D57FDF">
        <w:rPr>
          <w:rFonts w:eastAsia="Times New Roman"/>
        </w:rPr>
        <w:t>Option</w:t>
      </w:r>
      <w:r>
        <w:rPr>
          <w:rFonts w:eastAsia="Times New Roman"/>
        </w:rPr>
        <w:t xml:space="preserve"> 2.</w:t>
      </w:r>
      <w:r w:rsidR="00884C04">
        <w:rPr>
          <w:rFonts w:eastAsia="Times New Roman"/>
        </w:rPr>
        <w:t xml:space="preserve"> The unquantified impacts in </w:t>
      </w:r>
      <w:r w:rsidR="00D57FDF">
        <w:rPr>
          <w:rFonts w:eastAsia="Times New Roman"/>
        </w:rPr>
        <w:t>Option</w:t>
      </w:r>
      <w:r w:rsidR="00884C04">
        <w:rPr>
          <w:rFonts w:eastAsia="Times New Roman"/>
        </w:rPr>
        <w:t xml:space="preserve"> 3 relative to </w:t>
      </w:r>
      <w:r w:rsidR="00D57FDF">
        <w:rPr>
          <w:rFonts w:eastAsia="Times New Roman"/>
        </w:rPr>
        <w:t>Option</w:t>
      </w:r>
      <w:r w:rsidR="00884C04">
        <w:rPr>
          <w:rFonts w:eastAsia="Times New Roman"/>
        </w:rPr>
        <w:t xml:space="preserve"> 2 are summarised in </w:t>
      </w:r>
      <w:r w:rsidR="00884C04" w:rsidRPr="00884C04">
        <w:rPr>
          <w:rFonts w:eastAsia="Times New Roman"/>
          <w:b/>
          <w:color w:val="1B375C" w:themeColor="accent1"/>
        </w:rPr>
        <w:t>Table 4.</w:t>
      </w:r>
      <w:r w:rsidR="00757876">
        <w:rPr>
          <w:rFonts w:eastAsia="Times New Roman"/>
          <w:b/>
          <w:color w:val="1B375C" w:themeColor="accent1"/>
        </w:rPr>
        <w:t>10</w:t>
      </w:r>
      <w:r w:rsidR="00884C04">
        <w:rPr>
          <w:rFonts w:eastAsia="Times New Roman"/>
        </w:rPr>
        <w:t xml:space="preserve">. Although the </w:t>
      </w:r>
      <w:r w:rsidR="00D57FDF">
        <w:rPr>
          <w:rFonts w:eastAsia="Times New Roman"/>
        </w:rPr>
        <w:t>quantified</w:t>
      </w:r>
      <w:r w:rsidR="00884C04">
        <w:rPr>
          <w:rFonts w:eastAsia="Times New Roman"/>
        </w:rPr>
        <w:t xml:space="preserve"> impact of </w:t>
      </w:r>
      <w:r w:rsidR="00D57FDF">
        <w:rPr>
          <w:rFonts w:eastAsia="Times New Roman"/>
        </w:rPr>
        <w:t>Option</w:t>
      </w:r>
      <w:r w:rsidR="00884C04">
        <w:rPr>
          <w:rFonts w:eastAsia="Times New Roman"/>
        </w:rPr>
        <w:t xml:space="preserve"> 3 is more negative than </w:t>
      </w:r>
      <w:r w:rsidR="00D57FDF">
        <w:rPr>
          <w:rFonts w:eastAsia="Times New Roman"/>
        </w:rPr>
        <w:t>Option</w:t>
      </w:r>
      <w:r w:rsidR="00884C04">
        <w:rPr>
          <w:rFonts w:eastAsia="Times New Roman"/>
        </w:rPr>
        <w:t xml:space="preserve"> 2, the effect of the un</w:t>
      </w:r>
      <w:r w:rsidR="00D57FDF">
        <w:rPr>
          <w:rFonts w:eastAsia="Times New Roman"/>
        </w:rPr>
        <w:t>quantified</w:t>
      </w:r>
      <w:r w:rsidR="00884C04">
        <w:rPr>
          <w:rFonts w:eastAsia="Times New Roman"/>
        </w:rPr>
        <w:t xml:space="preserve"> impacts for closing employer employees and the community are expected to be greater under this </w:t>
      </w:r>
      <w:r w:rsidR="00D57FDF">
        <w:rPr>
          <w:rFonts w:eastAsia="Times New Roman"/>
        </w:rPr>
        <w:t>Option</w:t>
      </w:r>
      <w:r w:rsidR="00884C04">
        <w:rPr>
          <w:rFonts w:eastAsia="Times New Roman"/>
        </w:rPr>
        <w:t>. As previously noted, the unquantified benefits to the community of redeployment plans</w:t>
      </w:r>
      <w:r w:rsidR="00F54750">
        <w:rPr>
          <w:rFonts w:eastAsia="Times New Roman"/>
        </w:rPr>
        <w:t xml:space="preserve"> </w:t>
      </w:r>
      <w:r w:rsidR="00884C04">
        <w:rPr>
          <w:rFonts w:eastAsia="Times New Roman"/>
        </w:rPr>
        <w:t xml:space="preserve">are expected to be </w:t>
      </w:r>
      <w:r w:rsidR="00884C04">
        <w:rPr>
          <w:rFonts w:eastAsia="Times New Roman"/>
        </w:rPr>
        <w:lastRenderedPageBreak/>
        <w:t>significant, and these will be amplified</w:t>
      </w:r>
      <w:r w:rsidR="00D57FDF">
        <w:rPr>
          <w:rFonts w:eastAsia="Times New Roman"/>
        </w:rPr>
        <w:t xml:space="preserve"> due to greater participation in the plan</w:t>
      </w:r>
      <w:r w:rsidR="00884C04">
        <w:rPr>
          <w:rFonts w:eastAsia="Times New Roman"/>
        </w:rPr>
        <w:t xml:space="preserve"> under this </w:t>
      </w:r>
      <w:r w:rsidR="00D57FDF">
        <w:rPr>
          <w:rFonts w:eastAsia="Times New Roman"/>
        </w:rPr>
        <w:t>Option</w:t>
      </w:r>
      <w:r w:rsidR="00884C04">
        <w:rPr>
          <w:rFonts w:eastAsia="Times New Roman"/>
        </w:rPr>
        <w:t>.</w:t>
      </w:r>
      <w:r w:rsidR="00D57FDF">
        <w:rPr>
          <w:rFonts w:eastAsia="Times New Roman"/>
        </w:rPr>
        <w:t xml:space="preserve"> </w:t>
      </w:r>
      <w:r w:rsidR="001D6F86">
        <w:rPr>
          <w:rFonts w:eastAsia="Times New Roman"/>
        </w:rPr>
        <w:t>It is</w:t>
      </w:r>
      <w:r w:rsidR="00D57FDF">
        <w:rPr>
          <w:rFonts w:eastAsia="Times New Roman"/>
        </w:rPr>
        <w:t xml:space="preserve"> expect</w:t>
      </w:r>
      <w:r w:rsidR="001D6F86">
        <w:rPr>
          <w:rFonts w:eastAsia="Times New Roman"/>
        </w:rPr>
        <w:t>ed</w:t>
      </w:r>
      <w:r w:rsidR="00D57FDF">
        <w:rPr>
          <w:rFonts w:eastAsia="Times New Roman"/>
        </w:rPr>
        <w:t xml:space="preserve"> that unquantified non-compliance costs under Option 3 are likely to be minor.</w:t>
      </w:r>
    </w:p>
    <w:p w14:paraId="38B3E64A" w14:textId="77777777" w:rsidR="00050173" w:rsidRPr="00AA1252" w:rsidRDefault="00050173" w:rsidP="00050173">
      <w:pPr>
        <w:keepNext/>
        <w:spacing w:before="120" w:after="120" w:line="240" w:lineRule="auto"/>
        <w:rPr>
          <w:rFonts w:eastAsia="Times New Roman" w:cs="Segoe UI"/>
          <w:b/>
          <w:sz w:val="24"/>
        </w:rPr>
      </w:pPr>
      <w:r>
        <w:rPr>
          <w:rFonts w:eastAsia="Times New Roman" w:cs="Segoe UI"/>
          <w:b/>
          <w:sz w:val="24"/>
        </w:rPr>
        <w:t>TABLE 4.</w:t>
      </w:r>
      <w:r w:rsidR="00757876">
        <w:rPr>
          <w:rFonts w:eastAsia="Times New Roman" w:cs="Segoe UI"/>
          <w:b/>
          <w:sz w:val="24"/>
        </w:rPr>
        <w:t>10</w:t>
      </w:r>
      <w:r w:rsidRPr="003D290F">
        <w:rPr>
          <w:rFonts w:eastAsia="Times New Roman" w:cs="Segoe UI"/>
          <w:b/>
          <w:sz w:val="24"/>
        </w:rPr>
        <w:t xml:space="preserve"> </w:t>
      </w:r>
      <w:r>
        <w:rPr>
          <w:rFonts w:eastAsia="Times New Roman" w:cs="Segoe UI"/>
          <w:b/>
          <w:sz w:val="24"/>
        </w:rPr>
        <w:t>UNQUANTIFIED IMPACTS IN OPTION 3, RELATIVE TO OPTION 2</w:t>
      </w:r>
    </w:p>
    <w:tbl>
      <w:tblPr>
        <w:tblStyle w:val="Custom1"/>
        <w:tblW w:w="0" w:type="auto"/>
        <w:tblLook w:val="04A0" w:firstRow="1" w:lastRow="0" w:firstColumn="1" w:lastColumn="0" w:noHBand="0" w:noVBand="1"/>
      </w:tblPr>
      <w:tblGrid>
        <w:gridCol w:w="2104"/>
        <w:gridCol w:w="1157"/>
        <w:gridCol w:w="6943"/>
      </w:tblGrid>
      <w:tr w:rsidR="00050173" w14:paraId="307347B4" w14:textId="77777777" w:rsidTr="00D27608">
        <w:trPr>
          <w:cnfStyle w:val="100000000000" w:firstRow="1" w:lastRow="0" w:firstColumn="0" w:lastColumn="0" w:oddVBand="0" w:evenVBand="0" w:oddHBand="0" w:evenHBand="0" w:firstRowFirstColumn="0" w:firstRowLastColumn="0" w:lastRowFirstColumn="0" w:lastRowLastColumn="0"/>
        </w:trPr>
        <w:tc>
          <w:tcPr>
            <w:tcW w:w="2104" w:type="dxa"/>
          </w:tcPr>
          <w:p w14:paraId="689670DC" w14:textId="77777777" w:rsidR="00050173" w:rsidRPr="00AA1252" w:rsidRDefault="00050173" w:rsidP="001D7393">
            <w:pPr>
              <w:keepNext/>
              <w:rPr>
                <w:rFonts w:eastAsia="Times New Roman" w:cs="Segoe UI"/>
                <w:sz w:val="20"/>
              </w:rPr>
            </w:pPr>
            <w:r w:rsidRPr="00AA1252">
              <w:rPr>
                <w:rFonts w:eastAsia="Times New Roman" w:cs="Segoe UI"/>
                <w:sz w:val="20"/>
              </w:rPr>
              <w:t>STAKEHOLDER</w:t>
            </w:r>
          </w:p>
        </w:tc>
        <w:tc>
          <w:tcPr>
            <w:tcW w:w="1157" w:type="dxa"/>
          </w:tcPr>
          <w:p w14:paraId="6E7488CD" w14:textId="77777777" w:rsidR="00050173" w:rsidRPr="00AA1252" w:rsidRDefault="00050173" w:rsidP="001D7393">
            <w:pPr>
              <w:keepNext/>
              <w:rPr>
                <w:rFonts w:eastAsia="Times New Roman" w:cs="Segoe UI"/>
                <w:sz w:val="20"/>
              </w:rPr>
            </w:pPr>
            <w:r w:rsidRPr="00AA1252">
              <w:rPr>
                <w:rFonts w:eastAsia="Times New Roman" w:cs="Segoe UI"/>
                <w:sz w:val="20"/>
              </w:rPr>
              <w:t>IMPACT</w:t>
            </w:r>
          </w:p>
        </w:tc>
        <w:tc>
          <w:tcPr>
            <w:tcW w:w="6943" w:type="dxa"/>
          </w:tcPr>
          <w:p w14:paraId="07B11B5C" w14:textId="77777777" w:rsidR="00050173" w:rsidRPr="00AA1252" w:rsidRDefault="00050173" w:rsidP="001D7393">
            <w:pPr>
              <w:keepNext/>
              <w:rPr>
                <w:rFonts w:eastAsia="Times New Roman" w:cs="Segoe UI"/>
                <w:sz w:val="20"/>
              </w:rPr>
            </w:pPr>
            <w:r w:rsidRPr="00AA1252">
              <w:rPr>
                <w:rFonts w:eastAsia="Times New Roman" w:cs="Segoe UI"/>
                <w:sz w:val="20"/>
              </w:rPr>
              <w:t>DESCRIPTION</w:t>
            </w:r>
          </w:p>
        </w:tc>
      </w:tr>
      <w:tr w:rsidR="00050173" w14:paraId="1E8FB2CF" w14:textId="77777777" w:rsidTr="00D27608">
        <w:trPr>
          <w:cnfStyle w:val="000000100000" w:firstRow="0" w:lastRow="0" w:firstColumn="0" w:lastColumn="0" w:oddVBand="0" w:evenVBand="0" w:oddHBand="1" w:evenHBand="0" w:firstRowFirstColumn="0" w:firstRowLastColumn="0" w:lastRowFirstColumn="0" w:lastRowLastColumn="0"/>
          <w:trHeight w:val="318"/>
        </w:trPr>
        <w:tc>
          <w:tcPr>
            <w:tcW w:w="2104" w:type="dxa"/>
            <w:shd w:val="clear" w:color="auto" w:fill="auto"/>
          </w:tcPr>
          <w:p w14:paraId="51928F78" w14:textId="77777777" w:rsidR="00050173" w:rsidRPr="00337AAE" w:rsidRDefault="00C655B6" w:rsidP="001D7393">
            <w:pPr>
              <w:keepNext/>
              <w:rPr>
                <w:rFonts w:eastAsia="Times New Roman" w:cs="Segoe UI"/>
                <w:b/>
                <w:sz w:val="20"/>
              </w:rPr>
            </w:pPr>
            <w:r w:rsidRPr="00337AAE">
              <w:rPr>
                <w:rFonts w:eastAsia="Times New Roman" w:cs="Segoe UI"/>
                <w:b/>
                <w:sz w:val="20"/>
              </w:rPr>
              <w:t>Closing employ</w:t>
            </w:r>
            <w:r>
              <w:rPr>
                <w:rFonts w:eastAsia="Times New Roman" w:cs="Segoe UI"/>
                <w:b/>
                <w:sz w:val="20"/>
              </w:rPr>
              <w:t>ers</w:t>
            </w:r>
          </w:p>
        </w:tc>
        <w:tc>
          <w:tcPr>
            <w:tcW w:w="1157" w:type="dxa"/>
            <w:shd w:val="clear" w:color="auto" w:fill="FFFFFF" w:themeFill="background1"/>
          </w:tcPr>
          <w:p w14:paraId="7E96C894" w14:textId="77777777" w:rsidR="00050173" w:rsidRPr="00337AAE" w:rsidRDefault="00050173" w:rsidP="001D7393">
            <w:pPr>
              <w:keepNext/>
              <w:rPr>
                <w:rFonts w:eastAsia="Times New Roman" w:cs="Segoe UI"/>
                <w:b/>
                <w:sz w:val="20"/>
              </w:rPr>
            </w:pPr>
            <w:r w:rsidRPr="00337AAE">
              <w:rPr>
                <w:rFonts w:eastAsia="Times New Roman" w:cs="Segoe UI"/>
                <w:b/>
                <w:sz w:val="20"/>
              </w:rPr>
              <w:t>Costs</w:t>
            </w:r>
          </w:p>
        </w:tc>
        <w:tc>
          <w:tcPr>
            <w:tcW w:w="6943" w:type="dxa"/>
            <w:shd w:val="clear" w:color="auto" w:fill="FFFFFF" w:themeFill="background1"/>
          </w:tcPr>
          <w:p w14:paraId="7999DBBC" w14:textId="77777777" w:rsidR="00050173" w:rsidRPr="00337AAE" w:rsidRDefault="00050173" w:rsidP="001D7393">
            <w:pPr>
              <w:keepNext/>
              <w:rPr>
                <w:rFonts w:eastAsia="Times New Roman" w:cs="Segoe UI"/>
                <w:sz w:val="20"/>
              </w:rPr>
            </w:pPr>
            <w:r w:rsidRPr="003D290F">
              <w:rPr>
                <w:rFonts w:eastAsia="Times New Roman" w:cs="Segoe UI"/>
                <w:sz w:val="20"/>
                <w:szCs w:val="20"/>
              </w:rPr>
              <w:t xml:space="preserve">Noncompliant </w:t>
            </w:r>
            <w:r w:rsidR="00C655B6">
              <w:rPr>
                <w:rFonts w:eastAsia="Times New Roman" w:cs="Segoe UI"/>
                <w:sz w:val="20"/>
                <w:szCs w:val="20"/>
              </w:rPr>
              <w:t>closing</w:t>
            </w:r>
            <w:r w:rsidRPr="003D290F">
              <w:rPr>
                <w:rFonts w:eastAsia="Times New Roman" w:cs="Segoe UI"/>
                <w:sz w:val="20"/>
                <w:szCs w:val="20"/>
              </w:rPr>
              <w:t xml:space="preserve"> employers would need to finance the administrative, legal, and reputational costs associated with noncompliance.</w:t>
            </w:r>
          </w:p>
        </w:tc>
      </w:tr>
      <w:tr w:rsidR="00F93244" w14:paraId="1A879B9A" w14:textId="77777777" w:rsidTr="00D27608">
        <w:trPr>
          <w:trHeight w:val="318"/>
        </w:trPr>
        <w:tc>
          <w:tcPr>
            <w:tcW w:w="2104" w:type="dxa"/>
            <w:shd w:val="clear" w:color="auto" w:fill="E0E8F2" w:themeFill="background2"/>
          </w:tcPr>
          <w:p w14:paraId="09CB7E41" w14:textId="77777777" w:rsidR="00F93244" w:rsidRPr="00337AAE" w:rsidRDefault="00F93244" w:rsidP="00F93244">
            <w:pPr>
              <w:keepNext/>
              <w:rPr>
                <w:rFonts w:eastAsia="Times New Roman" w:cs="Segoe UI"/>
                <w:b/>
                <w:sz w:val="20"/>
              </w:rPr>
            </w:pPr>
            <w:r w:rsidRPr="00337AAE">
              <w:rPr>
                <w:rFonts w:eastAsia="Times New Roman" w:cs="Segoe UI"/>
                <w:b/>
                <w:sz w:val="20"/>
              </w:rPr>
              <w:t>Receiving employers</w:t>
            </w:r>
          </w:p>
        </w:tc>
        <w:tc>
          <w:tcPr>
            <w:tcW w:w="1157" w:type="dxa"/>
            <w:shd w:val="clear" w:color="auto" w:fill="E0E8F2" w:themeFill="background2"/>
          </w:tcPr>
          <w:p w14:paraId="5EB728ED" w14:textId="77777777" w:rsidR="00F93244" w:rsidRPr="00337AAE" w:rsidRDefault="00F93244" w:rsidP="00F93244">
            <w:pPr>
              <w:keepNext/>
              <w:rPr>
                <w:rFonts w:eastAsia="Times New Roman" w:cs="Segoe UI"/>
                <w:b/>
                <w:sz w:val="20"/>
              </w:rPr>
            </w:pPr>
            <w:r>
              <w:rPr>
                <w:rFonts w:eastAsia="Times New Roman" w:cs="Segoe UI"/>
                <w:b/>
                <w:sz w:val="20"/>
              </w:rPr>
              <w:t>Benefits</w:t>
            </w:r>
          </w:p>
        </w:tc>
        <w:tc>
          <w:tcPr>
            <w:tcW w:w="6943" w:type="dxa"/>
            <w:shd w:val="clear" w:color="auto" w:fill="E0E8F2" w:themeFill="background2"/>
          </w:tcPr>
          <w:p w14:paraId="33A9F779" w14:textId="77777777" w:rsidR="00F93244" w:rsidRPr="003D290F" w:rsidRDefault="00F93244">
            <w:pPr>
              <w:keepNext/>
              <w:rPr>
                <w:rFonts w:eastAsia="Times New Roman" w:cs="Segoe UI"/>
                <w:sz w:val="20"/>
                <w:szCs w:val="20"/>
              </w:rPr>
            </w:pPr>
            <w:r>
              <w:rPr>
                <w:rFonts w:eastAsia="Times New Roman" w:cs="Segoe UI"/>
                <w:sz w:val="20"/>
              </w:rPr>
              <w:t>No longer need to fund o</w:t>
            </w:r>
            <w:r w:rsidRPr="00337AAE">
              <w:rPr>
                <w:rFonts w:eastAsia="Times New Roman" w:cs="Segoe UI"/>
                <w:sz w:val="20"/>
              </w:rPr>
              <w:t>n-the-job training to address any skills gaps between incoming workers and vacancies.</w:t>
            </w:r>
          </w:p>
        </w:tc>
      </w:tr>
      <w:tr w:rsidR="00050173" w14:paraId="78E520D3" w14:textId="77777777" w:rsidTr="00D27608">
        <w:trPr>
          <w:cnfStyle w:val="000000100000" w:firstRow="0" w:lastRow="0" w:firstColumn="0" w:lastColumn="0" w:oddVBand="0" w:evenVBand="0" w:oddHBand="1" w:evenHBand="0" w:firstRowFirstColumn="0" w:firstRowLastColumn="0" w:lastRowFirstColumn="0" w:lastRowLastColumn="0"/>
        </w:trPr>
        <w:tc>
          <w:tcPr>
            <w:tcW w:w="2104" w:type="dxa"/>
          </w:tcPr>
          <w:p w14:paraId="5F6910BA" w14:textId="77777777" w:rsidR="00050173" w:rsidRPr="00337AAE" w:rsidRDefault="00050173" w:rsidP="001D7393">
            <w:pPr>
              <w:keepNext/>
              <w:rPr>
                <w:rFonts w:eastAsia="Times New Roman" w:cs="Segoe UI"/>
                <w:b/>
                <w:sz w:val="20"/>
              </w:rPr>
            </w:pPr>
            <w:r w:rsidRPr="00337AAE">
              <w:rPr>
                <w:rFonts w:eastAsia="Times New Roman" w:cs="Segoe UI"/>
                <w:b/>
                <w:sz w:val="20"/>
              </w:rPr>
              <w:t>Closing employer employees</w:t>
            </w:r>
          </w:p>
        </w:tc>
        <w:tc>
          <w:tcPr>
            <w:tcW w:w="1157" w:type="dxa"/>
          </w:tcPr>
          <w:p w14:paraId="5CB388BC" w14:textId="77777777" w:rsidR="00050173" w:rsidRPr="00337AAE" w:rsidRDefault="00050173" w:rsidP="001D7393">
            <w:pPr>
              <w:keepNext/>
              <w:rPr>
                <w:rFonts w:eastAsia="Times New Roman" w:cs="Segoe UI"/>
                <w:b/>
                <w:sz w:val="20"/>
              </w:rPr>
            </w:pPr>
            <w:r w:rsidRPr="00337AAE">
              <w:rPr>
                <w:rFonts w:eastAsia="Times New Roman" w:cs="Segoe UI"/>
                <w:b/>
                <w:sz w:val="20"/>
              </w:rPr>
              <w:t>Benefits</w:t>
            </w:r>
          </w:p>
        </w:tc>
        <w:tc>
          <w:tcPr>
            <w:tcW w:w="6943" w:type="dxa"/>
          </w:tcPr>
          <w:p w14:paraId="6E9173FA" w14:textId="77777777" w:rsidR="00050173" w:rsidRDefault="00050173" w:rsidP="001D7393">
            <w:pPr>
              <w:keepNext/>
              <w:rPr>
                <w:rFonts w:eastAsia="Times New Roman" w:cs="Segoe UI"/>
                <w:sz w:val="20"/>
                <w:szCs w:val="20"/>
              </w:rPr>
            </w:pPr>
            <w:r w:rsidRPr="003D290F">
              <w:rPr>
                <w:rFonts w:eastAsia="Times New Roman" w:cs="Segoe UI"/>
                <w:sz w:val="20"/>
                <w:szCs w:val="20"/>
              </w:rPr>
              <w:t>More indirect benefits from ongoing employment relative to Option 2.</w:t>
            </w:r>
          </w:p>
          <w:p w14:paraId="5D1B3C4C" w14:textId="77777777" w:rsidR="00050173" w:rsidRPr="00337AAE" w:rsidRDefault="00E14583" w:rsidP="001D7393">
            <w:pPr>
              <w:keepNext/>
              <w:rPr>
                <w:rFonts w:eastAsia="Times New Roman" w:cs="Segoe UI"/>
                <w:sz w:val="20"/>
              </w:rPr>
            </w:pPr>
            <w:r>
              <w:rPr>
                <w:rFonts w:eastAsia="Times New Roman" w:cs="Segoe UI"/>
                <w:sz w:val="20"/>
                <w:szCs w:val="20"/>
              </w:rPr>
              <w:t xml:space="preserve">All employees at in-scope closing employers will be able to participate (which is not guaranteed under Option 2, as closing employer participation is voluntary). </w:t>
            </w:r>
          </w:p>
        </w:tc>
      </w:tr>
      <w:tr w:rsidR="00050173" w14:paraId="1A91997F" w14:textId="77777777" w:rsidTr="00D27608">
        <w:trPr>
          <w:trHeight w:val="422"/>
        </w:trPr>
        <w:tc>
          <w:tcPr>
            <w:tcW w:w="2104" w:type="dxa"/>
            <w:shd w:val="clear" w:color="auto" w:fill="E0E8F2" w:themeFill="background2"/>
          </w:tcPr>
          <w:p w14:paraId="09292A1A" w14:textId="77777777" w:rsidR="00050173" w:rsidRPr="00337AAE" w:rsidRDefault="00050173" w:rsidP="001D7393">
            <w:pPr>
              <w:keepNext/>
              <w:rPr>
                <w:rFonts w:eastAsia="Times New Roman" w:cs="Segoe UI"/>
                <w:b/>
                <w:sz w:val="20"/>
              </w:rPr>
            </w:pPr>
            <w:r w:rsidRPr="00337AAE">
              <w:rPr>
                <w:rFonts w:eastAsia="Times New Roman" w:cs="Segoe UI"/>
                <w:b/>
                <w:sz w:val="20"/>
              </w:rPr>
              <w:t>Community</w:t>
            </w:r>
          </w:p>
        </w:tc>
        <w:tc>
          <w:tcPr>
            <w:tcW w:w="1157" w:type="dxa"/>
            <w:shd w:val="clear" w:color="auto" w:fill="E0E8F2" w:themeFill="background2"/>
          </w:tcPr>
          <w:p w14:paraId="0B40ED35" w14:textId="77777777" w:rsidR="00050173" w:rsidRPr="00337AAE" w:rsidRDefault="00050173" w:rsidP="001D7393">
            <w:pPr>
              <w:keepNext/>
              <w:tabs>
                <w:tab w:val="left" w:pos="1340"/>
              </w:tabs>
              <w:rPr>
                <w:rFonts w:eastAsia="Times New Roman" w:cs="Segoe UI"/>
                <w:b/>
                <w:sz w:val="20"/>
              </w:rPr>
            </w:pPr>
            <w:r w:rsidRPr="00337AAE">
              <w:rPr>
                <w:rFonts w:eastAsia="Times New Roman" w:cs="Segoe UI"/>
                <w:b/>
                <w:sz w:val="20"/>
              </w:rPr>
              <w:t>Benefits</w:t>
            </w:r>
          </w:p>
        </w:tc>
        <w:tc>
          <w:tcPr>
            <w:tcW w:w="6943" w:type="dxa"/>
            <w:shd w:val="clear" w:color="auto" w:fill="E0E8F2" w:themeFill="background2"/>
          </w:tcPr>
          <w:p w14:paraId="54D8C1DA" w14:textId="77777777" w:rsidR="00050173" w:rsidRPr="00337AAE" w:rsidRDefault="00050173" w:rsidP="001D7393">
            <w:pPr>
              <w:keepNext/>
              <w:rPr>
                <w:rFonts w:eastAsia="Times New Roman" w:cs="Segoe UI"/>
                <w:sz w:val="20"/>
              </w:rPr>
            </w:pPr>
            <w:r w:rsidRPr="003D290F">
              <w:rPr>
                <w:rFonts w:eastAsia="Times New Roman" w:cs="Segoe UI"/>
                <w:sz w:val="20"/>
                <w:szCs w:val="20"/>
              </w:rPr>
              <w:t>Flow-on benefits from less unemployed employees are greater relative to Option 2.</w:t>
            </w:r>
          </w:p>
        </w:tc>
      </w:tr>
    </w:tbl>
    <w:p w14:paraId="5EBA53AF" w14:textId="77777777" w:rsidR="00F27EDD" w:rsidRPr="003D290F" w:rsidRDefault="00F27EDD" w:rsidP="00F27EDD">
      <w:pPr>
        <w:pStyle w:val="Heading2"/>
        <w:rPr>
          <w:rFonts w:eastAsia="Times New Roman"/>
        </w:rPr>
      </w:pPr>
      <w:bookmarkStart w:id="330" w:name="_Toc161396002"/>
      <w:bookmarkStart w:id="331" w:name="_Toc161403538"/>
      <w:bookmarkStart w:id="332" w:name="_Toc161752272"/>
      <w:bookmarkStart w:id="333" w:name="_Toc161759710"/>
      <w:r w:rsidRPr="003D290F">
        <w:rPr>
          <w:rFonts w:eastAsia="Times New Roman"/>
        </w:rPr>
        <w:t>4.</w:t>
      </w:r>
      <w:r w:rsidR="00050173">
        <w:rPr>
          <w:rFonts w:eastAsia="Times New Roman"/>
        </w:rPr>
        <w:t>9</w:t>
      </w:r>
      <w:r w:rsidRPr="003D290F">
        <w:rPr>
          <w:rFonts w:eastAsia="Times New Roman"/>
        </w:rPr>
        <w:t xml:space="preserve"> Sensitivity analysis</w:t>
      </w:r>
      <w:bookmarkEnd w:id="330"/>
      <w:bookmarkEnd w:id="331"/>
      <w:bookmarkEnd w:id="332"/>
      <w:bookmarkEnd w:id="333"/>
    </w:p>
    <w:p w14:paraId="2D294368" w14:textId="77777777" w:rsidR="00F27EDD" w:rsidRPr="003D290F" w:rsidRDefault="00F27EDD" w:rsidP="005D46F4">
      <w:pPr>
        <w:pStyle w:val="Heading3"/>
        <w:spacing w:line="276" w:lineRule="auto"/>
      </w:pPr>
      <w:bookmarkStart w:id="334" w:name="_Toc155604644"/>
      <w:bookmarkStart w:id="335" w:name="_Toc161396003"/>
      <w:bookmarkStart w:id="336" w:name="_Toc161403539"/>
      <w:bookmarkStart w:id="337" w:name="_Toc161694818"/>
      <w:bookmarkStart w:id="338" w:name="_Toc161752273"/>
      <w:bookmarkStart w:id="339" w:name="_Toc161759711"/>
      <w:r w:rsidRPr="003D290F">
        <w:t>4.</w:t>
      </w:r>
      <w:r w:rsidR="00884C04">
        <w:t>9</w:t>
      </w:r>
      <w:r w:rsidRPr="003D290F">
        <w:t>.1 Alternate discount rate analysis</w:t>
      </w:r>
      <w:bookmarkEnd w:id="334"/>
      <w:bookmarkEnd w:id="335"/>
      <w:bookmarkEnd w:id="336"/>
      <w:bookmarkEnd w:id="337"/>
      <w:bookmarkEnd w:id="338"/>
      <w:bookmarkEnd w:id="339"/>
    </w:p>
    <w:p w14:paraId="230BB6AA" w14:textId="77777777" w:rsidR="00F27EDD" w:rsidRPr="003D290F" w:rsidRDefault="003D290F">
      <w:r>
        <w:t xml:space="preserve">The discount rate is the factor used to estimate the present value of future impacts. </w:t>
      </w:r>
      <w:r w:rsidR="004B0EAE">
        <w:t xml:space="preserve">It is a measure of how the value of impacts vary between the present and the future. </w:t>
      </w:r>
      <w:r w:rsidR="00F27EDD" w:rsidRPr="003D290F">
        <w:t xml:space="preserve">In </w:t>
      </w:r>
      <w:r w:rsidR="00D27608">
        <w:t>this</w:t>
      </w:r>
      <w:r w:rsidR="00F27EDD" w:rsidRPr="003D290F">
        <w:t xml:space="preserve"> analysis</w:t>
      </w:r>
      <w:r w:rsidR="00D27608">
        <w:t>,</w:t>
      </w:r>
      <w:r w:rsidR="00F27EDD" w:rsidRPr="003D290F">
        <w:t xml:space="preserve"> </w:t>
      </w:r>
      <w:r w:rsidR="0097340B" w:rsidRPr="003D290F">
        <w:t>a</w:t>
      </w:r>
      <w:r w:rsidR="00AF26BA" w:rsidRPr="003D290F">
        <w:t xml:space="preserve"> seven per cent</w:t>
      </w:r>
      <w:r w:rsidR="00F27EDD" w:rsidRPr="003D290F">
        <w:t xml:space="preserve"> discount rate</w:t>
      </w:r>
      <w:r w:rsidR="00D27608">
        <w:t xml:space="preserve"> was used</w:t>
      </w:r>
      <w:r w:rsidR="00F27EDD" w:rsidRPr="003D290F">
        <w:t>,</w:t>
      </w:r>
      <w:r w:rsidR="00F27EDD" w:rsidRPr="003D290F" w:rsidDel="00AF26BA">
        <w:t xml:space="preserve"> </w:t>
      </w:r>
      <w:r w:rsidR="00D27608">
        <w:t xml:space="preserve">which is </w:t>
      </w:r>
      <w:r w:rsidR="00AF26BA" w:rsidRPr="003D290F">
        <w:rPr>
          <w:rFonts w:eastAsia="Times New Roman" w:cs="Segoe UI"/>
        </w:rPr>
        <w:t xml:space="preserve">the standard rate used for all Australian Government </w:t>
      </w:r>
      <w:r w:rsidR="0034390A">
        <w:rPr>
          <w:rFonts w:eastAsia="Times New Roman" w:cs="Segoe UI"/>
        </w:rPr>
        <w:t>CBAs</w:t>
      </w:r>
      <w:r w:rsidR="00AF26BA" w:rsidRPr="003D290F">
        <w:rPr>
          <w:rFonts w:eastAsia="Times New Roman" w:cs="Segoe UI"/>
        </w:rPr>
        <w:t>.</w:t>
      </w:r>
      <w:r w:rsidR="00715765" w:rsidRPr="003D290F">
        <w:t xml:space="preserve"> The estimated impact of the unlegislated and legislated pooled redeployment plan under lower and higher discount rates is described below</w:t>
      </w:r>
      <w:r w:rsidR="00F27EDD" w:rsidRPr="003D290F" w:rsidDel="00715765">
        <w:t>.</w:t>
      </w:r>
    </w:p>
    <w:p w14:paraId="136B4EFC" w14:textId="77777777" w:rsidR="00F27EDD" w:rsidRPr="003D290F" w:rsidRDefault="00B07483">
      <w:r w:rsidRPr="003D290F">
        <w:rPr>
          <w:rFonts w:eastAsia="Times New Roman"/>
          <w:b/>
          <w:color w:val="1B375C" w:themeColor="accent1"/>
        </w:rPr>
        <w:t>Table 4.</w:t>
      </w:r>
      <w:r w:rsidR="008D1AE8">
        <w:rPr>
          <w:rFonts w:eastAsia="Times New Roman"/>
          <w:b/>
          <w:color w:val="1B375C" w:themeColor="accent1"/>
        </w:rPr>
        <w:t>1</w:t>
      </w:r>
      <w:r w:rsidR="00757876">
        <w:rPr>
          <w:rFonts w:eastAsia="Times New Roman"/>
          <w:b/>
          <w:color w:val="1B375C" w:themeColor="accent1"/>
        </w:rPr>
        <w:t>1</w:t>
      </w:r>
      <w:r w:rsidRPr="003D290F">
        <w:rPr>
          <w:rFonts w:eastAsia="Times New Roman"/>
          <w:b/>
          <w:color w:val="1B375C" w:themeColor="accent1"/>
        </w:rPr>
        <w:t xml:space="preserve"> </w:t>
      </w:r>
      <w:r w:rsidRPr="003D290F">
        <w:t xml:space="preserve">presents the impact of an </w:t>
      </w:r>
      <w:r w:rsidR="00715765" w:rsidRPr="003D290F">
        <w:t xml:space="preserve">unlegislated and legislated pooled redeployment plan </w:t>
      </w:r>
      <w:r w:rsidRPr="003D290F">
        <w:t xml:space="preserve">under a </w:t>
      </w:r>
      <w:r w:rsidR="00715765" w:rsidRPr="003D290F">
        <w:t>four</w:t>
      </w:r>
      <w:r w:rsidRPr="003D290F">
        <w:t xml:space="preserve"> per cent discount rate.</w:t>
      </w:r>
      <w:r w:rsidRPr="003D290F">
        <w:rPr>
          <w:rFonts w:eastAsia="Times New Roman"/>
          <w:b/>
          <w:color w:val="1B375C" w:themeColor="accent1"/>
        </w:rPr>
        <w:t xml:space="preserve"> </w:t>
      </w:r>
      <w:r w:rsidRPr="003D290F">
        <w:t xml:space="preserve">Under a </w:t>
      </w:r>
      <w:r w:rsidR="00715765" w:rsidRPr="003D290F">
        <w:t>four</w:t>
      </w:r>
      <w:r w:rsidRPr="003D290F">
        <w:t xml:space="preserve"> per cent discount rate, the overall estimated impact of both plans is greater than under a seven per cent discount rate as the value of discounted impacts towards the end of the time horizon are higher. The present value of the benefit to workers and the cost to employers and government is estimated to be higher than with a seven per cent discount rate under both the legislated and unlegislated plans. </w:t>
      </w:r>
    </w:p>
    <w:p w14:paraId="16C1C801" w14:textId="77777777" w:rsidR="00AF26BA" w:rsidRPr="003D290F" w:rsidRDefault="00AF26BA" w:rsidP="001E79E2">
      <w:pPr>
        <w:keepNext/>
        <w:spacing w:after="0" w:line="240" w:lineRule="auto"/>
        <w:rPr>
          <w:rFonts w:ascii="Calibri" w:eastAsia="Times New Roman" w:hAnsi="Calibri" w:cs="Calibri"/>
          <w:color w:val="000000"/>
          <w:szCs w:val="22"/>
          <w:lang w:eastAsia="en-AU"/>
        </w:rPr>
      </w:pPr>
      <w:r w:rsidRPr="003D290F">
        <w:rPr>
          <w:rFonts w:eastAsia="Times New Roman" w:cs="Segoe UI"/>
          <w:b/>
          <w:sz w:val="24"/>
          <w:szCs w:val="24"/>
        </w:rPr>
        <w:lastRenderedPageBreak/>
        <w:t>TABLE 4.</w:t>
      </w:r>
      <w:r w:rsidR="008D1AE8">
        <w:rPr>
          <w:rFonts w:eastAsia="Times New Roman" w:cs="Segoe UI"/>
          <w:b/>
          <w:sz w:val="24"/>
          <w:szCs w:val="24"/>
        </w:rPr>
        <w:t>1</w:t>
      </w:r>
      <w:r w:rsidR="00757876">
        <w:rPr>
          <w:rFonts w:eastAsia="Times New Roman" w:cs="Segoe UI"/>
          <w:b/>
          <w:sz w:val="24"/>
          <w:szCs w:val="24"/>
        </w:rPr>
        <w:t>1</w:t>
      </w:r>
      <w:r w:rsidRPr="003D290F">
        <w:rPr>
          <w:rFonts w:eastAsia="Times New Roman" w:cs="Segoe UI"/>
          <w:b/>
          <w:sz w:val="24"/>
          <w:szCs w:val="24"/>
        </w:rPr>
        <w:t xml:space="preserve"> SENSITIVITY ANALYSIS WITH 4 PER CENT DISCOUNT RATE</w:t>
      </w:r>
    </w:p>
    <w:tbl>
      <w:tblPr>
        <w:tblW w:w="0" w:type="auto"/>
        <w:tblInd w:w="-10" w:type="dxa"/>
        <w:tblLook w:val="04A0" w:firstRow="1" w:lastRow="0" w:firstColumn="1" w:lastColumn="0" w:noHBand="0" w:noVBand="1"/>
      </w:tblPr>
      <w:tblGrid>
        <w:gridCol w:w="6090"/>
        <w:gridCol w:w="2189"/>
        <w:gridCol w:w="85"/>
      </w:tblGrid>
      <w:tr w:rsidR="00AF26BA" w:rsidRPr="003D290F" w14:paraId="171BEF23" w14:textId="77777777" w:rsidTr="00B07483">
        <w:trPr>
          <w:gridAfter w:val="1"/>
          <w:wAfter w:w="85" w:type="dxa"/>
          <w:trHeight w:val="300"/>
        </w:trPr>
        <w:tc>
          <w:tcPr>
            <w:tcW w:w="0" w:type="auto"/>
            <w:tcBorders>
              <w:top w:val="single" w:sz="8" w:space="0" w:color="FFFFFF"/>
              <w:left w:val="single" w:sz="8" w:space="0" w:color="FFFFFF"/>
              <w:bottom w:val="single" w:sz="8" w:space="0" w:color="FFFFFF"/>
              <w:right w:val="nil"/>
            </w:tcBorders>
            <w:shd w:val="clear" w:color="000000" w:fill="1B375C"/>
            <w:vAlign w:val="center"/>
            <w:hideMark/>
          </w:tcPr>
          <w:p w14:paraId="23229985" w14:textId="77777777" w:rsidR="00AF26BA" w:rsidRPr="003D290F" w:rsidRDefault="00AF26BA">
            <w:pPr>
              <w:keepNext/>
              <w:spacing w:after="0" w:line="240" w:lineRule="auto"/>
              <w:rPr>
                <w:rFonts w:eastAsia="Times New Roman" w:cs="Segoe UI"/>
                <w:b/>
                <w:bCs/>
                <w:color w:val="FFFFFF"/>
                <w:sz w:val="20"/>
                <w:szCs w:val="20"/>
                <w:lang w:eastAsia="en-AU"/>
              </w:rPr>
            </w:pPr>
            <w:r w:rsidRPr="003D290F">
              <w:rPr>
                <w:rFonts w:eastAsia="Times New Roman" w:cs="Segoe UI"/>
                <w:b/>
                <w:bCs/>
                <w:color w:val="FFFFFF"/>
                <w:sz w:val="20"/>
                <w:szCs w:val="20"/>
                <w:lang w:eastAsia="en-AU"/>
              </w:rPr>
              <w:t> </w:t>
            </w:r>
          </w:p>
        </w:tc>
        <w:tc>
          <w:tcPr>
            <w:tcW w:w="0" w:type="auto"/>
            <w:tcBorders>
              <w:top w:val="single" w:sz="8" w:space="0" w:color="FFFFFF"/>
              <w:left w:val="nil"/>
              <w:bottom w:val="single" w:sz="8" w:space="0" w:color="FFFFFF"/>
              <w:right w:val="single" w:sz="8" w:space="0" w:color="FFFFFF"/>
            </w:tcBorders>
            <w:shd w:val="clear" w:color="000000" w:fill="1B375C"/>
            <w:vAlign w:val="center"/>
            <w:hideMark/>
          </w:tcPr>
          <w:p w14:paraId="01683DEA" w14:textId="77777777" w:rsidR="00AF26BA" w:rsidRPr="003D290F" w:rsidRDefault="00AF26BA">
            <w:pPr>
              <w:keepNext/>
              <w:spacing w:after="0" w:line="240" w:lineRule="auto"/>
              <w:jc w:val="center"/>
              <w:rPr>
                <w:rFonts w:eastAsia="Times New Roman" w:cs="Segoe UI"/>
                <w:b/>
                <w:bCs/>
                <w:color w:val="FFFFFF"/>
                <w:sz w:val="20"/>
                <w:szCs w:val="20"/>
                <w:lang w:eastAsia="en-AU"/>
              </w:rPr>
            </w:pPr>
            <w:r w:rsidRPr="003D290F">
              <w:rPr>
                <w:rFonts w:eastAsia="Times New Roman" w:cs="Segoe UI"/>
                <w:b/>
                <w:bCs/>
                <w:color w:val="FFFFFF"/>
                <w:sz w:val="20"/>
                <w:szCs w:val="20"/>
                <w:lang w:eastAsia="en-AU"/>
              </w:rPr>
              <w:t>NET PRESENT VALUE</w:t>
            </w:r>
          </w:p>
        </w:tc>
      </w:tr>
      <w:tr w:rsidR="00AF26BA" w:rsidRPr="003D290F" w14:paraId="72BDDFA1" w14:textId="77777777" w:rsidTr="001E79E2">
        <w:trPr>
          <w:trHeight w:val="300"/>
        </w:trPr>
        <w:tc>
          <w:tcPr>
            <w:tcW w:w="0" w:type="auto"/>
            <w:tcBorders>
              <w:top w:val="nil"/>
              <w:left w:val="single" w:sz="8" w:space="0" w:color="FFFFFF"/>
              <w:bottom w:val="single" w:sz="8" w:space="0" w:color="FFFFFF"/>
              <w:right w:val="nil"/>
            </w:tcBorders>
            <w:shd w:val="clear" w:color="000000" w:fill="27518B"/>
            <w:vAlign w:val="center"/>
            <w:hideMark/>
          </w:tcPr>
          <w:p w14:paraId="25B1BCE0" w14:textId="77777777" w:rsidR="00AF26BA" w:rsidRPr="003D290F" w:rsidRDefault="00AF26BA" w:rsidP="005D46F4">
            <w:pPr>
              <w:keepNext/>
              <w:spacing w:after="0" w:line="240" w:lineRule="auto"/>
              <w:rPr>
                <w:rFonts w:eastAsia="Times New Roman" w:cs="Segoe UI"/>
                <w:b/>
                <w:bCs/>
                <w:color w:val="FFFFFF"/>
                <w:sz w:val="20"/>
                <w:szCs w:val="20"/>
                <w:lang w:eastAsia="en-AU"/>
              </w:rPr>
            </w:pPr>
            <w:r w:rsidRPr="003D290F">
              <w:rPr>
                <w:rFonts w:eastAsia="Times New Roman" w:cs="Segoe UI"/>
                <w:b/>
                <w:bCs/>
                <w:color w:val="FFFFFF"/>
                <w:sz w:val="20"/>
                <w:szCs w:val="20"/>
                <w:lang w:eastAsia="en-AU"/>
              </w:rPr>
              <w:t xml:space="preserve">Option 2: Pooled redeployment </w:t>
            </w:r>
            <w:r w:rsidR="00B07483" w:rsidRPr="003D290F">
              <w:rPr>
                <w:rFonts w:eastAsia="Times New Roman" w:cs="Segoe UI"/>
                <w:b/>
                <w:bCs/>
                <w:color w:val="FFFFFF"/>
                <w:sz w:val="20"/>
                <w:szCs w:val="20"/>
                <w:lang w:eastAsia="en-AU"/>
              </w:rPr>
              <w:t>plan</w:t>
            </w:r>
            <w:r w:rsidRPr="003D290F">
              <w:rPr>
                <w:rFonts w:eastAsia="Times New Roman" w:cs="Segoe UI"/>
                <w:b/>
                <w:bCs/>
                <w:color w:val="FFFFFF"/>
                <w:sz w:val="20"/>
                <w:szCs w:val="20"/>
                <w:lang w:eastAsia="en-AU"/>
              </w:rPr>
              <w:t xml:space="preserve"> (unlegislated)</w:t>
            </w:r>
          </w:p>
        </w:tc>
        <w:tc>
          <w:tcPr>
            <w:tcW w:w="2274" w:type="dxa"/>
            <w:gridSpan w:val="2"/>
            <w:tcBorders>
              <w:top w:val="nil"/>
              <w:left w:val="nil"/>
              <w:bottom w:val="single" w:sz="8" w:space="0" w:color="FFFFFF"/>
              <w:right w:val="single" w:sz="8" w:space="0" w:color="FFFFFF"/>
            </w:tcBorders>
            <w:shd w:val="clear" w:color="000000" w:fill="27518B"/>
            <w:vAlign w:val="center"/>
            <w:hideMark/>
          </w:tcPr>
          <w:p w14:paraId="2EA7B455" w14:textId="77777777" w:rsidR="00AF26BA" w:rsidRPr="003D290F" w:rsidRDefault="000009AD">
            <w:pPr>
              <w:keepNext/>
              <w:spacing w:after="0" w:line="240" w:lineRule="auto"/>
              <w:jc w:val="right"/>
              <w:rPr>
                <w:rFonts w:eastAsia="Times New Roman" w:cs="Segoe UI"/>
                <w:b/>
                <w:bCs/>
                <w:color w:val="FFFFFF"/>
                <w:sz w:val="20"/>
                <w:szCs w:val="20"/>
                <w:lang w:eastAsia="en-AU"/>
              </w:rPr>
            </w:pPr>
            <w:r>
              <w:rPr>
                <w:rFonts w:cs="Segoe UI"/>
                <w:b/>
                <w:bCs/>
                <w:color w:val="FFFFFF"/>
                <w:sz w:val="20"/>
                <w:szCs w:val="20"/>
              </w:rPr>
              <w:t>-</w:t>
            </w:r>
            <w:r w:rsidR="00186104">
              <w:rPr>
                <w:rFonts w:cs="Segoe UI"/>
                <w:b/>
                <w:bCs/>
                <w:color w:val="FFFFFF"/>
                <w:sz w:val="20"/>
                <w:szCs w:val="20"/>
              </w:rPr>
              <w:t>$</w:t>
            </w:r>
            <w:r>
              <w:rPr>
                <w:rFonts w:cs="Segoe UI"/>
                <w:b/>
                <w:bCs/>
                <w:color w:val="FFFFFF"/>
                <w:sz w:val="20"/>
                <w:szCs w:val="20"/>
              </w:rPr>
              <w:t>18.7 million</w:t>
            </w:r>
          </w:p>
        </w:tc>
      </w:tr>
      <w:tr w:rsidR="00AF26BA" w:rsidRPr="003D290F" w14:paraId="5D2BEFC6"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79391544" w14:textId="77777777" w:rsidR="00AF26BA" w:rsidRPr="003D290F" w:rsidRDefault="00AF26BA" w:rsidP="005D46F4">
            <w:pPr>
              <w:keepNext/>
              <w:spacing w:after="0" w:line="240" w:lineRule="auto"/>
              <w:ind w:firstLineChars="100" w:firstLine="200"/>
              <w:rPr>
                <w:rFonts w:eastAsia="Times New Roman" w:cs="Segoe UI"/>
                <w:color w:val="000000"/>
                <w:sz w:val="20"/>
                <w:szCs w:val="20"/>
                <w:lang w:eastAsia="en-AU"/>
              </w:rPr>
            </w:pPr>
            <w:r w:rsidRPr="003D290F">
              <w:rPr>
                <w:rFonts w:eastAsia="Times New Roman" w:cs="Segoe UI"/>
                <w:color w:val="000000"/>
                <w:sz w:val="20"/>
                <w:szCs w:val="20"/>
                <w:lang w:eastAsia="en-AU"/>
              </w:rPr>
              <w:t>Closing and receiving employers</w:t>
            </w:r>
          </w:p>
        </w:tc>
        <w:tc>
          <w:tcPr>
            <w:tcW w:w="2274" w:type="dxa"/>
            <w:gridSpan w:val="2"/>
            <w:tcBorders>
              <w:top w:val="nil"/>
              <w:left w:val="nil"/>
              <w:bottom w:val="single" w:sz="8" w:space="0" w:color="FFFFFF"/>
              <w:right w:val="single" w:sz="8" w:space="0" w:color="FFFFFF"/>
            </w:tcBorders>
            <w:shd w:val="clear" w:color="000000" w:fill="E0E8F2"/>
            <w:vAlign w:val="center"/>
            <w:hideMark/>
          </w:tcPr>
          <w:p w14:paraId="1DF1B7FC" w14:textId="77777777" w:rsidR="00AF26BA" w:rsidRPr="003D290F" w:rsidRDefault="000009AD">
            <w:pPr>
              <w:keepNext/>
              <w:spacing w:after="0" w:line="240" w:lineRule="auto"/>
              <w:jc w:val="right"/>
              <w:rPr>
                <w:rFonts w:eastAsia="Times New Roman" w:cs="Segoe UI"/>
                <w:color w:val="000000"/>
                <w:sz w:val="20"/>
                <w:szCs w:val="20"/>
                <w:lang w:eastAsia="en-AU"/>
              </w:rPr>
            </w:pPr>
            <w:r>
              <w:rPr>
                <w:rFonts w:cs="Segoe UI"/>
                <w:color w:val="000000"/>
                <w:sz w:val="20"/>
                <w:szCs w:val="20"/>
              </w:rPr>
              <w:t>-</w:t>
            </w:r>
            <w:r w:rsidR="00186104">
              <w:rPr>
                <w:rFonts w:cs="Segoe UI"/>
                <w:color w:val="000000"/>
                <w:sz w:val="20"/>
                <w:szCs w:val="20"/>
              </w:rPr>
              <w:t>$</w:t>
            </w:r>
            <w:r>
              <w:rPr>
                <w:rFonts w:cs="Segoe UI"/>
                <w:color w:val="000000"/>
                <w:sz w:val="20"/>
                <w:szCs w:val="20"/>
              </w:rPr>
              <w:t>4.2 million</w:t>
            </w:r>
          </w:p>
        </w:tc>
      </w:tr>
      <w:tr w:rsidR="00AF26BA" w:rsidRPr="003D290F" w14:paraId="5D1E3FB5"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auto" w:fill="auto"/>
            <w:vAlign w:val="center"/>
            <w:hideMark/>
          </w:tcPr>
          <w:p w14:paraId="799A65BA" w14:textId="77777777" w:rsidR="00AF26BA" w:rsidRPr="003D290F" w:rsidRDefault="00AF26BA" w:rsidP="005D46F4">
            <w:pPr>
              <w:keepNext/>
              <w:spacing w:after="0" w:line="240" w:lineRule="auto"/>
              <w:ind w:firstLineChars="300" w:firstLine="600"/>
              <w:rPr>
                <w:rFonts w:eastAsia="Times New Roman" w:cs="Segoe UI"/>
                <w:i/>
                <w:iCs/>
                <w:color w:val="000000"/>
                <w:sz w:val="20"/>
                <w:szCs w:val="20"/>
                <w:lang w:eastAsia="en-AU"/>
              </w:rPr>
            </w:pPr>
            <w:r w:rsidRPr="003D290F">
              <w:rPr>
                <w:rFonts w:eastAsia="Times New Roman" w:cs="Segoe UI"/>
                <w:i/>
                <w:iCs/>
                <w:color w:val="000000"/>
                <w:sz w:val="20"/>
                <w:szCs w:val="20"/>
                <w:lang w:eastAsia="en-AU"/>
              </w:rPr>
              <w:t>Of which: regulatory costs</w:t>
            </w:r>
          </w:p>
        </w:tc>
        <w:tc>
          <w:tcPr>
            <w:tcW w:w="2274" w:type="dxa"/>
            <w:gridSpan w:val="2"/>
            <w:tcBorders>
              <w:top w:val="nil"/>
              <w:left w:val="nil"/>
              <w:bottom w:val="single" w:sz="8" w:space="0" w:color="FFFFFF"/>
              <w:right w:val="single" w:sz="8" w:space="0" w:color="FFFFFF"/>
            </w:tcBorders>
            <w:shd w:val="clear" w:color="auto" w:fill="auto"/>
            <w:vAlign w:val="center"/>
            <w:hideMark/>
          </w:tcPr>
          <w:p w14:paraId="333D98DE" w14:textId="77777777" w:rsidR="00AF26BA" w:rsidRPr="003D290F" w:rsidRDefault="000009AD" w:rsidP="0017616E">
            <w:pPr>
              <w:keepNext/>
              <w:spacing w:after="0" w:line="240" w:lineRule="auto"/>
              <w:jc w:val="right"/>
              <w:rPr>
                <w:rFonts w:eastAsia="Times New Roman" w:cs="Segoe UI"/>
                <w:i/>
                <w:iCs/>
                <w:color w:val="000000"/>
                <w:sz w:val="20"/>
                <w:szCs w:val="20"/>
                <w:lang w:eastAsia="en-AU"/>
              </w:rPr>
            </w:pPr>
            <w:r>
              <w:rPr>
                <w:rFonts w:cs="Segoe UI"/>
                <w:i/>
                <w:iCs/>
                <w:color w:val="000000"/>
                <w:sz w:val="20"/>
                <w:szCs w:val="20"/>
              </w:rPr>
              <w:t>-</w:t>
            </w:r>
            <w:r w:rsidR="00186104">
              <w:rPr>
                <w:rFonts w:cs="Segoe UI"/>
                <w:i/>
                <w:iCs/>
                <w:color w:val="000000"/>
                <w:sz w:val="20"/>
                <w:szCs w:val="20"/>
              </w:rPr>
              <w:t>$</w:t>
            </w:r>
            <w:r>
              <w:rPr>
                <w:rFonts w:cs="Segoe UI"/>
                <w:i/>
                <w:iCs/>
                <w:color w:val="000000"/>
                <w:sz w:val="20"/>
                <w:szCs w:val="20"/>
              </w:rPr>
              <w:t>4.2 million</w:t>
            </w:r>
          </w:p>
        </w:tc>
      </w:tr>
      <w:tr w:rsidR="00AF26BA" w:rsidRPr="003D290F" w14:paraId="15BE567A"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6C7EF265" w14:textId="77777777" w:rsidR="00AF26BA" w:rsidRPr="003D290F" w:rsidRDefault="00AF26BA" w:rsidP="005D46F4">
            <w:pPr>
              <w:keepNext/>
              <w:spacing w:after="0" w:line="240" w:lineRule="auto"/>
              <w:ind w:firstLineChars="100" w:firstLine="200"/>
              <w:rPr>
                <w:rFonts w:eastAsia="Times New Roman" w:cs="Segoe UI"/>
                <w:color w:val="000000"/>
                <w:sz w:val="20"/>
                <w:szCs w:val="20"/>
                <w:lang w:eastAsia="en-AU"/>
              </w:rPr>
            </w:pPr>
            <w:r w:rsidRPr="003D290F">
              <w:rPr>
                <w:rFonts w:eastAsia="Times New Roman" w:cs="Segoe UI"/>
                <w:color w:val="000000"/>
                <w:sz w:val="20"/>
                <w:szCs w:val="20"/>
                <w:lang w:eastAsia="en-AU"/>
              </w:rPr>
              <w:t>Closing employer employees and receiving employer employees</w:t>
            </w:r>
          </w:p>
        </w:tc>
        <w:tc>
          <w:tcPr>
            <w:tcW w:w="2274" w:type="dxa"/>
            <w:gridSpan w:val="2"/>
            <w:tcBorders>
              <w:top w:val="nil"/>
              <w:left w:val="nil"/>
              <w:bottom w:val="single" w:sz="8" w:space="0" w:color="FFFFFF"/>
              <w:right w:val="single" w:sz="8" w:space="0" w:color="FFFFFF"/>
            </w:tcBorders>
            <w:shd w:val="clear" w:color="000000" w:fill="E0E8F2"/>
            <w:vAlign w:val="center"/>
            <w:hideMark/>
          </w:tcPr>
          <w:p w14:paraId="5D25FF41" w14:textId="77777777" w:rsidR="00AF26BA" w:rsidRPr="003D290F" w:rsidRDefault="000009AD" w:rsidP="0017616E">
            <w:pPr>
              <w:keepNext/>
              <w:spacing w:after="0" w:line="240" w:lineRule="auto"/>
              <w:jc w:val="right"/>
              <w:rPr>
                <w:rFonts w:eastAsia="Times New Roman" w:cs="Segoe UI"/>
                <w:color w:val="000000"/>
                <w:sz w:val="20"/>
                <w:szCs w:val="20"/>
                <w:lang w:eastAsia="en-AU"/>
              </w:rPr>
            </w:pPr>
            <w:r>
              <w:rPr>
                <w:rFonts w:cs="Segoe UI"/>
                <w:color w:val="000000"/>
                <w:sz w:val="20"/>
                <w:szCs w:val="20"/>
              </w:rPr>
              <w:t>+$48 million</w:t>
            </w:r>
          </w:p>
        </w:tc>
      </w:tr>
      <w:tr w:rsidR="00AF26BA" w:rsidRPr="003D290F" w14:paraId="4FA82BB3"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auto" w:fill="auto"/>
            <w:vAlign w:val="center"/>
            <w:hideMark/>
          </w:tcPr>
          <w:p w14:paraId="42085572" w14:textId="77777777" w:rsidR="00AF26BA" w:rsidRPr="003D290F" w:rsidRDefault="00AF26BA" w:rsidP="005D46F4">
            <w:pPr>
              <w:keepNext/>
              <w:spacing w:after="0" w:line="240" w:lineRule="auto"/>
              <w:ind w:firstLineChars="100" w:firstLine="200"/>
              <w:rPr>
                <w:rFonts w:eastAsia="Times New Roman" w:cs="Segoe UI"/>
                <w:color w:val="000000"/>
                <w:sz w:val="20"/>
                <w:szCs w:val="20"/>
                <w:lang w:eastAsia="en-AU"/>
              </w:rPr>
            </w:pPr>
            <w:r w:rsidRPr="003D290F">
              <w:rPr>
                <w:rFonts w:eastAsia="Times New Roman" w:cs="Segoe UI"/>
                <w:color w:val="000000"/>
                <w:sz w:val="20"/>
                <w:szCs w:val="20"/>
                <w:lang w:eastAsia="en-AU"/>
              </w:rPr>
              <w:t>Government</w:t>
            </w:r>
          </w:p>
        </w:tc>
        <w:tc>
          <w:tcPr>
            <w:tcW w:w="2274" w:type="dxa"/>
            <w:gridSpan w:val="2"/>
            <w:tcBorders>
              <w:top w:val="nil"/>
              <w:left w:val="nil"/>
              <w:bottom w:val="single" w:sz="8" w:space="0" w:color="FFFFFF"/>
              <w:right w:val="single" w:sz="8" w:space="0" w:color="FFFFFF"/>
            </w:tcBorders>
            <w:shd w:val="clear" w:color="auto" w:fill="auto"/>
            <w:vAlign w:val="center"/>
            <w:hideMark/>
          </w:tcPr>
          <w:p w14:paraId="54C2C90F" w14:textId="77777777" w:rsidR="00AF26BA" w:rsidRPr="003D290F" w:rsidRDefault="000009AD" w:rsidP="0017616E">
            <w:pPr>
              <w:keepNext/>
              <w:spacing w:after="0" w:line="240" w:lineRule="auto"/>
              <w:jc w:val="right"/>
              <w:rPr>
                <w:rFonts w:eastAsia="Times New Roman" w:cs="Segoe UI"/>
                <w:i/>
                <w:iCs/>
                <w:color w:val="000000"/>
                <w:sz w:val="20"/>
                <w:szCs w:val="20"/>
                <w:lang w:eastAsia="en-AU"/>
              </w:rPr>
            </w:pPr>
            <w:r>
              <w:rPr>
                <w:rFonts w:cs="Segoe UI"/>
                <w:i/>
                <w:iCs/>
                <w:color w:val="000000"/>
                <w:sz w:val="20"/>
                <w:szCs w:val="20"/>
              </w:rPr>
              <w:t>-</w:t>
            </w:r>
            <w:r w:rsidR="00186104">
              <w:rPr>
                <w:rFonts w:cs="Segoe UI"/>
                <w:i/>
                <w:iCs/>
                <w:color w:val="000000"/>
                <w:sz w:val="20"/>
                <w:szCs w:val="20"/>
              </w:rPr>
              <w:t>$</w:t>
            </w:r>
            <w:r>
              <w:rPr>
                <w:rFonts w:cs="Segoe UI"/>
                <w:i/>
                <w:iCs/>
                <w:color w:val="000000"/>
                <w:sz w:val="20"/>
                <w:szCs w:val="20"/>
              </w:rPr>
              <w:t>62.5 million</w:t>
            </w:r>
          </w:p>
        </w:tc>
      </w:tr>
      <w:tr w:rsidR="00AF26BA" w:rsidRPr="003D290F" w14:paraId="7979B757" w14:textId="77777777" w:rsidTr="001E79E2">
        <w:trPr>
          <w:trHeight w:val="300"/>
        </w:trPr>
        <w:tc>
          <w:tcPr>
            <w:tcW w:w="0" w:type="auto"/>
            <w:tcBorders>
              <w:top w:val="nil"/>
              <w:left w:val="single" w:sz="8" w:space="0" w:color="FFFFFF"/>
              <w:bottom w:val="single" w:sz="8" w:space="0" w:color="FFFFFF"/>
              <w:right w:val="nil"/>
            </w:tcBorders>
            <w:shd w:val="clear" w:color="000000" w:fill="27518B"/>
            <w:vAlign w:val="center"/>
            <w:hideMark/>
          </w:tcPr>
          <w:p w14:paraId="01A15769" w14:textId="77777777" w:rsidR="00AF26BA" w:rsidRPr="003D290F" w:rsidRDefault="00AF26BA" w:rsidP="005D46F4">
            <w:pPr>
              <w:keepNext/>
              <w:spacing w:after="0" w:line="240" w:lineRule="auto"/>
              <w:rPr>
                <w:rFonts w:eastAsia="Times New Roman" w:cs="Segoe UI"/>
                <w:b/>
                <w:bCs/>
                <w:color w:val="FFFFFF"/>
                <w:sz w:val="20"/>
                <w:szCs w:val="20"/>
                <w:lang w:eastAsia="en-AU"/>
              </w:rPr>
            </w:pPr>
            <w:r w:rsidRPr="003D290F">
              <w:rPr>
                <w:rFonts w:eastAsia="Times New Roman" w:cs="Segoe UI"/>
                <w:b/>
                <w:bCs/>
                <w:color w:val="FFFFFF"/>
                <w:sz w:val="20"/>
                <w:szCs w:val="20"/>
                <w:lang w:eastAsia="en-AU"/>
              </w:rPr>
              <w:t xml:space="preserve">Option 3: Pooled redeployment </w:t>
            </w:r>
            <w:r w:rsidR="00B07483" w:rsidRPr="003D290F">
              <w:rPr>
                <w:rFonts w:eastAsia="Times New Roman" w:cs="Segoe UI"/>
                <w:b/>
                <w:bCs/>
                <w:color w:val="FFFFFF"/>
                <w:sz w:val="20"/>
                <w:szCs w:val="20"/>
                <w:lang w:eastAsia="en-AU"/>
              </w:rPr>
              <w:t>plan</w:t>
            </w:r>
            <w:r w:rsidRPr="003D290F">
              <w:rPr>
                <w:rFonts w:eastAsia="Times New Roman" w:cs="Segoe UI"/>
                <w:b/>
                <w:bCs/>
                <w:color w:val="FFFFFF"/>
                <w:sz w:val="20"/>
                <w:szCs w:val="20"/>
                <w:lang w:eastAsia="en-AU"/>
              </w:rPr>
              <w:t xml:space="preserve"> (legislated)</w:t>
            </w:r>
          </w:p>
        </w:tc>
        <w:tc>
          <w:tcPr>
            <w:tcW w:w="2274" w:type="dxa"/>
            <w:gridSpan w:val="2"/>
            <w:tcBorders>
              <w:top w:val="nil"/>
              <w:left w:val="nil"/>
              <w:bottom w:val="single" w:sz="8" w:space="0" w:color="FFFFFF"/>
              <w:right w:val="single" w:sz="8" w:space="0" w:color="FFFFFF"/>
            </w:tcBorders>
            <w:shd w:val="clear" w:color="000000" w:fill="27518B"/>
            <w:vAlign w:val="center"/>
            <w:hideMark/>
          </w:tcPr>
          <w:p w14:paraId="25A30168" w14:textId="77777777" w:rsidR="00AF26BA" w:rsidRPr="003D290F" w:rsidRDefault="000009AD" w:rsidP="0017616E">
            <w:pPr>
              <w:keepNext/>
              <w:spacing w:after="0" w:line="240" w:lineRule="auto"/>
              <w:jc w:val="right"/>
              <w:rPr>
                <w:rFonts w:eastAsia="Times New Roman" w:cs="Segoe UI"/>
                <w:b/>
                <w:bCs/>
                <w:color w:val="FFFFFF"/>
                <w:sz w:val="20"/>
                <w:szCs w:val="20"/>
                <w:lang w:eastAsia="en-AU"/>
              </w:rPr>
            </w:pPr>
            <w:r>
              <w:rPr>
                <w:rFonts w:cs="Segoe UI"/>
                <w:b/>
                <w:bCs/>
                <w:color w:val="FFFFFF"/>
                <w:sz w:val="20"/>
                <w:szCs w:val="20"/>
              </w:rPr>
              <w:t>-</w:t>
            </w:r>
            <w:r w:rsidR="00186104">
              <w:rPr>
                <w:rFonts w:cs="Segoe UI"/>
                <w:b/>
                <w:bCs/>
                <w:color w:val="FFFFFF"/>
                <w:sz w:val="20"/>
                <w:szCs w:val="20"/>
              </w:rPr>
              <w:t>$</w:t>
            </w:r>
            <w:r>
              <w:rPr>
                <w:rFonts w:cs="Segoe UI"/>
                <w:b/>
                <w:bCs/>
                <w:color w:val="FFFFFF"/>
                <w:sz w:val="20"/>
                <w:szCs w:val="20"/>
              </w:rPr>
              <w:t>38.3 million</w:t>
            </w:r>
          </w:p>
        </w:tc>
      </w:tr>
      <w:tr w:rsidR="00AF26BA" w:rsidRPr="003D290F" w14:paraId="6F086745"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4D7B71AA" w14:textId="77777777" w:rsidR="00AF26BA" w:rsidRPr="003D290F" w:rsidRDefault="00AF26BA" w:rsidP="005D46F4">
            <w:pPr>
              <w:keepNext/>
              <w:spacing w:after="0" w:line="240" w:lineRule="auto"/>
              <w:ind w:firstLineChars="100" w:firstLine="200"/>
              <w:rPr>
                <w:rFonts w:eastAsia="Times New Roman" w:cs="Segoe UI"/>
                <w:color w:val="000000"/>
                <w:sz w:val="20"/>
                <w:szCs w:val="20"/>
                <w:lang w:eastAsia="en-AU"/>
              </w:rPr>
            </w:pPr>
            <w:r w:rsidRPr="003D290F">
              <w:rPr>
                <w:rFonts w:eastAsia="Times New Roman" w:cs="Segoe UI"/>
                <w:color w:val="000000"/>
                <w:sz w:val="20"/>
                <w:szCs w:val="20"/>
                <w:lang w:eastAsia="en-AU"/>
              </w:rPr>
              <w:t>Closing and receiving employers</w:t>
            </w:r>
          </w:p>
        </w:tc>
        <w:tc>
          <w:tcPr>
            <w:tcW w:w="2274" w:type="dxa"/>
            <w:gridSpan w:val="2"/>
            <w:tcBorders>
              <w:top w:val="nil"/>
              <w:left w:val="nil"/>
              <w:bottom w:val="single" w:sz="8" w:space="0" w:color="FFFFFF"/>
              <w:right w:val="single" w:sz="8" w:space="0" w:color="FFFFFF"/>
            </w:tcBorders>
            <w:shd w:val="clear" w:color="000000" w:fill="E0E8F2"/>
            <w:vAlign w:val="center"/>
            <w:hideMark/>
          </w:tcPr>
          <w:p w14:paraId="13C45BF4" w14:textId="77777777" w:rsidR="00AF26BA" w:rsidRPr="003D290F" w:rsidRDefault="000009AD" w:rsidP="0017616E">
            <w:pPr>
              <w:keepNext/>
              <w:spacing w:after="0" w:line="240" w:lineRule="auto"/>
              <w:jc w:val="right"/>
              <w:rPr>
                <w:rFonts w:eastAsia="Times New Roman" w:cs="Segoe UI"/>
                <w:color w:val="000000"/>
                <w:sz w:val="20"/>
                <w:szCs w:val="20"/>
                <w:lang w:eastAsia="en-AU"/>
              </w:rPr>
            </w:pPr>
            <w:r>
              <w:rPr>
                <w:rFonts w:cs="Segoe UI"/>
                <w:color w:val="000000"/>
                <w:sz w:val="20"/>
                <w:szCs w:val="20"/>
              </w:rPr>
              <w:t>-</w:t>
            </w:r>
            <w:r w:rsidR="00186104">
              <w:rPr>
                <w:rFonts w:cs="Segoe UI"/>
                <w:color w:val="000000"/>
                <w:sz w:val="20"/>
                <w:szCs w:val="20"/>
              </w:rPr>
              <w:t>$</w:t>
            </w:r>
            <w:r>
              <w:rPr>
                <w:rFonts w:cs="Segoe UI"/>
                <w:color w:val="000000"/>
                <w:sz w:val="20"/>
                <w:szCs w:val="20"/>
              </w:rPr>
              <w:t>26.8 million</w:t>
            </w:r>
          </w:p>
        </w:tc>
      </w:tr>
      <w:tr w:rsidR="00AF26BA" w:rsidRPr="003D290F" w14:paraId="63337199"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auto" w:fill="auto"/>
            <w:vAlign w:val="center"/>
            <w:hideMark/>
          </w:tcPr>
          <w:p w14:paraId="306EB4C8" w14:textId="77777777" w:rsidR="00AF26BA" w:rsidRPr="003D290F" w:rsidRDefault="00AF26BA" w:rsidP="005D46F4">
            <w:pPr>
              <w:keepNext/>
              <w:spacing w:after="0" w:line="240" w:lineRule="auto"/>
              <w:ind w:firstLineChars="300" w:firstLine="600"/>
              <w:rPr>
                <w:rFonts w:eastAsia="Times New Roman" w:cs="Segoe UI"/>
                <w:i/>
                <w:iCs/>
                <w:color w:val="000000"/>
                <w:sz w:val="20"/>
                <w:szCs w:val="20"/>
                <w:lang w:eastAsia="en-AU"/>
              </w:rPr>
            </w:pPr>
            <w:r w:rsidRPr="003D290F">
              <w:rPr>
                <w:rFonts w:eastAsia="Times New Roman" w:cs="Segoe UI"/>
                <w:i/>
                <w:iCs/>
                <w:color w:val="000000"/>
                <w:sz w:val="20"/>
                <w:szCs w:val="20"/>
                <w:lang w:eastAsia="en-AU"/>
              </w:rPr>
              <w:t>Of which: regulatory costs</w:t>
            </w:r>
          </w:p>
        </w:tc>
        <w:tc>
          <w:tcPr>
            <w:tcW w:w="2274" w:type="dxa"/>
            <w:gridSpan w:val="2"/>
            <w:tcBorders>
              <w:top w:val="nil"/>
              <w:left w:val="nil"/>
              <w:bottom w:val="single" w:sz="8" w:space="0" w:color="FFFFFF"/>
              <w:right w:val="single" w:sz="8" w:space="0" w:color="FFFFFF"/>
            </w:tcBorders>
            <w:shd w:val="clear" w:color="auto" w:fill="auto"/>
            <w:vAlign w:val="center"/>
            <w:hideMark/>
          </w:tcPr>
          <w:p w14:paraId="221A3A18" w14:textId="77777777" w:rsidR="00AF26BA" w:rsidRPr="003D290F" w:rsidRDefault="000009AD" w:rsidP="0017616E">
            <w:pPr>
              <w:keepNext/>
              <w:spacing w:after="0" w:line="240" w:lineRule="auto"/>
              <w:jc w:val="right"/>
              <w:rPr>
                <w:rFonts w:eastAsia="Times New Roman" w:cs="Segoe UI"/>
                <w:i/>
                <w:iCs/>
                <w:color w:val="000000"/>
                <w:sz w:val="20"/>
                <w:szCs w:val="20"/>
                <w:lang w:eastAsia="en-AU"/>
              </w:rPr>
            </w:pPr>
            <w:r>
              <w:rPr>
                <w:rFonts w:cs="Segoe UI"/>
                <w:i/>
                <w:iCs/>
                <w:color w:val="000000"/>
                <w:sz w:val="20"/>
                <w:szCs w:val="20"/>
              </w:rPr>
              <w:t>-</w:t>
            </w:r>
            <w:r w:rsidR="00186104">
              <w:rPr>
                <w:rFonts w:cs="Segoe UI"/>
                <w:i/>
                <w:iCs/>
                <w:color w:val="000000"/>
                <w:sz w:val="20"/>
                <w:szCs w:val="20"/>
              </w:rPr>
              <w:t>$</w:t>
            </w:r>
            <w:r>
              <w:rPr>
                <w:rFonts w:cs="Segoe UI"/>
                <w:i/>
                <w:iCs/>
                <w:color w:val="000000"/>
                <w:sz w:val="20"/>
                <w:szCs w:val="20"/>
              </w:rPr>
              <w:t>12.7 million</w:t>
            </w:r>
          </w:p>
        </w:tc>
      </w:tr>
      <w:tr w:rsidR="00AF26BA" w:rsidRPr="003D290F" w14:paraId="39304718"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4799F457" w14:textId="77777777" w:rsidR="00AF26BA" w:rsidRPr="003D290F" w:rsidRDefault="00AF26BA" w:rsidP="005D46F4">
            <w:pPr>
              <w:keepNext/>
              <w:spacing w:after="0" w:line="240" w:lineRule="auto"/>
              <w:ind w:firstLineChars="100" w:firstLine="200"/>
              <w:rPr>
                <w:rFonts w:eastAsia="Times New Roman" w:cs="Segoe UI"/>
                <w:color w:val="000000"/>
                <w:sz w:val="20"/>
                <w:szCs w:val="20"/>
                <w:lang w:eastAsia="en-AU"/>
              </w:rPr>
            </w:pPr>
            <w:r w:rsidRPr="003D290F">
              <w:rPr>
                <w:rFonts w:eastAsia="Times New Roman" w:cs="Segoe UI"/>
                <w:color w:val="000000"/>
                <w:sz w:val="20"/>
                <w:szCs w:val="20"/>
                <w:lang w:eastAsia="en-AU"/>
              </w:rPr>
              <w:t>Closing employer employees and receiving employer employees</w:t>
            </w:r>
          </w:p>
        </w:tc>
        <w:tc>
          <w:tcPr>
            <w:tcW w:w="2274" w:type="dxa"/>
            <w:gridSpan w:val="2"/>
            <w:tcBorders>
              <w:top w:val="nil"/>
              <w:left w:val="nil"/>
              <w:bottom w:val="single" w:sz="8" w:space="0" w:color="FFFFFF"/>
              <w:right w:val="single" w:sz="8" w:space="0" w:color="FFFFFF"/>
            </w:tcBorders>
            <w:shd w:val="clear" w:color="000000" w:fill="E0E8F2"/>
            <w:vAlign w:val="center"/>
            <w:hideMark/>
          </w:tcPr>
          <w:p w14:paraId="783F8DCF" w14:textId="77777777" w:rsidR="00AF26BA" w:rsidRPr="003D290F" w:rsidRDefault="000009AD" w:rsidP="0017616E">
            <w:pPr>
              <w:keepNext/>
              <w:spacing w:after="0" w:line="240" w:lineRule="auto"/>
              <w:jc w:val="right"/>
              <w:rPr>
                <w:rFonts w:eastAsia="Times New Roman" w:cs="Segoe UI"/>
                <w:color w:val="000000"/>
                <w:sz w:val="20"/>
                <w:szCs w:val="20"/>
                <w:lang w:eastAsia="en-AU"/>
              </w:rPr>
            </w:pPr>
            <w:r>
              <w:rPr>
                <w:rFonts w:cs="Segoe UI"/>
                <w:color w:val="000000"/>
                <w:sz w:val="20"/>
                <w:szCs w:val="20"/>
              </w:rPr>
              <w:t>+$140.8 million</w:t>
            </w:r>
          </w:p>
        </w:tc>
      </w:tr>
      <w:tr w:rsidR="00AF26BA" w:rsidRPr="003D290F" w14:paraId="549EAD06" w14:textId="77777777" w:rsidTr="001E79E2">
        <w:trPr>
          <w:trHeight w:val="300"/>
        </w:trPr>
        <w:tc>
          <w:tcPr>
            <w:tcW w:w="0" w:type="auto"/>
            <w:tcBorders>
              <w:top w:val="nil"/>
              <w:left w:val="single" w:sz="8" w:space="0" w:color="FFFFFF"/>
              <w:bottom w:val="single" w:sz="12" w:space="0" w:color="auto"/>
              <w:right w:val="single" w:sz="8" w:space="0" w:color="FFFFFF"/>
            </w:tcBorders>
            <w:shd w:val="clear" w:color="auto" w:fill="auto"/>
            <w:vAlign w:val="center"/>
            <w:hideMark/>
          </w:tcPr>
          <w:p w14:paraId="0C24382B" w14:textId="77777777" w:rsidR="00AF26BA" w:rsidRPr="003D290F" w:rsidRDefault="00AF26BA" w:rsidP="005D46F4">
            <w:pPr>
              <w:keepNext/>
              <w:spacing w:after="0" w:line="240" w:lineRule="auto"/>
              <w:ind w:firstLineChars="100" w:firstLine="200"/>
              <w:rPr>
                <w:rFonts w:eastAsia="Times New Roman" w:cs="Segoe UI"/>
                <w:color w:val="000000"/>
                <w:sz w:val="20"/>
                <w:szCs w:val="20"/>
                <w:lang w:eastAsia="en-AU"/>
              </w:rPr>
            </w:pPr>
            <w:r w:rsidRPr="003D290F">
              <w:rPr>
                <w:rFonts w:eastAsia="Times New Roman" w:cs="Segoe UI"/>
                <w:color w:val="000000"/>
                <w:sz w:val="20"/>
                <w:szCs w:val="20"/>
                <w:lang w:eastAsia="en-AU"/>
              </w:rPr>
              <w:t>Government</w:t>
            </w:r>
          </w:p>
        </w:tc>
        <w:tc>
          <w:tcPr>
            <w:tcW w:w="2274" w:type="dxa"/>
            <w:gridSpan w:val="2"/>
            <w:tcBorders>
              <w:top w:val="nil"/>
              <w:left w:val="nil"/>
              <w:bottom w:val="single" w:sz="12" w:space="0" w:color="auto"/>
              <w:right w:val="single" w:sz="8" w:space="0" w:color="FFFFFF"/>
            </w:tcBorders>
            <w:shd w:val="clear" w:color="auto" w:fill="auto"/>
            <w:vAlign w:val="center"/>
            <w:hideMark/>
          </w:tcPr>
          <w:p w14:paraId="648B71EE" w14:textId="77777777" w:rsidR="00AF26BA" w:rsidRPr="003D290F" w:rsidRDefault="000009AD" w:rsidP="0017616E">
            <w:pPr>
              <w:keepNext/>
              <w:spacing w:after="0" w:line="240" w:lineRule="auto"/>
              <w:jc w:val="right"/>
              <w:rPr>
                <w:rFonts w:eastAsia="Times New Roman" w:cs="Segoe UI"/>
                <w:color w:val="000000"/>
                <w:sz w:val="20"/>
                <w:szCs w:val="20"/>
                <w:lang w:eastAsia="en-AU"/>
              </w:rPr>
            </w:pPr>
            <w:r>
              <w:rPr>
                <w:rFonts w:cs="Segoe UI"/>
                <w:color w:val="000000"/>
                <w:sz w:val="20"/>
                <w:szCs w:val="20"/>
              </w:rPr>
              <w:t>-</w:t>
            </w:r>
            <w:r w:rsidR="00186104">
              <w:rPr>
                <w:rFonts w:cs="Segoe UI"/>
                <w:color w:val="000000"/>
                <w:sz w:val="20"/>
                <w:szCs w:val="20"/>
              </w:rPr>
              <w:t>$</w:t>
            </w:r>
            <w:r>
              <w:rPr>
                <w:rFonts w:cs="Segoe UI"/>
                <w:color w:val="000000"/>
                <w:sz w:val="20"/>
                <w:szCs w:val="20"/>
              </w:rPr>
              <w:t>152.3 million</w:t>
            </w:r>
          </w:p>
        </w:tc>
      </w:tr>
    </w:tbl>
    <w:p w14:paraId="666098CB" w14:textId="77777777" w:rsidR="00B07483" w:rsidRPr="003D290F" w:rsidRDefault="00B07483" w:rsidP="005D46F4">
      <w:pPr>
        <w:spacing w:before="240"/>
      </w:pPr>
      <w:r w:rsidRPr="003D290F">
        <w:rPr>
          <w:rFonts w:eastAsia="Times New Roman"/>
          <w:b/>
          <w:color w:val="1B375C" w:themeColor="accent1"/>
        </w:rPr>
        <w:t>Table 4.</w:t>
      </w:r>
      <w:r w:rsidR="008D1AE8">
        <w:rPr>
          <w:rFonts w:eastAsia="Times New Roman"/>
          <w:b/>
          <w:color w:val="1B375C" w:themeColor="accent1"/>
        </w:rPr>
        <w:t>1</w:t>
      </w:r>
      <w:r w:rsidR="00757876">
        <w:rPr>
          <w:rFonts w:eastAsia="Times New Roman"/>
          <w:b/>
          <w:color w:val="1B375C" w:themeColor="accent1"/>
        </w:rPr>
        <w:t>2</w:t>
      </w:r>
      <w:r w:rsidRPr="003D290F">
        <w:rPr>
          <w:rFonts w:eastAsia="Times New Roman"/>
          <w:b/>
          <w:color w:val="1B375C" w:themeColor="accent1"/>
        </w:rPr>
        <w:t xml:space="preserve"> </w:t>
      </w:r>
      <w:r w:rsidRPr="003D290F">
        <w:t>presents the impact of an unlegislated and legislated pooled redeployment plan under a ten per cent discount rate.</w:t>
      </w:r>
      <w:r w:rsidRPr="003D290F">
        <w:rPr>
          <w:rFonts w:eastAsia="Times New Roman"/>
          <w:b/>
          <w:color w:val="1B375C" w:themeColor="accent1"/>
        </w:rPr>
        <w:t xml:space="preserve"> </w:t>
      </w:r>
      <w:r w:rsidRPr="003D290F">
        <w:t xml:space="preserve">Under a ten per cent discount rate, the overall estimated impact of both plans is less than under a seven per cent discount rate as the value of discounted impacts towards the end of the time horizon are lower. The present value of the benefit to workers and the cost to employers and government is estimated to be lower than with a seven per cent discount rate under both the legislated and unlegislated plans. </w:t>
      </w:r>
    </w:p>
    <w:p w14:paraId="22D286E1" w14:textId="77777777" w:rsidR="00AF26BA" w:rsidRPr="003D290F" w:rsidRDefault="00AF26BA" w:rsidP="001E79E2">
      <w:pPr>
        <w:spacing w:after="0"/>
      </w:pPr>
      <w:r w:rsidRPr="003D290F">
        <w:rPr>
          <w:rFonts w:eastAsia="Times New Roman" w:cs="Segoe UI"/>
          <w:b/>
          <w:sz w:val="24"/>
          <w:szCs w:val="24"/>
        </w:rPr>
        <w:t>TABLE 4.</w:t>
      </w:r>
      <w:r w:rsidR="008D1AE8">
        <w:rPr>
          <w:rFonts w:eastAsia="Times New Roman" w:cs="Segoe UI"/>
          <w:b/>
          <w:sz w:val="24"/>
          <w:szCs w:val="24"/>
        </w:rPr>
        <w:t>1</w:t>
      </w:r>
      <w:r w:rsidR="00757876">
        <w:rPr>
          <w:rFonts w:eastAsia="Times New Roman" w:cs="Segoe UI"/>
          <w:b/>
          <w:sz w:val="24"/>
          <w:szCs w:val="24"/>
        </w:rPr>
        <w:t>2</w:t>
      </w:r>
      <w:r w:rsidRPr="003D290F">
        <w:rPr>
          <w:rFonts w:eastAsia="Times New Roman" w:cs="Segoe UI"/>
          <w:b/>
          <w:sz w:val="24"/>
          <w:szCs w:val="24"/>
        </w:rPr>
        <w:t xml:space="preserve"> SENSITIVITY ANALYSIS WITH 10 PER CENT DISCOUNT RATE</w:t>
      </w:r>
    </w:p>
    <w:tbl>
      <w:tblPr>
        <w:tblW w:w="0" w:type="auto"/>
        <w:tblInd w:w="-10" w:type="dxa"/>
        <w:tblLook w:val="04A0" w:firstRow="1" w:lastRow="0" w:firstColumn="1" w:lastColumn="0" w:noHBand="0" w:noVBand="1"/>
      </w:tblPr>
      <w:tblGrid>
        <w:gridCol w:w="6090"/>
        <w:gridCol w:w="2274"/>
      </w:tblGrid>
      <w:tr w:rsidR="00AF26BA" w:rsidRPr="003D290F" w14:paraId="19FFB8AD" w14:textId="77777777" w:rsidTr="001E79E2">
        <w:trPr>
          <w:trHeight w:val="300"/>
        </w:trPr>
        <w:tc>
          <w:tcPr>
            <w:tcW w:w="0" w:type="auto"/>
            <w:tcBorders>
              <w:top w:val="single" w:sz="8" w:space="0" w:color="FFFFFF"/>
              <w:left w:val="single" w:sz="8" w:space="0" w:color="FFFFFF"/>
              <w:bottom w:val="single" w:sz="8" w:space="0" w:color="FFFFFF"/>
              <w:right w:val="nil"/>
            </w:tcBorders>
            <w:shd w:val="clear" w:color="000000" w:fill="1B375C"/>
            <w:vAlign w:val="center"/>
            <w:hideMark/>
          </w:tcPr>
          <w:p w14:paraId="018D2522" w14:textId="77777777" w:rsidR="00AF26BA" w:rsidRPr="003D290F" w:rsidRDefault="00AF26BA" w:rsidP="00AF26BA">
            <w:pPr>
              <w:spacing w:after="0" w:line="240" w:lineRule="auto"/>
              <w:rPr>
                <w:rFonts w:eastAsia="Times New Roman" w:cs="Segoe UI"/>
                <w:b/>
                <w:bCs/>
                <w:color w:val="FFFFFF"/>
                <w:sz w:val="20"/>
                <w:szCs w:val="20"/>
                <w:lang w:eastAsia="en-AU"/>
              </w:rPr>
            </w:pPr>
            <w:r w:rsidRPr="003D290F">
              <w:rPr>
                <w:rFonts w:cs="Segoe UI"/>
                <w:b/>
                <w:bCs/>
                <w:color w:val="FFFFFF"/>
                <w:sz w:val="20"/>
                <w:szCs w:val="20"/>
              </w:rPr>
              <w:t> </w:t>
            </w:r>
          </w:p>
        </w:tc>
        <w:tc>
          <w:tcPr>
            <w:tcW w:w="2274" w:type="dxa"/>
            <w:tcBorders>
              <w:top w:val="single" w:sz="8" w:space="0" w:color="FFFFFF"/>
              <w:left w:val="nil"/>
              <w:bottom w:val="single" w:sz="8" w:space="0" w:color="FFFFFF"/>
              <w:right w:val="single" w:sz="8" w:space="0" w:color="FFFFFF"/>
            </w:tcBorders>
            <w:shd w:val="clear" w:color="000000" w:fill="1B375C"/>
            <w:vAlign w:val="center"/>
            <w:hideMark/>
          </w:tcPr>
          <w:p w14:paraId="1ED63018" w14:textId="77777777" w:rsidR="00AF26BA" w:rsidRPr="003D290F" w:rsidRDefault="00AF26BA" w:rsidP="00AF26BA">
            <w:pPr>
              <w:spacing w:after="0" w:line="240" w:lineRule="auto"/>
              <w:jc w:val="center"/>
              <w:rPr>
                <w:rFonts w:eastAsia="Times New Roman" w:cs="Segoe UI"/>
                <w:b/>
                <w:bCs/>
                <w:color w:val="FFFFFF"/>
                <w:sz w:val="20"/>
                <w:szCs w:val="20"/>
                <w:lang w:eastAsia="en-AU"/>
              </w:rPr>
            </w:pPr>
            <w:r w:rsidRPr="003D290F">
              <w:rPr>
                <w:rFonts w:cs="Segoe UI"/>
                <w:b/>
                <w:bCs/>
                <w:color w:val="FFFFFF"/>
                <w:sz w:val="20"/>
                <w:szCs w:val="20"/>
              </w:rPr>
              <w:t>NET PRESENT VALUE</w:t>
            </w:r>
          </w:p>
        </w:tc>
      </w:tr>
      <w:tr w:rsidR="00AF26BA" w:rsidRPr="003D290F" w14:paraId="1C9EBD45" w14:textId="77777777" w:rsidTr="001E79E2">
        <w:trPr>
          <w:trHeight w:val="300"/>
        </w:trPr>
        <w:tc>
          <w:tcPr>
            <w:tcW w:w="0" w:type="auto"/>
            <w:tcBorders>
              <w:top w:val="nil"/>
              <w:left w:val="single" w:sz="8" w:space="0" w:color="FFFFFF"/>
              <w:bottom w:val="single" w:sz="8" w:space="0" w:color="FFFFFF"/>
              <w:right w:val="nil"/>
            </w:tcBorders>
            <w:shd w:val="clear" w:color="000000" w:fill="27518B"/>
            <w:vAlign w:val="center"/>
            <w:hideMark/>
          </w:tcPr>
          <w:p w14:paraId="025C8D6B" w14:textId="77777777" w:rsidR="00AF26BA" w:rsidRPr="003D290F" w:rsidRDefault="00AF26BA" w:rsidP="0021615A">
            <w:pPr>
              <w:spacing w:after="0" w:line="240" w:lineRule="auto"/>
              <w:rPr>
                <w:rFonts w:eastAsia="Times New Roman" w:cs="Segoe UI"/>
                <w:b/>
                <w:bCs/>
                <w:color w:val="FFFFFF"/>
                <w:sz w:val="20"/>
                <w:szCs w:val="20"/>
                <w:lang w:eastAsia="en-AU"/>
              </w:rPr>
            </w:pPr>
            <w:r w:rsidRPr="003D290F">
              <w:rPr>
                <w:rFonts w:cs="Segoe UI"/>
                <w:b/>
                <w:bCs/>
                <w:color w:val="FFFFFF"/>
                <w:sz w:val="20"/>
                <w:szCs w:val="20"/>
              </w:rPr>
              <w:t xml:space="preserve">Option 2: Pooled redeployment </w:t>
            </w:r>
            <w:r w:rsidR="0021615A" w:rsidRPr="003D290F">
              <w:rPr>
                <w:rFonts w:cs="Segoe UI"/>
                <w:b/>
                <w:bCs/>
                <w:color w:val="FFFFFF"/>
                <w:sz w:val="20"/>
                <w:szCs w:val="20"/>
              </w:rPr>
              <w:t>plan</w:t>
            </w:r>
            <w:r w:rsidRPr="003D290F">
              <w:rPr>
                <w:rFonts w:cs="Segoe UI"/>
                <w:b/>
                <w:bCs/>
                <w:color w:val="FFFFFF"/>
                <w:sz w:val="20"/>
                <w:szCs w:val="20"/>
              </w:rPr>
              <w:t xml:space="preserve"> (unlegislated)</w:t>
            </w:r>
          </w:p>
        </w:tc>
        <w:tc>
          <w:tcPr>
            <w:tcW w:w="2274" w:type="dxa"/>
            <w:tcBorders>
              <w:top w:val="nil"/>
              <w:left w:val="nil"/>
              <w:bottom w:val="single" w:sz="8" w:space="0" w:color="FFFFFF"/>
              <w:right w:val="single" w:sz="8" w:space="0" w:color="FFFFFF"/>
            </w:tcBorders>
            <w:shd w:val="clear" w:color="000000" w:fill="27518B"/>
            <w:vAlign w:val="center"/>
            <w:hideMark/>
          </w:tcPr>
          <w:p w14:paraId="33AA056C" w14:textId="77777777" w:rsidR="00AF26BA" w:rsidRPr="003D290F" w:rsidRDefault="000009AD" w:rsidP="00AF26BA">
            <w:pPr>
              <w:spacing w:after="0" w:line="240" w:lineRule="auto"/>
              <w:jc w:val="right"/>
              <w:rPr>
                <w:rFonts w:eastAsia="Times New Roman" w:cs="Segoe UI"/>
                <w:b/>
                <w:bCs/>
                <w:color w:val="FFFFFF"/>
                <w:sz w:val="20"/>
                <w:szCs w:val="20"/>
                <w:lang w:eastAsia="en-AU"/>
              </w:rPr>
            </w:pPr>
            <w:r>
              <w:rPr>
                <w:rFonts w:cs="Segoe UI"/>
                <w:b/>
                <w:bCs/>
                <w:color w:val="FFFFFF"/>
                <w:sz w:val="20"/>
                <w:szCs w:val="20"/>
              </w:rPr>
              <w:t>-14.3 million</w:t>
            </w:r>
          </w:p>
        </w:tc>
      </w:tr>
      <w:tr w:rsidR="00AF26BA" w:rsidRPr="003D290F" w14:paraId="2BA1DC71"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10CFB54E" w14:textId="77777777" w:rsidR="00AF26BA" w:rsidRPr="003D290F" w:rsidRDefault="00AF26BA" w:rsidP="00AF26BA">
            <w:pPr>
              <w:spacing w:after="0" w:line="240" w:lineRule="auto"/>
              <w:ind w:firstLineChars="100" w:firstLine="200"/>
              <w:rPr>
                <w:rFonts w:eastAsia="Times New Roman" w:cs="Segoe UI"/>
                <w:color w:val="000000"/>
                <w:sz w:val="20"/>
                <w:szCs w:val="20"/>
                <w:lang w:eastAsia="en-AU"/>
              </w:rPr>
            </w:pPr>
            <w:r w:rsidRPr="003D290F">
              <w:rPr>
                <w:rFonts w:cs="Segoe UI"/>
                <w:color w:val="000000"/>
                <w:sz w:val="20"/>
                <w:szCs w:val="20"/>
              </w:rPr>
              <w:t>Closing and receiving employers</w:t>
            </w:r>
          </w:p>
        </w:tc>
        <w:tc>
          <w:tcPr>
            <w:tcW w:w="2274" w:type="dxa"/>
            <w:tcBorders>
              <w:top w:val="nil"/>
              <w:left w:val="nil"/>
              <w:bottom w:val="single" w:sz="8" w:space="0" w:color="FFFFFF"/>
              <w:right w:val="single" w:sz="8" w:space="0" w:color="FFFFFF"/>
            </w:tcBorders>
            <w:shd w:val="clear" w:color="000000" w:fill="E0E8F2"/>
            <w:vAlign w:val="center"/>
            <w:hideMark/>
          </w:tcPr>
          <w:p w14:paraId="0B6B3A22" w14:textId="77777777" w:rsidR="00AF26BA" w:rsidRPr="003D290F" w:rsidRDefault="000009AD" w:rsidP="00AF26BA">
            <w:pPr>
              <w:spacing w:after="0" w:line="240" w:lineRule="auto"/>
              <w:jc w:val="right"/>
              <w:rPr>
                <w:rFonts w:eastAsia="Times New Roman" w:cs="Segoe UI"/>
                <w:color w:val="000000"/>
                <w:sz w:val="20"/>
                <w:szCs w:val="20"/>
                <w:lang w:eastAsia="en-AU"/>
              </w:rPr>
            </w:pPr>
            <w:r>
              <w:rPr>
                <w:rFonts w:cs="Segoe UI"/>
                <w:color w:val="000000"/>
                <w:sz w:val="20"/>
                <w:szCs w:val="20"/>
              </w:rPr>
              <w:t>-3.1 million</w:t>
            </w:r>
          </w:p>
        </w:tc>
      </w:tr>
      <w:tr w:rsidR="00B07483" w:rsidRPr="003D290F" w14:paraId="6E5C6519"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auto" w:fill="auto"/>
            <w:vAlign w:val="center"/>
            <w:hideMark/>
          </w:tcPr>
          <w:p w14:paraId="7B92B214" w14:textId="77777777" w:rsidR="00AF26BA" w:rsidRPr="003D290F" w:rsidRDefault="00AF26BA" w:rsidP="00AF26BA">
            <w:pPr>
              <w:spacing w:after="0" w:line="240" w:lineRule="auto"/>
              <w:ind w:firstLineChars="300" w:firstLine="600"/>
              <w:rPr>
                <w:rFonts w:eastAsia="Times New Roman" w:cs="Segoe UI"/>
                <w:i/>
                <w:iCs/>
                <w:color w:val="000000"/>
                <w:sz w:val="20"/>
                <w:szCs w:val="20"/>
                <w:lang w:eastAsia="en-AU"/>
              </w:rPr>
            </w:pPr>
            <w:r w:rsidRPr="003D290F">
              <w:rPr>
                <w:rFonts w:cs="Segoe UI"/>
                <w:i/>
                <w:iCs/>
                <w:color w:val="000000"/>
                <w:sz w:val="20"/>
                <w:szCs w:val="20"/>
              </w:rPr>
              <w:t>Of which: regulatory costs</w:t>
            </w:r>
          </w:p>
        </w:tc>
        <w:tc>
          <w:tcPr>
            <w:tcW w:w="2274" w:type="dxa"/>
            <w:tcBorders>
              <w:top w:val="nil"/>
              <w:left w:val="nil"/>
              <w:bottom w:val="single" w:sz="8" w:space="0" w:color="FFFFFF"/>
              <w:right w:val="single" w:sz="8" w:space="0" w:color="FFFFFF"/>
            </w:tcBorders>
            <w:shd w:val="clear" w:color="auto" w:fill="auto"/>
            <w:vAlign w:val="center"/>
            <w:hideMark/>
          </w:tcPr>
          <w:p w14:paraId="45C6955A" w14:textId="77777777" w:rsidR="00AF26BA" w:rsidRPr="003D290F" w:rsidRDefault="000009AD" w:rsidP="00AF26BA">
            <w:pPr>
              <w:spacing w:after="0" w:line="240" w:lineRule="auto"/>
              <w:jc w:val="right"/>
              <w:rPr>
                <w:rFonts w:eastAsia="Times New Roman" w:cs="Segoe UI"/>
                <w:i/>
                <w:iCs/>
                <w:color w:val="000000"/>
                <w:sz w:val="20"/>
                <w:szCs w:val="20"/>
                <w:lang w:eastAsia="en-AU"/>
              </w:rPr>
            </w:pPr>
            <w:r>
              <w:rPr>
                <w:rFonts w:cs="Segoe UI"/>
                <w:i/>
                <w:iCs/>
                <w:color w:val="000000"/>
                <w:sz w:val="20"/>
                <w:szCs w:val="20"/>
              </w:rPr>
              <w:t>-3.1 million</w:t>
            </w:r>
          </w:p>
        </w:tc>
      </w:tr>
      <w:tr w:rsidR="00AF26BA" w:rsidRPr="003D290F" w14:paraId="01F48766"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699F7441" w14:textId="77777777" w:rsidR="00AF26BA" w:rsidRPr="003D290F" w:rsidRDefault="00AF26BA" w:rsidP="00AF26BA">
            <w:pPr>
              <w:spacing w:after="0" w:line="240" w:lineRule="auto"/>
              <w:ind w:firstLineChars="100" w:firstLine="200"/>
              <w:rPr>
                <w:rFonts w:eastAsia="Times New Roman" w:cs="Segoe UI"/>
                <w:color w:val="000000"/>
                <w:sz w:val="20"/>
                <w:szCs w:val="20"/>
                <w:lang w:eastAsia="en-AU"/>
              </w:rPr>
            </w:pPr>
            <w:r w:rsidRPr="003D290F">
              <w:rPr>
                <w:rFonts w:cs="Segoe UI"/>
                <w:color w:val="000000"/>
                <w:sz w:val="20"/>
                <w:szCs w:val="20"/>
              </w:rPr>
              <w:t>Closing employer employees and receiving employer employees</w:t>
            </w:r>
          </w:p>
        </w:tc>
        <w:tc>
          <w:tcPr>
            <w:tcW w:w="2274" w:type="dxa"/>
            <w:tcBorders>
              <w:top w:val="nil"/>
              <w:left w:val="nil"/>
              <w:bottom w:val="single" w:sz="8" w:space="0" w:color="FFFFFF"/>
              <w:right w:val="single" w:sz="8" w:space="0" w:color="FFFFFF"/>
            </w:tcBorders>
            <w:shd w:val="clear" w:color="000000" w:fill="E0E8F2"/>
            <w:vAlign w:val="center"/>
            <w:hideMark/>
          </w:tcPr>
          <w:p w14:paraId="253BCB57" w14:textId="77777777" w:rsidR="00AF26BA" w:rsidRPr="003D290F" w:rsidRDefault="000009AD" w:rsidP="00AF26BA">
            <w:pPr>
              <w:spacing w:after="0" w:line="240" w:lineRule="auto"/>
              <w:jc w:val="right"/>
              <w:rPr>
                <w:rFonts w:eastAsia="Times New Roman" w:cs="Segoe UI"/>
                <w:color w:val="000000"/>
                <w:sz w:val="20"/>
                <w:szCs w:val="20"/>
                <w:lang w:eastAsia="en-AU"/>
              </w:rPr>
            </w:pPr>
            <w:r>
              <w:rPr>
                <w:rFonts w:cs="Segoe UI"/>
                <w:color w:val="000000"/>
                <w:sz w:val="20"/>
                <w:szCs w:val="20"/>
              </w:rPr>
              <w:t>+$34.7 million</w:t>
            </w:r>
          </w:p>
        </w:tc>
      </w:tr>
      <w:tr w:rsidR="00B07483" w:rsidRPr="003D290F" w14:paraId="143675A2"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auto" w:fill="auto"/>
            <w:vAlign w:val="center"/>
            <w:hideMark/>
          </w:tcPr>
          <w:p w14:paraId="1CFB0FC6" w14:textId="77777777" w:rsidR="00AF26BA" w:rsidRPr="003D290F" w:rsidRDefault="00AF26BA" w:rsidP="00AF26BA">
            <w:pPr>
              <w:spacing w:after="0" w:line="240" w:lineRule="auto"/>
              <w:ind w:firstLineChars="100" w:firstLine="200"/>
              <w:rPr>
                <w:rFonts w:eastAsia="Times New Roman" w:cs="Segoe UI"/>
                <w:color w:val="000000"/>
                <w:sz w:val="20"/>
                <w:szCs w:val="20"/>
                <w:lang w:eastAsia="en-AU"/>
              </w:rPr>
            </w:pPr>
            <w:r w:rsidRPr="003D290F">
              <w:rPr>
                <w:rFonts w:cs="Segoe UI"/>
                <w:color w:val="000000"/>
                <w:sz w:val="20"/>
                <w:szCs w:val="20"/>
              </w:rPr>
              <w:t>Government</w:t>
            </w:r>
          </w:p>
        </w:tc>
        <w:tc>
          <w:tcPr>
            <w:tcW w:w="2274" w:type="dxa"/>
            <w:tcBorders>
              <w:top w:val="nil"/>
              <w:left w:val="nil"/>
              <w:bottom w:val="single" w:sz="8" w:space="0" w:color="FFFFFF"/>
              <w:right w:val="single" w:sz="8" w:space="0" w:color="FFFFFF"/>
            </w:tcBorders>
            <w:shd w:val="clear" w:color="auto" w:fill="auto"/>
            <w:vAlign w:val="center"/>
            <w:hideMark/>
          </w:tcPr>
          <w:p w14:paraId="6698EFDA" w14:textId="77777777" w:rsidR="00AF26BA" w:rsidRPr="001E79E2" w:rsidRDefault="000009AD" w:rsidP="00AF26BA">
            <w:pPr>
              <w:spacing w:after="0" w:line="240" w:lineRule="auto"/>
              <w:jc w:val="right"/>
              <w:rPr>
                <w:rFonts w:eastAsia="Times New Roman" w:cs="Segoe UI"/>
                <w:color w:val="000000"/>
                <w:sz w:val="20"/>
                <w:szCs w:val="20"/>
                <w:lang w:eastAsia="en-AU"/>
              </w:rPr>
            </w:pPr>
            <w:r w:rsidRPr="001E79E2">
              <w:rPr>
                <w:rFonts w:cs="Segoe UI"/>
                <w:color w:val="000000"/>
                <w:sz w:val="20"/>
                <w:szCs w:val="20"/>
              </w:rPr>
              <w:t>-45.9 million</w:t>
            </w:r>
          </w:p>
        </w:tc>
      </w:tr>
      <w:tr w:rsidR="00AF26BA" w:rsidRPr="003D290F" w14:paraId="422EBBDE" w14:textId="77777777" w:rsidTr="001E79E2">
        <w:trPr>
          <w:trHeight w:val="300"/>
        </w:trPr>
        <w:tc>
          <w:tcPr>
            <w:tcW w:w="0" w:type="auto"/>
            <w:tcBorders>
              <w:top w:val="nil"/>
              <w:left w:val="single" w:sz="8" w:space="0" w:color="FFFFFF"/>
              <w:bottom w:val="single" w:sz="8" w:space="0" w:color="FFFFFF"/>
              <w:right w:val="nil"/>
            </w:tcBorders>
            <w:shd w:val="clear" w:color="000000" w:fill="27518B"/>
            <w:vAlign w:val="center"/>
            <w:hideMark/>
          </w:tcPr>
          <w:p w14:paraId="084B8FDD" w14:textId="77777777" w:rsidR="00AF26BA" w:rsidRPr="003D290F" w:rsidRDefault="00AF26BA" w:rsidP="0021615A">
            <w:pPr>
              <w:spacing w:after="0" w:line="240" w:lineRule="auto"/>
              <w:rPr>
                <w:rFonts w:eastAsia="Times New Roman" w:cs="Segoe UI"/>
                <w:b/>
                <w:bCs/>
                <w:color w:val="FFFFFF"/>
                <w:sz w:val="20"/>
                <w:szCs w:val="20"/>
                <w:lang w:eastAsia="en-AU"/>
              </w:rPr>
            </w:pPr>
            <w:r w:rsidRPr="003D290F">
              <w:rPr>
                <w:rFonts w:cs="Segoe UI"/>
                <w:b/>
                <w:bCs/>
                <w:color w:val="FFFFFF"/>
                <w:sz w:val="20"/>
                <w:szCs w:val="20"/>
              </w:rPr>
              <w:t xml:space="preserve">Option 3: Pooled redeployment </w:t>
            </w:r>
            <w:r w:rsidR="0021615A" w:rsidRPr="003D290F">
              <w:rPr>
                <w:rFonts w:cs="Segoe UI"/>
                <w:b/>
                <w:bCs/>
                <w:color w:val="FFFFFF"/>
                <w:sz w:val="20"/>
                <w:szCs w:val="20"/>
              </w:rPr>
              <w:t>plan</w:t>
            </w:r>
            <w:r w:rsidRPr="003D290F">
              <w:rPr>
                <w:rFonts w:cs="Segoe UI"/>
                <w:b/>
                <w:bCs/>
                <w:color w:val="FFFFFF"/>
                <w:sz w:val="20"/>
                <w:szCs w:val="20"/>
              </w:rPr>
              <w:t xml:space="preserve"> (legislated)</w:t>
            </w:r>
          </w:p>
        </w:tc>
        <w:tc>
          <w:tcPr>
            <w:tcW w:w="2274" w:type="dxa"/>
            <w:tcBorders>
              <w:top w:val="nil"/>
              <w:left w:val="nil"/>
              <w:bottom w:val="single" w:sz="8" w:space="0" w:color="FFFFFF"/>
              <w:right w:val="single" w:sz="8" w:space="0" w:color="FFFFFF"/>
            </w:tcBorders>
            <w:shd w:val="clear" w:color="000000" w:fill="27518B"/>
            <w:vAlign w:val="center"/>
            <w:hideMark/>
          </w:tcPr>
          <w:p w14:paraId="55DAB3C0" w14:textId="77777777" w:rsidR="00AF26BA" w:rsidRPr="003D290F" w:rsidRDefault="000009AD" w:rsidP="00AF26BA">
            <w:pPr>
              <w:spacing w:after="0" w:line="240" w:lineRule="auto"/>
              <w:jc w:val="right"/>
              <w:rPr>
                <w:rFonts w:eastAsia="Times New Roman" w:cs="Segoe UI"/>
                <w:b/>
                <w:bCs/>
                <w:color w:val="FFFFFF"/>
                <w:sz w:val="20"/>
                <w:szCs w:val="20"/>
                <w:lang w:eastAsia="en-AU"/>
              </w:rPr>
            </w:pPr>
            <w:r>
              <w:rPr>
                <w:rFonts w:cs="Segoe UI"/>
                <w:b/>
                <w:bCs/>
                <w:color w:val="FFFFFF"/>
                <w:sz w:val="20"/>
                <w:szCs w:val="20"/>
              </w:rPr>
              <w:t>-28.8 million</w:t>
            </w:r>
          </w:p>
        </w:tc>
      </w:tr>
      <w:tr w:rsidR="00AF26BA" w:rsidRPr="003D290F" w14:paraId="1E5A6E23"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15EA1BCD" w14:textId="77777777" w:rsidR="00AF26BA" w:rsidRPr="003D290F" w:rsidRDefault="00AF26BA" w:rsidP="00AF26BA">
            <w:pPr>
              <w:spacing w:after="0" w:line="240" w:lineRule="auto"/>
              <w:ind w:firstLineChars="100" w:firstLine="200"/>
              <w:rPr>
                <w:rFonts w:eastAsia="Times New Roman" w:cs="Segoe UI"/>
                <w:color w:val="000000"/>
                <w:sz w:val="20"/>
                <w:szCs w:val="20"/>
                <w:lang w:eastAsia="en-AU"/>
              </w:rPr>
            </w:pPr>
            <w:r w:rsidRPr="003D290F">
              <w:rPr>
                <w:rFonts w:cs="Segoe UI"/>
                <w:color w:val="000000"/>
                <w:sz w:val="20"/>
                <w:szCs w:val="20"/>
              </w:rPr>
              <w:t>Closing and receiving employers</w:t>
            </w:r>
          </w:p>
        </w:tc>
        <w:tc>
          <w:tcPr>
            <w:tcW w:w="2274" w:type="dxa"/>
            <w:tcBorders>
              <w:top w:val="nil"/>
              <w:left w:val="nil"/>
              <w:bottom w:val="single" w:sz="8" w:space="0" w:color="FFFFFF"/>
              <w:right w:val="single" w:sz="8" w:space="0" w:color="FFFFFF"/>
            </w:tcBorders>
            <w:shd w:val="clear" w:color="000000" w:fill="E0E8F2"/>
            <w:vAlign w:val="center"/>
            <w:hideMark/>
          </w:tcPr>
          <w:p w14:paraId="51394D61" w14:textId="77777777" w:rsidR="00AF26BA" w:rsidRPr="003D290F" w:rsidRDefault="000009AD" w:rsidP="00AF26BA">
            <w:pPr>
              <w:spacing w:after="0" w:line="240" w:lineRule="auto"/>
              <w:jc w:val="right"/>
              <w:rPr>
                <w:rFonts w:eastAsia="Times New Roman" w:cs="Segoe UI"/>
                <w:color w:val="000000"/>
                <w:sz w:val="20"/>
                <w:szCs w:val="20"/>
                <w:lang w:eastAsia="en-AU"/>
              </w:rPr>
            </w:pPr>
            <w:r>
              <w:rPr>
                <w:rFonts w:cs="Segoe UI"/>
                <w:color w:val="000000"/>
                <w:sz w:val="20"/>
                <w:szCs w:val="20"/>
              </w:rPr>
              <w:t>-19.8 million</w:t>
            </w:r>
          </w:p>
        </w:tc>
      </w:tr>
      <w:tr w:rsidR="00B07483" w:rsidRPr="003D290F" w14:paraId="753428DB"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auto" w:fill="auto"/>
            <w:vAlign w:val="center"/>
            <w:hideMark/>
          </w:tcPr>
          <w:p w14:paraId="0E3FFDC6" w14:textId="77777777" w:rsidR="00AF26BA" w:rsidRPr="003D290F" w:rsidRDefault="00AF26BA" w:rsidP="00AF26BA">
            <w:pPr>
              <w:spacing w:after="0" w:line="240" w:lineRule="auto"/>
              <w:ind w:firstLineChars="300" w:firstLine="600"/>
              <w:rPr>
                <w:rFonts w:eastAsia="Times New Roman" w:cs="Segoe UI"/>
                <w:i/>
                <w:iCs/>
                <w:color w:val="000000"/>
                <w:sz w:val="20"/>
                <w:szCs w:val="20"/>
                <w:lang w:eastAsia="en-AU"/>
              </w:rPr>
            </w:pPr>
            <w:r w:rsidRPr="003D290F">
              <w:rPr>
                <w:rFonts w:cs="Segoe UI"/>
                <w:i/>
                <w:iCs/>
                <w:color w:val="000000"/>
                <w:sz w:val="20"/>
                <w:szCs w:val="20"/>
              </w:rPr>
              <w:t>Of which: regulatory costs</w:t>
            </w:r>
          </w:p>
        </w:tc>
        <w:tc>
          <w:tcPr>
            <w:tcW w:w="2274" w:type="dxa"/>
            <w:tcBorders>
              <w:top w:val="nil"/>
              <w:left w:val="nil"/>
              <w:bottom w:val="single" w:sz="8" w:space="0" w:color="FFFFFF"/>
              <w:right w:val="single" w:sz="8" w:space="0" w:color="FFFFFF"/>
            </w:tcBorders>
            <w:shd w:val="clear" w:color="auto" w:fill="auto"/>
            <w:vAlign w:val="center"/>
            <w:hideMark/>
          </w:tcPr>
          <w:p w14:paraId="47F74C3A" w14:textId="77777777" w:rsidR="00AF26BA" w:rsidRPr="003D290F" w:rsidRDefault="000009AD" w:rsidP="00AF26BA">
            <w:pPr>
              <w:spacing w:after="0" w:line="240" w:lineRule="auto"/>
              <w:jc w:val="right"/>
              <w:rPr>
                <w:rFonts w:eastAsia="Times New Roman" w:cs="Segoe UI"/>
                <w:i/>
                <w:iCs/>
                <w:color w:val="000000"/>
                <w:sz w:val="20"/>
                <w:szCs w:val="20"/>
                <w:lang w:eastAsia="en-AU"/>
              </w:rPr>
            </w:pPr>
            <w:r>
              <w:rPr>
                <w:rFonts w:cs="Segoe UI"/>
                <w:i/>
                <w:iCs/>
                <w:color w:val="000000"/>
                <w:sz w:val="20"/>
                <w:szCs w:val="20"/>
              </w:rPr>
              <w:t>-9.2 million</w:t>
            </w:r>
          </w:p>
        </w:tc>
      </w:tr>
      <w:tr w:rsidR="00AF26BA" w:rsidRPr="003D290F" w14:paraId="32632B80" w14:textId="77777777" w:rsidTr="001E79E2">
        <w:trPr>
          <w:trHeight w:val="300"/>
        </w:trPr>
        <w:tc>
          <w:tcPr>
            <w:tcW w:w="0" w:type="auto"/>
            <w:tcBorders>
              <w:top w:val="nil"/>
              <w:left w:val="single" w:sz="8" w:space="0" w:color="FFFFFF"/>
              <w:bottom w:val="single" w:sz="8" w:space="0" w:color="FFFFFF"/>
              <w:right w:val="single" w:sz="8" w:space="0" w:color="FFFFFF"/>
            </w:tcBorders>
            <w:shd w:val="clear" w:color="000000" w:fill="E0E8F2"/>
            <w:vAlign w:val="center"/>
            <w:hideMark/>
          </w:tcPr>
          <w:p w14:paraId="6D1046F4" w14:textId="77777777" w:rsidR="00AF26BA" w:rsidRPr="003D290F" w:rsidRDefault="00AF26BA" w:rsidP="00AF26BA">
            <w:pPr>
              <w:spacing w:after="0" w:line="240" w:lineRule="auto"/>
              <w:ind w:firstLineChars="100" w:firstLine="200"/>
              <w:rPr>
                <w:rFonts w:eastAsia="Times New Roman" w:cs="Segoe UI"/>
                <w:color w:val="000000"/>
                <w:sz w:val="20"/>
                <w:szCs w:val="20"/>
                <w:lang w:eastAsia="en-AU"/>
              </w:rPr>
            </w:pPr>
            <w:r w:rsidRPr="003D290F">
              <w:rPr>
                <w:rFonts w:cs="Segoe UI"/>
                <w:color w:val="000000"/>
                <w:sz w:val="20"/>
                <w:szCs w:val="20"/>
              </w:rPr>
              <w:t>Closing employer employees and receiving employer employees</w:t>
            </w:r>
          </w:p>
        </w:tc>
        <w:tc>
          <w:tcPr>
            <w:tcW w:w="2274" w:type="dxa"/>
            <w:tcBorders>
              <w:top w:val="nil"/>
              <w:left w:val="nil"/>
              <w:bottom w:val="single" w:sz="8" w:space="0" w:color="FFFFFF"/>
              <w:right w:val="single" w:sz="8" w:space="0" w:color="FFFFFF"/>
            </w:tcBorders>
            <w:shd w:val="clear" w:color="000000" w:fill="E0E8F2"/>
            <w:vAlign w:val="center"/>
            <w:hideMark/>
          </w:tcPr>
          <w:p w14:paraId="247EDFF9" w14:textId="77777777" w:rsidR="00AF26BA" w:rsidRPr="003D290F" w:rsidRDefault="000009AD" w:rsidP="00AF26BA">
            <w:pPr>
              <w:spacing w:after="0" w:line="240" w:lineRule="auto"/>
              <w:jc w:val="right"/>
              <w:rPr>
                <w:rFonts w:eastAsia="Times New Roman" w:cs="Segoe UI"/>
                <w:color w:val="000000"/>
                <w:sz w:val="20"/>
                <w:szCs w:val="20"/>
                <w:lang w:eastAsia="en-AU"/>
              </w:rPr>
            </w:pPr>
            <w:r>
              <w:rPr>
                <w:rFonts w:cs="Segoe UI"/>
                <w:color w:val="000000"/>
                <w:sz w:val="20"/>
                <w:szCs w:val="20"/>
              </w:rPr>
              <w:t>+$102.8 million</w:t>
            </w:r>
          </w:p>
        </w:tc>
      </w:tr>
      <w:tr w:rsidR="00B07483" w:rsidRPr="003D290F" w14:paraId="63FCF937" w14:textId="77777777" w:rsidTr="001E79E2">
        <w:trPr>
          <w:trHeight w:val="300"/>
        </w:trPr>
        <w:tc>
          <w:tcPr>
            <w:tcW w:w="0" w:type="auto"/>
            <w:tcBorders>
              <w:top w:val="nil"/>
              <w:left w:val="single" w:sz="8" w:space="0" w:color="FFFFFF"/>
              <w:bottom w:val="single" w:sz="12" w:space="0" w:color="auto"/>
              <w:right w:val="single" w:sz="8" w:space="0" w:color="FFFFFF"/>
            </w:tcBorders>
            <w:shd w:val="clear" w:color="auto" w:fill="auto"/>
            <w:vAlign w:val="center"/>
            <w:hideMark/>
          </w:tcPr>
          <w:p w14:paraId="21889163" w14:textId="77777777" w:rsidR="00AF26BA" w:rsidRPr="003D290F" w:rsidRDefault="00AF26BA" w:rsidP="00AF26BA">
            <w:pPr>
              <w:spacing w:after="0" w:line="240" w:lineRule="auto"/>
              <w:ind w:firstLineChars="100" w:firstLine="200"/>
              <w:rPr>
                <w:rFonts w:eastAsia="Times New Roman" w:cs="Segoe UI"/>
                <w:color w:val="000000"/>
                <w:sz w:val="20"/>
                <w:szCs w:val="20"/>
                <w:lang w:eastAsia="en-AU"/>
              </w:rPr>
            </w:pPr>
            <w:r w:rsidRPr="003D290F">
              <w:rPr>
                <w:rFonts w:cs="Segoe UI"/>
                <w:color w:val="000000"/>
                <w:sz w:val="20"/>
                <w:szCs w:val="20"/>
              </w:rPr>
              <w:t>Government</w:t>
            </w:r>
          </w:p>
        </w:tc>
        <w:tc>
          <w:tcPr>
            <w:tcW w:w="2274" w:type="dxa"/>
            <w:tcBorders>
              <w:top w:val="nil"/>
              <w:left w:val="nil"/>
              <w:bottom w:val="single" w:sz="12" w:space="0" w:color="auto"/>
              <w:right w:val="single" w:sz="8" w:space="0" w:color="FFFFFF"/>
            </w:tcBorders>
            <w:shd w:val="clear" w:color="auto" w:fill="auto"/>
            <w:vAlign w:val="center"/>
            <w:hideMark/>
          </w:tcPr>
          <w:p w14:paraId="0F3E4C2C" w14:textId="77777777" w:rsidR="00AF26BA" w:rsidRPr="003D290F" w:rsidRDefault="000009AD" w:rsidP="00AF26BA">
            <w:pPr>
              <w:spacing w:after="0" w:line="240" w:lineRule="auto"/>
              <w:jc w:val="right"/>
              <w:rPr>
                <w:rFonts w:eastAsia="Times New Roman" w:cs="Segoe UI"/>
                <w:color w:val="000000"/>
                <w:sz w:val="20"/>
                <w:szCs w:val="20"/>
                <w:lang w:eastAsia="en-AU"/>
              </w:rPr>
            </w:pPr>
            <w:r>
              <w:rPr>
                <w:rFonts w:cs="Segoe UI"/>
                <w:color w:val="000000"/>
                <w:sz w:val="20"/>
                <w:szCs w:val="20"/>
              </w:rPr>
              <w:t>-111.9 million</w:t>
            </w:r>
          </w:p>
        </w:tc>
      </w:tr>
    </w:tbl>
    <w:p w14:paraId="7AF1ACE3" w14:textId="77777777" w:rsidR="00CA3365" w:rsidRDefault="00CA3365">
      <w:pPr>
        <w:pStyle w:val="Heading1"/>
      </w:pPr>
    </w:p>
    <w:p w14:paraId="24826E9D" w14:textId="77777777" w:rsidR="00CA3365" w:rsidRDefault="00CA3365">
      <w:pPr>
        <w:rPr>
          <w:rFonts w:eastAsiaTheme="majorEastAsia" w:cstheme="majorBidi"/>
          <w:color w:val="1B375C" w:themeColor="accent1"/>
          <w:sz w:val="48"/>
          <w:szCs w:val="40"/>
        </w:rPr>
      </w:pPr>
      <w:r>
        <w:br w:type="page"/>
      </w:r>
    </w:p>
    <w:p w14:paraId="3ADA311C" w14:textId="77777777" w:rsidR="0080674D" w:rsidRPr="0080674D" w:rsidRDefault="008969C0">
      <w:pPr>
        <w:pStyle w:val="Heading1"/>
      </w:pPr>
      <w:bookmarkStart w:id="340" w:name="_Toc161396004"/>
      <w:bookmarkStart w:id="341" w:name="_Toc161403540"/>
      <w:bookmarkStart w:id="342" w:name="_Toc161752274"/>
      <w:bookmarkStart w:id="343" w:name="_Toc161759712"/>
      <w:bookmarkEnd w:id="132"/>
      <w:r w:rsidRPr="003D290F">
        <w:lastRenderedPageBreak/>
        <w:t>5</w:t>
      </w:r>
      <w:r w:rsidR="00671079" w:rsidRPr="003D290F">
        <w:tab/>
      </w:r>
      <w:r w:rsidR="004B0B74" w:rsidRPr="003D290F">
        <w:t>Consultation during policy design</w:t>
      </w:r>
      <w:bookmarkEnd w:id="340"/>
      <w:bookmarkEnd w:id="341"/>
      <w:bookmarkEnd w:id="342"/>
      <w:bookmarkEnd w:id="343"/>
    </w:p>
    <w:p w14:paraId="5F9AE23A" w14:textId="77777777" w:rsidR="00E21311" w:rsidRPr="003D290F" w:rsidRDefault="00EF0029" w:rsidP="00B66BE0">
      <w:pPr>
        <w:rPr>
          <w:rFonts w:cs="Arial"/>
        </w:rPr>
      </w:pPr>
      <w:r w:rsidRPr="003D290F">
        <w:rPr>
          <w:rFonts w:cs="Arial"/>
        </w:rPr>
        <w:t xml:space="preserve">Since </w:t>
      </w:r>
      <w:r w:rsidR="008969C0" w:rsidRPr="003D290F">
        <w:rPr>
          <w:rFonts w:cs="Arial"/>
        </w:rPr>
        <w:t>the establishment of the Agency on 1 July 2023</w:t>
      </w:r>
      <w:r w:rsidRPr="003D290F">
        <w:rPr>
          <w:rFonts w:cs="Arial"/>
        </w:rPr>
        <w:t xml:space="preserve">, </w:t>
      </w:r>
      <w:r w:rsidR="0034390A">
        <w:rPr>
          <w:rFonts w:cs="Arial"/>
        </w:rPr>
        <w:t>it</w:t>
      </w:r>
      <w:r w:rsidR="0087549A" w:rsidRPr="003D290F">
        <w:rPr>
          <w:rFonts w:cs="Arial"/>
        </w:rPr>
        <w:t xml:space="preserve"> has consulted over </w:t>
      </w:r>
      <w:r w:rsidR="00A11DE0">
        <w:rPr>
          <w:rFonts w:cs="Arial"/>
        </w:rPr>
        <w:t>180</w:t>
      </w:r>
      <w:r w:rsidR="00F818A8" w:rsidRPr="003D290F">
        <w:rPr>
          <w:rFonts w:cs="Arial"/>
        </w:rPr>
        <w:t xml:space="preserve"> </w:t>
      </w:r>
      <w:r w:rsidR="0087549A" w:rsidRPr="003D290F">
        <w:rPr>
          <w:rFonts w:cs="Arial"/>
        </w:rPr>
        <w:t>stakeholder groups covering the brea</w:t>
      </w:r>
      <w:r w:rsidR="0034390A">
        <w:rPr>
          <w:rFonts w:cs="Arial"/>
        </w:rPr>
        <w:t>d</w:t>
      </w:r>
      <w:r w:rsidR="0087549A" w:rsidRPr="003D290F">
        <w:rPr>
          <w:rFonts w:cs="Arial"/>
        </w:rPr>
        <w:t xml:space="preserve">th of the Agency’s functions. This has included visits to Gladstone and Central Queensland, the Latrobe Valley and Gippsland, Newcastle and the Hunter and south-west Western Australia. Stakeholders engaged </w:t>
      </w:r>
      <w:r w:rsidR="004D10DC" w:rsidRPr="003D290F">
        <w:rPr>
          <w:rFonts w:cs="Arial"/>
        </w:rPr>
        <w:t>include other</w:t>
      </w:r>
      <w:r w:rsidR="0087549A" w:rsidRPr="003D290F">
        <w:rPr>
          <w:rFonts w:cs="Arial"/>
        </w:rPr>
        <w:t xml:space="preserve"> </w:t>
      </w:r>
      <w:r w:rsidR="0034390A">
        <w:rPr>
          <w:rFonts w:cs="Arial"/>
        </w:rPr>
        <w:t>Australian Government</w:t>
      </w:r>
      <w:r w:rsidR="0034390A" w:rsidRPr="003D290F">
        <w:rPr>
          <w:rFonts w:cs="Arial"/>
        </w:rPr>
        <w:t xml:space="preserve"> </w:t>
      </w:r>
      <w:r w:rsidR="004D10DC" w:rsidRPr="003D290F">
        <w:rPr>
          <w:rFonts w:cs="Arial"/>
        </w:rPr>
        <w:t>agencies</w:t>
      </w:r>
      <w:r w:rsidR="0087549A" w:rsidRPr="003D290F">
        <w:rPr>
          <w:rFonts w:cs="Arial"/>
        </w:rPr>
        <w:t>, state and territory</w:t>
      </w:r>
      <w:r w:rsidR="004D10DC" w:rsidRPr="003D290F">
        <w:rPr>
          <w:rFonts w:cs="Arial"/>
        </w:rPr>
        <w:t xml:space="preserve"> governments</w:t>
      </w:r>
      <w:r w:rsidR="0087549A" w:rsidRPr="003D290F">
        <w:rPr>
          <w:rFonts w:cs="Arial"/>
        </w:rPr>
        <w:t>, local governments</w:t>
      </w:r>
      <w:r w:rsidR="004D10DC" w:rsidRPr="003D290F">
        <w:rPr>
          <w:rFonts w:cs="Arial"/>
        </w:rPr>
        <w:t>,</w:t>
      </w:r>
      <w:r w:rsidR="0087549A" w:rsidRPr="003D290F">
        <w:rPr>
          <w:rFonts w:cs="Arial"/>
        </w:rPr>
        <w:t xml:space="preserve"> unions</w:t>
      </w:r>
      <w:r w:rsidR="004D10DC" w:rsidRPr="003D290F">
        <w:rPr>
          <w:rFonts w:cs="Arial"/>
        </w:rPr>
        <w:t>,</w:t>
      </w:r>
      <w:r w:rsidR="0087549A" w:rsidRPr="003D290F">
        <w:rPr>
          <w:rFonts w:cs="Arial"/>
        </w:rPr>
        <w:t xml:space="preserve"> First Nations groups</w:t>
      </w:r>
      <w:r w:rsidR="004D10DC" w:rsidRPr="003D290F">
        <w:rPr>
          <w:rFonts w:cs="Arial"/>
        </w:rPr>
        <w:t>,</w:t>
      </w:r>
      <w:r w:rsidR="0087549A" w:rsidRPr="003D290F">
        <w:rPr>
          <w:rFonts w:cs="Arial"/>
        </w:rPr>
        <w:t xml:space="preserve"> industry</w:t>
      </w:r>
      <w:r w:rsidR="004D10DC" w:rsidRPr="003D290F">
        <w:rPr>
          <w:rFonts w:cs="Arial"/>
        </w:rPr>
        <w:t>,</w:t>
      </w:r>
      <w:r w:rsidR="0087549A" w:rsidRPr="003D290F">
        <w:rPr>
          <w:rFonts w:cs="Arial"/>
        </w:rPr>
        <w:t xml:space="preserve"> investors</w:t>
      </w:r>
      <w:r w:rsidR="004D10DC" w:rsidRPr="003D290F">
        <w:rPr>
          <w:rFonts w:cs="Arial"/>
        </w:rPr>
        <w:t>,</w:t>
      </w:r>
      <w:r w:rsidR="0087549A" w:rsidRPr="003D290F">
        <w:rPr>
          <w:rFonts w:cs="Arial"/>
        </w:rPr>
        <w:t xml:space="preserve"> academic</w:t>
      </w:r>
      <w:r w:rsidR="004D10DC" w:rsidRPr="003D290F">
        <w:rPr>
          <w:rFonts w:cs="Arial"/>
        </w:rPr>
        <w:t>,</w:t>
      </w:r>
      <w:r w:rsidR="0087549A" w:rsidRPr="003D290F">
        <w:rPr>
          <w:rFonts w:cs="Arial"/>
        </w:rPr>
        <w:t xml:space="preserve"> and NGOs and community groups.</w:t>
      </w:r>
      <w:r w:rsidR="0087549A" w:rsidRPr="003D290F" w:rsidDel="0087549A">
        <w:rPr>
          <w:rFonts w:cs="Arial"/>
        </w:rPr>
        <w:t xml:space="preserve"> </w:t>
      </w:r>
    </w:p>
    <w:p w14:paraId="53E5A9DB" w14:textId="77777777" w:rsidR="003F3574" w:rsidRPr="003D290F" w:rsidRDefault="003F3574" w:rsidP="003F3574">
      <w:pPr>
        <w:rPr>
          <w:rFonts w:cs="Arial"/>
        </w:rPr>
      </w:pPr>
      <w:r w:rsidRPr="003D290F">
        <w:rPr>
          <w:rFonts w:cs="Arial"/>
        </w:rPr>
        <w:t>The Agency</w:t>
      </w:r>
      <w:r w:rsidR="008343EA">
        <w:rPr>
          <w:rFonts w:cs="Arial"/>
        </w:rPr>
        <w:t>, in collaboration with DEWR,</w:t>
      </w:r>
      <w:r w:rsidRPr="003D290F">
        <w:rPr>
          <w:rFonts w:cs="Arial"/>
        </w:rPr>
        <w:t xml:space="preserve"> also undertook specific consultation</w:t>
      </w:r>
      <w:r w:rsidR="0034390A">
        <w:rPr>
          <w:rFonts w:cs="Arial"/>
        </w:rPr>
        <w:t>s</w:t>
      </w:r>
      <w:r w:rsidRPr="003D290F">
        <w:rPr>
          <w:rFonts w:cs="Arial"/>
        </w:rPr>
        <w:t xml:space="preserve"> with energy sector representatives</w:t>
      </w:r>
      <w:r w:rsidR="008343EA">
        <w:rPr>
          <w:rFonts w:cs="Arial"/>
        </w:rPr>
        <w:t>, including businesses in the affected communities,</w:t>
      </w:r>
      <w:r w:rsidRPr="003D290F">
        <w:rPr>
          <w:rFonts w:cs="Arial"/>
        </w:rPr>
        <w:t xml:space="preserve"> </w:t>
      </w:r>
      <w:r>
        <w:rPr>
          <w:rFonts w:cs="Arial"/>
        </w:rPr>
        <w:t xml:space="preserve">and the </w:t>
      </w:r>
      <w:r w:rsidRPr="003D290F">
        <w:rPr>
          <w:rFonts w:cs="Arial"/>
        </w:rPr>
        <w:t xml:space="preserve">union </w:t>
      </w:r>
      <w:r>
        <w:rPr>
          <w:rFonts w:cs="Arial"/>
        </w:rPr>
        <w:t>movement</w:t>
      </w:r>
      <w:r w:rsidRPr="003D290F">
        <w:rPr>
          <w:rFonts w:cs="Arial"/>
        </w:rPr>
        <w:t xml:space="preserve"> on net zero worker transition supports</w:t>
      </w:r>
      <w:r w:rsidR="008343EA">
        <w:rPr>
          <w:rFonts w:cs="Arial"/>
        </w:rPr>
        <w:t xml:space="preserve">. </w:t>
      </w:r>
      <w:r w:rsidR="00E14583">
        <w:rPr>
          <w:rFonts w:cs="Arial"/>
        </w:rPr>
        <w:t>Feedback from t</w:t>
      </w:r>
      <w:r w:rsidR="008343EA">
        <w:rPr>
          <w:rFonts w:cs="Arial"/>
        </w:rPr>
        <w:t>hese consultations</w:t>
      </w:r>
      <w:r w:rsidR="0034390A">
        <w:rPr>
          <w:rFonts w:cs="Arial"/>
        </w:rPr>
        <w:t xml:space="preserve"> informed the </w:t>
      </w:r>
      <w:r w:rsidR="00E14583">
        <w:rPr>
          <w:rFonts w:cs="Arial"/>
        </w:rPr>
        <w:t xml:space="preserve">final </w:t>
      </w:r>
      <w:r w:rsidRPr="003D290F">
        <w:rPr>
          <w:rFonts w:cs="Arial"/>
        </w:rPr>
        <w:t>proposed model</w:t>
      </w:r>
      <w:r w:rsidR="00C05B61">
        <w:rPr>
          <w:rFonts w:cs="Arial"/>
        </w:rPr>
        <w:t>s</w:t>
      </w:r>
      <w:r w:rsidRPr="003D290F">
        <w:rPr>
          <w:rFonts w:cs="Arial"/>
        </w:rPr>
        <w:t xml:space="preserve"> for</w:t>
      </w:r>
      <w:r w:rsidR="00C05B61">
        <w:rPr>
          <w:rFonts w:cs="Arial"/>
        </w:rPr>
        <w:t xml:space="preserve"> Options 2 and 3 in this analysis</w:t>
      </w:r>
      <w:r w:rsidRPr="003D290F">
        <w:rPr>
          <w:rFonts w:cs="Arial"/>
        </w:rPr>
        <w:t>.</w:t>
      </w:r>
    </w:p>
    <w:p w14:paraId="2CB207C8" w14:textId="77777777" w:rsidR="0059356C" w:rsidRPr="003D290F" w:rsidRDefault="0059356C" w:rsidP="00E21311">
      <w:pPr>
        <w:spacing w:before="120" w:after="120" w:line="276" w:lineRule="auto"/>
        <w:rPr>
          <w:rFonts w:cs="Arial"/>
          <w:szCs w:val="24"/>
        </w:rPr>
      </w:pPr>
      <w:r>
        <w:rPr>
          <w:rFonts w:cs="Arial"/>
          <w:szCs w:val="24"/>
        </w:rPr>
        <w:t xml:space="preserve">Other feedback and reports about the net zero transition have also informed </w:t>
      </w:r>
      <w:r w:rsidR="00EE27B7">
        <w:rPr>
          <w:rFonts w:cs="Arial"/>
          <w:szCs w:val="24"/>
        </w:rPr>
        <w:t>policy design. These include</w:t>
      </w:r>
      <w:r>
        <w:rPr>
          <w:rFonts w:cs="Arial"/>
          <w:szCs w:val="24"/>
        </w:rPr>
        <w:t xml:space="preserve"> submissions</w:t>
      </w:r>
      <w:r w:rsidR="00C05B61">
        <w:rPr>
          <w:rFonts w:cs="Arial"/>
          <w:szCs w:val="24"/>
        </w:rPr>
        <w:t xml:space="preserve"> and public commentary</w:t>
      </w:r>
      <w:r>
        <w:rPr>
          <w:rFonts w:cs="Arial"/>
          <w:szCs w:val="24"/>
        </w:rPr>
        <w:t xml:space="preserve"> on </w:t>
      </w:r>
      <w:r w:rsidR="00E02A1A">
        <w:rPr>
          <w:rFonts w:cs="Arial"/>
          <w:szCs w:val="24"/>
        </w:rPr>
        <w:t xml:space="preserve">the </w:t>
      </w:r>
      <w:r>
        <w:rPr>
          <w:rFonts w:cs="Arial"/>
          <w:szCs w:val="24"/>
        </w:rPr>
        <w:t>development of the</w:t>
      </w:r>
      <w:r w:rsidR="00C05B61">
        <w:rPr>
          <w:rFonts w:cs="Arial"/>
          <w:szCs w:val="24"/>
        </w:rPr>
        <w:t xml:space="preserve"> role of the</w:t>
      </w:r>
      <w:r>
        <w:rPr>
          <w:rFonts w:cs="Arial"/>
          <w:szCs w:val="24"/>
        </w:rPr>
        <w:t xml:space="preserve"> Net Zero Economy Authority</w:t>
      </w:r>
      <w:r w:rsidR="00E02A1A">
        <w:rPr>
          <w:rFonts w:cs="Arial"/>
          <w:szCs w:val="24"/>
        </w:rPr>
        <w:t xml:space="preserve">, </w:t>
      </w:r>
      <w:r w:rsidR="00C05B61">
        <w:rPr>
          <w:rFonts w:cs="Arial"/>
          <w:szCs w:val="24"/>
        </w:rPr>
        <w:t xml:space="preserve">as well as </w:t>
      </w:r>
      <w:r w:rsidR="00E02A1A">
        <w:rPr>
          <w:rFonts w:cs="Arial"/>
          <w:szCs w:val="24"/>
        </w:rPr>
        <w:t>research on employment and workforce matters in the sector and impacts of the transition on workers, families and communities.</w:t>
      </w:r>
    </w:p>
    <w:p w14:paraId="44E15999" w14:textId="77777777" w:rsidR="00E21311" w:rsidRPr="003D290F" w:rsidRDefault="00E21311" w:rsidP="00E21311">
      <w:pPr>
        <w:rPr>
          <w:rFonts w:cs="Arial"/>
        </w:rPr>
      </w:pPr>
      <w:r w:rsidRPr="003D290F">
        <w:rPr>
          <w:rFonts w:cs="Arial"/>
        </w:rPr>
        <w:t>In developing</w:t>
      </w:r>
      <w:r w:rsidRPr="003D290F" w:rsidDel="00891164">
        <w:rPr>
          <w:rFonts w:cs="Arial"/>
        </w:rPr>
        <w:t xml:space="preserve"> </w:t>
      </w:r>
      <w:r w:rsidRPr="003D290F">
        <w:rPr>
          <w:rFonts w:cs="Arial"/>
        </w:rPr>
        <w:t>policy options, the Agency has taken account of prior feedback and recommendations put forward by key stakeholders</w:t>
      </w:r>
      <w:r w:rsidR="000E079C" w:rsidRPr="003D290F">
        <w:rPr>
          <w:rFonts w:cs="Arial"/>
        </w:rPr>
        <w:t>,</w:t>
      </w:r>
      <w:r w:rsidRPr="003D290F">
        <w:rPr>
          <w:rFonts w:cs="Arial"/>
        </w:rPr>
        <w:t xml:space="preserve"> </w:t>
      </w:r>
      <w:r w:rsidR="00283ED6" w:rsidRPr="003D290F">
        <w:rPr>
          <w:rFonts w:cs="Arial"/>
        </w:rPr>
        <w:t xml:space="preserve">including </w:t>
      </w:r>
      <w:r w:rsidR="00EE27B7">
        <w:rPr>
          <w:rFonts w:cs="Arial"/>
        </w:rPr>
        <w:t>Australian Government</w:t>
      </w:r>
      <w:r w:rsidR="00283ED6" w:rsidRPr="003D290F">
        <w:rPr>
          <w:rFonts w:cs="Arial"/>
        </w:rPr>
        <w:t xml:space="preserve"> </w:t>
      </w:r>
      <w:r w:rsidR="004D10DC" w:rsidRPr="003D290F">
        <w:rPr>
          <w:rFonts w:cs="Arial"/>
        </w:rPr>
        <w:t>agencies</w:t>
      </w:r>
      <w:r w:rsidR="00283ED6" w:rsidRPr="003D290F">
        <w:rPr>
          <w:rFonts w:cs="Arial"/>
        </w:rPr>
        <w:t xml:space="preserve">, </w:t>
      </w:r>
      <w:r w:rsidR="00DB43C6" w:rsidRPr="003D290F">
        <w:rPr>
          <w:rFonts w:cs="Arial"/>
        </w:rPr>
        <w:t xml:space="preserve">state and local governments, </w:t>
      </w:r>
      <w:r w:rsidR="00283ED6" w:rsidRPr="003D290F">
        <w:rPr>
          <w:rFonts w:cs="Arial"/>
        </w:rPr>
        <w:t xml:space="preserve">employers and unions, </w:t>
      </w:r>
      <w:r w:rsidRPr="003D290F">
        <w:rPr>
          <w:rFonts w:cs="Arial"/>
        </w:rPr>
        <w:t>on the supports that exist to help workers affected by transition events. Similar discussions have been held to discuss possible future arrangements for workers affected by the net zero transition. This has helped shape the Agency’s thinking on what supports are needed to he</w:t>
      </w:r>
      <w:r w:rsidR="00EE27B7">
        <w:rPr>
          <w:rFonts w:cs="Arial"/>
        </w:rPr>
        <w:t>lp workers navigate the</w:t>
      </w:r>
      <w:r w:rsidRPr="003D290F">
        <w:rPr>
          <w:rFonts w:cs="Arial"/>
        </w:rPr>
        <w:t xml:space="preserve"> transition, and the </w:t>
      </w:r>
      <w:r w:rsidR="00273403" w:rsidRPr="003D290F">
        <w:rPr>
          <w:rFonts w:cs="Arial"/>
        </w:rPr>
        <w:t xml:space="preserve">proposed </w:t>
      </w:r>
      <w:r w:rsidR="00EE27B7">
        <w:rPr>
          <w:rFonts w:cs="Arial"/>
        </w:rPr>
        <w:t>Autho</w:t>
      </w:r>
      <w:r w:rsidRPr="003D290F">
        <w:rPr>
          <w:rFonts w:cs="Arial"/>
        </w:rPr>
        <w:t xml:space="preserve">rity’s role in </w:t>
      </w:r>
      <w:r w:rsidR="00DB43C6" w:rsidRPr="003D290F">
        <w:rPr>
          <w:rFonts w:cs="Arial"/>
        </w:rPr>
        <w:t>supporting</w:t>
      </w:r>
      <w:r w:rsidRPr="003D290F">
        <w:rPr>
          <w:rFonts w:cs="Arial"/>
        </w:rPr>
        <w:t xml:space="preserve"> worker transitions.</w:t>
      </w:r>
    </w:p>
    <w:p w14:paraId="14372989" w14:textId="77777777" w:rsidR="00786A5C" w:rsidRPr="003D290F" w:rsidRDefault="006F3CAC" w:rsidP="00E70730">
      <w:r w:rsidRPr="003D290F">
        <w:t>The Net Zero Economy Agency’s Advisory Board</w:t>
      </w:r>
      <w:r w:rsidR="004D10DC" w:rsidRPr="003D290F">
        <w:t>, whose membership comprises experts across a range of areas relevant to the net zero transition,</w:t>
      </w:r>
      <w:r w:rsidR="00BD620D" w:rsidRPr="003D290F">
        <w:t xml:space="preserve"> ha</w:t>
      </w:r>
      <w:r w:rsidR="0095429D" w:rsidRPr="003D290F">
        <w:t>s</w:t>
      </w:r>
      <w:r w:rsidR="00BD620D" w:rsidRPr="003D290F">
        <w:t xml:space="preserve"> </w:t>
      </w:r>
      <w:r w:rsidR="0095429D" w:rsidRPr="003D290F">
        <w:t>also</w:t>
      </w:r>
      <w:r w:rsidR="00BD620D" w:rsidRPr="003D290F">
        <w:t xml:space="preserve"> been engaged in discussing the transition for workers</w:t>
      </w:r>
      <w:r w:rsidR="00F975A4" w:rsidRPr="003D290F">
        <w:t>, including options for pooled redeployment</w:t>
      </w:r>
      <w:r w:rsidR="00DB43C6" w:rsidRPr="003D290F">
        <w:t xml:space="preserve"> </w:t>
      </w:r>
      <w:r w:rsidR="00F975A4" w:rsidRPr="003D290F">
        <w:t xml:space="preserve">of workers, </w:t>
      </w:r>
      <w:r w:rsidR="00DB43C6" w:rsidRPr="003D290F">
        <w:t xml:space="preserve">alongside other </w:t>
      </w:r>
      <w:r w:rsidR="00EE27B7">
        <w:t xml:space="preserve">design </w:t>
      </w:r>
      <w:r w:rsidR="00DB43C6" w:rsidRPr="003D290F">
        <w:t>elements of the Authority</w:t>
      </w:r>
      <w:r w:rsidR="00BD620D" w:rsidRPr="003D290F">
        <w:t>. The Advisory Board provides advice to the Chair and Chief Executive Officer of the Agency</w:t>
      </w:r>
      <w:r w:rsidR="0095429D" w:rsidRPr="003D290F">
        <w:t>, and</w:t>
      </w:r>
      <w:r w:rsidR="00BD620D" w:rsidRPr="003D290F">
        <w:t xml:space="preserve"> supports the Agency to achieve its functions with a focus on organisational strategy, performance and development.</w:t>
      </w:r>
      <w:r w:rsidR="00316496" w:rsidRPr="003D290F">
        <w:rPr>
          <w:rStyle w:val="FootnoteReference"/>
        </w:rPr>
        <w:footnoteReference w:id="95"/>
      </w:r>
      <w:r w:rsidR="00BD620D" w:rsidRPr="003D290F">
        <w:t xml:space="preserve"> </w:t>
      </w:r>
    </w:p>
    <w:p w14:paraId="17CBFC8A" w14:textId="77777777" w:rsidR="003C5D1E" w:rsidRPr="003D290F" w:rsidRDefault="006F3CAC">
      <w:r w:rsidRPr="003D290F">
        <w:t xml:space="preserve">The Agency has also </w:t>
      </w:r>
      <w:r w:rsidR="003C5D1E" w:rsidRPr="003D290F">
        <w:t>worked</w:t>
      </w:r>
      <w:r w:rsidRPr="003D290F">
        <w:t xml:space="preserve"> </w:t>
      </w:r>
      <w:r w:rsidRPr="003D290F" w:rsidDel="003C5D1E">
        <w:t xml:space="preserve">with </w:t>
      </w:r>
      <w:r w:rsidRPr="003D290F">
        <w:t>other</w:t>
      </w:r>
      <w:r w:rsidR="003C5D1E" w:rsidRPr="003D290F">
        <w:t xml:space="preserve"> relevant </w:t>
      </w:r>
      <w:r w:rsidR="00EE27B7">
        <w:t>Australian Government</w:t>
      </w:r>
      <w:r w:rsidR="00EE27B7" w:rsidRPr="003D290F">
        <w:t xml:space="preserve"> </w:t>
      </w:r>
      <w:r w:rsidR="003C5D1E" w:rsidRPr="003D290F">
        <w:t>agencies</w:t>
      </w:r>
      <w:r w:rsidR="004D10DC" w:rsidRPr="003D290F">
        <w:t>, particularly DEWR, to</w:t>
      </w:r>
      <w:r w:rsidR="003C5D1E" w:rsidRPr="003D290F">
        <w:t xml:space="preserve"> consider policy options</w:t>
      </w:r>
      <w:r w:rsidR="004D10DC" w:rsidRPr="003D290F">
        <w:t xml:space="preserve"> to support worker transition, including pooled redeployment </w:t>
      </w:r>
      <w:r w:rsidR="00F6294A" w:rsidRPr="003D290F">
        <w:t>plans</w:t>
      </w:r>
      <w:r w:rsidR="004D10DC" w:rsidRPr="003D290F">
        <w:t xml:space="preserve">, and supporting related work across </w:t>
      </w:r>
      <w:r w:rsidR="00F4765D" w:rsidRPr="003D290F">
        <w:t>g</w:t>
      </w:r>
      <w:r w:rsidR="004D10DC" w:rsidRPr="003D290F">
        <w:t>overnment</w:t>
      </w:r>
      <w:r w:rsidR="003C5D1E" w:rsidRPr="003D290F">
        <w:t xml:space="preserve">. </w:t>
      </w:r>
      <w:r w:rsidR="00BD620D" w:rsidRPr="003D290F">
        <w:t xml:space="preserve"> </w:t>
      </w:r>
    </w:p>
    <w:p w14:paraId="07A3FD33" w14:textId="77777777" w:rsidR="00FC2351" w:rsidRPr="003F3574" w:rsidRDefault="004E6459" w:rsidP="005D46F4">
      <w:pPr>
        <w:pStyle w:val="Heading3"/>
        <w:spacing w:line="276" w:lineRule="auto"/>
        <w:rPr>
          <w:rFonts w:cstheme="majorBidi"/>
          <w:sz w:val="36"/>
          <w:szCs w:val="28"/>
        </w:rPr>
      </w:pPr>
      <w:bookmarkStart w:id="344" w:name="_Toc155604647"/>
      <w:bookmarkStart w:id="345" w:name="_Toc161396006"/>
      <w:bookmarkStart w:id="346" w:name="_Toc161403542"/>
      <w:bookmarkStart w:id="347" w:name="_Toc161752275"/>
      <w:bookmarkStart w:id="348" w:name="_Toc161759713"/>
      <w:r w:rsidRPr="003F3574">
        <w:rPr>
          <w:rFonts w:cstheme="majorBidi"/>
          <w:sz w:val="36"/>
          <w:szCs w:val="28"/>
        </w:rPr>
        <w:lastRenderedPageBreak/>
        <w:t xml:space="preserve">5.1 </w:t>
      </w:r>
      <w:bookmarkEnd w:id="344"/>
      <w:r w:rsidR="00F818A8" w:rsidRPr="003F3574">
        <w:rPr>
          <w:rFonts w:cstheme="majorBidi"/>
          <w:sz w:val="36"/>
          <w:szCs w:val="28"/>
        </w:rPr>
        <w:t>Stakeholder feedback on policy design</w:t>
      </w:r>
      <w:bookmarkEnd w:id="345"/>
      <w:bookmarkEnd w:id="346"/>
      <w:bookmarkEnd w:id="347"/>
      <w:bookmarkEnd w:id="348"/>
    </w:p>
    <w:p w14:paraId="39353072" w14:textId="77777777" w:rsidR="00505F1C" w:rsidRDefault="006E44DA" w:rsidP="00F818A8">
      <w:pPr>
        <w:rPr>
          <w:rFonts w:cs="Arial"/>
          <w:szCs w:val="24"/>
        </w:rPr>
      </w:pPr>
      <w:r w:rsidRPr="003D290F">
        <w:rPr>
          <w:rFonts w:cs="Arial"/>
          <w:szCs w:val="24"/>
        </w:rPr>
        <w:t xml:space="preserve">Through the </w:t>
      </w:r>
      <w:r w:rsidR="00E75B40">
        <w:rPr>
          <w:rFonts w:cs="Arial"/>
          <w:szCs w:val="24"/>
        </w:rPr>
        <w:t xml:space="preserve">targeted </w:t>
      </w:r>
      <w:r w:rsidRPr="003D290F">
        <w:rPr>
          <w:rFonts w:cs="Arial"/>
          <w:szCs w:val="24"/>
        </w:rPr>
        <w:t>consultation process</w:t>
      </w:r>
      <w:r w:rsidR="00E75B40">
        <w:rPr>
          <w:rFonts w:cs="Arial"/>
          <w:szCs w:val="24"/>
        </w:rPr>
        <w:t xml:space="preserve"> on </w:t>
      </w:r>
      <w:r w:rsidR="006C0760">
        <w:rPr>
          <w:rFonts w:cs="Arial"/>
          <w:szCs w:val="24"/>
        </w:rPr>
        <w:t>net zero worker transition supports and options including pooled redeployment</w:t>
      </w:r>
      <w:r w:rsidRPr="003D290F">
        <w:rPr>
          <w:rFonts w:cs="Arial"/>
          <w:szCs w:val="24"/>
        </w:rPr>
        <w:t>, the Agency has incorporated feedback and advice from stakeholders on</w:t>
      </w:r>
      <w:r w:rsidR="00F975A4" w:rsidRPr="003D290F">
        <w:rPr>
          <w:rFonts w:cs="Arial"/>
          <w:szCs w:val="24"/>
        </w:rPr>
        <w:t xml:space="preserve"> </w:t>
      </w:r>
      <w:r w:rsidR="00FC2351" w:rsidRPr="003D290F">
        <w:rPr>
          <w:rFonts w:cs="Arial"/>
          <w:szCs w:val="24"/>
        </w:rPr>
        <w:t>policy design</w:t>
      </w:r>
      <w:r w:rsidR="007C608A" w:rsidRPr="003D290F">
        <w:rPr>
          <w:rFonts w:cs="Arial"/>
          <w:szCs w:val="24"/>
        </w:rPr>
        <w:t xml:space="preserve">. </w:t>
      </w:r>
      <w:r w:rsidR="002D543F" w:rsidRPr="002D543F">
        <w:rPr>
          <w:rFonts w:cs="Arial"/>
          <w:szCs w:val="24"/>
        </w:rPr>
        <w:t xml:space="preserve">A focus of these </w:t>
      </w:r>
      <w:r w:rsidR="006C0760">
        <w:rPr>
          <w:rFonts w:cs="Arial"/>
          <w:szCs w:val="24"/>
        </w:rPr>
        <w:t xml:space="preserve">consultations </w:t>
      </w:r>
      <w:r w:rsidR="002D543F" w:rsidRPr="002D543F">
        <w:rPr>
          <w:rFonts w:cs="Arial"/>
          <w:szCs w:val="24"/>
        </w:rPr>
        <w:t>was to engage with</w:t>
      </w:r>
      <w:r w:rsidR="00505F1C">
        <w:rPr>
          <w:rFonts w:cs="Arial"/>
          <w:szCs w:val="24"/>
        </w:rPr>
        <w:t>:</w:t>
      </w:r>
    </w:p>
    <w:p w14:paraId="4890519E" w14:textId="77777777" w:rsidR="00505F1C" w:rsidRDefault="00F818A8" w:rsidP="00B82A86">
      <w:pPr>
        <w:pStyle w:val="ListParagraph"/>
        <w:numPr>
          <w:ilvl w:val="0"/>
          <w:numId w:val="13"/>
        </w:numPr>
        <w:rPr>
          <w:rFonts w:cs="Arial"/>
          <w:szCs w:val="24"/>
        </w:rPr>
      </w:pPr>
      <w:r w:rsidRPr="00505F1C">
        <w:rPr>
          <w:rFonts w:cs="Arial"/>
          <w:szCs w:val="24"/>
        </w:rPr>
        <w:t>large electricity gentailers</w:t>
      </w:r>
      <w:r w:rsidR="00505F1C">
        <w:rPr>
          <w:rFonts w:cs="Arial"/>
          <w:szCs w:val="24"/>
        </w:rPr>
        <w:t xml:space="preserve"> –</w:t>
      </w:r>
      <w:r w:rsidR="006C0760">
        <w:rPr>
          <w:rFonts w:cs="Arial"/>
          <w:szCs w:val="24"/>
        </w:rPr>
        <w:t xml:space="preserve"> </w:t>
      </w:r>
      <w:r w:rsidR="00505F1C">
        <w:rPr>
          <w:rFonts w:cs="Arial"/>
          <w:szCs w:val="24"/>
        </w:rPr>
        <w:t>primarily</w:t>
      </w:r>
      <w:r w:rsidR="006C0760">
        <w:rPr>
          <w:rFonts w:cs="Arial"/>
          <w:szCs w:val="24"/>
        </w:rPr>
        <w:t xml:space="preserve"> power station operators who would nominally be</w:t>
      </w:r>
      <w:r w:rsidR="00505F1C">
        <w:rPr>
          <w:rFonts w:cs="Arial"/>
          <w:szCs w:val="24"/>
        </w:rPr>
        <w:t xml:space="preserve"> ‘closing employers’ under </w:t>
      </w:r>
      <w:r w:rsidR="006C0760">
        <w:rPr>
          <w:rFonts w:cs="Arial"/>
          <w:szCs w:val="24"/>
        </w:rPr>
        <w:t>the terminology used in Options 2 and 3</w:t>
      </w:r>
      <w:r w:rsidRPr="00505F1C">
        <w:rPr>
          <w:rFonts w:cs="Arial"/>
          <w:szCs w:val="24"/>
        </w:rPr>
        <w:t xml:space="preserve"> </w:t>
      </w:r>
    </w:p>
    <w:p w14:paraId="6397E9D2" w14:textId="77777777" w:rsidR="00505F1C" w:rsidRDefault="00F818A8" w:rsidP="00B82A86">
      <w:pPr>
        <w:pStyle w:val="ListParagraph"/>
        <w:numPr>
          <w:ilvl w:val="0"/>
          <w:numId w:val="13"/>
        </w:numPr>
        <w:rPr>
          <w:rFonts w:cs="Arial"/>
          <w:szCs w:val="24"/>
        </w:rPr>
      </w:pPr>
      <w:r w:rsidRPr="00505F1C">
        <w:rPr>
          <w:rFonts w:cs="Arial"/>
          <w:szCs w:val="24"/>
        </w:rPr>
        <w:t>energy netw</w:t>
      </w:r>
      <w:r w:rsidR="00505F1C">
        <w:rPr>
          <w:rFonts w:cs="Arial"/>
          <w:szCs w:val="24"/>
        </w:rPr>
        <w:t xml:space="preserve">ork and distribution companies – </w:t>
      </w:r>
      <w:r w:rsidR="006C0760">
        <w:rPr>
          <w:rFonts w:cs="Arial"/>
          <w:szCs w:val="24"/>
        </w:rPr>
        <w:t xml:space="preserve">who may be likely to become </w:t>
      </w:r>
      <w:r w:rsidR="00505F1C">
        <w:rPr>
          <w:rFonts w:cs="Arial"/>
          <w:szCs w:val="24"/>
        </w:rPr>
        <w:t xml:space="preserve">‘receiving employers’ under </w:t>
      </w:r>
      <w:r w:rsidR="006C0760">
        <w:rPr>
          <w:rFonts w:cs="Arial"/>
          <w:szCs w:val="24"/>
        </w:rPr>
        <w:t>the term</w:t>
      </w:r>
      <w:r w:rsidR="00EE27B7">
        <w:rPr>
          <w:rFonts w:cs="Arial"/>
          <w:szCs w:val="24"/>
        </w:rPr>
        <w:t>inology used in Options 2 and 3</w:t>
      </w:r>
    </w:p>
    <w:p w14:paraId="55F20BCF" w14:textId="77777777" w:rsidR="003F3574" w:rsidRDefault="003F3574" w:rsidP="003F3574">
      <w:pPr>
        <w:pStyle w:val="ListParagraph"/>
        <w:numPr>
          <w:ilvl w:val="0"/>
          <w:numId w:val="13"/>
        </w:numPr>
        <w:rPr>
          <w:rFonts w:cs="Arial"/>
          <w:szCs w:val="24"/>
        </w:rPr>
      </w:pPr>
      <w:r>
        <w:rPr>
          <w:rFonts w:cs="Arial"/>
          <w:szCs w:val="24"/>
        </w:rPr>
        <w:t>some large industrial customers – who may be likely to become ‘receiving employers’ under the terminology used in Options 2 and 3</w:t>
      </w:r>
    </w:p>
    <w:p w14:paraId="41BBDAF7" w14:textId="77777777" w:rsidR="00505F1C" w:rsidRDefault="00F818A8" w:rsidP="00B82A86">
      <w:pPr>
        <w:pStyle w:val="ListParagraph"/>
        <w:numPr>
          <w:ilvl w:val="0"/>
          <w:numId w:val="13"/>
        </w:numPr>
        <w:rPr>
          <w:rFonts w:cs="Arial"/>
          <w:szCs w:val="24"/>
        </w:rPr>
      </w:pPr>
      <w:r w:rsidRPr="00505F1C">
        <w:rPr>
          <w:rFonts w:cs="Arial"/>
          <w:szCs w:val="24"/>
        </w:rPr>
        <w:t xml:space="preserve">industry and business peak bodies, and </w:t>
      </w:r>
    </w:p>
    <w:p w14:paraId="5ECC1C9B" w14:textId="77777777" w:rsidR="00505F1C" w:rsidRDefault="00F818A8" w:rsidP="00B82A86">
      <w:pPr>
        <w:pStyle w:val="ListParagraph"/>
        <w:numPr>
          <w:ilvl w:val="0"/>
          <w:numId w:val="13"/>
        </w:numPr>
        <w:rPr>
          <w:rFonts w:cs="Arial"/>
          <w:szCs w:val="24"/>
        </w:rPr>
      </w:pPr>
      <w:r w:rsidRPr="00505F1C">
        <w:rPr>
          <w:rFonts w:cs="Arial"/>
          <w:szCs w:val="24"/>
        </w:rPr>
        <w:t xml:space="preserve">the </w:t>
      </w:r>
      <w:r w:rsidR="00C33207">
        <w:rPr>
          <w:rFonts w:cs="Arial"/>
          <w:szCs w:val="24"/>
        </w:rPr>
        <w:t xml:space="preserve">trade </w:t>
      </w:r>
      <w:r w:rsidRPr="00505F1C">
        <w:rPr>
          <w:rFonts w:cs="Arial"/>
          <w:szCs w:val="24"/>
        </w:rPr>
        <w:t>union movement</w:t>
      </w:r>
      <w:r w:rsidR="006C0760">
        <w:rPr>
          <w:rFonts w:cs="Arial"/>
          <w:szCs w:val="24"/>
        </w:rPr>
        <w:t>.</w:t>
      </w:r>
      <w:r w:rsidR="006C0760" w:rsidRPr="00505F1C">
        <w:rPr>
          <w:rFonts w:cs="Arial"/>
          <w:szCs w:val="24"/>
        </w:rPr>
        <w:t xml:space="preserve"> </w:t>
      </w:r>
    </w:p>
    <w:p w14:paraId="57724F35" w14:textId="77777777" w:rsidR="00497E11" w:rsidRPr="00505F1C" w:rsidRDefault="00F818A8" w:rsidP="00505F1C">
      <w:pPr>
        <w:rPr>
          <w:rFonts w:cs="Arial"/>
          <w:szCs w:val="24"/>
        </w:rPr>
      </w:pPr>
      <w:r w:rsidRPr="00505F1C">
        <w:rPr>
          <w:rFonts w:cs="Arial"/>
          <w:szCs w:val="24"/>
        </w:rPr>
        <w:t>These consultations have indicated broad support for the establishment of a pooled redeployment framework to connect workers in closing power stations with potential vacancies.</w:t>
      </w:r>
      <w:r w:rsidR="002D543F" w:rsidRPr="00505F1C">
        <w:rPr>
          <w:rFonts w:cs="Arial"/>
          <w:szCs w:val="24"/>
        </w:rPr>
        <w:t xml:space="preserve"> The Agency and DEWR also sought views on broader worker transition supports that could complement pooled redeployment by helping workers make informed decisions about their future and access new opportunities.</w:t>
      </w:r>
      <w:r w:rsidR="002D543F">
        <w:t xml:space="preserve"> </w:t>
      </w:r>
    </w:p>
    <w:p w14:paraId="5755897B" w14:textId="77777777" w:rsidR="002D543F" w:rsidRDefault="002D543F" w:rsidP="00E75B40">
      <w:pPr>
        <w:rPr>
          <w:rFonts w:cs="Arial"/>
          <w:szCs w:val="24"/>
        </w:rPr>
      </w:pPr>
      <w:r>
        <w:rPr>
          <w:rFonts w:cs="Arial"/>
          <w:szCs w:val="24"/>
        </w:rPr>
        <w:t xml:space="preserve">Roundtables and individual meetings with </w:t>
      </w:r>
      <w:r w:rsidR="006C0760">
        <w:rPr>
          <w:rFonts w:cs="Arial"/>
          <w:szCs w:val="24"/>
        </w:rPr>
        <w:t xml:space="preserve">these </w:t>
      </w:r>
      <w:r>
        <w:rPr>
          <w:rFonts w:cs="Arial"/>
          <w:szCs w:val="24"/>
        </w:rPr>
        <w:t xml:space="preserve">stakeholders </w:t>
      </w:r>
      <w:r w:rsidR="006C0760">
        <w:rPr>
          <w:rFonts w:cs="Arial"/>
          <w:szCs w:val="24"/>
        </w:rPr>
        <w:t xml:space="preserve">have </w:t>
      </w:r>
      <w:r>
        <w:rPr>
          <w:rFonts w:cs="Arial"/>
          <w:szCs w:val="24"/>
        </w:rPr>
        <w:t>informed policy design</w:t>
      </w:r>
      <w:r w:rsidR="00E34378">
        <w:rPr>
          <w:rFonts w:cs="Arial"/>
          <w:szCs w:val="24"/>
        </w:rPr>
        <w:t xml:space="preserve"> considerations for pooled redeployment options, as well as eliciting broader feedback on how government can support workers and communities through the net zero transition</w:t>
      </w:r>
      <w:r>
        <w:rPr>
          <w:rFonts w:cs="Arial"/>
          <w:szCs w:val="24"/>
        </w:rPr>
        <w:t>. The process in</w:t>
      </w:r>
      <w:r w:rsidR="006C0760">
        <w:rPr>
          <w:rFonts w:cs="Arial"/>
          <w:szCs w:val="24"/>
        </w:rPr>
        <w:t xml:space="preserve">cluded </w:t>
      </w:r>
      <w:r>
        <w:rPr>
          <w:rFonts w:cs="Arial"/>
          <w:szCs w:val="24"/>
        </w:rPr>
        <w:t>asking targeted questions</w:t>
      </w:r>
      <w:r w:rsidR="00F818A8">
        <w:rPr>
          <w:rFonts w:cs="Arial"/>
          <w:szCs w:val="24"/>
        </w:rPr>
        <w:t xml:space="preserve"> on </w:t>
      </w:r>
      <w:r w:rsidR="006C0760">
        <w:rPr>
          <w:rFonts w:cs="Arial"/>
          <w:szCs w:val="24"/>
        </w:rPr>
        <w:t xml:space="preserve">issues </w:t>
      </w:r>
      <w:r w:rsidR="00E34378">
        <w:rPr>
          <w:rFonts w:cs="Arial"/>
          <w:szCs w:val="24"/>
        </w:rPr>
        <w:t xml:space="preserve">relating to pooled redeployment policy, </w:t>
      </w:r>
      <w:r w:rsidR="006C0760">
        <w:rPr>
          <w:rFonts w:cs="Arial"/>
          <w:szCs w:val="24"/>
        </w:rPr>
        <w:t>including the</w:t>
      </w:r>
      <w:r w:rsidR="00F818A8">
        <w:rPr>
          <w:rFonts w:cs="Arial"/>
          <w:szCs w:val="24"/>
        </w:rPr>
        <w:t xml:space="preserve"> scope and composition of a ‘community of interest’, and </w:t>
      </w:r>
      <w:r w:rsidR="00E34378">
        <w:rPr>
          <w:rFonts w:cs="Arial"/>
          <w:szCs w:val="24"/>
        </w:rPr>
        <w:t xml:space="preserve">possible </w:t>
      </w:r>
      <w:r w:rsidR="00F818A8">
        <w:rPr>
          <w:rFonts w:cs="Arial"/>
          <w:szCs w:val="24"/>
        </w:rPr>
        <w:t xml:space="preserve">obligations on employers under </w:t>
      </w:r>
      <w:r w:rsidR="00E34378">
        <w:rPr>
          <w:rFonts w:cs="Arial"/>
          <w:szCs w:val="24"/>
        </w:rPr>
        <w:t>this</w:t>
      </w:r>
      <w:r w:rsidR="006C0760">
        <w:rPr>
          <w:rFonts w:cs="Arial"/>
          <w:szCs w:val="24"/>
        </w:rPr>
        <w:t xml:space="preserve"> model</w:t>
      </w:r>
      <w:r w:rsidR="00F818A8">
        <w:rPr>
          <w:rFonts w:cs="Arial"/>
          <w:szCs w:val="24"/>
        </w:rPr>
        <w:t xml:space="preserve">. </w:t>
      </w:r>
      <w:r>
        <w:rPr>
          <w:rFonts w:cs="Arial"/>
          <w:szCs w:val="24"/>
        </w:rPr>
        <w:t xml:space="preserve"> </w:t>
      </w:r>
    </w:p>
    <w:p w14:paraId="07881CBD" w14:textId="77777777" w:rsidR="00902AF5" w:rsidRDefault="00497E11" w:rsidP="00E75B40">
      <w:pPr>
        <w:rPr>
          <w:rFonts w:cs="Arial"/>
          <w:szCs w:val="24"/>
        </w:rPr>
      </w:pPr>
      <w:r w:rsidRPr="00E75B40">
        <w:rPr>
          <w:rFonts w:cs="Arial"/>
          <w:szCs w:val="24"/>
        </w:rPr>
        <w:t>A summary of key</w:t>
      </w:r>
      <w:r w:rsidR="005175A9" w:rsidRPr="003D290F">
        <w:rPr>
          <w:rFonts w:cs="Arial"/>
          <w:szCs w:val="24"/>
        </w:rPr>
        <w:t xml:space="preserve"> points raised </w:t>
      </w:r>
      <w:r w:rsidRPr="00E75B40">
        <w:rPr>
          <w:rFonts w:cs="Arial"/>
          <w:szCs w:val="24"/>
        </w:rPr>
        <w:t>from these consultations</w:t>
      </w:r>
      <w:r w:rsidR="001C3189">
        <w:rPr>
          <w:rFonts w:cs="Arial"/>
          <w:szCs w:val="24"/>
        </w:rPr>
        <w:t>, and how those have informed policy design,</w:t>
      </w:r>
      <w:r w:rsidRPr="00E75B40">
        <w:rPr>
          <w:rFonts w:cs="Arial"/>
          <w:szCs w:val="24"/>
        </w:rPr>
        <w:t xml:space="preserve"> </w:t>
      </w:r>
      <w:r w:rsidR="006C0760">
        <w:rPr>
          <w:rFonts w:cs="Arial"/>
          <w:szCs w:val="24"/>
        </w:rPr>
        <w:t>is</w:t>
      </w:r>
      <w:r w:rsidR="006C0760" w:rsidRPr="00E75B40">
        <w:rPr>
          <w:rFonts w:cs="Arial"/>
          <w:szCs w:val="24"/>
        </w:rPr>
        <w:t xml:space="preserve"> </w:t>
      </w:r>
      <w:r w:rsidRPr="00E75B40">
        <w:rPr>
          <w:rFonts w:cs="Arial"/>
          <w:szCs w:val="24"/>
        </w:rPr>
        <w:t xml:space="preserve">outlined in </w:t>
      </w:r>
      <w:r w:rsidR="005F2567" w:rsidRPr="005F2567">
        <w:rPr>
          <w:rFonts w:eastAsia="Times New Roman"/>
          <w:b/>
          <w:color w:val="1B375C" w:themeColor="accent1"/>
        </w:rPr>
        <w:t>Table 5.1</w:t>
      </w:r>
      <w:r w:rsidRPr="00E75B40">
        <w:rPr>
          <w:rFonts w:cs="Arial"/>
          <w:szCs w:val="24"/>
        </w:rPr>
        <w:t>.</w:t>
      </w:r>
    </w:p>
    <w:p w14:paraId="0BC3251A" w14:textId="77777777" w:rsidR="00E14583" w:rsidRPr="00684840" w:rsidRDefault="00E14583" w:rsidP="00684840">
      <w:pPr>
        <w:spacing w:after="0"/>
        <w:rPr>
          <w:rFonts w:eastAsia="Times New Roman" w:cs="Segoe UI"/>
          <w:b/>
          <w:sz w:val="24"/>
          <w:szCs w:val="24"/>
        </w:rPr>
      </w:pPr>
      <w:r w:rsidRPr="00684840">
        <w:rPr>
          <w:rFonts w:eastAsia="Times New Roman" w:cs="Segoe UI"/>
          <w:b/>
          <w:sz w:val="24"/>
          <w:szCs w:val="24"/>
        </w:rPr>
        <w:t>TABLE 5.1 – Consultation themes and outcomes</w:t>
      </w:r>
    </w:p>
    <w:tbl>
      <w:tblPr>
        <w:tblStyle w:val="Custom11"/>
        <w:tblW w:w="0" w:type="auto"/>
        <w:tblLayout w:type="fixed"/>
        <w:tblLook w:val="04A0" w:firstRow="1" w:lastRow="0" w:firstColumn="1" w:lastColumn="0" w:noHBand="0" w:noVBand="1"/>
      </w:tblPr>
      <w:tblGrid>
        <w:gridCol w:w="1560"/>
        <w:gridCol w:w="5103"/>
        <w:gridCol w:w="3541"/>
      </w:tblGrid>
      <w:tr w:rsidR="008C764D" w:rsidRPr="00577109" w14:paraId="6069F011" w14:textId="77777777" w:rsidTr="00D175DF">
        <w:trPr>
          <w:cnfStyle w:val="100000000000" w:firstRow="1" w:lastRow="0" w:firstColumn="0" w:lastColumn="0" w:oddVBand="0" w:evenVBand="0" w:oddHBand="0" w:evenHBand="0" w:firstRowFirstColumn="0" w:firstRowLastColumn="0" w:lastRowFirstColumn="0" w:lastRowLastColumn="0"/>
        </w:trPr>
        <w:tc>
          <w:tcPr>
            <w:tcW w:w="1560" w:type="dxa"/>
          </w:tcPr>
          <w:p w14:paraId="587310E3" w14:textId="77777777" w:rsidR="008C764D" w:rsidRPr="00577109" w:rsidRDefault="008C764D" w:rsidP="00E75B40">
            <w:pPr>
              <w:rPr>
                <w:rFonts w:cs="Arial"/>
                <w:sz w:val="20"/>
                <w:szCs w:val="20"/>
              </w:rPr>
            </w:pPr>
            <w:r w:rsidRPr="00577109">
              <w:rPr>
                <w:rFonts w:cs="Arial"/>
                <w:sz w:val="20"/>
                <w:szCs w:val="20"/>
              </w:rPr>
              <w:t>Theme</w:t>
            </w:r>
          </w:p>
        </w:tc>
        <w:tc>
          <w:tcPr>
            <w:tcW w:w="5103" w:type="dxa"/>
          </w:tcPr>
          <w:p w14:paraId="515BC861" w14:textId="77777777" w:rsidR="008C764D" w:rsidRPr="00577109" w:rsidRDefault="008C764D" w:rsidP="00E75B40">
            <w:pPr>
              <w:rPr>
                <w:rFonts w:cs="Arial"/>
                <w:sz w:val="20"/>
                <w:szCs w:val="20"/>
              </w:rPr>
            </w:pPr>
            <w:r w:rsidRPr="00577109">
              <w:rPr>
                <w:rFonts w:cs="Arial"/>
                <w:sz w:val="20"/>
                <w:szCs w:val="20"/>
              </w:rPr>
              <w:t>Key message</w:t>
            </w:r>
            <w:r w:rsidR="001C3189">
              <w:rPr>
                <w:rFonts w:cs="Arial"/>
                <w:sz w:val="20"/>
                <w:szCs w:val="20"/>
              </w:rPr>
              <w:t>s</w:t>
            </w:r>
          </w:p>
        </w:tc>
        <w:tc>
          <w:tcPr>
            <w:tcW w:w="3541" w:type="dxa"/>
          </w:tcPr>
          <w:p w14:paraId="49230B01" w14:textId="77777777" w:rsidR="008C764D" w:rsidRPr="00577109" w:rsidRDefault="00C05B61" w:rsidP="00C05B61">
            <w:pPr>
              <w:rPr>
                <w:rFonts w:cs="Arial"/>
                <w:sz w:val="20"/>
                <w:szCs w:val="20"/>
              </w:rPr>
            </w:pPr>
            <w:r>
              <w:rPr>
                <w:rFonts w:cs="Arial"/>
                <w:sz w:val="20"/>
                <w:szCs w:val="20"/>
              </w:rPr>
              <w:t>C</w:t>
            </w:r>
            <w:r w:rsidR="008C764D">
              <w:rPr>
                <w:rFonts w:cs="Arial"/>
                <w:sz w:val="20"/>
                <w:szCs w:val="20"/>
              </w:rPr>
              <w:t>onsideration</w:t>
            </w:r>
            <w:r>
              <w:rPr>
                <w:rFonts w:cs="Arial"/>
                <w:sz w:val="20"/>
                <w:szCs w:val="20"/>
              </w:rPr>
              <w:t xml:space="preserve"> in final policy design</w:t>
            </w:r>
          </w:p>
        </w:tc>
      </w:tr>
      <w:tr w:rsidR="008C764D" w:rsidRPr="00577109" w14:paraId="4BD1B0D6" w14:textId="77777777" w:rsidTr="00D175DF">
        <w:trPr>
          <w:cnfStyle w:val="000000100000" w:firstRow="0" w:lastRow="0" w:firstColumn="0" w:lastColumn="0" w:oddVBand="0" w:evenVBand="0" w:oddHBand="1" w:evenHBand="0" w:firstRowFirstColumn="0" w:firstRowLastColumn="0" w:lastRowFirstColumn="0" w:lastRowLastColumn="0"/>
        </w:trPr>
        <w:tc>
          <w:tcPr>
            <w:tcW w:w="1560" w:type="dxa"/>
          </w:tcPr>
          <w:p w14:paraId="5B2B99AF" w14:textId="77777777" w:rsidR="008C764D" w:rsidRPr="00577109" w:rsidRDefault="008C764D" w:rsidP="00E75B40">
            <w:pPr>
              <w:rPr>
                <w:rFonts w:cs="Arial"/>
                <w:sz w:val="20"/>
                <w:szCs w:val="20"/>
              </w:rPr>
            </w:pPr>
            <w:r w:rsidRPr="00577109">
              <w:rPr>
                <w:rFonts w:cs="Arial"/>
                <w:sz w:val="20"/>
                <w:szCs w:val="20"/>
              </w:rPr>
              <w:t>Holistic support for workers</w:t>
            </w:r>
            <w:r w:rsidR="001E77D4">
              <w:rPr>
                <w:rFonts w:cs="Arial"/>
                <w:sz w:val="20"/>
                <w:szCs w:val="20"/>
              </w:rPr>
              <w:t>, including skills and training</w:t>
            </w:r>
          </w:p>
        </w:tc>
        <w:tc>
          <w:tcPr>
            <w:tcW w:w="5103" w:type="dxa"/>
          </w:tcPr>
          <w:p w14:paraId="32B3C2CA" w14:textId="77777777" w:rsidR="008C764D" w:rsidRDefault="001E77D4" w:rsidP="00E75B40">
            <w:pPr>
              <w:rPr>
                <w:rFonts w:cs="Arial"/>
                <w:sz w:val="20"/>
                <w:szCs w:val="20"/>
              </w:rPr>
            </w:pPr>
            <w:r>
              <w:rPr>
                <w:rFonts w:cs="Arial"/>
                <w:sz w:val="20"/>
                <w:szCs w:val="20"/>
              </w:rPr>
              <w:t>Industry are concerned with the impact of generat</w:t>
            </w:r>
            <w:r w:rsidR="001C3189">
              <w:rPr>
                <w:rFonts w:cs="Arial"/>
                <w:sz w:val="20"/>
                <w:szCs w:val="20"/>
              </w:rPr>
              <w:t>or</w:t>
            </w:r>
            <w:r>
              <w:rPr>
                <w:rFonts w:cs="Arial"/>
                <w:sz w:val="20"/>
                <w:szCs w:val="20"/>
              </w:rPr>
              <w:t xml:space="preserve"> closures on small and medium businesses. They also see the</w:t>
            </w:r>
            <w:r w:rsidRPr="00577109">
              <w:rPr>
                <w:rFonts w:cs="Arial"/>
                <w:sz w:val="20"/>
                <w:szCs w:val="20"/>
              </w:rPr>
              <w:t xml:space="preserve"> </w:t>
            </w:r>
            <w:r w:rsidR="008C764D" w:rsidRPr="00577109">
              <w:rPr>
                <w:rFonts w:cs="Arial"/>
                <w:sz w:val="20"/>
                <w:szCs w:val="20"/>
              </w:rPr>
              <w:t xml:space="preserve">need </w:t>
            </w:r>
            <w:r>
              <w:rPr>
                <w:rFonts w:cs="Arial"/>
                <w:sz w:val="20"/>
                <w:szCs w:val="20"/>
              </w:rPr>
              <w:t>for</w:t>
            </w:r>
            <w:r w:rsidR="008C764D" w:rsidRPr="00577109">
              <w:rPr>
                <w:rFonts w:cs="Arial"/>
                <w:sz w:val="20"/>
                <w:szCs w:val="20"/>
              </w:rPr>
              <w:t xml:space="preserve"> additional support to enable a successful </w:t>
            </w:r>
            <w:r w:rsidR="008C764D">
              <w:rPr>
                <w:rFonts w:cs="Arial"/>
                <w:sz w:val="20"/>
                <w:szCs w:val="20"/>
              </w:rPr>
              <w:t xml:space="preserve">and seamless </w:t>
            </w:r>
            <w:r w:rsidR="008C764D" w:rsidRPr="00577109">
              <w:rPr>
                <w:rFonts w:cs="Arial"/>
                <w:sz w:val="20"/>
                <w:szCs w:val="20"/>
              </w:rPr>
              <w:t>transition</w:t>
            </w:r>
            <w:r w:rsidR="008C764D">
              <w:rPr>
                <w:rFonts w:cs="Arial"/>
                <w:sz w:val="20"/>
                <w:szCs w:val="20"/>
              </w:rPr>
              <w:t xml:space="preserve"> </w:t>
            </w:r>
            <w:r w:rsidR="003F2532">
              <w:rPr>
                <w:rFonts w:cs="Arial"/>
                <w:sz w:val="20"/>
                <w:szCs w:val="20"/>
              </w:rPr>
              <w:t xml:space="preserve">for workers </w:t>
            </w:r>
            <w:r w:rsidR="008C764D">
              <w:rPr>
                <w:rFonts w:cs="Arial"/>
                <w:sz w:val="20"/>
                <w:szCs w:val="20"/>
              </w:rPr>
              <w:t>into new opportunities</w:t>
            </w:r>
            <w:r w:rsidR="00C03903">
              <w:rPr>
                <w:rFonts w:cs="Arial"/>
                <w:sz w:val="20"/>
                <w:szCs w:val="20"/>
              </w:rPr>
              <w:t xml:space="preserve">, particularly for regions where there are limited </w:t>
            </w:r>
            <w:r w:rsidR="003F2532">
              <w:rPr>
                <w:rFonts w:cs="Arial"/>
                <w:sz w:val="20"/>
                <w:szCs w:val="20"/>
              </w:rPr>
              <w:t>alternate employment opportunities</w:t>
            </w:r>
            <w:r>
              <w:rPr>
                <w:rFonts w:cs="Arial"/>
                <w:sz w:val="20"/>
                <w:szCs w:val="20"/>
              </w:rPr>
              <w:t>.</w:t>
            </w:r>
          </w:p>
          <w:p w14:paraId="35448EA8" w14:textId="77777777" w:rsidR="00C03903" w:rsidRDefault="00C03903" w:rsidP="00E75B40">
            <w:pPr>
              <w:rPr>
                <w:rFonts w:cs="Arial"/>
                <w:sz w:val="20"/>
                <w:szCs w:val="20"/>
              </w:rPr>
            </w:pPr>
          </w:p>
          <w:p w14:paraId="2221A39E" w14:textId="77777777" w:rsidR="008C764D" w:rsidRPr="00577109" w:rsidRDefault="001E77D4" w:rsidP="00E75B40">
            <w:pPr>
              <w:rPr>
                <w:rFonts w:cs="Arial"/>
                <w:sz w:val="20"/>
                <w:szCs w:val="20"/>
              </w:rPr>
            </w:pPr>
            <w:r>
              <w:rPr>
                <w:rFonts w:cs="Arial"/>
                <w:sz w:val="20"/>
                <w:szCs w:val="20"/>
              </w:rPr>
              <w:t>Employers want to see skills mapping to ensure new opportunities can be identified for workers, and to better target additional s</w:t>
            </w:r>
            <w:r w:rsidRPr="00577109">
              <w:rPr>
                <w:rFonts w:cs="Arial"/>
                <w:sz w:val="20"/>
                <w:szCs w:val="20"/>
              </w:rPr>
              <w:t>kills and</w:t>
            </w:r>
            <w:r>
              <w:rPr>
                <w:rFonts w:cs="Arial"/>
                <w:sz w:val="20"/>
                <w:szCs w:val="20"/>
              </w:rPr>
              <w:t xml:space="preserve"> training supports that may be needed.</w:t>
            </w:r>
          </w:p>
        </w:tc>
        <w:tc>
          <w:tcPr>
            <w:tcW w:w="3541" w:type="dxa"/>
          </w:tcPr>
          <w:p w14:paraId="7F8E9D0A" w14:textId="77777777" w:rsidR="00C93FA2" w:rsidRDefault="00C93FA2" w:rsidP="00C93FA2">
            <w:pPr>
              <w:rPr>
                <w:rFonts w:cs="Arial"/>
                <w:sz w:val="20"/>
                <w:szCs w:val="24"/>
              </w:rPr>
            </w:pPr>
            <w:r>
              <w:rPr>
                <w:rFonts w:cs="Arial"/>
                <w:sz w:val="20"/>
                <w:szCs w:val="24"/>
              </w:rPr>
              <w:t>Communities of interest will include a broader scope of receiving employers compared to the Hazelwood Scheme which was targeted primarily at other coal generators.</w:t>
            </w:r>
          </w:p>
          <w:p w14:paraId="1D2B9520" w14:textId="77777777" w:rsidR="00C93FA2" w:rsidRDefault="00C93FA2" w:rsidP="00C93FA2">
            <w:pPr>
              <w:rPr>
                <w:rFonts w:cs="Arial"/>
                <w:sz w:val="20"/>
                <w:szCs w:val="24"/>
              </w:rPr>
            </w:pPr>
          </w:p>
          <w:p w14:paraId="2C04B648" w14:textId="77777777" w:rsidR="008C764D" w:rsidRPr="00577109" w:rsidRDefault="003F2532" w:rsidP="00E75B40">
            <w:pPr>
              <w:rPr>
                <w:rFonts w:cs="Arial"/>
                <w:sz w:val="20"/>
                <w:szCs w:val="20"/>
              </w:rPr>
            </w:pPr>
            <w:r>
              <w:rPr>
                <w:rFonts w:cs="Arial"/>
                <w:sz w:val="20"/>
                <w:szCs w:val="20"/>
              </w:rPr>
              <w:t>Government will consider whether p</w:t>
            </w:r>
            <w:r w:rsidR="001E77D4">
              <w:rPr>
                <w:rFonts w:cs="Arial"/>
                <w:sz w:val="20"/>
                <w:szCs w:val="20"/>
              </w:rPr>
              <w:t xml:space="preserve">ooled redeployment </w:t>
            </w:r>
            <w:r>
              <w:rPr>
                <w:rFonts w:cs="Arial"/>
                <w:sz w:val="20"/>
                <w:szCs w:val="20"/>
              </w:rPr>
              <w:t>options could be complemented by other</w:t>
            </w:r>
            <w:r w:rsidR="001E77D4">
              <w:rPr>
                <w:rFonts w:cs="Arial"/>
                <w:sz w:val="20"/>
                <w:szCs w:val="20"/>
              </w:rPr>
              <w:t xml:space="preserve"> </w:t>
            </w:r>
            <w:r>
              <w:rPr>
                <w:rFonts w:cs="Arial"/>
                <w:sz w:val="20"/>
                <w:szCs w:val="20"/>
              </w:rPr>
              <w:t>expanded</w:t>
            </w:r>
            <w:r w:rsidR="001E77D4">
              <w:rPr>
                <w:rFonts w:cs="Arial"/>
                <w:sz w:val="20"/>
                <w:szCs w:val="20"/>
              </w:rPr>
              <w:t xml:space="preserve"> employment supports.</w:t>
            </w:r>
          </w:p>
        </w:tc>
      </w:tr>
      <w:tr w:rsidR="00C43F39" w:rsidRPr="00577109" w14:paraId="64D946C6" w14:textId="77777777" w:rsidTr="00D175DF">
        <w:tc>
          <w:tcPr>
            <w:tcW w:w="1560" w:type="dxa"/>
          </w:tcPr>
          <w:p w14:paraId="4679E2ED" w14:textId="77777777" w:rsidR="00C43F39" w:rsidRPr="00577109" w:rsidRDefault="00C43F39" w:rsidP="00E75B40">
            <w:pPr>
              <w:rPr>
                <w:rFonts w:cs="Arial"/>
                <w:sz w:val="20"/>
                <w:szCs w:val="20"/>
              </w:rPr>
            </w:pPr>
            <w:r>
              <w:rPr>
                <w:rFonts w:cs="Arial"/>
                <w:sz w:val="20"/>
                <w:szCs w:val="20"/>
              </w:rPr>
              <w:t>Coordination</w:t>
            </w:r>
          </w:p>
        </w:tc>
        <w:tc>
          <w:tcPr>
            <w:tcW w:w="5103" w:type="dxa"/>
          </w:tcPr>
          <w:p w14:paraId="4D036820" w14:textId="77777777" w:rsidR="00C43F39" w:rsidRPr="00577109" w:rsidRDefault="00C43F39" w:rsidP="00E75B40">
            <w:pPr>
              <w:rPr>
                <w:rFonts w:cs="Arial"/>
                <w:sz w:val="20"/>
                <w:szCs w:val="20"/>
              </w:rPr>
            </w:pPr>
            <w:r>
              <w:rPr>
                <w:rFonts w:cs="Arial"/>
                <w:sz w:val="20"/>
                <w:szCs w:val="20"/>
              </w:rPr>
              <w:t xml:space="preserve">Stakeholders want </w:t>
            </w:r>
            <w:r w:rsidRPr="00C43F39">
              <w:rPr>
                <w:rFonts w:cs="Arial"/>
                <w:sz w:val="20"/>
                <w:szCs w:val="20"/>
              </w:rPr>
              <w:t>government supports to be coordinated, and not duplicative</w:t>
            </w:r>
            <w:r>
              <w:rPr>
                <w:rFonts w:cs="Arial"/>
                <w:sz w:val="20"/>
                <w:szCs w:val="20"/>
              </w:rPr>
              <w:t>,</w:t>
            </w:r>
            <w:r w:rsidRPr="00C43F39">
              <w:rPr>
                <w:rFonts w:cs="Arial"/>
                <w:sz w:val="20"/>
                <w:szCs w:val="20"/>
              </w:rPr>
              <w:t xml:space="preserve"> to ensure that </w:t>
            </w:r>
            <w:r>
              <w:rPr>
                <w:rFonts w:cs="Arial"/>
                <w:sz w:val="20"/>
                <w:szCs w:val="20"/>
              </w:rPr>
              <w:t xml:space="preserve">employers, </w:t>
            </w:r>
            <w:r w:rsidRPr="00C43F39">
              <w:rPr>
                <w:rFonts w:cs="Arial"/>
                <w:sz w:val="20"/>
                <w:szCs w:val="20"/>
              </w:rPr>
              <w:t xml:space="preserve">workers and families can easily navigate all </w:t>
            </w:r>
            <w:r w:rsidRPr="00C43F39">
              <w:rPr>
                <w:rFonts w:cs="Arial"/>
                <w:sz w:val="20"/>
                <w:szCs w:val="20"/>
              </w:rPr>
              <w:lastRenderedPageBreak/>
              <w:t xml:space="preserve">region-specific supports, including </w:t>
            </w:r>
            <w:r>
              <w:rPr>
                <w:rFonts w:cs="Arial"/>
                <w:sz w:val="20"/>
                <w:szCs w:val="20"/>
              </w:rPr>
              <w:t xml:space="preserve">any </w:t>
            </w:r>
            <w:r w:rsidRPr="00C43F39">
              <w:rPr>
                <w:rFonts w:cs="Arial"/>
                <w:sz w:val="20"/>
                <w:szCs w:val="20"/>
              </w:rPr>
              <w:t>pooled redeployment programs</w:t>
            </w:r>
            <w:r w:rsidR="00EE27B7">
              <w:rPr>
                <w:rFonts w:cs="Arial"/>
                <w:sz w:val="20"/>
                <w:szCs w:val="20"/>
              </w:rPr>
              <w:t>.</w:t>
            </w:r>
          </w:p>
        </w:tc>
        <w:tc>
          <w:tcPr>
            <w:tcW w:w="3541" w:type="dxa"/>
          </w:tcPr>
          <w:p w14:paraId="16BE7F26" w14:textId="77777777" w:rsidR="008726DF" w:rsidRDefault="008726DF" w:rsidP="00C93FA2">
            <w:pPr>
              <w:rPr>
                <w:rFonts w:cs="Arial"/>
                <w:sz w:val="20"/>
                <w:szCs w:val="20"/>
              </w:rPr>
            </w:pPr>
            <w:r>
              <w:rPr>
                <w:rFonts w:cs="Arial"/>
                <w:sz w:val="20"/>
                <w:szCs w:val="20"/>
              </w:rPr>
              <w:lastRenderedPageBreak/>
              <w:t xml:space="preserve">Communities of interest will be a mechanism for identifying areas of common interest and collaboration </w:t>
            </w:r>
            <w:r>
              <w:rPr>
                <w:rFonts w:cs="Arial"/>
                <w:sz w:val="20"/>
                <w:szCs w:val="20"/>
              </w:rPr>
              <w:lastRenderedPageBreak/>
              <w:t>including regional skills needs and sequencing issues (i</w:t>
            </w:r>
            <w:r w:rsidR="0025127D">
              <w:rPr>
                <w:rFonts w:cs="Arial"/>
                <w:sz w:val="20"/>
                <w:szCs w:val="20"/>
              </w:rPr>
              <w:t>.</w:t>
            </w:r>
            <w:r>
              <w:rPr>
                <w:rFonts w:cs="Arial"/>
                <w:sz w:val="20"/>
                <w:szCs w:val="20"/>
              </w:rPr>
              <w:t>e</w:t>
            </w:r>
            <w:r w:rsidR="0025127D">
              <w:rPr>
                <w:rFonts w:cs="Arial"/>
                <w:sz w:val="20"/>
                <w:szCs w:val="20"/>
              </w:rPr>
              <w:t>.</w:t>
            </w:r>
            <w:r>
              <w:rPr>
                <w:rFonts w:cs="Arial"/>
                <w:sz w:val="20"/>
                <w:szCs w:val="20"/>
              </w:rPr>
              <w:t xml:space="preserve"> ensuring worker transition takes account of business needs).</w:t>
            </w:r>
          </w:p>
          <w:p w14:paraId="2520A162" w14:textId="77777777" w:rsidR="008726DF" w:rsidRDefault="008726DF" w:rsidP="00C93FA2">
            <w:pPr>
              <w:rPr>
                <w:rFonts w:cs="Arial"/>
                <w:sz w:val="20"/>
                <w:szCs w:val="20"/>
              </w:rPr>
            </w:pPr>
          </w:p>
          <w:p w14:paraId="6FDBF880" w14:textId="77777777" w:rsidR="00C43F39" w:rsidRDefault="00C43F39" w:rsidP="00E75B40">
            <w:pPr>
              <w:rPr>
                <w:rFonts w:cs="Arial"/>
                <w:sz w:val="20"/>
                <w:szCs w:val="20"/>
              </w:rPr>
            </w:pPr>
            <w:r>
              <w:rPr>
                <w:rFonts w:cs="Arial"/>
                <w:sz w:val="20"/>
                <w:szCs w:val="20"/>
              </w:rPr>
              <w:t>NZEA to work closely with DEWR, employers and state &amp; local governments in developing program and policy guidelines.</w:t>
            </w:r>
          </w:p>
        </w:tc>
      </w:tr>
      <w:tr w:rsidR="00C33207" w:rsidRPr="00577109" w14:paraId="3BAE9076" w14:textId="77777777" w:rsidTr="00D175DF">
        <w:trPr>
          <w:cnfStyle w:val="000000100000" w:firstRow="0" w:lastRow="0" w:firstColumn="0" w:lastColumn="0" w:oddVBand="0" w:evenVBand="0" w:oddHBand="1" w:evenHBand="0" w:firstRowFirstColumn="0" w:firstRowLastColumn="0" w:lastRowFirstColumn="0" w:lastRowLastColumn="0"/>
          <w:trHeight w:val="512"/>
        </w:trPr>
        <w:tc>
          <w:tcPr>
            <w:tcW w:w="1560" w:type="dxa"/>
          </w:tcPr>
          <w:p w14:paraId="7E7D18EE" w14:textId="77777777" w:rsidR="00C33207" w:rsidRDefault="00C33207" w:rsidP="00D57D4D">
            <w:pPr>
              <w:rPr>
                <w:rFonts w:cs="Arial"/>
                <w:sz w:val="20"/>
                <w:szCs w:val="20"/>
              </w:rPr>
            </w:pPr>
            <w:r>
              <w:rPr>
                <w:rFonts w:cs="Arial"/>
                <w:sz w:val="20"/>
                <w:szCs w:val="20"/>
              </w:rPr>
              <w:lastRenderedPageBreak/>
              <w:t xml:space="preserve">Scope </w:t>
            </w:r>
          </w:p>
        </w:tc>
        <w:tc>
          <w:tcPr>
            <w:tcW w:w="5103" w:type="dxa"/>
          </w:tcPr>
          <w:p w14:paraId="20325E18" w14:textId="77777777" w:rsidR="00F52F6D" w:rsidRDefault="008726DF" w:rsidP="00F52F6D">
            <w:pPr>
              <w:rPr>
                <w:rFonts w:cs="Arial"/>
                <w:sz w:val="20"/>
                <w:szCs w:val="24"/>
              </w:rPr>
            </w:pPr>
            <w:r>
              <w:rPr>
                <w:rFonts w:cs="Arial"/>
                <w:sz w:val="20"/>
                <w:szCs w:val="24"/>
              </w:rPr>
              <w:t>Unions and some</w:t>
            </w:r>
            <w:r w:rsidR="00F46727">
              <w:rPr>
                <w:rFonts w:cs="Arial"/>
                <w:sz w:val="20"/>
                <w:szCs w:val="24"/>
              </w:rPr>
              <w:t xml:space="preserve"> e</w:t>
            </w:r>
            <w:r w:rsidR="00F52F6D">
              <w:rPr>
                <w:rFonts w:cs="Arial"/>
                <w:sz w:val="20"/>
                <w:szCs w:val="24"/>
              </w:rPr>
              <w:t>mployers want gas-fired power stations to be c</w:t>
            </w:r>
            <w:r w:rsidR="00F46727">
              <w:rPr>
                <w:rFonts w:cs="Arial"/>
                <w:sz w:val="20"/>
                <w:szCs w:val="24"/>
              </w:rPr>
              <w:t>onsidered for</w:t>
            </w:r>
            <w:r w:rsidR="00F52F6D">
              <w:rPr>
                <w:rFonts w:cs="Arial"/>
                <w:sz w:val="20"/>
                <w:szCs w:val="24"/>
              </w:rPr>
              <w:t xml:space="preserve"> pooled redeployment arrangements, particularly where large workforces are affected.</w:t>
            </w:r>
          </w:p>
          <w:p w14:paraId="47508D78" w14:textId="77777777" w:rsidR="003925EA" w:rsidRDefault="003925EA">
            <w:pPr>
              <w:rPr>
                <w:rFonts w:cs="Arial"/>
                <w:sz w:val="20"/>
                <w:szCs w:val="24"/>
              </w:rPr>
            </w:pPr>
          </w:p>
          <w:p w14:paraId="78500AC2" w14:textId="77777777" w:rsidR="00C33207" w:rsidRDefault="00C33207">
            <w:pPr>
              <w:rPr>
                <w:rFonts w:cs="Arial"/>
                <w:sz w:val="20"/>
                <w:szCs w:val="24"/>
              </w:rPr>
            </w:pPr>
          </w:p>
        </w:tc>
        <w:tc>
          <w:tcPr>
            <w:tcW w:w="3541" w:type="dxa"/>
          </w:tcPr>
          <w:p w14:paraId="31B9B056" w14:textId="77777777" w:rsidR="00C33207" w:rsidRDefault="00121603" w:rsidP="00370D10">
            <w:pPr>
              <w:rPr>
                <w:rFonts w:cs="Arial"/>
                <w:sz w:val="20"/>
                <w:szCs w:val="24"/>
              </w:rPr>
            </w:pPr>
            <w:r>
              <w:rPr>
                <w:rFonts w:cs="Arial"/>
                <w:sz w:val="20"/>
                <w:szCs w:val="24"/>
              </w:rPr>
              <w:t xml:space="preserve">Scope of </w:t>
            </w:r>
            <w:r w:rsidR="00370D10">
              <w:rPr>
                <w:rFonts w:cs="Arial"/>
                <w:sz w:val="20"/>
                <w:szCs w:val="24"/>
              </w:rPr>
              <w:t>Options 2 and 3</w:t>
            </w:r>
            <w:r>
              <w:rPr>
                <w:rFonts w:cs="Arial"/>
                <w:sz w:val="20"/>
                <w:szCs w:val="24"/>
              </w:rPr>
              <w:t xml:space="preserve"> broadened, from focusing solely on closing coal-fired power stations, to include</w:t>
            </w:r>
            <w:r w:rsidR="00F46727">
              <w:rPr>
                <w:rFonts w:cs="Arial"/>
                <w:sz w:val="20"/>
                <w:szCs w:val="24"/>
              </w:rPr>
              <w:t xml:space="preserve"> some</w:t>
            </w:r>
            <w:r>
              <w:rPr>
                <w:rFonts w:cs="Arial"/>
                <w:sz w:val="20"/>
                <w:szCs w:val="24"/>
              </w:rPr>
              <w:t xml:space="preserve"> closing gas-fired power stations.</w:t>
            </w:r>
          </w:p>
        </w:tc>
      </w:tr>
      <w:tr w:rsidR="008C764D" w:rsidRPr="00577109" w14:paraId="62B1B0E2" w14:textId="77777777" w:rsidTr="00D175DF">
        <w:trPr>
          <w:trHeight w:val="512"/>
        </w:trPr>
        <w:tc>
          <w:tcPr>
            <w:tcW w:w="1560" w:type="dxa"/>
          </w:tcPr>
          <w:p w14:paraId="32E8C1B4" w14:textId="77777777" w:rsidR="008C764D" w:rsidRDefault="008C764D" w:rsidP="00E10814">
            <w:pPr>
              <w:rPr>
                <w:rFonts w:cs="Arial"/>
                <w:sz w:val="20"/>
                <w:szCs w:val="20"/>
              </w:rPr>
            </w:pPr>
            <w:r>
              <w:rPr>
                <w:rFonts w:cs="Arial"/>
                <w:sz w:val="20"/>
                <w:szCs w:val="20"/>
              </w:rPr>
              <w:t>Incentives</w:t>
            </w:r>
          </w:p>
        </w:tc>
        <w:tc>
          <w:tcPr>
            <w:tcW w:w="5103" w:type="dxa"/>
          </w:tcPr>
          <w:p w14:paraId="265BF121" w14:textId="77777777" w:rsidR="008C764D" w:rsidRDefault="008C764D" w:rsidP="00E10814">
            <w:pPr>
              <w:rPr>
                <w:rFonts w:cs="Arial"/>
                <w:sz w:val="20"/>
                <w:szCs w:val="24"/>
              </w:rPr>
            </w:pPr>
            <w:r>
              <w:rPr>
                <w:rFonts w:cs="Arial"/>
                <w:sz w:val="20"/>
                <w:szCs w:val="24"/>
              </w:rPr>
              <w:t xml:space="preserve">Employers want incentives for receiving employers to take on displaced workers, including for voluntary redundancies and </w:t>
            </w:r>
            <w:r w:rsidR="00186196">
              <w:rPr>
                <w:rFonts w:cs="Arial"/>
                <w:sz w:val="20"/>
                <w:szCs w:val="24"/>
              </w:rPr>
              <w:t>onboarding costs</w:t>
            </w:r>
            <w:r>
              <w:rPr>
                <w:rFonts w:cs="Arial"/>
                <w:sz w:val="20"/>
                <w:szCs w:val="24"/>
              </w:rPr>
              <w:t>, where possible.</w:t>
            </w:r>
          </w:p>
        </w:tc>
        <w:tc>
          <w:tcPr>
            <w:tcW w:w="3541" w:type="dxa"/>
          </w:tcPr>
          <w:p w14:paraId="303E578E" w14:textId="77777777" w:rsidR="008C764D" w:rsidRDefault="00C94D4C" w:rsidP="00E10814">
            <w:pPr>
              <w:rPr>
                <w:rFonts w:cs="Arial"/>
                <w:sz w:val="20"/>
                <w:szCs w:val="24"/>
              </w:rPr>
            </w:pPr>
            <w:r>
              <w:rPr>
                <w:rFonts w:cs="Arial"/>
                <w:sz w:val="20"/>
                <w:szCs w:val="24"/>
              </w:rPr>
              <w:t>Government contribution</w:t>
            </w:r>
            <w:r w:rsidR="003F2532">
              <w:rPr>
                <w:rFonts w:cs="Arial"/>
                <w:sz w:val="20"/>
                <w:szCs w:val="24"/>
              </w:rPr>
              <w:t>s</w:t>
            </w:r>
            <w:r>
              <w:rPr>
                <w:rFonts w:cs="Arial"/>
                <w:sz w:val="20"/>
                <w:szCs w:val="24"/>
              </w:rPr>
              <w:t xml:space="preserve"> towards early retirement</w:t>
            </w:r>
            <w:r w:rsidR="008C2952">
              <w:rPr>
                <w:rFonts w:cs="Arial"/>
                <w:sz w:val="20"/>
                <w:szCs w:val="24"/>
              </w:rPr>
              <w:t xml:space="preserve"> payments (or other incentives)</w:t>
            </w:r>
            <w:r>
              <w:rPr>
                <w:rFonts w:cs="Arial"/>
                <w:sz w:val="20"/>
                <w:szCs w:val="24"/>
              </w:rPr>
              <w:t xml:space="preserve"> can be used to </w:t>
            </w:r>
            <w:r w:rsidR="008C2952">
              <w:rPr>
                <w:rFonts w:cs="Arial"/>
                <w:sz w:val="20"/>
                <w:szCs w:val="24"/>
              </w:rPr>
              <w:t>help</w:t>
            </w:r>
            <w:r>
              <w:rPr>
                <w:rFonts w:cs="Arial"/>
                <w:sz w:val="20"/>
                <w:szCs w:val="24"/>
              </w:rPr>
              <w:t xml:space="preserve"> receiving employer</w:t>
            </w:r>
            <w:r w:rsidR="008C2952">
              <w:rPr>
                <w:rFonts w:cs="Arial"/>
                <w:sz w:val="20"/>
                <w:szCs w:val="24"/>
              </w:rPr>
              <w:t>s</w:t>
            </w:r>
            <w:r>
              <w:rPr>
                <w:rFonts w:cs="Arial"/>
                <w:sz w:val="20"/>
                <w:szCs w:val="24"/>
              </w:rPr>
              <w:t>.</w:t>
            </w:r>
          </w:p>
        </w:tc>
      </w:tr>
      <w:tr w:rsidR="008C764D" w:rsidRPr="00577109" w14:paraId="11158EB9" w14:textId="77777777" w:rsidTr="00D175DF">
        <w:trPr>
          <w:cnfStyle w:val="000000100000" w:firstRow="0" w:lastRow="0" w:firstColumn="0" w:lastColumn="0" w:oddVBand="0" w:evenVBand="0" w:oddHBand="1" w:evenHBand="0" w:firstRowFirstColumn="0" w:firstRowLastColumn="0" w:lastRowFirstColumn="0" w:lastRowLastColumn="0"/>
          <w:trHeight w:val="512"/>
        </w:trPr>
        <w:tc>
          <w:tcPr>
            <w:tcW w:w="1560" w:type="dxa"/>
          </w:tcPr>
          <w:p w14:paraId="55DBC72F" w14:textId="77777777" w:rsidR="008C764D" w:rsidRPr="00577109" w:rsidRDefault="003F2532" w:rsidP="00E10814">
            <w:pPr>
              <w:rPr>
                <w:rFonts w:cs="Arial"/>
                <w:sz w:val="20"/>
                <w:szCs w:val="20"/>
              </w:rPr>
            </w:pPr>
            <w:r>
              <w:rPr>
                <w:rFonts w:cs="Arial"/>
                <w:sz w:val="20"/>
                <w:szCs w:val="20"/>
              </w:rPr>
              <w:t>Employer</w:t>
            </w:r>
            <w:r w:rsidR="008C764D">
              <w:rPr>
                <w:rFonts w:cs="Arial"/>
                <w:sz w:val="20"/>
                <w:szCs w:val="20"/>
              </w:rPr>
              <w:t xml:space="preserve"> obligations</w:t>
            </w:r>
          </w:p>
        </w:tc>
        <w:tc>
          <w:tcPr>
            <w:tcW w:w="5103" w:type="dxa"/>
          </w:tcPr>
          <w:p w14:paraId="6B75444B" w14:textId="77777777" w:rsidR="00C94D4C" w:rsidRDefault="008C764D" w:rsidP="00E10814">
            <w:pPr>
              <w:rPr>
                <w:rFonts w:cs="Arial"/>
                <w:sz w:val="20"/>
                <w:szCs w:val="24"/>
              </w:rPr>
            </w:pPr>
            <w:r>
              <w:rPr>
                <w:rFonts w:cs="Arial"/>
                <w:sz w:val="20"/>
                <w:szCs w:val="24"/>
              </w:rPr>
              <w:t xml:space="preserve">Employers want </w:t>
            </w:r>
            <w:r w:rsidR="003F2532">
              <w:rPr>
                <w:rFonts w:cs="Arial"/>
                <w:sz w:val="20"/>
                <w:szCs w:val="24"/>
              </w:rPr>
              <w:t xml:space="preserve">to </w:t>
            </w:r>
            <w:r>
              <w:rPr>
                <w:rFonts w:cs="Arial"/>
                <w:sz w:val="20"/>
                <w:szCs w:val="24"/>
              </w:rPr>
              <w:t>limit</w:t>
            </w:r>
            <w:r w:rsidR="003F2532">
              <w:rPr>
                <w:rFonts w:cs="Arial"/>
                <w:sz w:val="20"/>
                <w:szCs w:val="24"/>
              </w:rPr>
              <w:t xml:space="preserve"> any</w:t>
            </w:r>
            <w:r>
              <w:rPr>
                <w:rFonts w:cs="Arial"/>
                <w:sz w:val="20"/>
                <w:szCs w:val="24"/>
              </w:rPr>
              <w:t xml:space="preserve"> additional obligation</w:t>
            </w:r>
            <w:r w:rsidR="003F2532">
              <w:rPr>
                <w:rFonts w:cs="Arial"/>
                <w:sz w:val="20"/>
                <w:szCs w:val="24"/>
              </w:rPr>
              <w:t>s</w:t>
            </w:r>
            <w:r>
              <w:rPr>
                <w:rFonts w:cs="Arial"/>
                <w:sz w:val="20"/>
                <w:szCs w:val="24"/>
              </w:rPr>
              <w:t xml:space="preserve"> or regulatory burden for receiving employers</w:t>
            </w:r>
            <w:r w:rsidR="003F2532">
              <w:rPr>
                <w:rFonts w:cs="Arial"/>
                <w:sz w:val="20"/>
                <w:szCs w:val="24"/>
              </w:rPr>
              <w:t>,</w:t>
            </w:r>
            <w:r>
              <w:rPr>
                <w:rFonts w:cs="Arial"/>
                <w:sz w:val="20"/>
                <w:szCs w:val="24"/>
              </w:rPr>
              <w:t xml:space="preserve"> and recognition of existing initiatives underway to support workers by closing employers.</w:t>
            </w:r>
          </w:p>
          <w:p w14:paraId="0CC9D282" w14:textId="77777777" w:rsidR="00C94D4C" w:rsidRDefault="00C94D4C" w:rsidP="00196486">
            <w:pPr>
              <w:rPr>
                <w:rFonts w:cs="Arial"/>
                <w:sz w:val="20"/>
                <w:szCs w:val="24"/>
              </w:rPr>
            </w:pPr>
          </w:p>
          <w:p w14:paraId="359D7003" w14:textId="77777777" w:rsidR="008C764D" w:rsidRPr="00577109" w:rsidRDefault="00C94D4C" w:rsidP="00E10814">
            <w:pPr>
              <w:rPr>
                <w:rFonts w:cs="Arial"/>
                <w:sz w:val="20"/>
                <w:szCs w:val="20"/>
              </w:rPr>
            </w:pPr>
            <w:r>
              <w:rPr>
                <w:rFonts w:cs="Arial"/>
                <w:sz w:val="20"/>
                <w:szCs w:val="24"/>
              </w:rPr>
              <w:t xml:space="preserve">Union movement </w:t>
            </w:r>
            <w:r w:rsidR="000334EE">
              <w:rPr>
                <w:rFonts w:cs="Arial"/>
                <w:sz w:val="20"/>
                <w:szCs w:val="24"/>
              </w:rPr>
              <w:t>wants to ensure that employers must provide sufficient supports for their employees when facilities close</w:t>
            </w:r>
            <w:r w:rsidR="008C764D" w:rsidRPr="00E10E3B" w:rsidDel="005B7BD4">
              <w:rPr>
                <w:rFonts w:cs="Arial"/>
                <w:sz w:val="20"/>
                <w:szCs w:val="24"/>
              </w:rPr>
              <w:t>.</w:t>
            </w:r>
          </w:p>
        </w:tc>
        <w:tc>
          <w:tcPr>
            <w:tcW w:w="3541" w:type="dxa"/>
          </w:tcPr>
          <w:p w14:paraId="73DEF210" w14:textId="77777777" w:rsidR="00186196" w:rsidRDefault="00186196" w:rsidP="00C93FA2">
            <w:pPr>
              <w:rPr>
                <w:rFonts w:cs="Arial"/>
                <w:sz w:val="20"/>
                <w:szCs w:val="24"/>
              </w:rPr>
            </w:pPr>
            <w:r>
              <w:rPr>
                <w:rFonts w:cs="Arial"/>
                <w:sz w:val="20"/>
                <w:szCs w:val="24"/>
              </w:rPr>
              <w:t>Mandatory obligations determine a standard set of supports which all employees of closing and dependent employers should receive.</w:t>
            </w:r>
          </w:p>
          <w:p w14:paraId="4AF93AE2" w14:textId="77777777" w:rsidR="00186196" w:rsidRDefault="00186196" w:rsidP="00C93FA2">
            <w:pPr>
              <w:rPr>
                <w:rFonts w:cs="Arial"/>
                <w:sz w:val="20"/>
                <w:szCs w:val="24"/>
              </w:rPr>
            </w:pPr>
          </w:p>
          <w:p w14:paraId="5654DFAB" w14:textId="77777777" w:rsidR="008C764D" w:rsidRDefault="00C94D4C" w:rsidP="00E10814">
            <w:pPr>
              <w:rPr>
                <w:rFonts w:cs="Arial"/>
                <w:sz w:val="20"/>
                <w:szCs w:val="24"/>
              </w:rPr>
            </w:pPr>
            <w:r>
              <w:rPr>
                <w:rFonts w:cs="Arial"/>
                <w:sz w:val="20"/>
                <w:szCs w:val="24"/>
              </w:rPr>
              <w:t xml:space="preserve">Flexible approach to obligations to reflect operational requirements </w:t>
            </w:r>
            <w:r w:rsidR="000334EE">
              <w:rPr>
                <w:rFonts w:cs="Arial"/>
                <w:sz w:val="20"/>
                <w:szCs w:val="24"/>
              </w:rPr>
              <w:t xml:space="preserve">of businesses, </w:t>
            </w:r>
            <w:r>
              <w:rPr>
                <w:rFonts w:cs="Arial"/>
                <w:sz w:val="20"/>
                <w:szCs w:val="24"/>
              </w:rPr>
              <w:t>and an ability to acknowledge individual businesses plans</w:t>
            </w:r>
            <w:r w:rsidR="000334EE">
              <w:rPr>
                <w:rFonts w:cs="Arial"/>
                <w:sz w:val="20"/>
                <w:szCs w:val="24"/>
              </w:rPr>
              <w:t xml:space="preserve"> &amp; programs</w:t>
            </w:r>
            <w:r>
              <w:rPr>
                <w:rFonts w:cs="Arial"/>
                <w:sz w:val="20"/>
                <w:szCs w:val="24"/>
              </w:rPr>
              <w:t xml:space="preserve"> that are already in place.</w:t>
            </w:r>
          </w:p>
        </w:tc>
      </w:tr>
      <w:tr w:rsidR="008C764D" w:rsidRPr="00577109" w14:paraId="70E8FD4E" w14:textId="77777777" w:rsidTr="00D175DF">
        <w:tc>
          <w:tcPr>
            <w:tcW w:w="1560" w:type="dxa"/>
          </w:tcPr>
          <w:p w14:paraId="0310FC65" w14:textId="77777777" w:rsidR="008C764D" w:rsidRDefault="008C764D" w:rsidP="00E10814">
            <w:pPr>
              <w:rPr>
                <w:rFonts w:cs="Arial"/>
                <w:sz w:val="20"/>
                <w:szCs w:val="20"/>
              </w:rPr>
            </w:pPr>
            <w:r>
              <w:rPr>
                <w:rFonts w:cs="Arial"/>
                <w:sz w:val="20"/>
                <w:szCs w:val="20"/>
              </w:rPr>
              <w:t>Recruitment</w:t>
            </w:r>
            <w:r w:rsidR="000334EE">
              <w:rPr>
                <w:rFonts w:cs="Arial"/>
                <w:sz w:val="20"/>
                <w:szCs w:val="20"/>
              </w:rPr>
              <w:t xml:space="preserve"> and selection of employees</w:t>
            </w:r>
          </w:p>
        </w:tc>
        <w:tc>
          <w:tcPr>
            <w:tcW w:w="5103" w:type="dxa"/>
          </w:tcPr>
          <w:p w14:paraId="3DAF501C" w14:textId="77777777" w:rsidR="008C764D" w:rsidRDefault="008C764D" w:rsidP="00E10814">
            <w:pPr>
              <w:rPr>
                <w:rFonts w:cs="Arial"/>
                <w:sz w:val="20"/>
                <w:szCs w:val="24"/>
              </w:rPr>
            </w:pPr>
            <w:r>
              <w:rPr>
                <w:rFonts w:cs="Arial"/>
                <w:sz w:val="20"/>
                <w:szCs w:val="24"/>
              </w:rPr>
              <w:t>Employers want receiving employers to retain the ability to choose, assess and recruit candidates from the redeployment pool, and have final right to determine who they hire.</w:t>
            </w:r>
          </w:p>
          <w:p w14:paraId="09A11C77" w14:textId="77777777" w:rsidR="004C00BD" w:rsidRDefault="004C00BD" w:rsidP="00E10814">
            <w:pPr>
              <w:rPr>
                <w:rFonts w:cs="Arial"/>
                <w:sz w:val="20"/>
                <w:szCs w:val="24"/>
              </w:rPr>
            </w:pPr>
          </w:p>
          <w:p w14:paraId="04CDC6FE" w14:textId="77777777" w:rsidR="008C764D" w:rsidRPr="00E10E3B" w:rsidRDefault="004C00BD" w:rsidP="00E10814">
            <w:pPr>
              <w:rPr>
                <w:rFonts w:cs="Arial"/>
                <w:sz w:val="20"/>
                <w:szCs w:val="24"/>
              </w:rPr>
            </w:pPr>
            <w:r>
              <w:rPr>
                <w:rFonts w:cs="Arial"/>
                <w:sz w:val="20"/>
                <w:szCs w:val="24"/>
              </w:rPr>
              <w:t>Employers see pooled redeployment as an important way to identify regionally based skilled workers who can help them address significant workforce shortages.</w:t>
            </w:r>
          </w:p>
        </w:tc>
        <w:tc>
          <w:tcPr>
            <w:tcW w:w="3541" w:type="dxa"/>
          </w:tcPr>
          <w:p w14:paraId="6557B5DE" w14:textId="77777777" w:rsidR="008C764D" w:rsidRDefault="00C94D4C" w:rsidP="00E10814">
            <w:pPr>
              <w:rPr>
                <w:rFonts w:cs="Arial"/>
                <w:sz w:val="20"/>
                <w:szCs w:val="24"/>
              </w:rPr>
            </w:pPr>
            <w:r>
              <w:rPr>
                <w:rFonts w:cs="Arial"/>
                <w:sz w:val="20"/>
                <w:szCs w:val="24"/>
              </w:rPr>
              <w:t>Employers will retain ultimate discretion over their employment decisions.</w:t>
            </w:r>
          </w:p>
        </w:tc>
      </w:tr>
    </w:tbl>
    <w:p w14:paraId="354A9C9C" w14:textId="77777777" w:rsidR="003C5D1E" w:rsidRPr="003D290F" w:rsidRDefault="004E6459" w:rsidP="005D46F4">
      <w:pPr>
        <w:pStyle w:val="Heading3"/>
        <w:spacing w:line="276" w:lineRule="auto"/>
        <w:rPr>
          <w:rFonts w:cstheme="majorBidi"/>
          <w:sz w:val="36"/>
          <w:szCs w:val="28"/>
        </w:rPr>
      </w:pPr>
      <w:bookmarkStart w:id="349" w:name="_Toc155604648"/>
      <w:bookmarkStart w:id="350" w:name="_Toc161396007"/>
      <w:bookmarkStart w:id="351" w:name="_Toc161403543"/>
      <w:bookmarkStart w:id="352" w:name="_Toc161694821"/>
      <w:bookmarkStart w:id="353" w:name="_Toc161752276"/>
      <w:bookmarkStart w:id="354" w:name="_Toc161759714"/>
      <w:r w:rsidRPr="003D290F">
        <w:t>5.</w:t>
      </w:r>
      <w:r w:rsidR="00656C01" w:rsidRPr="003D290F">
        <w:t>1.</w:t>
      </w:r>
      <w:r w:rsidRPr="003D290F">
        <w:t xml:space="preserve">2 </w:t>
      </w:r>
      <w:r w:rsidR="003C5D1E" w:rsidRPr="003D290F">
        <w:t>Plans for further engagement</w:t>
      </w:r>
      <w:bookmarkEnd w:id="349"/>
      <w:bookmarkEnd w:id="350"/>
      <w:bookmarkEnd w:id="351"/>
      <w:bookmarkEnd w:id="352"/>
      <w:bookmarkEnd w:id="353"/>
      <w:bookmarkEnd w:id="354"/>
    </w:p>
    <w:p w14:paraId="0A66EF82" w14:textId="77777777" w:rsidR="0080674D" w:rsidRDefault="004D10DC">
      <w:pPr>
        <w:rPr>
          <w:rFonts w:cs="Arial"/>
          <w:szCs w:val="24"/>
        </w:rPr>
      </w:pPr>
      <w:r w:rsidRPr="003D290F">
        <w:rPr>
          <w:rFonts w:cs="Arial"/>
          <w:szCs w:val="24"/>
        </w:rPr>
        <w:t>The Agency, working closely with DEWR,</w:t>
      </w:r>
      <w:r w:rsidR="00BD620D" w:rsidRPr="003D290F">
        <w:rPr>
          <w:rFonts w:cs="Arial"/>
          <w:szCs w:val="24"/>
        </w:rPr>
        <w:t xml:space="preserve"> will </w:t>
      </w:r>
      <w:r w:rsidR="00E05971">
        <w:rPr>
          <w:rFonts w:cs="Arial"/>
          <w:szCs w:val="24"/>
        </w:rPr>
        <w:t xml:space="preserve">continue to </w:t>
      </w:r>
      <w:r w:rsidR="00BD620D" w:rsidRPr="003D290F">
        <w:rPr>
          <w:rFonts w:cs="Arial"/>
          <w:szCs w:val="24"/>
        </w:rPr>
        <w:t xml:space="preserve">consult with </w:t>
      </w:r>
      <w:r w:rsidR="00870C2C">
        <w:rPr>
          <w:rFonts w:cs="Arial"/>
          <w:szCs w:val="24"/>
        </w:rPr>
        <w:t xml:space="preserve">relevant businesses, peak bodies, unions, state governments and regional bodies as </w:t>
      </w:r>
      <w:r w:rsidR="00E34378">
        <w:rPr>
          <w:rFonts w:cs="Arial"/>
          <w:szCs w:val="24"/>
        </w:rPr>
        <w:t xml:space="preserve">the preferred policy option is </w:t>
      </w:r>
      <w:r w:rsidR="00D03E46">
        <w:rPr>
          <w:rFonts w:cs="Arial"/>
          <w:szCs w:val="24"/>
        </w:rPr>
        <w:t xml:space="preserve">refined and </w:t>
      </w:r>
      <w:r w:rsidR="00E34378">
        <w:rPr>
          <w:rFonts w:cs="Arial"/>
          <w:szCs w:val="24"/>
        </w:rPr>
        <w:t>implemented</w:t>
      </w:r>
      <w:r w:rsidR="00C43F39">
        <w:rPr>
          <w:rFonts w:cs="Arial"/>
          <w:szCs w:val="24"/>
        </w:rPr>
        <w:t>.</w:t>
      </w:r>
    </w:p>
    <w:p w14:paraId="29FEF1BF" w14:textId="77777777" w:rsidR="00CA3365" w:rsidRDefault="00CA3365">
      <w:pPr>
        <w:rPr>
          <w:rFonts w:cs="Arial"/>
          <w:szCs w:val="24"/>
        </w:rPr>
      </w:pPr>
    </w:p>
    <w:p w14:paraId="348CE39C" w14:textId="77777777" w:rsidR="00CA3365" w:rsidRDefault="00CA3365">
      <w:pPr>
        <w:rPr>
          <w:rFonts w:cs="Arial"/>
          <w:szCs w:val="24"/>
        </w:rPr>
      </w:pPr>
      <w:r>
        <w:rPr>
          <w:rFonts w:cs="Arial"/>
          <w:szCs w:val="24"/>
        </w:rPr>
        <w:br w:type="page"/>
      </w:r>
    </w:p>
    <w:p w14:paraId="1C04AC7E" w14:textId="77777777" w:rsidR="007E6917" w:rsidRPr="003D290F" w:rsidRDefault="008969C0">
      <w:pPr>
        <w:pStyle w:val="Heading1"/>
      </w:pPr>
      <w:bookmarkStart w:id="355" w:name="_Toc161396008"/>
      <w:bookmarkStart w:id="356" w:name="_Toc161403544"/>
      <w:bookmarkStart w:id="357" w:name="_Toc161752277"/>
      <w:bookmarkStart w:id="358" w:name="_Toc161759715"/>
      <w:r w:rsidRPr="003D290F">
        <w:lastRenderedPageBreak/>
        <w:t>6</w:t>
      </w:r>
      <w:r w:rsidR="007B69C3" w:rsidRPr="003D290F">
        <w:tab/>
      </w:r>
      <w:r w:rsidR="004B0B74" w:rsidRPr="003D290F">
        <w:t>Preferred policy design and implementation pathway</w:t>
      </w:r>
      <w:bookmarkEnd w:id="355"/>
      <w:bookmarkEnd w:id="356"/>
      <w:bookmarkEnd w:id="357"/>
      <w:bookmarkEnd w:id="358"/>
    </w:p>
    <w:p w14:paraId="7A5A28EC" w14:textId="77777777" w:rsidR="002034D6" w:rsidRPr="003D290F" w:rsidRDefault="00891164" w:rsidP="00CC2B42">
      <w:r w:rsidRPr="003D290F">
        <w:t xml:space="preserve">This </w:t>
      </w:r>
      <w:r w:rsidR="00CD0EB0" w:rsidRPr="003D290F">
        <w:t>chapter</w:t>
      </w:r>
      <w:r w:rsidRPr="003D290F">
        <w:t xml:space="preserve"> outlines which policy option of those analysed is recommended, and discusses how the preferred policy can be implemented.</w:t>
      </w:r>
    </w:p>
    <w:p w14:paraId="6FE0ED0D" w14:textId="77777777" w:rsidR="007550AB" w:rsidRPr="003D290F" w:rsidRDefault="00891164" w:rsidP="00713E68">
      <w:pPr>
        <w:pStyle w:val="Heading2"/>
      </w:pPr>
      <w:bookmarkStart w:id="359" w:name="_Toc161396009"/>
      <w:bookmarkStart w:id="360" w:name="_Toc161403545"/>
      <w:bookmarkStart w:id="361" w:name="_Toc161752278"/>
      <w:bookmarkStart w:id="362" w:name="_Toc161759716"/>
      <w:r w:rsidRPr="003D290F">
        <w:t>6.1 Recommended policy</w:t>
      </w:r>
      <w:r w:rsidR="003B3E9F" w:rsidRPr="003D290F">
        <w:t xml:space="preserve"> option</w:t>
      </w:r>
      <w:bookmarkEnd w:id="359"/>
      <w:bookmarkEnd w:id="360"/>
      <w:bookmarkEnd w:id="361"/>
      <w:bookmarkEnd w:id="362"/>
    </w:p>
    <w:p w14:paraId="22F30DBA" w14:textId="77777777" w:rsidR="009E1C0A" w:rsidRDefault="00891164" w:rsidP="007550AB">
      <w:r w:rsidRPr="003D290F">
        <w:t xml:space="preserve">The findings </w:t>
      </w:r>
      <w:r w:rsidR="00B50CC2" w:rsidRPr="003D290F">
        <w:t>o</w:t>
      </w:r>
      <w:r w:rsidRPr="003D290F">
        <w:t xml:space="preserve">f the </w:t>
      </w:r>
      <w:r w:rsidR="007D7C73" w:rsidRPr="003D290F">
        <w:t>analysis</w:t>
      </w:r>
      <w:r w:rsidRPr="003D290F">
        <w:t xml:space="preserve"> support pursuing Option 3 – that is, </w:t>
      </w:r>
      <w:r w:rsidR="00B50CC2" w:rsidRPr="003D290F">
        <w:t xml:space="preserve">establishing a legislated framework for the implementation of </w:t>
      </w:r>
      <w:r w:rsidRPr="003D290F">
        <w:t xml:space="preserve">pooled redeployment </w:t>
      </w:r>
      <w:r w:rsidR="00F6294A" w:rsidRPr="003D290F">
        <w:t>plan</w:t>
      </w:r>
      <w:r w:rsidRPr="003D290F">
        <w:t>s</w:t>
      </w:r>
      <w:r w:rsidR="00B50CC2" w:rsidRPr="003D290F">
        <w:t xml:space="preserve"> when </w:t>
      </w:r>
      <w:r w:rsidR="009E1C0A">
        <w:t>fossil fuel</w:t>
      </w:r>
      <w:r w:rsidR="00B50CC2" w:rsidRPr="003D290F">
        <w:t xml:space="preserve"> power stations and their dependent suppliers close, including enforceable obligations on </w:t>
      </w:r>
      <w:r w:rsidR="005B00D8">
        <w:t xml:space="preserve">closing and dependent </w:t>
      </w:r>
      <w:r w:rsidR="00B50CC2" w:rsidRPr="003D290F">
        <w:t xml:space="preserve">employers participating in the </w:t>
      </w:r>
      <w:r w:rsidR="00F6294A" w:rsidRPr="003D290F">
        <w:t>arrangements</w:t>
      </w:r>
      <w:r w:rsidRPr="003D290F">
        <w:t>.</w:t>
      </w:r>
      <w:r w:rsidR="009E1C0A">
        <w:t xml:space="preserve"> </w:t>
      </w:r>
      <w:r w:rsidR="00CC2B42">
        <w:t>Receiving employers would participate voluntarily including discretion on who they employ.</w:t>
      </w:r>
      <w:r w:rsidR="00CC2B42" w:rsidRPr="003D290F">
        <w:t xml:space="preserve"> </w:t>
      </w:r>
      <w:r w:rsidR="009E1C0A" w:rsidRPr="003D290F">
        <w:t xml:space="preserve">These plans would be complemented by other </w:t>
      </w:r>
      <w:r w:rsidR="005B2CA0">
        <w:t>Australian Government</w:t>
      </w:r>
      <w:r w:rsidR="005B2CA0" w:rsidRPr="003D290F">
        <w:t xml:space="preserve"> </w:t>
      </w:r>
      <w:r w:rsidR="009E1C0A" w:rsidRPr="003D290F">
        <w:t>employment supports.</w:t>
      </w:r>
    </w:p>
    <w:p w14:paraId="616251BD" w14:textId="77777777" w:rsidR="00891164" w:rsidRPr="003D290F" w:rsidRDefault="009E1C0A" w:rsidP="00CC2B42">
      <w:pPr>
        <w:spacing w:before="240"/>
      </w:pPr>
      <w:r>
        <w:t xml:space="preserve">While both Options 2 and 3 are expected to have an overall net benefit (see </w:t>
      </w:r>
      <w:r w:rsidR="005B2CA0">
        <w:rPr>
          <w:rFonts w:eastAsia="Times New Roman"/>
          <w:b/>
          <w:color w:val="1B375C" w:themeColor="accent1"/>
        </w:rPr>
        <w:t>S</w:t>
      </w:r>
      <w:r w:rsidRPr="00CC2B42">
        <w:rPr>
          <w:rFonts w:eastAsia="Times New Roman"/>
          <w:b/>
          <w:color w:val="1B375C" w:themeColor="accent1"/>
        </w:rPr>
        <w:t>ection 4.8</w:t>
      </w:r>
      <w:r>
        <w:t>), Option 3 is expected to deliver the greatest benefit to workers and communities.</w:t>
      </w:r>
      <w:r w:rsidR="00EA181F">
        <w:t xml:space="preserve"> The selection of Option 3 as the preferred option is consistent with the suggestion in the </w:t>
      </w:r>
      <w:r w:rsidR="00EA181F">
        <w:rPr>
          <w:i/>
        </w:rPr>
        <w:t xml:space="preserve">Australian Government Guide to Policy Impact Analysis </w:t>
      </w:r>
      <w:r w:rsidR="00EA181F">
        <w:t>that the default ‘decision rule’ should be for the policy option with greatest expected net benefit to be recommended.</w:t>
      </w:r>
      <w:r w:rsidR="00EA181F" w:rsidRPr="003D290F" w:rsidDel="009E1C0A">
        <w:t xml:space="preserve"> </w:t>
      </w:r>
    </w:p>
    <w:p w14:paraId="13E6B035" w14:textId="77777777" w:rsidR="00B50CC2" w:rsidRPr="003D290F" w:rsidRDefault="00B50CC2" w:rsidP="005D46F4">
      <w:pPr>
        <w:pStyle w:val="Heading3"/>
        <w:spacing w:line="276" w:lineRule="auto"/>
      </w:pPr>
      <w:bookmarkStart w:id="363" w:name="_Toc155604651"/>
      <w:bookmarkStart w:id="364" w:name="_Toc161396010"/>
      <w:bookmarkStart w:id="365" w:name="_Toc161403546"/>
      <w:bookmarkStart w:id="366" w:name="_Toc161694824"/>
      <w:bookmarkStart w:id="367" w:name="_Toc161752279"/>
      <w:bookmarkStart w:id="368" w:name="_Toc161759717"/>
      <w:r w:rsidRPr="003D290F">
        <w:t xml:space="preserve">6.1.2 </w:t>
      </w:r>
      <w:r w:rsidR="00A3157F" w:rsidRPr="003D290F">
        <w:t>The status quo (</w:t>
      </w:r>
      <w:r w:rsidRPr="003D290F">
        <w:t>Option 1</w:t>
      </w:r>
      <w:r w:rsidR="00617888" w:rsidRPr="003D290F">
        <w:t>)</w:t>
      </w:r>
      <w:r w:rsidRPr="003D290F">
        <w:t xml:space="preserve"> is insufficient</w:t>
      </w:r>
      <w:bookmarkEnd w:id="363"/>
      <w:bookmarkEnd w:id="364"/>
      <w:bookmarkEnd w:id="365"/>
      <w:bookmarkEnd w:id="366"/>
      <w:bookmarkEnd w:id="367"/>
      <w:bookmarkEnd w:id="368"/>
    </w:p>
    <w:p w14:paraId="14028DFD" w14:textId="77777777" w:rsidR="00A3157F" w:rsidRPr="003D290F" w:rsidRDefault="00B50CC2">
      <w:r w:rsidRPr="003D290F">
        <w:t xml:space="preserve">The analysis shows that compared with Option 2 and Option 3, the ‘status quo’ scenario presented in Option 1 </w:t>
      </w:r>
      <w:r w:rsidR="00A3157F" w:rsidRPr="003D290F">
        <w:t xml:space="preserve">does not offer sufficient comfort that workers in privately-owned power stations will receive adequate supports when those stations close. </w:t>
      </w:r>
    </w:p>
    <w:p w14:paraId="410DE73F" w14:textId="77777777" w:rsidR="00A3157F" w:rsidRPr="003D290F" w:rsidRDefault="00A3157F">
      <w:r w:rsidRPr="003D290F">
        <w:t xml:space="preserve">Data from past closures, as well as feedback received from stakeholders during the policy development process, indicates that Option 1 </w:t>
      </w:r>
      <w:r w:rsidR="00881358" w:rsidRPr="003D290F">
        <w:t>may</w:t>
      </w:r>
      <w:r w:rsidRPr="003D290F">
        <w:t xml:space="preserve"> not be able to prevent long-term unemployment outcomes </w:t>
      </w:r>
      <w:r w:rsidR="00881358" w:rsidRPr="003D290F">
        <w:t>for some</w:t>
      </w:r>
      <w:r w:rsidRPr="003D290F">
        <w:t xml:space="preserve"> workers, which </w:t>
      </w:r>
      <w:r w:rsidR="00461EC4" w:rsidRPr="003D290F">
        <w:t>c</w:t>
      </w:r>
      <w:r w:rsidRPr="003D290F">
        <w:t xml:space="preserve">ould have a range of broader negative economic and social impacts in local communities. This would not meet the policy goals outlined in </w:t>
      </w:r>
      <w:r w:rsidRPr="00E77931">
        <w:rPr>
          <w:rFonts w:eastAsia="Times New Roman" w:cs="Segoe UI"/>
          <w:b/>
          <w:color w:val="1B375C"/>
        </w:rPr>
        <w:t>Chapter 2</w:t>
      </w:r>
      <w:r w:rsidRPr="003D290F">
        <w:t xml:space="preserve"> of this analysis. </w:t>
      </w:r>
    </w:p>
    <w:p w14:paraId="4D6D288A" w14:textId="77777777" w:rsidR="00F33CE0" w:rsidRPr="003D290F" w:rsidRDefault="00B34102" w:rsidP="00F33CE0">
      <w:pPr>
        <w:rPr>
          <w:rFonts w:asciiTheme="minorHAnsi" w:hAnsiTheme="minorHAnsi"/>
        </w:rPr>
      </w:pPr>
      <w:r w:rsidRPr="003D290F">
        <w:t>Net</w:t>
      </w:r>
      <w:r w:rsidR="00F33CE0" w:rsidRPr="003D290F">
        <w:t xml:space="preserve"> zero transition represents a significant </w:t>
      </w:r>
      <w:r w:rsidRPr="003D290F">
        <w:t>economic</w:t>
      </w:r>
      <w:r w:rsidR="00F33CE0" w:rsidRPr="003D290F">
        <w:t xml:space="preserve"> transformation, </w:t>
      </w:r>
      <w:r w:rsidRPr="003D290F">
        <w:t xml:space="preserve">particularly for workers </w:t>
      </w:r>
      <w:r w:rsidR="00F33CE0" w:rsidRPr="003D290F">
        <w:t xml:space="preserve">and </w:t>
      </w:r>
      <w:r w:rsidRPr="003D290F">
        <w:t>communities closely linked with energy-intensive industries. C</w:t>
      </w:r>
      <w:r w:rsidR="00F33CE0" w:rsidRPr="003D290F">
        <w:t xml:space="preserve">urrent workforce transition supports </w:t>
      </w:r>
      <w:r w:rsidR="009C3596">
        <w:t>need to</w:t>
      </w:r>
      <w:r w:rsidR="009C3596" w:rsidRPr="003D290F">
        <w:t xml:space="preserve"> </w:t>
      </w:r>
      <w:r w:rsidR="00F33CE0" w:rsidRPr="003D290F">
        <w:t xml:space="preserve">be complemented </w:t>
      </w:r>
      <w:r w:rsidR="009C3596">
        <w:t>to minimise the concentrated impacts which will occur</w:t>
      </w:r>
      <w:r w:rsidR="00F33CE0" w:rsidRPr="003D290F">
        <w:t xml:space="preserve">. A new way of dealing with closures of </w:t>
      </w:r>
      <w:r w:rsidRPr="003D290F">
        <w:t>coal-fired</w:t>
      </w:r>
      <w:r w:rsidR="00F33CE0" w:rsidRPr="003D290F">
        <w:t xml:space="preserve"> power stations</w:t>
      </w:r>
      <w:r w:rsidR="005B2CA0">
        <w:t>, gas-fired power stations</w:t>
      </w:r>
      <w:r w:rsidR="00F33CE0" w:rsidRPr="003D290F">
        <w:t xml:space="preserve"> and </w:t>
      </w:r>
      <w:r w:rsidR="005B2CA0">
        <w:t xml:space="preserve">dependent </w:t>
      </w:r>
      <w:r w:rsidR="00CE761D">
        <w:t>employers</w:t>
      </w:r>
      <w:r w:rsidR="00F33CE0" w:rsidRPr="003D290F">
        <w:t>, featuring an expanded range of specifically targeted supports, is needed in order to respond to the scale of the transition</w:t>
      </w:r>
      <w:r w:rsidR="00CE761D">
        <w:t>.</w:t>
      </w:r>
    </w:p>
    <w:p w14:paraId="6FB90900" w14:textId="77777777" w:rsidR="00A3157F" w:rsidRPr="003D290F" w:rsidRDefault="00A3157F">
      <w:r w:rsidRPr="003D290F">
        <w:t xml:space="preserve">In short, additional policy measures are needed to </w:t>
      </w:r>
      <w:r w:rsidR="00B34102" w:rsidRPr="003D290F">
        <w:t>help workers and communities that will be affected by the closure of coal-fired power stations and their dependent suppliers to achieve better outcomes</w:t>
      </w:r>
      <w:r w:rsidR="00461EC4" w:rsidRPr="003D290F">
        <w:t>.</w:t>
      </w:r>
    </w:p>
    <w:p w14:paraId="289B4128" w14:textId="77777777" w:rsidR="00B50CC2" w:rsidRPr="003D290F" w:rsidRDefault="00A3157F" w:rsidP="005D46F4">
      <w:pPr>
        <w:pStyle w:val="Heading3"/>
        <w:spacing w:line="276" w:lineRule="auto"/>
      </w:pPr>
      <w:bookmarkStart w:id="369" w:name="_Toc155604652"/>
      <w:bookmarkStart w:id="370" w:name="_Toc161396011"/>
      <w:bookmarkStart w:id="371" w:name="_Toc161403547"/>
      <w:bookmarkStart w:id="372" w:name="_Toc161694825"/>
      <w:bookmarkStart w:id="373" w:name="_Toc161752280"/>
      <w:bookmarkStart w:id="374" w:name="_Toc161759718"/>
      <w:r w:rsidRPr="003D290F">
        <w:lastRenderedPageBreak/>
        <w:t xml:space="preserve">6.1.3 An unlegislated pooled redeployment </w:t>
      </w:r>
      <w:r w:rsidR="00F6294A" w:rsidRPr="003D290F">
        <w:t>plan</w:t>
      </w:r>
      <w:r w:rsidRPr="003D290F">
        <w:t xml:space="preserve"> </w:t>
      </w:r>
      <w:r w:rsidR="00AF75C3" w:rsidRPr="003D290F">
        <w:t>may not assist enough workers</w:t>
      </w:r>
      <w:bookmarkEnd w:id="369"/>
      <w:bookmarkEnd w:id="370"/>
      <w:bookmarkEnd w:id="371"/>
      <w:bookmarkEnd w:id="372"/>
      <w:bookmarkEnd w:id="373"/>
      <w:bookmarkEnd w:id="374"/>
      <w:r w:rsidR="00AF75C3" w:rsidRPr="003D290F">
        <w:t xml:space="preserve"> </w:t>
      </w:r>
      <w:r w:rsidRPr="003D290F">
        <w:t xml:space="preserve"> </w:t>
      </w:r>
    </w:p>
    <w:p w14:paraId="671F749E" w14:textId="77777777" w:rsidR="00091DFF" w:rsidRDefault="00091DFF" w:rsidP="006B20F3">
      <w:pPr>
        <w:spacing w:before="240"/>
      </w:pPr>
      <w:r>
        <w:t xml:space="preserve">An unlegislated pooled redeployment plan (Option 2) is expected to have a positive net present value, when quantified and unquantified factors are accounted for (as described in </w:t>
      </w:r>
      <w:r w:rsidR="005B2CA0">
        <w:rPr>
          <w:rFonts w:eastAsia="Times New Roman"/>
          <w:b/>
          <w:color w:val="1B375C" w:themeColor="accent1"/>
        </w:rPr>
        <w:t>S</w:t>
      </w:r>
      <w:r w:rsidRPr="006B20F3">
        <w:rPr>
          <w:rFonts w:eastAsia="Times New Roman"/>
          <w:b/>
          <w:color w:val="1B375C" w:themeColor="accent1"/>
        </w:rPr>
        <w:t>ection 4.8</w:t>
      </w:r>
      <w:r>
        <w:t>). However, participation rates, and the flow-on benefits for workers and communities associated with higher participation, are expected to be lower under Option 2 than for a legislated scheme (Option 3).</w:t>
      </w:r>
      <w:r w:rsidR="009C3596">
        <w:t xml:space="preserve"> The biggest risk with Option 2 is the inability to compel closing and dependent employers to participate. If they choose not to, the benefits of Option 2 are likely to be lower and more in line with the status quo.</w:t>
      </w:r>
    </w:p>
    <w:p w14:paraId="3CC9D07A" w14:textId="77777777" w:rsidR="00091DFF" w:rsidRDefault="00091DFF">
      <w:r>
        <w:t>T</w:t>
      </w:r>
      <w:r w:rsidR="0049047E">
        <w:t>he</w:t>
      </w:r>
      <w:r w:rsidR="00370358" w:rsidRPr="003D290F">
        <w:t xml:space="preserve"> analysis assumes participation</w:t>
      </w:r>
      <w:r>
        <w:t xml:space="preserve"> of receiving employers</w:t>
      </w:r>
      <w:r w:rsidR="00370358" w:rsidRPr="003D290F">
        <w:t xml:space="preserve"> under an unlegislated </w:t>
      </w:r>
      <w:r w:rsidR="00F6294A" w:rsidRPr="003D290F">
        <w:t>plan</w:t>
      </w:r>
      <w:r w:rsidR="00370358" w:rsidRPr="003D290F">
        <w:t xml:space="preserve"> (where </w:t>
      </w:r>
      <w:r w:rsidR="0013705D">
        <w:t xml:space="preserve">all </w:t>
      </w:r>
      <w:r w:rsidR="0029241B" w:rsidRPr="003D290F">
        <w:t xml:space="preserve">employer </w:t>
      </w:r>
      <w:r w:rsidR="00370358" w:rsidRPr="003D290F">
        <w:t xml:space="preserve">participation is </w:t>
      </w:r>
      <w:r w:rsidR="0029241B" w:rsidRPr="003D290F">
        <w:t xml:space="preserve">purely </w:t>
      </w:r>
      <w:r w:rsidR="00370358" w:rsidRPr="003D290F">
        <w:t xml:space="preserve">voluntary) is around </w:t>
      </w:r>
      <w:r w:rsidR="00F04386" w:rsidRPr="001E79E2">
        <w:t>fiv</w:t>
      </w:r>
      <w:r w:rsidR="00370358" w:rsidRPr="0018538F">
        <w:t>e</w:t>
      </w:r>
      <w:r w:rsidR="00370358" w:rsidRPr="003D290F">
        <w:t xml:space="preserve"> employers per closure</w:t>
      </w:r>
      <w:r w:rsidR="00820271">
        <w:t>, on average over the time period to 2035</w:t>
      </w:r>
      <w:r w:rsidR="00370358" w:rsidRPr="003D290F">
        <w:t>.</w:t>
      </w:r>
      <w:r>
        <w:t xml:space="preserve"> </w:t>
      </w:r>
      <w:r w:rsidR="00820271" w:rsidRPr="003D290F">
        <w:t>Th</w:t>
      </w:r>
      <w:r w:rsidR="00820271">
        <w:t>is is assumption is based on several factors, including having reference</w:t>
      </w:r>
      <w:r w:rsidR="00820271" w:rsidRPr="003D290F">
        <w:t xml:space="preserve"> </w:t>
      </w:r>
      <w:r w:rsidR="00820271">
        <w:t>to</w:t>
      </w:r>
      <w:r w:rsidR="00820271" w:rsidRPr="003D290F">
        <w:t xml:space="preserve"> the </w:t>
      </w:r>
      <w:r w:rsidR="000E788B">
        <w:t xml:space="preserve">unlegislated Worker Transfer Scheme to support workers through the </w:t>
      </w:r>
      <w:r w:rsidR="00820271" w:rsidRPr="003D290F">
        <w:t xml:space="preserve">Hazelwood </w:t>
      </w:r>
      <w:r w:rsidR="000E788B">
        <w:t>power station closure</w:t>
      </w:r>
      <w:r w:rsidR="00820271">
        <w:t xml:space="preserve"> (which included three ‘receiving employers’)</w:t>
      </w:r>
      <w:r w:rsidR="00820271" w:rsidRPr="003D290F">
        <w:t>,</w:t>
      </w:r>
      <w:r w:rsidR="00820271">
        <w:t xml:space="preserve"> and feedback from recent stakeholder consultations</w:t>
      </w:r>
      <w:r w:rsidR="00B24A51">
        <w:t>.</w:t>
      </w:r>
      <w:r w:rsidR="00820271">
        <w:t xml:space="preserve"> </w:t>
      </w:r>
    </w:p>
    <w:p w14:paraId="254FB48F" w14:textId="77777777" w:rsidR="00820271" w:rsidRDefault="00B24A51">
      <w:r>
        <w:t xml:space="preserve">The Agency received strong feedback </w:t>
      </w:r>
      <w:r w:rsidR="00820271">
        <w:t xml:space="preserve">that at the present time, many </w:t>
      </w:r>
      <w:r w:rsidR="001D46D0">
        <w:t xml:space="preserve">relevant </w:t>
      </w:r>
      <w:r w:rsidR="00820271">
        <w:t>employers are experiencing skills and workforce shortages</w:t>
      </w:r>
      <w:r>
        <w:t>, which indicates there could be strong interest in the near</w:t>
      </w:r>
      <w:r w:rsidR="002630C8">
        <w:t>-</w:t>
      </w:r>
      <w:r>
        <w:t>term from potential receiving employers in relevant regions to access a pool of workers from closing power stations</w:t>
      </w:r>
      <w:r w:rsidR="001D46D0">
        <w:t xml:space="preserve">. </w:t>
      </w:r>
      <w:r w:rsidR="00820271">
        <w:t>However, over the longer</w:t>
      </w:r>
      <w:r w:rsidR="002630C8">
        <w:t>-</w:t>
      </w:r>
      <w:r w:rsidR="00820271">
        <w:t xml:space="preserve">term, as labour market conditions fluctuate, it may be difficult to secure sufficient </w:t>
      </w:r>
      <w:r w:rsidR="003A6EC7">
        <w:t xml:space="preserve">receiving employer </w:t>
      </w:r>
      <w:r w:rsidR="00820271">
        <w:t>participation under a</w:t>
      </w:r>
      <w:r w:rsidR="001D46D0">
        <w:t>n unlegislated model</w:t>
      </w:r>
      <w:r w:rsidR="00820271">
        <w:t xml:space="preserve">, particularly </w:t>
      </w:r>
      <w:r w:rsidR="001D46D0">
        <w:t xml:space="preserve">for closure events </w:t>
      </w:r>
      <w:r w:rsidR="00820271">
        <w:t>in regions with low economic diversification.</w:t>
      </w:r>
    </w:p>
    <w:p w14:paraId="7DCE9C6D" w14:textId="77777777" w:rsidR="001D46D0" w:rsidRDefault="0018538F" w:rsidP="00370358">
      <w:r>
        <w:t>In these cases,</w:t>
      </w:r>
      <w:r w:rsidR="00370358" w:rsidRPr="003D290F">
        <w:t xml:space="preserve"> vacancies created by </w:t>
      </w:r>
      <w:r w:rsidR="001D46D0">
        <w:t>receiving employers in a</w:t>
      </w:r>
      <w:r w:rsidR="00370358" w:rsidRPr="003D290F">
        <w:t xml:space="preserve"> community of interest </w:t>
      </w:r>
      <w:r>
        <w:t>may be</w:t>
      </w:r>
      <w:r w:rsidR="00370358" w:rsidRPr="003D290F">
        <w:t xml:space="preserve"> unlikely to reach the critical mass required to absorb all interested closing employer </w:t>
      </w:r>
      <w:r w:rsidR="007734BC" w:rsidRPr="003D290F">
        <w:t>employees</w:t>
      </w:r>
      <w:r w:rsidR="00370358" w:rsidRPr="003D290F">
        <w:t xml:space="preserve">, restricting the number of employees at closing facilities able to successfully redeploy and avoid long-term unemployment. </w:t>
      </w:r>
      <w:r w:rsidR="001D46D0" w:rsidRPr="003D290F">
        <w:t xml:space="preserve">Under the unlegislated </w:t>
      </w:r>
      <w:r w:rsidR="000E788B">
        <w:t xml:space="preserve">scheme associated with the </w:t>
      </w:r>
      <w:r w:rsidR="001D46D0" w:rsidRPr="003D290F">
        <w:t>Hazelwood closure in Victoria in 2017, 16 per cent of affected workers were unemployed two years after the closure.</w:t>
      </w:r>
      <w:r w:rsidR="001D46D0" w:rsidRPr="003D290F">
        <w:rPr>
          <w:rStyle w:val="FootnoteReference"/>
        </w:rPr>
        <w:footnoteReference w:id="96"/>
      </w:r>
      <w:r w:rsidR="00251CA6">
        <w:t xml:space="preserve"> </w:t>
      </w:r>
      <w:r w:rsidR="001D46D0">
        <w:t>A ful</w:t>
      </w:r>
      <w:r w:rsidR="00457A2E">
        <w:t>l</w:t>
      </w:r>
      <w:r w:rsidR="001D46D0">
        <w:t xml:space="preserve"> voluntary model also relies entirely on the goodwill of closing employers to offer relevant transition supports to their workers and participate meaningfully in pooled redeployment arrangements. While some operators of power stations with upcoming closure dates are already providing good supports for their workforce, it is not certain that this level of support from employers will be uniform as the schedule of closure events progresses over time.</w:t>
      </w:r>
    </w:p>
    <w:p w14:paraId="0140C4F8" w14:textId="77777777" w:rsidR="00B34102" w:rsidRPr="003D290F" w:rsidRDefault="00B34102">
      <w:pPr>
        <w:pStyle w:val="Heading3"/>
        <w:spacing w:line="276" w:lineRule="auto"/>
      </w:pPr>
      <w:bookmarkStart w:id="375" w:name="_Toc155604653"/>
      <w:bookmarkStart w:id="376" w:name="_Toc161396012"/>
      <w:bookmarkStart w:id="377" w:name="_Toc161403548"/>
      <w:bookmarkStart w:id="378" w:name="_Toc161694826"/>
      <w:bookmarkStart w:id="379" w:name="_Toc161752281"/>
      <w:bookmarkStart w:id="380" w:name="_Toc161759719"/>
      <w:r w:rsidRPr="003D290F">
        <w:t xml:space="preserve">6.1.4 A legislated </w:t>
      </w:r>
      <w:r w:rsidR="00F6294A" w:rsidRPr="003D290F">
        <w:t>plan</w:t>
      </w:r>
      <w:r w:rsidRPr="003D290F">
        <w:t xml:space="preserve"> would provide greater benefits for affected workers and communities</w:t>
      </w:r>
      <w:bookmarkEnd w:id="375"/>
      <w:bookmarkEnd w:id="376"/>
      <w:bookmarkEnd w:id="377"/>
      <w:bookmarkEnd w:id="378"/>
      <w:bookmarkEnd w:id="379"/>
      <w:bookmarkEnd w:id="380"/>
    </w:p>
    <w:p w14:paraId="2CD10CED" w14:textId="77777777" w:rsidR="0049047E" w:rsidRDefault="0029241B" w:rsidP="00B34102">
      <w:r w:rsidRPr="003D290F">
        <w:t>Under a legislated model</w:t>
      </w:r>
      <w:r w:rsidR="001D46D0">
        <w:t xml:space="preserve"> as proposed in Option 3</w:t>
      </w:r>
      <w:r w:rsidR="0049047E">
        <w:t xml:space="preserve">, closing and dependent employers are more likely to </w:t>
      </w:r>
      <w:r w:rsidR="00A835AD">
        <w:t xml:space="preserve">participate in the plans and </w:t>
      </w:r>
      <w:r w:rsidR="0049047E">
        <w:t>engage constructively with the Authority on pooled redeployment arrangements from an early stage, given that the FWC will ultimately have backstop powers to compel participation from these employers.</w:t>
      </w:r>
    </w:p>
    <w:p w14:paraId="6AE9A7BA" w14:textId="77777777" w:rsidR="003E67B2" w:rsidRDefault="003E67B2" w:rsidP="00B34102">
      <w:r>
        <w:lastRenderedPageBreak/>
        <w:t>Once participating in a community of interest, t</w:t>
      </w:r>
      <w:r w:rsidR="001D46D0">
        <w:t>hese employers will be required to provide meaningful transition supports to their workers</w:t>
      </w:r>
      <w:r w:rsidR="0029241B" w:rsidRPr="003D290F">
        <w:t>,</w:t>
      </w:r>
      <w:r w:rsidR="001D46D0">
        <w:t xml:space="preserve"> including access to relevant training, career advice and financial support to help workers achieve employment outcomes</w:t>
      </w:r>
      <w:r w:rsidR="0029241B" w:rsidRPr="003D290F">
        <w:t xml:space="preserve"> </w:t>
      </w:r>
      <w:r w:rsidR="001D46D0">
        <w:t>when their role at the closing facility finishes.</w:t>
      </w:r>
      <w:r>
        <w:t xml:space="preserve"> This will help better prepare the workforce at closing facilities, and make them more attractive prospective employees for receiving employers. </w:t>
      </w:r>
    </w:p>
    <w:p w14:paraId="20D488CA" w14:textId="77777777" w:rsidR="00B34102" w:rsidRPr="003D290F" w:rsidRDefault="003E67B2" w:rsidP="00B34102">
      <w:r>
        <w:t xml:space="preserve">This in turn is likely to drive increased interest and participation from receiving employers, relative to an unlegislated model, and lead to greater rates of success in transferring employees from closing to receiving employers. </w:t>
      </w:r>
      <w:r w:rsidR="00370358" w:rsidRPr="003D290F">
        <w:t xml:space="preserve">This would lead to higher levels of ongoing employment and flow on economic and social benefits for families and communities. These benefits are not fully quantified in the analysis approach - though evidence from past experiences around industrial closures show they are significant. </w:t>
      </w:r>
    </w:p>
    <w:p w14:paraId="14907325" w14:textId="77777777" w:rsidR="00CE2015" w:rsidRPr="003D290F" w:rsidRDefault="00370358" w:rsidP="00B34102">
      <w:r w:rsidRPr="003D290F">
        <w:t xml:space="preserve">As such, </w:t>
      </w:r>
      <w:r w:rsidR="001D25F0" w:rsidRPr="003D290F">
        <w:t>Option 3</w:t>
      </w:r>
      <w:r w:rsidRPr="003D290F">
        <w:t xml:space="preserve"> represents the preferred option to meet the policy goal of minimising the number of </w:t>
      </w:r>
      <w:r w:rsidR="00925AE6" w:rsidRPr="003D290F">
        <w:t>unemployed</w:t>
      </w:r>
      <w:r w:rsidRPr="003D290F">
        <w:t xml:space="preserve"> workers when power stations close.</w:t>
      </w:r>
      <w:r w:rsidR="00B34102" w:rsidRPr="003D290F">
        <w:t xml:space="preserve"> While there is a slight increase in </w:t>
      </w:r>
      <w:r w:rsidR="00A6741C" w:rsidRPr="003D290F">
        <w:t xml:space="preserve">quantified </w:t>
      </w:r>
      <w:r w:rsidR="00B34102" w:rsidRPr="003D290F">
        <w:t xml:space="preserve">net costs for Option 3 compared to Option 2, Option 3 provides substantially greater benefits for affected workers, which will provide better outcomes for affected communities. To the extent that net costs for Option 3 are driven by costs to </w:t>
      </w:r>
      <w:r w:rsidR="00F4765D" w:rsidRPr="003D290F">
        <w:t>g</w:t>
      </w:r>
      <w:r w:rsidR="00B34102" w:rsidRPr="003D290F">
        <w:t>overnment, this represents a modest and reasonable investment to protect affected workers and communities from the negative impacts of a disorderly transition, and maintain social licence for the energy transition.</w:t>
      </w:r>
      <w:r w:rsidR="00CE2015">
        <w:rPr>
          <w:rStyle w:val="FootnoteReference"/>
        </w:rPr>
        <w:footnoteReference w:id="97"/>
      </w:r>
    </w:p>
    <w:p w14:paraId="3DF3F2EE" w14:textId="77777777" w:rsidR="00891164" w:rsidRPr="003D290F" w:rsidRDefault="00891164" w:rsidP="00713E68">
      <w:pPr>
        <w:pStyle w:val="Heading2"/>
      </w:pPr>
      <w:bookmarkStart w:id="381" w:name="_Toc161396013"/>
      <w:bookmarkStart w:id="382" w:name="_Toc161403549"/>
      <w:bookmarkStart w:id="383" w:name="_Toc161752282"/>
      <w:bookmarkStart w:id="384" w:name="_Toc161759720"/>
      <w:r w:rsidRPr="003D290F">
        <w:t>6.2 Policy implementation</w:t>
      </w:r>
      <w:bookmarkEnd w:id="381"/>
      <w:bookmarkEnd w:id="382"/>
      <w:bookmarkEnd w:id="383"/>
      <w:bookmarkEnd w:id="384"/>
    </w:p>
    <w:p w14:paraId="52BB715F" w14:textId="77777777" w:rsidR="00B50CC2" w:rsidRPr="003D290F" w:rsidRDefault="00891164">
      <w:r w:rsidRPr="003D290F">
        <w:t xml:space="preserve">Implementing Option 3 will require </w:t>
      </w:r>
      <w:r w:rsidR="00B50CC2" w:rsidRPr="003D290F">
        <w:t xml:space="preserve">the passage of </w:t>
      </w:r>
      <w:r w:rsidR="00C267D9" w:rsidRPr="003D290F">
        <w:t>legislation</w:t>
      </w:r>
      <w:r w:rsidR="002630C8">
        <w:t xml:space="preserve"> </w:t>
      </w:r>
      <w:r w:rsidR="00B50CC2" w:rsidRPr="003D290F">
        <w:t xml:space="preserve">to establish the </w:t>
      </w:r>
      <w:r w:rsidR="00C267D9" w:rsidRPr="003D290F">
        <w:t xml:space="preserve">framework </w:t>
      </w:r>
      <w:r w:rsidR="00B50CC2" w:rsidRPr="003D290F">
        <w:t xml:space="preserve">for forming </w:t>
      </w:r>
      <w:r w:rsidR="00692DDE" w:rsidRPr="003D290F">
        <w:t>communit</w:t>
      </w:r>
      <w:r w:rsidR="00692DDE">
        <w:t>ies</w:t>
      </w:r>
      <w:r w:rsidR="00692DDE" w:rsidRPr="003D290F">
        <w:t xml:space="preserve"> </w:t>
      </w:r>
      <w:r w:rsidR="00C267D9" w:rsidRPr="003D290F">
        <w:t xml:space="preserve">of interest and </w:t>
      </w:r>
      <w:r w:rsidR="00F95A50" w:rsidRPr="003D290F">
        <w:t>introducing</w:t>
      </w:r>
      <w:r w:rsidR="00C267D9" w:rsidRPr="003D290F">
        <w:t xml:space="preserve"> obligations on </w:t>
      </w:r>
      <w:r w:rsidR="00B50CC2" w:rsidRPr="003D290F">
        <w:t xml:space="preserve">relevant </w:t>
      </w:r>
      <w:r w:rsidR="00C267D9" w:rsidRPr="003D290F">
        <w:t>employers</w:t>
      </w:r>
      <w:r w:rsidR="00B50CC2" w:rsidRPr="003D290F">
        <w:t>, as well as enabling the</w:t>
      </w:r>
      <w:r w:rsidR="00EB693A" w:rsidRPr="003D290F">
        <w:t xml:space="preserve"> </w:t>
      </w:r>
      <w:r w:rsidR="00B50CC2" w:rsidRPr="003D290F">
        <w:t xml:space="preserve">Authority and </w:t>
      </w:r>
      <w:r w:rsidR="00BA2A3F" w:rsidRPr="003D290F">
        <w:t>FWC</w:t>
      </w:r>
      <w:r w:rsidR="00B50CC2" w:rsidRPr="003D290F">
        <w:t xml:space="preserve"> to perform relevant functions in relation to the </w:t>
      </w:r>
      <w:r w:rsidR="00F6294A" w:rsidRPr="003D290F">
        <w:t>plan</w:t>
      </w:r>
      <w:r w:rsidR="00B50CC2" w:rsidRPr="003D290F">
        <w:t>.</w:t>
      </w:r>
      <w:r w:rsidR="002E3474">
        <w:t xml:space="preserve"> The legislative framework is due to be introduced into Parliament </w:t>
      </w:r>
      <w:r w:rsidR="00BA7FCB">
        <w:t xml:space="preserve">in the first half of 2024 </w:t>
      </w:r>
      <w:r w:rsidR="002E3474">
        <w:t xml:space="preserve">as part of a broader legislative package to establish the Authority, with the commencement of the legislation targeted </w:t>
      </w:r>
      <w:r w:rsidR="00692DDE">
        <w:t xml:space="preserve">by </w:t>
      </w:r>
      <w:r w:rsidR="002E3474">
        <w:t>the start of 2025 at the latest.</w:t>
      </w:r>
    </w:p>
    <w:p w14:paraId="7BF92C57" w14:textId="77777777" w:rsidR="004320A0" w:rsidRPr="003D290F" w:rsidRDefault="00221C53">
      <w:r w:rsidRPr="003D290F">
        <w:t xml:space="preserve">Once this legislative framework is in place, the Authority will be able to formally commence working with </w:t>
      </w:r>
      <w:r w:rsidR="008E14FC" w:rsidRPr="003D290F">
        <w:t xml:space="preserve">relevant power stations with announced closure dates </w:t>
      </w:r>
      <w:r w:rsidR="00597B73" w:rsidRPr="003D290F">
        <w:t>t</w:t>
      </w:r>
      <w:r w:rsidR="008E14FC" w:rsidRPr="003D290F">
        <w:t>o start identifying employers that may be able to partici</w:t>
      </w:r>
      <w:r w:rsidR="00597B73" w:rsidRPr="003D290F">
        <w:t xml:space="preserve">pate in a community of interest, and sequentially move through the steps involved in the pooled redeployment </w:t>
      </w:r>
      <w:r w:rsidR="00F6294A" w:rsidRPr="003D290F">
        <w:t>plan</w:t>
      </w:r>
      <w:r w:rsidR="00597B73" w:rsidRPr="003D290F">
        <w:t xml:space="preserve">. </w:t>
      </w:r>
    </w:p>
    <w:p w14:paraId="2126F5DA" w14:textId="77777777" w:rsidR="00891164" w:rsidRPr="003D290F" w:rsidRDefault="00597B73" w:rsidP="007550AB">
      <w:r w:rsidRPr="003D290F">
        <w:t>The event-based nature of this policy, linked to specific facility closures, means implementation activities will be spread out over a number of years, in accordance with the</w:t>
      </w:r>
      <w:r w:rsidR="005941A7" w:rsidRPr="003D290F">
        <w:t xml:space="preserve"> announced</w:t>
      </w:r>
      <w:r w:rsidRPr="003D290F">
        <w:t xml:space="preserve"> schedule of </w:t>
      </w:r>
      <w:r w:rsidR="004320A0" w:rsidRPr="003D290F">
        <w:t>relevant coal-fired power station</w:t>
      </w:r>
      <w:r w:rsidRPr="003D290F">
        <w:t xml:space="preserve"> closures. </w:t>
      </w:r>
      <w:r w:rsidR="00A0605F">
        <w:t xml:space="preserve">The first power station closure that would be in-scope for a pooled redeployment plan under this policy option is Eraring Power Station, which has a scheduled closure date of August 2025. The Authority would seek to commence working with Origin Energy as soon as </w:t>
      </w:r>
      <w:r w:rsidR="00A0605F">
        <w:lastRenderedPageBreak/>
        <w:t xml:space="preserve">practicable following the passage of legislation in relation to establishing a community of interest around the Eraring closure.  </w:t>
      </w:r>
    </w:p>
    <w:p w14:paraId="6EB26391" w14:textId="77777777" w:rsidR="004320A0" w:rsidRDefault="004320A0" w:rsidP="004320A0">
      <w:r w:rsidRPr="003D290F">
        <w:t>The success of implementing this p</w:t>
      </w:r>
      <w:r w:rsidR="00EB693A" w:rsidRPr="003D290F">
        <w:t xml:space="preserve">olicy will rely on the </w:t>
      </w:r>
      <w:r w:rsidRPr="003D290F">
        <w:t xml:space="preserve">Authority liaising regularly and openly with employers and other relevant stakeholders, including other </w:t>
      </w:r>
      <w:r w:rsidR="002630C8">
        <w:t>Australian Government</w:t>
      </w:r>
      <w:r w:rsidR="002630C8" w:rsidRPr="003D290F">
        <w:t xml:space="preserve"> </w:t>
      </w:r>
      <w:r w:rsidRPr="003D290F">
        <w:t xml:space="preserve">agencies, state </w:t>
      </w:r>
      <w:r w:rsidR="005941A7" w:rsidRPr="003D290F">
        <w:t xml:space="preserve">and local </w:t>
      </w:r>
      <w:r w:rsidRPr="003D290F">
        <w:t xml:space="preserve">governments, </w:t>
      </w:r>
      <w:r w:rsidR="005941A7" w:rsidRPr="003D290F">
        <w:t>unions</w:t>
      </w:r>
      <w:r w:rsidRPr="003D290F">
        <w:t>, and regional bodies. It will require employers to engage in good faith with their obligations towards workers</w:t>
      </w:r>
      <w:r w:rsidR="00E42621" w:rsidRPr="003D290F">
        <w:t>, as part of a shared commitment with government to work together in managing the net zero transition</w:t>
      </w:r>
      <w:r w:rsidRPr="003D290F">
        <w:t>.</w:t>
      </w:r>
    </w:p>
    <w:p w14:paraId="4CA2946E" w14:textId="77777777" w:rsidR="00BF6268" w:rsidRDefault="00BF6268" w:rsidP="00BF6268">
      <w:r>
        <w:t xml:space="preserve">The </w:t>
      </w:r>
      <w:r w:rsidR="002630C8">
        <w:t>p</w:t>
      </w:r>
      <w:r>
        <w:t xml:space="preserve">lan framework needs to be put in place as part of the establishment of the Authority to enable it to implement a redeployment scheme to support the closure of Eraring Power Station in 2025. An early statutory review will however allow more extensive consultation on the design of the </w:t>
      </w:r>
      <w:r w:rsidR="002630C8">
        <w:t>p</w:t>
      </w:r>
      <w:r>
        <w:t>lan with both unions and employers, and enable changes, if required, prior to other generation closures.</w:t>
      </w:r>
    </w:p>
    <w:p w14:paraId="14252963" w14:textId="77777777" w:rsidR="00844B2B" w:rsidRPr="000F13D0" w:rsidRDefault="00844B2B">
      <w:pPr>
        <w:pStyle w:val="Heading3"/>
        <w:spacing w:line="276" w:lineRule="auto"/>
      </w:pPr>
      <w:bookmarkStart w:id="385" w:name="_Toc161396014"/>
      <w:bookmarkStart w:id="386" w:name="_Toc161403550"/>
      <w:bookmarkStart w:id="387" w:name="_Toc161694828"/>
      <w:bookmarkStart w:id="388" w:name="_Toc161752283"/>
      <w:bookmarkStart w:id="389" w:name="_Toc161759721"/>
      <w:r w:rsidRPr="008C4276">
        <w:t xml:space="preserve">6.2.1 </w:t>
      </w:r>
      <w:r w:rsidR="000F13D0">
        <w:t>Challenges and risks to i</w:t>
      </w:r>
      <w:r w:rsidRPr="008C4276">
        <w:t>mplementation</w:t>
      </w:r>
      <w:bookmarkEnd w:id="385"/>
      <w:bookmarkEnd w:id="386"/>
      <w:bookmarkEnd w:id="387"/>
      <w:bookmarkEnd w:id="388"/>
      <w:bookmarkEnd w:id="389"/>
    </w:p>
    <w:p w14:paraId="70B1843E" w14:textId="77777777" w:rsidR="00DA3656" w:rsidRPr="003D290F" w:rsidRDefault="000F13D0" w:rsidP="001E79E2">
      <w:r>
        <w:t xml:space="preserve">As noted at </w:t>
      </w:r>
      <w:r w:rsidR="002630C8" w:rsidRPr="00535317">
        <w:rPr>
          <w:rFonts w:eastAsia="Times New Roman"/>
          <w:b/>
          <w:color w:val="1B375C" w:themeColor="accent1"/>
        </w:rPr>
        <w:t>S</w:t>
      </w:r>
      <w:r w:rsidRPr="00E16906">
        <w:rPr>
          <w:rFonts w:eastAsia="Times New Roman"/>
          <w:b/>
          <w:color w:val="1B375C" w:themeColor="accent1"/>
        </w:rPr>
        <w:t>ection 2.2.1</w:t>
      </w:r>
      <w:r>
        <w:t xml:space="preserve">, an orderly transition to a net zero economy for workers and regions is dependent on a range of </w:t>
      </w:r>
      <w:r w:rsidR="00CC2014">
        <w:t xml:space="preserve">factors. </w:t>
      </w:r>
      <w:r>
        <w:t>The</w:t>
      </w:r>
      <w:r w:rsidR="00CC2014">
        <w:t>se</w:t>
      </w:r>
      <w:r>
        <w:t xml:space="preserve"> </w:t>
      </w:r>
      <w:r w:rsidR="00DA3656">
        <w:t xml:space="preserve">factors are relevant when considering </w:t>
      </w:r>
      <w:r>
        <w:t>challenges and risks that could impede the successful implementation of Option 3.</w:t>
      </w:r>
      <w:r w:rsidR="00DA3656">
        <w:t xml:space="preserve"> Potential implementation challenges and risks are identified at </w:t>
      </w:r>
      <w:r w:rsidR="00DA3656" w:rsidRPr="00535317">
        <w:rPr>
          <w:rFonts w:eastAsia="Times New Roman"/>
          <w:b/>
          <w:color w:val="1B375C" w:themeColor="accent1"/>
        </w:rPr>
        <w:t>Table 6.1</w:t>
      </w:r>
      <w:r w:rsidR="00DA3656">
        <w:t xml:space="preserve">. </w:t>
      </w:r>
      <w:r w:rsidR="00DA3656" w:rsidRPr="003D290F">
        <w:t xml:space="preserve"> </w:t>
      </w:r>
    </w:p>
    <w:p w14:paraId="652B3116" w14:textId="77777777" w:rsidR="00DA3656" w:rsidRPr="003D290F" w:rsidRDefault="00DA3656" w:rsidP="00DA3656">
      <w:pPr>
        <w:spacing w:after="0"/>
      </w:pPr>
      <w:r>
        <w:rPr>
          <w:rFonts w:eastAsia="Times New Roman" w:cs="Segoe UI"/>
          <w:b/>
          <w:sz w:val="24"/>
          <w:szCs w:val="24"/>
        </w:rPr>
        <w:t>TABLE 6</w:t>
      </w:r>
      <w:r w:rsidRPr="003D290F">
        <w:rPr>
          <w:rFonts w:eastAsia="Times New Roman" w:cs="Segoe UI"/>
          <w:b/>
          <w:sz w:val="24"/>
          <w:szCs w:val="24"/>
        </w:rPr>
        <w:t>.</w:t>
      </w:r>
      <w:r>
        <w:rPr>
          <w:rFonts w:eastAsia="Times New Roman" w:cs="Segoe UI"/>
          <w:b/>
          <w:sz w:val="24"/>
          <w:szCs w:val="24"/>
        </w:rPr>
        <w:t>1</w:t>
      </w:r>
      <w:r w:rsidRPr="003D290F">
        <w:rPr>
          <w:rFonts w:eastAsia="Times New Roman" w:cs="Segoe UI"/>
          <w:b/>
          <w:sz w:val="24"/>
          <w:szCs w:val="24"/>
        </w:rPr>
        <w:t xml:space="preserve"> </w:t>
      </w:r>
      <w:r>
        <w:rPr>
          <w:rFonts w:eastAsia="Times New Roman" w:cs="Segoe UI"/>
          <w:b/>
          <w:sz w:val="24"/>
          <w:szCs w:val="24"/>
        </w:rPr>
        <w:t>CHALLENGES AND RISKS TO IMPLEMENTATION OF OPTION 3</w:t>
      </w:r>
    </w:p>
    <w:tbl>
      <w:tblPr>
        <w:tblW w:w="10632" w:type="dxa"/>
        <w:tblInd w:w="-10" w:type="dxa"/>
        <w:tblLook w:val="04A0" w:firstRow="1" w:lastRow="0" w:firstColumn="1" w:lastColumn="0" w:noHBand="0" w:noVBand="1"/>
      </w:tblPr>
      <w:tblGrid>
        <w:gridCol w:w="2127"/>
        <w:gridCol w:w="8505"/>
      </w:tblGrid>
      <w:tr w:rsidR="00DA3656" w:rsidRPr="003D290F" w14:paraId="1A5A2A39" w14:textId="77777777" w:rsidTr="001E79E2">
        <w:trPr>
          <w:trHeight w:val="300"/>
        </w:trPr>
        <w:tc>
          <w:tcPr>
            <w:tcW w:w="2127" w:type="dxa"/>
            <w:tcBorders>
              <w:top w:val="single" w:sz="8" w:space="0" w:color="FFFFFF"/>
              <w:left w:val="single" w:sz="8" w:space="0" w:color="FFFFFF"/>
              <w:bottom w:val="single" w:sz="8" w:space="0" w:color="FFFFFF"/>
              <w:right w:val="nil"/>
            </w:tcBorders>
            <w:shd w:val="clear" w:color="000000" w:fill="1B375C"/>
            <w:vAlign w:val="center"/>
            <w:hideMark/>
          </w:tcPr>
          <w:p w14:paraId="45070EDB" w14:textId="77777777" w:rsidR="00DA3656" w:rsidRPr="003D290F" w:rsidRDefault="00DA3656" w:rsidP="00DA3656">
            <w:pPr>
              <w:spacing w:after="0" w:line="240" w:lineRule="auto"/>
              <w:rPr>
                <w:rFonts w:eastAsia="Times New Roman" w:cs="Segoe UI"/>
                <w:b/>
                <w:bCs/>
                <w:color w:val="FFFFFF"/>
                <w:sz w:val="20"/>
                <w:szCs w:val="20"/>
                <w:lang w:eastAsia="en-AU"/>
              </w:rPr>
            </w:pPr>
            <w:r w:rsidRPr="003D290F">
              <w:rPr>
                <w:rFonts w:cs="Segoe UI"/>
                <w:b/>
                <w:bCs/>
                <w:color w:val="FFFFFF"/>
                <w:sz w:val="20"/>
                <w:szCs w:val="20"/>
              </w:rPr>
              <w:t> </w:t>
            </w:r>
            <w:r>
              <w:rPr>
                <w:rFonts w:cs="Segoe UI"/>
                <w:b/>
                <w:bCs/>
                <w:color w:val="FFFFFF"/>
                <w:sz w:val="20"/>
                <w:szCs w:val="20"/>
              </w:rPr>
              <w:t>Challenge or risk</w:t>
            </w:r>
          </w:p>
        </w:tc>
        <w:tc>
          <w:tcPr>
            <w:tcW w:w="8505" w:type="dxa"/>
            <w:tcBorders>
              <w:top w:val="single" w:sz="8" w:space="0" w:color="FFFFFF"/>
              <w:left w:val="nil"/>
              <w:bottom w:val="single" w:sz="8" w:space="0" w:color="FFFFFF"/>
              <w:right w:val="single" w:sz="8" w:space="0" w:color="FFFFFF"/>
            </w:tcBorders>
            <w:shd w:val="clear" w:color="000000" w:fill="1B375C"/>
            <w:vAlign w:val="center"/>
            <w:hideMark/>
          </w:tcPr>
          <w:p w14:paraId="3AD1B6AF" w14:textId="77777777" w:rsidR="00DA3656" w:rsidRPr="003D290F" w:rsidRDefault="00DA3656">
            <w:pPr>
              <w:spacing w:after="0" w:line="240" w:lineRule="auto"/>
              <w:jc w:val="center"/>
              <w:rPr>
                <w:rFonts w:eastAsia="Times New Roman" w:cs="Segoe UI"/>
                <w:b/>
                <w:bCs/>
                <w:color w:val="FFFFFF"/>
                <w:sz w:val="20"/>
                <w:szCs w:val="20"/>
                <w:lang w:eastAsia="en-AU"/>
              </w:rPr>
            </w:pPr>
            <w:r>
              <w:rPr>
                <w:rFonts w:cs="Segoe UI"/>
                <w:b/>
                <w:bCs/>
                <w:color w:val="FFFFFF"/>
                <w:sz w:val="20"/>
                <w:szCs w:val="20"/>
              </w:rPr>
              <w:t>Description and proposed management</w:t>
            </w:r>
          </w:p>
        </w:tc>
      </w:tr>
      <w:tr w:rsidR="00DA3656" w:rsidRPr="003D290F" w14:paraId="60299397" w14:textId="77777777" w:rsidTr="001E79E2">
        <w:trPr>
          <w:trHeight w:val="4628"/>
        </w:trPr>
        <w:tc>
          <w:tcPr>
            <w:tcW w:w="2127" w:type="dxa"/>
            <w:tcBorders>
              <w:top w:val="nil"/>
              <w:left w:val="single" w:sz="8" w:space="0" w:color="FFFFFF"/>
              <w:bottom w:val="single" w:sz="8" w:space="0" w:color="FFFFFF"/>
              <w:right w:val="single" w:sz="8" w:space="0" w:color="FFFFFF"/>
            </w:tcBorders>
            <w:shd w:val="clear" w:color="000000" w:fill="E0E8F2"/>
            <w:hideMark/>
          </w:tcPr>
          <w:p w14:paraId="10128D99" w14:textId="77777777" w:rsidR="00D43EBD" w:rsidRPr="001E79E2" w:rsidRDefault="00D43EBD" w:rsidP="001E79E2">
            <w:pPr>
              <w:spacing w:after="0" w:line="240" w:lineRule="auto"/>
              <w:rPr>
                <w:rFonts w:cs="Segoe UI"/>
                <w:b/>
                <w:color w:val="000000"/>
                <w:sz w:val="6"/>
                <w:szCs w:val="20"/>
              </w:rPr>
            </w:pPr>
          </w:p>
          <w:p w14:paraId="32CEE599" w14:textId="77777777" w:rsidR="00DA3656" w:rsidRPr="003D290F" w:rsidRDefault="00DA3656" w:rsidP="001E79E2">
            <w:pPr>
              <w:spacing w:after="0" w:line="240" w:lineRule="auto"/>
              <w:rPr>
                <w:rFonts w:eastAsia="Times New Roman" w:cs="Segoe UI"/>
                <w:color w:val="000000"/>
                <w:sz w:val="20"/>
                <w:szCs w:val="20"/>
                <w:lang w:eastAsia="en-AU"/>
              </w:rPr>
            </w:pPr>
            <w:r w:rsidRPr="001E79E2">
              <w:rPr>
                <w:rFonts w:cs="Segoe UI"/>
                <w:b/>
                <w:color w:val="000000"/>
                <w:sz w:val="20"/>
                <w:szCs w:val="20"/>
              </w:rPr>
              <w:t>Insufficient receiving employer participation in a community of interest</w:t>
            </w:r>
          </w:p>
        </w:tc>
        <w:tc>
          <w:tcPr>
            <w:tcW w:w="8505" w:type="dxa"/>
            <w:tcBorders>
              <w:top w:val="nil"/>
              <w:left w:val="nil"/>
              <w:bottom w:val="single" w:sz="8" w:space="0" w:color="FFFFFF"/>
              <w:right w:val="single" w:sz="8" w:space="0" w:color="FFFFFF"/>
            </w:tcBorders>
            <w:shd w:val="clear" w:color="000000" w:fill="E0E8F2"/>
            <w:hideMark/>
          </w:tcPr>
          <w:p w14:paraId="464AEF34" w14:textId="77777777" w:rsidR="00D43EBD" w:rsidRPr="001E79E2" w:rsidRDefault="00D43EBD" w:rsidP="001E79E2">
            <w:pPr>
              <w:spacing w:after="0" w:line="240" w:lineRule="auto"/>
              <w:rPr>
                <w:rFonts w:eastAsia="Times New Roman" w:cs="Segoe UI"/>
                <w:color w:val="000000"/>
                <w:sz w:val="6"/>
                <w:szCs w:val="20"/>
                <w:lang w:eastAsia="en-AU"/>
              </w:rPr>
            </w:pPr>
          </w:p>
          <w:p w14:paraId="43C788D0" w14:textId="77777777" w:rsidR="00DA3656" w:rsidRDefault="00DA3656"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Participation of receiving employers</w:t>
            </w:r>
            <w:r w:rsidR="00CC2014">
              <w:rPr>
                <w:rFonts w:eastAsia="Times New Roman" w:cs="Segoe UI"/>
                <w:color w:val="000000"/>
                <w:sz w:val="20"/>
                <w:szCs w:val="20"/>
                <w:lang w:eastAsia="en-AU"/>
              </w:rPr>
              <w:t xml:space="preserve"> is voluntary, meaning that the success of each community of interest will depend heavily on</w:t>
            </w:r>
            <w:r>
              <w:rPr>
                <w:rFonts w:eastAsia="Times New Roman" w:cs="Segoe UI"/>
                <w:color w:val="000000"/>
                <w:sz w:val="20"/>
                <w:szCs w:val="20"/>
                <w:lang w:eastAsia="en-AU"/>
              </w:rPr>
              <w:t xml:space="preserve"> </w:t>
            </w:r>
            <w:r w:rsidR="00CC2014">
              <w:rPr>
                <w:rFonts w:eastAsia="Times New Roman" w:cs="Segoe UI"/>
                <w:color w:val="000000"/>
                <w:sz w:val="20"/>
                <w:szCs w:val="20"/>
                <w:lang w:eastAsia="en-AU"/>
              </w:rPr>
              <w:t xml:space="preserve">attracting sufficient interest from receiving employers </w:t>
            </w:r>
            <w:r w:rsidR="00D43EBD">
              <w:rPr>
                <w:rFonts w:eastAsia="Times New Roman" w:cs="Segoe UI"/>
                <w:color w:val="000000"/>
                <w:sz w:val="20"/>
                <w:szCs w:val="20"/>
                <w:lang w:eastAsia="en-AU"/>
              </w:rPr>
              <w:t>provide the needed volume of roles required to redeploy employees from closing employers</w:t>
            </w:r>
            <w:r w:rsidR="00CC2014">
              <w:rPr>
                <w:rFonts w:eastAsia="Times New Roman" w:cs="Segoe UI"/>
                <w:color w:val="000000"/>
                <w:sz w:val="20"/>
                <w:szCs w:val="20"/>
                <w:lang w:eastAsia="en-AU"/>
              </w:rPr>
              <w:t>.</w:t>
            </w:r>
          </w:p>
          <w:p w14:paraId="58D8751E" w14:textId="77777777" w:rsidR="00CC2014" w:rsidRPr="001E79E2" w:rsidRDefault="00CC2014" w:rsidP="001E79E2">
            <w:pPr>
              <w:spacing w:after="0" w:line="240" w:lineRule="auto"/>
              <w:rPr>
                <w:rFonts w:eastAsia="Times New Roman" w:cs="Segoe UI"/>
                <w:color w:val="000000"/>
                <w:sz w:val="10"/>
                <w:szCs w:val="20"/>
                <w:lang w:eastAsia="en-AU"/>
              </w:rPr>
            </w:pPr>
          </w:p>
          <w:p w14:paraId="0311ECC6" w14:textId="77777777" w:rsidR="00D43EBD" w:rsidRDefault="00D43EBD">
            <w:pPr>
              <w:spacing w:after="0" w:line="240" w:lineRule="auto"/>
              <w:rPr>
                <w:rFonts w:eastAsia="Times New Roman" w:cs="Segoe UI"/>
                <w:color w:val="000000"/>
                <w:sz w:val="20"/>
                <w:szCs w:val="20"/>
                <w:lang w:eastAsia="en-AU"/>
              </w:rPr>
            </w:pPr>
            <w:r w:rsidRPr="00D43EBD">
              <w:rPr>
                <w:rFonts w:eastAsia="Times New Roman" w:cs="Segoe UI"/>
                <w:color w:val="000000"/>
                <w:sz w:val="20"/>
                <w:szCs w:val="20"/>
                <w:lang w:eastAsia="en-AU"/>
              </w:rPr>
              <w:t xml:space="preserve">Consultation feedback indicates that pooled redeployment can help to </w:t>
            </w:r>
            <w:r w:rsidR="0070110C">
              <w:rPr>
                <w:rFonts w:eastAsia="Times New Roman" w:cs="Segoe UI"/>
                <w:color w:val="000000"/>
                <w:sz w:val="20"/>
                <w:szCs w:val="20"/>
                <w:lang w:eastAsia="en-AU"/>
              </w:rPr>
              <w:t xml:space="preserve">lower search costs and </w:t>
            </w:r>
            <w:r w:rsidRPr="00D43EBD">
              <w:rPr>
                <w:rFonts w:eastAsia="Times New Roman" w:cs="Segoe UI"/>
                <w:color w:val="000000"/>
                <w:sz w:val="20"/>
                <w:szCs w:val="20"/>
                <w:lang w:eastAsia="en-AU"/>
              </w:rPr>
              <w:t>address critical skills shortages currently being experienced by potential receiving employers</w:t>
            </w:r>
            <w:r>
              <w:rPr>
                <w:rFonts w:eastAsia="Times New Roman" w:cs="Segoe UI"/>
                <w:color w:val="000000"/>
                <w:sz w:val="20"/>
                <w:szCs w:val="20"/>
                <w:lang w:eastAsia="en-AU"/>
              </w:rPr>
              <w:t>, however this will need to be closely monitored over time as regional labour market conditions evolve.</w:t>
            </w:r>
          </w:p>
          <w:p w14:paraId="61B5187B" w14:textId="77777777" w:rsidR="00D43EBD" w:rsidRDefault="00D43EBD">
            <w:pPr>
              <w:spacing w:after="0" w:line="240" w:lineRule="auto"/>
              <w:rPr>
                <w:rFonts w:eastAsia="Times New Roman" w:cs="Segoe UI"/>
                <w:color w:val="000000"/>
                <w:sz w:val="20"/>
                <w:szCs w:val="20"/>
                <w:lang w:eastAsia="en-AU"/>
              </w:rPr>
            </w:pPr>
          </w:p>
          <w:p w14:paraId="7B791B7F" w14:textId="77777777" w:rsidR="00D43EBD" w:rsidRPr="00D43EBD" w:rsidRDefault="00D43EBD">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T</w:t>
            </w:r>
            <w:r w:rsidR="00AD3427">
              <w:rPr>
                <w:rFonts w:eastAsia="Times New Roman" w:cs="Segoe UI"/>
                <w:color w:val="000000"/>
                <w:sz w:val="20"/>
                <w:szCs w:val="20"/>
                <w:lang w:eastAsia="en-AU"/>
              </w:rPr>
              <w:t>h</w:t>
            </w:r>
            <w:r>
              <w:rPr>
                <w:rFonts w:eastAsia="Times New Roman" w:cs="Segoe UI"/>
                <w:color w:val="000000"/>
                <w:sz w:val="20"/>
                <w:szCs w:val="20"/>
                <w:lang w:eastAsia="en-AU"/>
              </w:rPr>
              <w:t xml:space="preserve">e Authority will </w:t>
            </w:r>
            <w:r w:rsidRPr="00D43EBD">
              <w:rPr>
                <w:rFonts w:eastAsia="Times New Roman" w:cs="Segoe UI"/>
                <w:color w:val="000000"/>
                <w:sz w:val="20"/>
                <w:szCs w:val="20"/>
                <w:lang w:eastAsia="en-AU"/>
              </w:rPr>
              <w:t>work closely and collaboratively with potential receiving employers in a region in the lead-up to establ</w:t>
            </w:r>
            <w:r>
              <w:rPr>
                <w:rFonts w:eastAsia="Times New Roman" w:cs="Segoe UI"/>
                <w:color w:val="000000"/>
                <w:sz w:val="20"/>
                <w:szCs w:val="20"/>
                <w:lang w:eastAsia="en-AU"/>
              </w:rPr>
              <w:t>ishing a community of interest (</w:t>
            </w:r>
            <w:r w:rsidRPr="00D43EBD">
              <w:rPr>
                <w:rFonts w:eastAsia="Times New Roman" w:cs="Segoe UI"/>
                <w:color w:val="000000"/>
                <w:sz w:val="20"/>
                <w:szCs w:val="20"/>
                <w:lang w:eastAsia="en-AU"/>
              </w:rPr>
              <w:t>including by convening regional forums and helping to maximise the reputational benefits for companies that are willing to take on workers from closing facilities</w:t>
            </w:r>
            <w:r>
              <w:rPr>
                <w:rFonts w:eastAsia="Times New Roman" w:cs="Segoe UI"/>
                <w:color w:val="000000"/>
                <w:sz w:val="20"/>
                <w:szCs w:val="20"/>
                <w:lang w:eastAsia="en-AU"/>
              </w:rPr>
              <w:t>)</w:t>
            </w:r>
            <w:r w:rsidRPr="00D43EBD">
              <w:rPr>
                <w:rFonts w:eastAsia="Times New Roman" w:cs="Segoe UI"/>
                <w:color w:val="000000"/>
                <w:sz w:val="20"/>
                <w:szCs w:val="20"/>
                <w:lang w:eastAsia="en-AU"/>
              </w:rPr>
              <w:t>.</w:t>
            </w:r>
          </w:p>
          <w:p w14:paraId="7020CECB" w14:textId="77777777" w:rsidR="00D43EBD" w:rsidRDefault="00D43EBD" w:rsidP="001E79E2">
            <w:pPr>
              <w:spacing w:after="0" w:line="240" w:lineRule="auto"/>
              <w:rPr>
                <w:rFonts w:eastAsia="Times New Roman" w:cs="Segoe UI"/>
                <w:color w:val="000000"/>
                <w:sz w:val="20"/>
                <w:szCs w:val="20"/>
                <w:lang w:eastAsia="en-AU"/>
              </w:rPr>
            </w:pPr>
          </w:p>
          <w:p w14:paraId="35AA4519" w14:textId="77777777" w:rsidR="00CC2014" w:rsidRPr="003D290F" w:rsidRDefault="0070110C"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 xml:space="preserve">Proactive job and skill matching undertaken by the Authority and </w:t>
            </w:r>
            <w:r w:rsidR="00D43EBD" w:rsidRPr="00D43EBD">
              <w:rPr>
                <w:rFonts w:eastAsia="Times New Roman" w:cs="Segoe UI"/>
                <w:color w:val="000000"/>
                <w:sz w:val="20"/>
                <w:szCs w:val="20"/>
                <w:lang w:eastAsia="en-AU"/>
              </w:rPr>
              <w:t xml:space="preserve">Government contributions towards </w:t>
            </w:r>
            <w:r w:rsidR="00D43EBD">
              <w:rPr>
                <w:rFonts w:eastAsia="Times New Roman" w:cs="Segoe UI"/>
                <w:color w:val="000000"/>
                <w:sz w:val="20"/>
                <w:szCs w:val="20"/>
                <w:lang w:eastAsia="en-AU"/>
              </w:rPr>
              <w:t xml:space="preserve">incentives such as </w:t>
            </w:r>
            <w:r w:rsidR="00D43EBD" w:rsidRPr="00D43EBD">
              <w:rPr>
                <w:rFonts w:eastAsia="Times New Roman" w:cs="Segoe UI"/>
                <w:color w:val="000000"/>
                <w:sz w:val="20"/>
                <w:szCs w:val="20"/>
                <w:lang w:eastAsia="en-AU"/>
              </w:rPr>
              <w:t>early retirement payments, to assist receiving employers create vacancies for new workers, will also incentivise receiving employer participation in circumstances where this is attractive</w:t>
            </w:r>
            <w:r w:rsidR="00D43EBD">
              <w:rPr>
                <w:rFonts w:eastAsia="Times New Roman" w:cs="Segoe UI"/>
                <w:color w:val="000000"/>
                <w:sz w:val="20"/>
                <w:szCs w:val="20"/>
                <w:lang w:eastAsia="en-AU"/>
              </w:rPr>
              <w:t xml:space="preserve"> to those employers.</w:t>
            </w:r>
          </w:p>
        </w:tc>
      </w:tr>
      <w:tr w:rsidR="00DA3656" w:rsidRPr="003D290F" w14:paraId="7B68B243" w14:textId="77777777" w:rsidTr="001E79E2">
        <w:trPr>
          <w:trHeight w:val="2242"/>
        </w:trPr>
        <w:tc>
          <w:tcPr>
            <w:tcW w:w="2127" w:type="dxa"/>
            <w:tcBorders>
              <w:top w:val="nil"/>
              <w:left w:val="single" w:sz="8" w:space="0" w:color="FFFFFF"/>
              <w:bottom w:val="single" w:sz="8" w:space="0" w:color="FFFFFF"/>
              <w:right w:val="single" w:sz="8" w:space="0" w:color="FFFFFF"/>
            </w:tcBorders>
            <w:shd w:val="clear" w:color="auto" w:fill="auto"/>
            <w:hideMark/>
          </w:tcPr>
          <w:p w14:paraId="360FFAF2" w14:textId="77777777" w:rsidR="00DA3656" w:rsidRPr="001E79E2" w:rsidRDefault="00D43EBD" w:rsidP="001E79E2">
            <w:pPr>
              <w:spacing w:after="0" w:line="240" w:lineRule="auto"/>
              <w:rPr>
                <w:rFonts w:eastAsia="Times New Roman" w:cs="Segoe UI"/>
                <w:b/>
                <w:iCs/>
                <w:color w:val="000000"/>
                <w:sz w:val="20"/>
                <w:szCs w:val="20"/>
                <w:lang w:eastAsia="en-AU"/>
              </w:rPr>
            </w:pPr>
            <w:r w:rsidRPr="001E79E2">
              <w:rPr>
                <w:rFonts w:eastAsia="Times New Roman" w:cs="Segoe UI"/>
                <w:b/>
                <w:iCs/>
                <w:color w:val="000000"/>
                <w:sz w:val="20"/>
                <w:szCs w:val="20"/>
                <w:lang w:eastAsia="en-AU"/>
              </w:rPr>
              <w:lastRenderedPageBreak/>
              <w:t xml:space="preserve">Lack of available jobs in key regions </w:t>
            </w:r>
          </w:p>
          <w:p w14:paraId="1E1AEFC1" w14:textId="77777777" w:rsidR="00D43EBD" w:rsidRPr="001E79E2" w:rsidRDefault="00D43EBD" w:rsidP="001E79E2">
            <w:pPr>
              <w:spacing w:after="0" w:line="240" w:lineRule="auto"/>
              <w:rPr>
                <w:rFonts w:eastAsia="Times New Roman" w:cs="Segoe UI"/>
                <w:iCs/>
                <w:color w:val="000000"/>
                <w:sz w:val="20"/>
                <w:szCs w:val="20"/>
                <w:lang w:eastAsia="en-AU"/>
              </w:rPr>
            </w:pPr>
          </w:p>
        </w:tc>
        <w:tc>
          <w:tcPr>
            <w:tcW w:w="8505" w:type="dxa"/>
            <w:tcBorders>
              <w:top w:val="nil"/>
              <w:left w:val="nil"/>
              <w:bottom w:val="single" w:sz="8" w:space="0" w:color="FFFFFF"/>
              <w:right w:val="single" w:sz="8" w:space="0" w:color="FFFFFF"/>
            </w:tcBorders>
            <w:shd w:val="clear" w:color="auto" w:fill="auto"/>
            <w:hideMark/>
          </w:tcPr>
          <w:p w14:paraId="0A6C90CA" w14:textId="77777777" w:rsidR="00AC507B" w:rsidRDefault="00AC507B" w:rsidP="001E79E2">
            <w:pPr>
              <w:spacing w:after="0" w:line="240" w:lineRule="auto"/>
              <w:rPr>
                <w:rFonts w:eastAsia="Times New Roman" w:cs="Segoe UI"/>
                <w:iCs/>
                <w:color w:val="000000"/>
                <w:sz w:val="20"/>
                <w:szCs w:val="20"/>
                <w:lang w:eastAsia="en-AU"/>
              </w:rPr>
            </w:pPr>
            <w:r>
              <w:rPr>
                <w:rFonts w:eastAsia="Times New Roman" w:cs="Segoe UI"/>
                <w:iCs/>
                <w:color w:val="000000"/>
                <w:sz w:val="20"/>
                <w:szCs w:val="20"/>
                <w:lang w:eastAsia="en-AU"/>
              </w:rPr>
              <w:t>Successfully redeploying closing employer workers is dependent on there being sufficient jobs available in the local region, that are appropriate for these workers to move to – noting that many power stations are located in regions which currently have low economic diversity.</w:t>
            </w:r>
          </w:p>
          <w:p w14:paraId="01FB486A" w14:textId="77777777" w:rsidR="00AC507B" w:rsidRPr="001E79E2" w:rsidRDefault="00AC507B" w:rsidP="001E79E2">
            <w:pPr>
              <w:spacing w:after="0" w:line="240" w:lineRule="auto"/>
              <w:rPr>
                <w:rFonts w:eastAsia="Times New Roman" w:cs="Segoe UI"/>
                <w:iCs/>
                <w:color w:val="000000"/>
                <w:sz w:val="12"/>
                <w:szCs w:val="20"/>
                <w:lang w:eastAsia="en-AU"/>
              </w:rPr>
            </w:pPr>
          </w:p>
          <w:p w14:paraId="2015B25F" w14:textId="77777777" w:rsidR="00DA3656" w:rsidRPr="001E79E2" w:rsidRDefault="00AC507B" w:rsidP="001E79E2">
            <w:pPr>
              <w:spacing w:after="0" w:line="240" w:lineRule="auto"/>
              <w:rPr>
                <w:rFonts w:eastAsia="Times New Roman" w:cs="Segoe UI"/>
                <w:iCs/>
                <w:color w:val="000000"/>
                <w:sz w:val="20"/>
                <w:szCs w:val="20"/>
                <w:lang w:eastAsia="en-AU"/>
              </w:rPr>
            </w:pPr>
            <w:r>
              <w:rPr>
                <w:rFonts w:eastAsia="Times New Roman" w:cs="Segoe UI"/>
                <w:iCs/>
                <w:color w:val="000000"/>
                <w:sz w:val="20"/>
                <w:szCs w:val="20"/>
                <w:lang w:eastAsia="en-AU"/>
              </w:rPr>
              <w:t xml:space="preserve">To help address this issue, one of the proposed functions of the Authority will be to </w:t>
            </w:r>
            <w:r w:rsidRPr="00AC507B">
              <w:rPr>
                <w:rFonts w:eastAsia="Times New Roman" w:cs="Segoe UI"/>
                <w:iCs/>
                <w:color w:val="000000"/>
                <w:sz w:val="20"/>
                <w:szCs w:val="20"/>
                <w:lang w:eastAsia="en-AU"/>
              </w:rPr>
              <w:t>facilitate public and private sector participation and investment in net zero transformation initiatives</w:t>
            </w:r>
            <w:r>
              <w:rPr>
                <w:rFonts w:eastAsia="Times New Roman" w:cs="Segoe UI"/>
                <w:iCs/>
                <w:color w:val="000000"/>
                <w:sz w:val="20"/>
                <w:szCs w:val="20"/>
                <w:lang w:eastAsia="en-AU"/>
              </w:rPr>
              <w:t>, including by working with other Commonwealth bodies, state governments and project proponents to catalyse investment in new projects in regions affected by generator closures</w:t>
            </w:r>
            <w:r w:rsidR="0070110C">
              <w:rPr>
                <w:rFonts w:eastAsia="Times New Roman" w:cs="Segoe UI"/>
                <w:iCs/>
                <w:color w:val="000000"/>
                <w:sz w:val="20"/>
                <w:szCs w:val="20"/>
                <w:lang w:eastAsia="en-AU"/>
              </w:rPr>
              <w:t xml:space="preserve"> creating new employment opportunities for displaced workers</w:t>
            </w:r>
            <w:r>
              <w:rPr>
                <w:rFonts w:eastAsia="Times New Roman" w:cs="Segoe UI"/>
                <w:iCs/>
                <w:color w:val="000000"/>
                <w:sz w:val="20"/>
                <w:szCs w:val="20"/>
                <w:lang w:eastAsia="en-AU"/>
              </w:rPr>
              <w:t xml:space="preserve">. </w:t>
            </w:r>
          </w:p>
        </w:tc>
      </w:tr>
      <w:tr w:rsidR="00DA3656" w:rsidRPr="003D290F" w14:paraId="756B37D8" w14:textId="77777777" w:rsidTr="001E79E2">
        <w:trPr>
          <w:trHeight w:val="1202"/>
        </w:trPr>
        <w:tc>
          <w:tcPr>
            <w:tcW w:w="2127" w:type="dxa"/>
            <w:tcBorders>
              <w:top w:val="nil"/>
              <w:left w:val="single" w:sz="8" w:space="0" w:color="FFFFFF"/>
              <w:bottom w:val="single" w:sz="8" w:space="0" w:color="FFFFFF"/>
              <w:right w:val="single" w:sz="8" w:space="0" w:color="FFFFFF"/>
            </w:tcBorders>
            <w:shd w:val="clear" w:color="000000" w:fill="E0E8F2"/>
            <w:hideMark/>
          </w:tcPr>
          <w:p w14:paraId="7A8BBDAE" w14:textId="77777777" w:rsidR="00DA3656" w:rsidRPr="001E79E2" w:rsidRDefault="00D43EBD" w:rsidP="001E79E2">
            <w:pPr>
              <w:spacing w:after="0" w:line="240" w:lineRule="auto"/>
              <w:rPr>
                <w:rFonts w:eastAsia="Times New Roman" w:cs="Segoe UI"/>
                <w:b/>
                <w:color w:val="000000"/>
                <w:sz w:val="20"/>
                <w:szCs w:val="20"/>
                <w:lang w:eastAsia="en-AU"/>
              </w:rPr>
            </w:pPr>
            <w:r w:rsidRPr="001E79E2">
              <w:rPr>
                <w:rFonts w:eastAsia="Times New Roman" w:cs="Segoe UI"/>
                <w:b/>
                <w:color w:val="000000"/>
                <w:sz w:val="20"/>
                <w:szCs w:val="20"/>
                <w:lang w:eastAsia="en-AU"/>
              </w:rPr>
              <w:t xml:space="preserve">Closure schedule timelines </w:t>
            </w:r>
            <w:r w:rsidR="00AC507B">
              <w:rPr>
                <w:rFonts w:eastAsia="Times New Roman" w:cs="Segoe UI"/>
                <w:b/>
                <w:color w:val="000000"/>
                <w:sz w:val="20"/>
                <w:szCs w:val="20"/>
                <w:lang w:eastAsia="en-AU"/>
              </w:rPr>
              <w:t xml:space="preserve">are not certain and could influence </w:t>
            </w:r>
            <w:r w:rsidR="00A25009">
              <w:rPr>
                <w:rFonts w:eastAsia="Times New Roman" w:cs="Segoe UI"/>
                <w:b/>
                <w:color w:val="000000"/>
                <w:sz w:val="20"/>
                <w:szCs w:val="20"/>
                <w:lang w:eastAsia="en-AU"/>
              </w:rPr>
              <w:t xml:space="preserve">worker </w:t>
            </w:r>
            <w:r w:rsidR="00AC507B">
              <w:rPr>
                <w:rFonts w:eastAsia="Times New Roman" w:cs="Segoe UI"/>
                <w:b/>
                <w:color w:val="000000"/>
                <w:sz w:val="20"/>
                <w:szCs w:val="20"/>
                <w:lang w:eastAsia="en-AU"/>
              </w:rPr>
              <w:t>outcomes</w:t>
            </w:r>
            <w:r w:rsidRPr="001E79E2">
              <w:rPr>
                <w:rFonts w:eastAsia="Times New Roman" w:cs="Segoe UI"/>
                <w:b/>
                <w:color w:val="000000"/>
                <w:sz w:val="20"/>
                <w:szCs w:val="20"/>
                <w:lang w:eastAsia="en-AU"/>
              </w:rPr>
              <w:t xml:space="preserve"> </w:t>
            </w:r>
          </w:p>
        </w:tc>
        <w:tc>
          <w:tcPr>
            <w:tcW w:w="8505" w:type="dxa"/>
            <w:tcBorders>
              <w:top w:val="nil"/>
              <w:left w:val="nil"/>
              <w:bottom w:val="single" w:sz="8" w:space="0" w:color="FFFFFF"/>
              <w:right w:val="single" w:sz="8" w:space="0" w:color="FFFFFF"/>
            </w:tcBorders>
            <w:shd w:val="clear" w:color="000000" w:fill="E0E8F2"/>
            <w:hideMark/>
          </w:tcPr>
          <w:p w14:paraId="5DF8BA77" w14:textId="77777777" w:rsidR="0098776A" w:rsidRDefault="00AC507B"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 xml:space="preserve">Notwithstanding the general requirement for NEM generators to provide 42 months’ notice of their proposed closure date, there is a risk that some generators may still close with shorter notice periods. If shorter notice periods eventuate, </w:t>
            </w:r>
            <w:r w:rsidR="0098776A">
              <w:rPr>
                <w:rFonts w:eastAsia="Times New Roman" w:cs="Segoe UI"/>
                <w:color w:val="000000"/>
                <w:sz w:val="20"/>
                <w:szCs w:val="20"/>
                <w:lang w:eastAsia="en-AU"/>
              </w:rPr>
              <w:t>this will limit the time available for workers to undertake training and prepare for new roles</w:t>
            </w:r>
            <w:r w:rsidR="00A25009">
              <w:rPr>
                <w:rFonts w:eastAsia="Times New Roman" w:cs="Segoe UI"/>
                <w:color w:val="000000"/>
                <w:sz w:val="20"/>
                <w:szCs w:val="20"/>
                <w:lang w:eastAsia="en-AU"/>
              </w:rPr>
              <w:t>, which could lead to poorer redeployment outcomes</w:t>
            </w:r>
            <w:r w:rsidR="0098776A">
              <w:rPr>
                <w:rFonts w:eastAsia="Times New Roman" w:cs="Segoe UI"/>
                <w:color w:val="000000"/>
                <w:sz w:val="20"/>
                <w:szCs w:val="20"/>
                <w:lang w:eastAsia="en-AU"/>
              </w:rPr>
              <w:t xml:space="preserve">. </w:t>
            </w:r>
          </w:p>
          <w:p w14:paraId="2A16439E" w14:textId="77777777" w:rsidR="0098776A" w:rsidRPr="001E79E2" w:rsidRDefault="0098776A" w:rsidP="001E79E2">
            <w:pPr>
              <w:spacing w:after="0" w:line="240" w:lineRule="auto"/>
              <w:rPr>
                <w:rFonts w:eastAsia="Times New Roman" w:cs="Segoe UI"/>
                <w:color w:val="000000"/>
                <w:sz w:val="14"/>
                <w:szCs w:val="20"/>
                <w:lang w:eastAsia="en-AU"/>
              </w:rPr>
            </w:pPr>
          </w:p>
          <w:p w14:paraId="332CDCD1" w14:textId="77777777" w:rsidR="0098776A" w:rsidRDefault="0098776A"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 xml:space="preserve">The Authority will help manage this issue by proactively working with other government bodies and generators to keep apprised of any possible changes to generator closure schedules. The Authority will engage with generators at an early stage in the years leading up to their announced closure dates, to understand what programs they are proposing to </w:t>
            </w:r>
            <w:r w:rsidR="00131B80">
              <w:rPr>
                <w:rFonts w:eastAsia="Times New Roman" w:cs="Segoe UI"/>
                <w:color w:val="000000"/>
                <w:sz w:val="20"/>
                <w:szCs w:val="20"/>
                <w:lang w:eastAsia="en-AU"/>
              </w:rPr>
              <w:t xml:space="preserve">offer to </w:t>
            </w:r>
            <w:r>
              <w:rPr>
                <w:rFonts w:eastAsia="Times New Roman" w:cs="Segoe UI"/>
                <w:color w:val="000000"/>
                <w:sz w:val="20"/>
                <w:szCs w:val="20"/>
                <w:lang w:eastAsia="en-AU"/>
              </w:rPr>
              <w:t>their workers and address any potential issues at the earliest opportunity.</w:t>
            </w:r>
          </w:p>
          <w:p w14:paraId="5B1FFE4A" w14:textId="77777777" w:rsidR="00DA3656" w:rsidRPr="003D290F" w:rsidRDefault="00AC507B"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 xml:space="preserve">  </w:t>
            </w:r>
          </w:p>
        </w:tc>
      </w:tr>
      <w:tr w:rsidR="00DA3656" w:rsidRPr="003D290F" w14:paraId="39D5B613" w14:textId="77777777" w:rsidTr="001E79E2">
        <w:trPr>
          <w:trHeight w:val="690"/>
        </w:trPr>
        <w:tc>
          <w:tcPr>
            <w:tcW w:w="2127" w:type="dxa"/>
            <w:tcBorders>
              <w:top w:val="nil"/>
              <w:left w:val="single" w:sz="8" w:space="0" w:color="FFFFFF"/>
              <w:bottom w:val="single" w:sz="12" w:space="0" w:color="auto"/>
              <w:right w:val="single" w:sz="8" w:space="0" w:color="FFFFFF"/>
            </w:tcBorders>
            <w:shd w:val="clear" w:color="auto" w:fill="auto"/>
            <w:hideMark/>
          </w:tcPr>
          <w:p w14:paraId="2D4A46F1" w14:textId="77777777" w:rsidR="00DA3656" w:rsidRPr="001E79E2" w:rsidRDefault="00AC507B" w:rsidP="001E79E2">
            <w:pPr>
              <w:spacing w:after="0" w:line="240" w:lineRule="auto"/>
              <w:rPr>
                <w:rFonts w:eastAsia="Times New Roman" w:cs="Segoe UI"/>
                <w:b/>
                <w:color w:val="000000"/>
                <w:sz w:val="20"/>
                <w:szCs w:val="20"/>
                <w:lang w:eastAsia="en-AU"/>
              </w:rPr>
            </w:pPr>
            <w:r w:rsidRPr="001E79E2">
              <w:rPr>
                <w:rFonts w:eastAsia="Times New Roman" w:cs="Segoe UI"/>
                <w:b/>
                <w:color w:val="000000"/>
                <w:sz w:val="20"/>
                <w:szCs w:val="20"/>
                <w:lang w:eastAsia="en-AU"/>
              </w:rPr>
              <w:t>Availability and access to relevant retraining opportunities</w:t>
            </w:r>
          </w:p>
        </w:tc>
        <w:tc>
          <w:tcPr>
            <w:tcW w:w="8505" w:type="dxa"/>
            <w:tcBorders>
              <w:top w:val="nil"/>
              <w:left w:val="nil"/>
              <w:bottom w:val="single" w:sz="12" w:space="0" w:color="auto"/>
              <w:right w:val="single" w:sz="8" w:space="0" w:color="FFFFFF"/>
            </w:tcBorders>
            <w:shd w:val="clear" w:color="auto" w:fill="auto"/>
            <w:hideMark/>
          </w:tcPr>
          <w:p w14:paraId="15904D91" w14:textId="77777777" w:rsidR="0098776A" w:rsidRDefault="0098776A"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Adequately preparing workers at closing employers for new roles will be dependent on there being sufficient access to relevant training and skills opportunities, available at the right time and in the right locations</w:t>
            </w:r>
            <w:r w:rsidR="007B7DF9">
              <w:rPr>
                <w:rFonts w:eastAsia="Times New Roman" w:cs="Segoe UI"/>
                <w:color w:val="000000"/>
                <w:sz w:val="20"/>
                <w:szCs w:val="20"/>
                <w:lang w:eastAsia="en-AU"/>
              </w:rPr>
              <w:t xml:space="preserve"> for these workers</w:t>
            </w:r>
            <w:r>
              <w:rPr>
                <w:rFonts w:eastAsia="Times New Roman" w:cs="Segoe UI"/>
                <w:color w:val="000000"/>
                <w:sz w:val="20"/>
                <w:szCs w:val="20"/>
                <w:lang w:eastAsia="en-AU"/>
              </w:rPr>
              <w:t>.</w:t>
            </w:r>
            <w:r w:rsidR="00131B80">
              <w:rPr>
                <w:rFonts w:eastAsia="Times New Roman" w:cs="Segoe UI"/>
                <w:color w:val="000000"/>
                <w:sz w:val="20"/>
                <w:szCs w:val="20"/>
                <w:lang w:eastAsia="en-AU"/>
              </w:rPr>
              <w:t xml:space="preserve"> Mandatory obligations on closing employers will assist with this.</w:t>
            </w:r>
          </w:p>
          <w:p w14:paraId="5BFC6820" w14:textId="77777777" w:rsidR="0098776A" w:rsidRPr="001E79E2" w:rsidRDefault="0098776A" w:rsidP="001E79E2">
            <w:pPr>
              <w:spacing w:after="0" w:line="240" w:lineRule="auto"/>
              <w:rPr>
                <w:rFonts w:eastAsia="Times New Roman" w:cs="Segoe UI"/>
                <w:color w:val="000000"/>
                <w:sz w:val="12"/>
                <w:szCs w:val="20"/>
                <w:lang w:eastAsia="en-AU"/>
              </w:rPr>
            </w:pPr>
          </w:p>
          <w:p w14:paraId="7D337328" w14:textId="77777777" w:rsidR="00DA3656" w:rsidRPr="003D290F" w:rsidRDefault="0098776A" w:rsidP="001E79E2">
            <w:pPr>
              <w:spacing w:after="0" w:line="240" w:lineRule="auto"/>
              <w:rPr>
                <w:rFonts w:eastAsia="Times New Roman" w:cs="Segoe UI"/>
                <w:color w:val="000000"/>
                <w:sz w:val="20"/>
                <w:szCs w:val="20"/>
                <w:lang w:eastAsia="en-AU"/>
              </w:rPr>
            </w:pPr>
            <w:r>
              <w:rPr>
                <w:rFonts w:eastAsia="Times New Roman" w:cs="Segoe UI"/>
                <w:color w:val="000000"/>
                <w:sz w:val="20"/>
                <w:szCs w:val="20"/>
                <w:lang w:eastAsia="en-AU"/>
              </w:rPr>
              <w:t xml:space="preserve">The Government is </w:t>
            </w:r>
            <w:r w:rsidR="00131B80">
              <w:rPr>
                <w:rFonts w:eastAsia="Times New Roman" w:cs="Segoe UI"/>
                <w:color w:val="000000"/>
                <w:sz w:val="20"/>
                <w:szCs w:val="20"/>
                <w:lang w:eastAsia="en-AU"/>
              </w:rPr>
              <w:t xml:space="preserve">also </w:t>
            </w:r>
            <w:r>
              <w:rPr>
                <w:rFonts w:eastAsia="Times New Roman" w:cs="Segoe UI"/>
                <w:color w:val="000000"/>
                <w:sz w:val="20"/>
                <w:szCs w:val="20"/>
                <w:lang w:eastAsia="en-AU"/>
              </w:rPr>
              <w:t xml:space="preserve">proactively addressing issues relating to skills and training pathways for the net zero transition, </w:t>
            </w:r>
            <w:r w:rsidR="007B7DF9">
              <w:rPr>
                <w:rFonts w:eastAsia="Times New Roman" w:cs="Segoe UI"/>
                <w:color w:val="000000"/>
                <w:sz w:val="20"/>
                <w:szCs w:val="20"/>
                <w:lang w:eastAsia="en-AU"/>
              </w:rPr>
              <w:t xml:space="preserve">as outlined at </w:t>
            </w:r>
            <w:r w:rsidR="007B7DF9" w:rsidRPr="00B269B9">
              <w:rPr>
                <w:rFonts w:eastAsia="Times New Roman"/>
                <w:b/>
                <w:color w:val="1B375C" w:themeColor="accent1"/>
                <w:sz w:val="20"/>
              </w:rPr>
              <w:t>section 1.4.1</w:t>
            </w:r>
            <w:r w:rsidR="007B7DF9">
              <w:rPr>
                <w:rFonts w:eastAsia="Times New Roman" w:cs="Segoe UI"/>
                <w:color w:val="000000"/>
                <w:sz w:val="20"/>
                <w:szCs w:val="20"/>
                <w:lang w:eastAsia="en-AU"/>
              </w:rPr>
              <w:t xml:space="preserve">. </w:t>
            </w:r>
            <w:r>
              <w:rPr>
                <w:rFonts w:eastAsia="Times New Roman" w:cs="Segoe UI"/>
                <w:color w:val="000000"/>
                <w:sz w:val="20"/>
                <w:szCs w:val="20"/>
                <w:lang w:eastAsia="en-AU"/>
              </w:rPr>
              <w:t xml:space="preserve">The Authority will work with other areas of Government to </w:t>
            </w:r>
            <w:r w:rsidR="007B7DF9">
              <w:rPr>
                <w:rFonts w:eastAsia="Times New Roman" w:cs="Segoe UI"/>
                <w:color w:val="000000"/>
                <w:sz w:val="20"/>
                <w:szCs w:val="20"/>
                <w:lang w:eastAsia="en-AU"/>
              </w:rPr>
              <w:t>ensure that these initiatives can help support workers participating in pooled redeployment arrangements.</w:t>
            </w:r>
          </w:p>
        </w:tc>
      </w:tr>
    </w:tbl>
    <w:p w14:paraId="56B6CA26" w14:textId="77777777" w:rsidR="00DA3656" w:rsidRDefault="00DA3656"/>
    <w:p w14:paraId="3D75E614" w14:textId="77777777" w:rsidR="00E12EB0" w:rsidRPr="003D290F" w:rsidRDefault="00E12EB0" w:rsidP="005D46F4">
      <w:pPr>
        <w:pStyle w:val="Heading3"/>
        <w:spacing w:line="276" w:lineRule="auto"/>
      </w:pPr>
      <w:bookmarkStart w:id="390" w:name="_Toc155604656"/>
      <w:bookmarkStart w:id="391" w:name="_Toc161396015"/>
      <w:bookmarkStart w:id="392" w:name="_Toc161403551"/>
      <w:bookmarkStart w:id="393" w:name="_Toc161694829"/>
      <w:bookmarkStart w:id="394" w:name="_Toc161752284"/>
      <w:bookmarkStart w:id="395" w:name="_Toc161759722"/>
      <w:r w:rsidRPr="003D290F">
        <w:t>6.2.</w:t>
      </w:r>
      <w:r w:rsidR="00844B2B">
        <w:t>2</w:t>
      </w:r>
      <w:r w:rsidRPr="003D290F">
        <w:t xml:space="preserve"> Broader implementation context</w:t>
      </w:r>
      <w:bookmarkEnd w:id="390"/>
      <w:bookmarkEnd w:id="391"/>
      <w:bookmarkEnd w:id="392"/>
      <w:bookmarkEnd w:id="393"/>
      <w:bookmarkEnd w:id="394"/>
      <w:bookmarkEnd w:id="395"/>
    </w:p>
    <w:p w14:paraId="6F0851AC" w14:textId="77777777" w:rsidR="00E12EB0" w:rsidRPr="003D290F" w:rsidRDefault="00E42621" w:rsidP="00600736">
      <w:r w:rsidRPr="003D290F">
        <w:t xml:space="preserve">Implementation of pooled redeployment </w:t>
      </w:r>
      <w:r w:rsidR="00E12EB0" w:rsidRPr="003D290F">
        <w:t xml:space="preserve">should be viewed as an additional support for a specific cohort of workers </w:t>
      </w:r>
      <w:r w:rsidRPr="003D290F">
        <w:t>at c</w:t>
      </w:r>
      <w:r w:rsidR="00BF6268">
        <w:t xml:space="preserve">losing </w:t>
      </w:r>
      <w:r w:rsidRPr="003D290F">
        <w:t xml:space="preserve">power stations and dependent suppliers </w:t>
      </w:r>
      <w:r w:rsidR="00E12EB0" w:rsidRPr="003D290F">
        <w:t xml:space="preserve">that </w:t>
      </w:r>
      <w:r w:rsidR="001D6F86">
        <w:t>the Agency</w:t>
      </w:r>
      <w:r w:rsidR="001D6F86" w:rsidRPr="003D290F">
        <w:t xml:space="preserve"> </w:t>
      </w:r>
      <w:r w:rsidR="00E12EB0" w:rsidRPr="003D290F">
        <w:t>know</w:t>
      </w:r>
      <w:r w:rsidR="001D6F86">
        <w:t>s</w:t>
      </w:r>
      <w:r w:rsidR="00E12EB0" w:rsidRPr="003D290F">
        <w:t xml:space="preserve"> will be significantly impacted by the net zero transition</w:t>
      </w:r>
      <w:r w:rsidR="006D3A1C" w:rsidRPr="003D290F">
        <w:t>.</w:t>
      </w:r>
      <w:r w:rsidR="00E12EB0" w:rsidRPr="003D290F">
        <w:t xml:space="preserve"> </w:t>
      </w:r>
      <w:r w:rsidR="006D3A1C" w:rsidRPr="003D290F">
        <w:t xml:space="preserve">It </w:t>
      </w:r>
      <w:r w:rsidR="00FC1DD7" w:rsidRPr="003D290F">
        <w:t>would be</w:t>
      </w:r>
      <w:r w:rsidR="006D3A1C" w:rsidRPr="003D290F">
        <w:t xml:space="preserve"> additional to</w:t>
      </w:r>
      <w:r w:rsidR="00E12EB0" w:rsidRPr="003D290F">
        <w:t xml:space="preserve"> the general </w:t>
      </w:r>
      <w:r w:rsidR="002630C8">
        <w:t>Australian Government</w:t>
      </w:r>
      <w:r w:rsidR="002630C8" w:rsidRPr="003D290F">
        <w:t xml:space="preserve"> </w:t>
      </w:r>
      <w:r w:rsidR="00E12EB0" w:rsidRPr="003D290F">
        <w:t xml:space="preserve">employment services and </w:t>
      </w:r>
      <w:r w:rsidR="00B14885" w:rsidRPr="003D290F">
        <w:t xml:space="preserve">transition supports </w:t>
      </w:r>
      <w:r w:rsidR="006D3A1C" w:rsidRPr="003D290F">
        <w:t>that are available to all Australian workers</w:t>
      </w:r>
      <w:r w:rsidR="00E12EB0" w:rsidRPr="003D290F">
        <w:t xml:space="preserve">. </w:t>
      </w:r>
    </w:p>
    <w:p w14:paraId="2D322D78" w14:textId="77777777" w:rsidR="00FC1DD7" w:rsidRPr="003D290F" w:rsidRDefault="00E12EB0">
      <w:r w:rsidRPr="003D290F">
        <w:t xml:space="preserve">The </w:t>
      </w:r>
      <w:r w:rsidR="002630C8">
        <w:t>Australian G</w:t>
      </w:r>
      <w:r w:rsidRPr="003D290F">
        <w:t xml:space="preserve">overnment is also </w:t>
      </w:r>
      <w:r w:rsidR="006D3A1C" w:rsidRPr="003D290F">
        <w:t xml:space="preserve">actively </w:t>
      </w:r>
      <w:r w:rsidRPr="003D290F">
        <w:t xml:space="preserve">considering what other worker transition supports could be made available to workers </w:t>
      </w:r>
      <w:r w:rsidR="006D3A1C" w:rsidRPr="003D290F">
        <w:t>impacted by the net zero transition</w:t>
      </w:r>
      <w:r w:rsidR="00FC1DD7" w:rsidRPr="003D290F">
        <w:t xml:space="preserve">. </w:t>
      </w:r>
      <w:r w:rsidR="00615122" w:rsidRPr="003D290F">
        <w:t xml:space="preserve">DEWR </w:t>
      </w:r>
      <w:r w:rsidR="00FC1DD7" w:rsidRPr="003D290F">
        <w:t>is currently considering the best arrangements for workforce transition supports through the energy transition, in close consultation with the Agency.</w:t>
      </w:r>
    </w:p>
    <w:p w14:paraId="79072357" w14:textId="77777777" w:rsidR="00457A2E" w:rsidRDefault="00457A2E">
      <w:r>
        <w:br w:type="page"/>
      </w:r>
    </w:p>
    <w:p w14:paraId="21E3BD23" w14:textId="77777777" w:rsidR="0080674D" w:rsidRDefault="008969C0" w:rsidP="001E79E2">
      <w:pPr>
        <w:pStyle w:val="Heading1"/>
      </w:pPr>
      <w:bookmarkStart w:id="396" w:name="_Toc161396016"/>
      <w:bookmarkStart w:id="397" w:name="_Toc161403552"/>
      <w:bookmarkStart w:id="398" w:name="_Toc161752285"/>
      <w:bookmarkStart w:id="399" w:name="_Toc161759723"/>
      <w:r w:rsidRPr="003D290F">
        <w:lastRenderedPageBreak/>
        <w:t>7</w:t>
      </w:r>
      <w:r w:rsidR="007B69C3" w:rsidRPr="003D290F">
        <w:tab/>
      </w:r>
      <w:r w:rsidR="00457A2E">
        <w:t>Evaluation of the</w:t>
      </w:r>
      <w:r w:rsidR="007550AB" w:rsidRPr="003D290F">
        <w:t xml:space="preserve"> chosen option against success metrics</w:t>
      </w:r>
      <w:bookmarkEnd w:id="396"/>
      <w:bookmarkEnd w:id="397"/>
      <w:bookmarkEnd w:id="398"/>
      <w:bookmarkEnd w:id="399"/>
    </w:p>
    <w:p w14:paraId="38DBBD5C" w14:textId="77777777" w:rsidR="00C3202D" w:rsidRPr="003D290F" w:rsidRDefault="00C3202D">
      <w:r w:rsidRPr="003D290F">
        <w:t xml:space="preserve">This chapter </w:t>
      </w:r>
      <w:r w:rsidR="0056129D" w:rsidRPr="003D290F">
        <w:t>discusses</w:t>
      </w:r>
      <w:r w:rsidRPr="003D290F">
        <w:t xml:space="preserve"> </w:t>
      </w:r>
      <w:r w:rsidR="006E19F2" w:rsidRPr="003D290F">
        <w:t xml:space="preserve">avenues for </w:t>
      </w:r>
      <w:r w:rsidRPr="003D290F">
        <w:t>measur</w:t>
      </w:r>
      <w:r w:rsidR="006E19F2" w:rsidRPr="003D290F">
        <w:t>ing</w:t>
      </w:r>
      <w:r w:rsidRPr="003D290F">
        <w:t xml:space="preserve"> and monitor</w:t>
      </w:r>
      <w:r w:rsidR="006E19F2" w:rsidRPr="003D290F">
        <w:t>ing</w:t>
      </w:r>
      <w:r w:rsidRPr="003D290F">
        <w:t xml:space="preserve"> the success of </w:t>
      </w:r>
      <w:r w:rsidR="003B3E9F" w:rsidRPr="003D290F">
        <w:t>the preferred policy option, Option 3</w:t>
      </w:r>
      <w:r w:rsidR="00B14885" w:rsidRPr="003D290F">
        <w:t xml:space="preserve">, involving </w:t>
      </w:r>
      <w:r w:rsidR="003B3E9F" w:rsidRPr="003D290F">
        <w:t xml:space="preserve">establishing a legislated framework for the implementation of pooled redeployment </w:t>
      </w:r>
      <w:r w:rsidR="00F6294A" w:rsidRPr="003D290F">
        <w:t>plan</w:t>
      </w:r>
      <w:r w:rsidR="003B3E9F" w:rsidRPr="003D290F">
        <w:t>s when coal-fired power stations</w:t>
      </w:r>
      <w:r w:rsidR="00BF6268">
        <w:t>, gas-fired power stations</w:t>
      </w:r>
      <w:r w:rsidR="003B3E9F" w:rsidRPr="003D290F">
        <w:t xml:space="preserve"> and their dependent suppliers close.</w:t>
      </w:r>
      <w:r w:rsidR="00BF6268">
        <w:t xml:space="preserve"> This includes data collection and reporting activities, as well as a proposed statutory review to be conducted 12 months after the establishment of the</w:t>
      </w:r>
      <w:r w:rsidR="002630C8">
        <w:t xml:space="preserve"> </w:t>
      </w:r>
      <w:r w:rsidR="00BF6268">
        <w:t xml:space="preserve">Authority. </w:t>
      </w:r>
    </w:p>
    <w:p w14:paraId="60FC3D80" w14:textId="77777777" w:rsidR="00945986" w:rsidRPr="003D290F" w:rsidRDefault="00945986" w:rsidP="00945986">
      <w:pPr>
        <w:pStyle w:val="Heading2"/>
      </w:pPr>
      <w:bookmarkStart w:id="400" w:name="_Toc161396017"/>
      <w:bookmarkStart w:id="401" w:name="_Toc161403553"/>
      <w:bookmarkStart w:id="402" w:name="_Toc161752286"/>
      <w:bookmarkStart w:id="403" w:name="_Toc161759724"/>
      <w:r w:rsidRPr="003D290F">
        <w:t>7.1 Measuring the outcomes of policy responses</w:t>
      </w:r>
      <w:bookmarkEnd w:id="400"/>
      <w:bookmarkEnd w:id="401"/>
      <w:bookmarkEnd w:id="402"/>
      <w:bookmarkEnd w:id="403"/>
    </w:p>
    <w:p w14:paraId="47D0317D" w14:textId="77777777" w:rsidR="00945986" w:rsidRPr="003D290F" w:rsidRDefault="00945986" w:rsidP="00945986">
      <w:r w:rsidRPr="003D290F">
        <w:t>There is a strong case for ongoing evaluation and an evidence-based approach to monitoring outcomes during industry transition events. This</w:t>
      </w:r>
      <w:r w:rsidR="000870F2" w:rsidRPr="003D290F">
        <w:t xml:space="preserve"> is</w:t>
      </w:r>
      <w:r w:rsidRPr="003D290F">
        <w:t xml:space="preserve"> </w:t>
      </w:r>
      <w:r w:rsidR="00457A2E">
        <w:t>important</w:t>
      </w:r>
      <w:r w:rsidRPr="003D290F">
        <w:t xml:space="preserve"> when considering the net zero transition because closure events will be spread out over a significant number of years and in </w:t>
      </w:r>
      <w:r w:rsidR="002630C8">
        <w:t xml:space="preserve">a </w:t>
      </w:r>
      <w:r w:rsidRPr="003D290F">
        <w:t>geographically disparate way. This presents an opportunity for supports to be refined over time, based on the outcomes of earlier closure events. In some regions, several facilities will close over a prolonged period of time, and the cumulative impacts of these closures also need to be considered.</w:t>
      </w:r>
    </w:p>
    <w:p w14:paraId="19076805" w14:textId="77777777" w:rsidR="00945986" w:rsidRPr="003D290F" w:rsidRDefault="00945986" w:rsidP="00945986">
      <w:r w:rsidRPr="003D290F">
        <w:t xml:space="preserve">The most direct way to measure the success of transition support measures for workers at these facilities is to track employment outcomes for this cohort. This can include mapping the intentions of workers when facilities are close to closure (noting that not all workers may wish to find new employment, such as those at or nearing retirement age), and tracking how many workers successfully transition to other employment over time. Relevant indicators may include: </w:t>
      </w:r>
    </w:p>
    <w:p w14:paraId="4C2E58F7" w14:textId="77777777" w:rsidR="00945986" w:rsidRPr="003D290F" w:rsidRDefault="00945986" w:rsidP="00B82A86">
      <w:pPr>
        <w:pStyle w:val="BulletedList-Level1"/>
        <w:numPr>
          <w:ilvl w:val="0"/>
          <w:numId w:val="17"/>
        </w:numPr>
        <w:spacing w:line="276" w:lineRule="auto"/>
      </w:pPr>
      <w:r w:rsidRPr="003D290F">
        <w:t>lead time for workers finding new roles (including periods of temporary unemployment)</w:t>
      </w:r>
    </w:p>
    <w:p w14:paraId="2917CAB5" w14:textId="77777777" w:rsidR="00945986" w:rsidRPr="003D290F" w:rsidRDefault="00945986" w:rsidP="00B82A86">
      <w:pPr>
        <w:pStyle w:val="BulletedList-Level1"/>
        <w:numPr>
          <w:ilvl w:val="0"/>
          <w:numId w:val="17"/>
        </w:numPr>
        <w:spacing w:line="276" w:lineRule="auto"/>
      </w:pPr>
      <w:r w:rsidRPr="003D290F">
        <w:t xml:space="preserve">skills and training outcomes for these workers (including enrolment and completion rates) </w:t>
      </w:r>
    </w:p>
    <w:p w14:paraId="10C84677" w14:textId="77777777" w:rsidR="000A5353" w:rsidRPr="003D290F" w:rsidRDefault="000A5353" w:rsidP="00B82A86">
      <w:pPr>
        <w:pStyle w:val="BulletedList-Level1"/>
        <w:numPr>
          <w:ilvl w:val="0"/>
          <w:numId w:val="17"/>
        </w:numPr>
        <w:spacing w:line="276" w:lineRule="auto"/>
      </w:pPr>
      <w:r w:rsidRPr="003D290F">
        <w:t xml:space="preserve">the </w:t>
      </w:r>
      <w:r w:rsidR="00945986" w:rsidRPr="003D290F">
        <w:t>occupations and employers to which workers move</w:t>
      </w:r>
    </w:p>
    <w:p w14:paraId="6E440C5C" w14:textId="77777777" w:rsidR="00945986" w:rsidRPr="003D290F" w:rsidRDefault="000A5353" w:rsidP="00B82A86">
      <w:pPr>
        <w:pStyle w:val="BulletedList-Level1"/>
        <w:numPr>
          <w:ilvl w:val="0"/>
          <w:numId w:val="17"/>
        </w:numPr>
        <w:spacing w:line="276" w:lineRule="auto"/>
      </w:pPr>
      <w:r w:rsidRPr="003D290F">
        <w:t>earnings of workers in new roles, relative to their previous role</w:t>
      </w:r>
      <w:r w:rsidR="002630C8">
        <w:t>, and</w:t>
      </w:r>
    </w:p>
    <w:p w14:paraId="439B0A0D" w14:textId="77777777" w:rsidR="00945986" w:rsidRPr="003D290F" w:rsidRDefault="00945986" w:rsidP="00B82A86">
      <w:pPr>
        <w:pStyle w:val="BulletedList-Level1"/>
        <w:numPr>
          <w:ilvl w:val="0"/>
          <w:numId w:val="17"/>
        </w:numPr>
        <w:spacing w:line="276" w:lineRule="auto"/>
      </w:pPr>
      <w:r w:rsidRPr="003D290F">
        <w:t xml:space="preserve">durability of new employment outcomes (i.e. long term placement in new roles/occupations).  </w:t>
      </w:r>
    </w:p>
    <w:p w14:paraId="2DDD6C77" w14:textId="77777777" w:rsidR="00945986" w:rsidRPr="003D290F" w:rsidRDefault="00945986" w:rsidP="0017616E">
      <w:pPr>
        <w:spacing w:before="240"/>
      </w:pPr>
      <w:r w:rsidRPr="003D290F">
        <w:t>As noted earlier, research has shown that closures of coal-fired power stations in Australia have led to a 0.7</w:t>
      </w:r>
      <w:r w:rsidR="00CF0697" w:rsidRPr="003D290F">
        <w:t xml:space="preserve"> percentage point</w:t>
      </w:r>
      <w:r w:rsidRPr="003D290F">
        <w:t xml:space="preserve"> increase in local unemployment, which extends past the initial months of the closure.</w:t>
      </w:r>
      <w:r w:rsidRPr="003D290F">
        <w:rPr>
          <w:rStyle w:val="FootnoteReference"/>
        </w:rPr>
        <w:footnoteReference w:id="98"/>
      </w:r>
      <w:r w:rsidRPr="003D290F">
        <w:t xml:space="preserve"> There is also some data available in relation to individual power station closures, such as the Hazelwood Worker Transfer Scheme that was implemented following in 2017. These provide some historical reference points when monitoring local outcomes following future closures.</w:t>
      </w:r>
    </w:p>
    <w:p w14:paraId="110D1700" w14:textId="77777777" w:rsidR="00C3202D" w:rsidRPr="003D290F" w:rsidRDefault="00C3202D" w:rsidP="00713E68">
      <w:pPr>
        <w:pStyle w:val="Heading2"/>
      </w:pPr>
      <w:bookmarkStart w:id="404" w:name="_Toc161396018"/>
      <w:bookmarkStart w:id="405" w:name="_Toc161403554"/>
      <w:bookmarkStart w:id="406" w:name="_Toc161752287"/>
      <w:bookmarkStart w:id="407" w:name="_Toc161759725"/>
      <w:r w:rsidRPr="003D290F">
        <w:lastRenderedPageBreak/>
        <w:t>7.</w:t>
      </w:r>
      <w:r w:rsidR="00945986" w:rsidRPr="003D290F">
        <w:t>2</w:t>
      </w:r>
      <w:r w:rsidRPr="003D290F">
        <w:t xml:space="preserve"> Measuring success for pooled redeployment </w:t>
      </w:r>
      <w:r w:rsidR="00815AFC">
        <w:t>arrangements</w:t>
      </w:r>
      <w:bookmarkEnd w:id="404"/>
      <w:bookmarkEnd w:id="405"/>
      <w:bookmarkEnd w:id="406"/>
      <w:bookmarkEnd w:id="407"/>
    </w:p>
    <w:p w14:paraId="3E381EBC" w14:textId="77777777" w:rsidR="00910DDF" w:rsidRDefault="00910DDF" w:rsidP="00945986">
      <w:r>
        <w:t xml:space="preserve">A successful pooled redeployment plan would meet the objectives in </w:t>
      </w:r>
      <w:r w:rsidR="002630C8" w:rsidRPr="00ED7D02">
        <w:rPr>
          <w:rFonts w:eastAsia="Times New Roman"/>
          <w:b/>
          <w:color w:val="1B375C" w:themeColor="accent1"/>
        </w:rPr>
        <w:t>S</w:t>
      </w:r>
      <w:r w:rsidRPr="00ED7D02">
        <w:rPr>
          <w:rFonts w:eastAsia="Times New Roman"/>
          <w:b/>
          <w:color w:val="1B375C" w:themeColor="accent1"/>
        </w:rPr>
        <w:t>ection 2.2</w:t>
      </w:r>
      <w:r w:rsidR="0054537E">
        <w:t>, and could consider evaluation questions such as</w:t>
      </w:r>
      <w:r w:rsidR="00681FC8" w:rsidRPr="00681FC8">
        <w:t xml:space="preserve"> </w:t>
      </w:r>
      <w:r w:rsidR="00681FC8">
        <w:t>how successful the plan is at</w:t>
      </w:r>
      <w:r w:rsidR="0054537E">
        <w:t>:</w:t>
      </w:r>
    </w:p>
    <w:p w14:paraId="09FFF3EF" w14:textId="77777777" w:rsidR="00681FC8" w:rsidRPr="003D290F" w:rsidRDefault="00681FC8" w:rsidP="00B82A86">
      <w:pPr>
        <w:pStyle w:val="BulletedList-Level1"/>
        <w:numPr>
          <w:ilvl w:val="0"/>
          <w:numId w:val="10"/>
        </w:numPr>
        <w:spacing w:line="276" w:lineRule="auto"/>
      </w:pPr>
      <w:r w:rsidRPr="003D290F">
        <w:t>minimising involuntary unemployment when facilities close</w:t>
      </w:r>
    </w:p>
    <w:p w14:paraId="3B3DBEF0" w14:textId="77777777" w:rsidR="00681FC8" w:rsidRPr="003D290F" w:rsidRDefault="00681FC8" w:rsidP="00B82A86">
      <w:pPr>
        <w:pStyle w:val="BulletedList-Level1"/>
        <w:numPr>
          <w:ilvl w:val="0"/>
          <w:numId w:val="10"/>
        </w:numPr>
        <w:spacing w:line="276" w:lineRule="auto"/>
      </w:pPr>
      <w:r w:rsidRPr="003D290F">
        <w:t>maximising opportunities to transition into similar employment</w:t>
      </w:r>
    </w:p>
    <w:p w14:paraId="4AD2CFFC" w14:textId="77777777" w:rsidR="00681FC8" w:rsidRPr="003D290F" w:rsidRDefault="00681FC8" w:rsidP="00B82A86">
      <w:pPr>
        <w:pStyle w:val="BulletedList-Level1"/>
        <w:numPr>
          <w:ilvl w:val="0"/>
          <w:numId w:val="10"/>
        </w:numPr>
        <w:spacing w:line="276" w:lineRule="auto"/>
      </w:pPr>
      <w:r w:rsidRPr="003D290F">
        <w:t xml:space="preserve">providing appropriate supports, training and skills to impacted employees, and </w:t>
      </w:r>
    </w:p>
    <w:p w14:paraId="1481C560" w14:textId="77777777" w:rsidR="00186104" w:rsidRDefault="002630C8" w:rsidP="00867890">
      <w:pPr>
        <w:pStyle w:val="BulletedList-Level1"/>
        <w:numPr>
          <w:ilvl w:val="0"/>
          <w:numId w:val="10"/>
        </w:numPr>
        <w:spacing w:line="276" w:lineRule="auto"/>
      </w:pPr>
      <w:r>
        <w:t>using</w:t>
      </w:r>
      <w:r w:rsidR="00681FC8" w:rsidRPr="003D290F">
        <w:t xml:space="preserve"> to the best extent the skills and experience of employees.</w:t>
      </w:r>
    </w:p>
    <w:p w14:paraId="517DAAA6" w14:textId="77777777" w:rsidR="00A66F2D" w:rsidRPr="003D290F" w:rsidRDefault="003C4322" w:rsidP="00867890">
      <w:pPr>
        <w:pStyle w:val="BulletedList-Level1"/>
        <w:spacing w:before="240" w:line="276" w:lineRule="auto"/>
        <w:ind w:left="0" w:firstLine="0"/>
      </w:pPr>
      <w:r w:rsidRPr="003D290F">
        <w:t>Activities during program implementation w</w:t>
      </w:r>
      <w:r w:rsidR="0077623C" w:rsidRPr="003D290F">
        <w:t>ould</w:t>
      </w:r>
      <w:r w:rsidRPr="003D290F">
        <w:t xml:space="preserve"> allow the Authority to </w:t>
      </w:r>
      <w:r w:rsidR="00C3202D" w:rsidRPr="003D290F">
        <w:t xml:space="preserve">track </w:t>
      </w:r>
      <w:r w:rsidRPr="003D290F">
        <w:t xml:space="preserve">initial </w:t>
      </w:r>
      <w:r w:rsidR="00C3202D" w:rsidRPr="003D290F">
        <w:t>employment outcomes for workers</w:t>
      </w:r>
      <w:r w:rsidRPr="003D290F">
        <w:t xml:space="preserve"> involved in pooled redeployment. </w:t>
      </w:r>
      <w:r w:rsidR="006A0884">
        <w:t>For instance, t</w:t>
      </w:r>
      <w:r w:rsidR="00A66F2D" w:rsidRPr="003D290F">
        <w:t xml:space="preserve">he Authority </w:t>
      </w:r>
      <w:r w:rsidR="006A0884">
        <w:t>could</w:t>
      </w:r>
      <w:r w:rsidR="006A0884" w:rsidRPr="003D290F">
        <w:t xml:space="preserve"> </w:t>
      </w:r>
      <w:r w:rsidR="00A66F2D" w:rsidRPr="003D290F">
        <w:t xml:space="preserve">monitor the progress of redeployment activities, including by collecting information from employers to measure how many workers have successfully transferred jobs under each community of interest. </w:t>
      </w:r>
    </w:p>
    <w:p w14:paraId="5D0873AD" w14:textId="77777777" w:rsidR="00A66F2D" w:rsidRPr="003D290F" w:rsidRDefault="0077623C" w:rsidP="00867890">
      <w:pPr>
        <w:pStyle w:val="BulletedList-Level1"/>
        <w:spacing w:before="240" w:line="276" w:lineRule="auto"/>
        <w:ind w:left="0" w:firstLine="0"/>
      </w:pPr>
      <w:r w:rsidRPr="003D290F">
        <w:t>Additionally, t</w:t>
      </w:r>
      <w:r w:rsidR="003C4322" w:rsidRPr="003D290F">
        <w:t>he Authority w</w:t>
      </w:r>
      <w:r w:rsidRPr="003D290F">
        <w:t>ould</w:t>
      </w:r>
      <w:r w:rsidR="003C4322" w:rsidRPr="003D290F">
        <w:t xml:space="preserve"> also </w:t>
      </w:r>
      <w:r w:rsidR="00DC687A" w:rsidRPr="003D290F">
        <w:t>gather</w:t>
      </w:r>
      <w:r w:rsidR="003C4322" w:rsidRPr="003D290F">
        <w:t xml:space="preserve"> qualitative information</w:t>
      </w:r>
      <w:r w:rsidR="00DC687A" w:rsidRPr="003D290F">
        <w:t xml:space="preserve"> </w:t>
      </w:r>
      <w:r w:rsidR="003C4322" w:rsidRPr="003D290F">
        <w:t xml:space="preserve">from stakeholders as the </w:t>
      </w:r>
      <w:r w:rsidR="00F6294A" w:rsidRPr="003D290F">
        <w:t xml:space="preserve">plans </w:t>
      </w:r>
      <w:r w:rsidR="003C4322" w:rsidRPr="003D290F">
        <w:t>are delivered to</w:t>
      </w:r>
      <w:r w:rsidR="00DC687A" w:rsidRPr="003D290F">
        <w:t xml:space="preserve"> help inform the evaluation of this policy and future implementation.</w:t>
      </w:r>
      <w:r w:rsidR="00A66F2D" w:rsidRPr="003D290F">
        <w:t xml:space="preserve"> This will enable the Authority to evaluate the success of the arrangements and refine implement</w:t>
      </w:r>
      <w:r w:rsidR="006A0884">
        <w:t>ation</w:t>
      </w:r>
      <w:r w:rsidR="00A66F2D" w:rsidRPr="003D290F">
        <w:t xml:space="preserve"> approaches.</w:t>
      </w:r>
    </w:p>
    <w:p w14:paraId="284A97BB" w14:textId="77777777" w:rsidR="00BF6268" w:rsidRDefault="003C4322" w:rsidP="00867890">
      <w:pPr>
        <w:pStyle w:val="BulletedList-Level1"/>
        <w:spacing w:before="240" w:line="276" w:lineRule="auto"/>
        <w:ind w:left="0" w:firstLine="0"/>
      </w:pPr>
      <w:r w:rsidRPr="003D290F">
        <w:t>The Authority w</w:t>
      </w:r>
      <w:r w:rsidR="0077623C" w:rsidRPr="003D290F">
        <w:t>ould</w:t>
      </w:r>
      <w:r w:rsidRPr="003D290F">
        <w:t xml:space="preserve"> also develop and execute a Monitoring, Evaluation and Learning </w:t>
      </w:r>
      <w:r w:rsidR="00E344DF">
        <w:t xml:space="preserve">(MEL) </w:t>
      </w:r>
      <w:r w:rsidRPr="003D290F">
        <w:t>framework to monitor and evaluate the Authority’s work</w:t>
      </w:r>
      <w:r w:rsidR="004F565B">
        <w:t xml:space="preserve">, </w:t>
      </w:r>
      <w:r w:rsidR="007A2D76">
        <w:t>which may</w:t>
      </w:r>
      <w:r w:rsidR="00BC336B">
        <w:t xml:space="preserve"> </w:t>
      </w:r>
      <w:r w:rsidR="007A2D76">
        <w:t xml:space="preserve">include </w:t>
      </w:r>
      <w:r w:rsidR="004F565B">
        <w:t>the extent to which the pooled redeployment plan supports workers in affected communities to take up new opportunities</w:t>
      </w:r>
      <w:r w:rsidRPr="003D290F">
        <w:t xml:space="preserve">. This framework will include measures and indicators, and approaches to data collection to inform evaluation activities. This </w:t>
      </w:r>
      <w:r w:rsidR="004F565B">
        <w:t xml:space="preserve">will </w:t>
      </w:r>
      <w:r w:rsidRPr="003D290F">
        <w:t xml:space="preserve">help </w:t>
      </w:r>
      <w:r w:rsidR="004F565B">
        <w:t xml:space="preserve">the Agency to evaluate, learn and adapt </w:t>
      </w:r>
      <w:r w:rsidR="00457A2E">
        <w:t xml:space="preserve">if necessary </w:t>
      </w:r>
      <w:r w:rsidR="004F565B">
        <w:t>the pooled redeployment scheme to ensure it meets its goals</w:t>
      </w:r>
      <w:r w:rsidR="002569DC" w:rsidRPr="003D290F">
        <w:t>.</w:t>
      </w:r>
      <w:r w:rsidRPr="003D290F">
        <w:t xml:space="preserve"> </w:t>
      </w:r>
      <w:r w:rsidR="004F565B">
        <w:t xml:space="preserve">The </w:t>
      </w:r>
      <w:r w:rsidR="00D23AC5">
        <w:t xml:space="preserve">Authority’s </w:t>
      </w:r>
      <w:r w:rsidR="004F565B">
        <w:t xml:space="preserve">MEL framework will include </w:t>
      </w:r>
      <w:r w:rsidR="00A32FC1">
        <w:t xml:space="preserve">a program logic and </w:t>
      </w:r>
      <w:r w:rsidR="004F565B">
        <w:t xml:space="preserve">evaluation questions to </w:t>
      </w:r>
      <w:r w:rsidR="00D23AC5">
        <w:t>evaluate authority effectiveness.</w:t>
      </w:r>
    </w:p>
    <w:p w14:paraId="50AB9947" w14:textId="77777777" w:rsidR="00BF6268" w:rsidRDefault="00BF6268" w:rsidP="001E79E2">
      <w:pPr>
        <w:pStyle w:val="Heading3"/>
        <w:spacing w:line="276" w:lineRule="auto"/>
      </w:pPr>
      <w:bookmarkStart w:id="408" w:name="_Toc161396019"/>
      <w:bookmarkStart w:id="409" w:name="_Toc161403555"/>
      <w:bookmarkStart w:id="410" w:name="_Toc161694833"/>
      <w:bookmarkStart w:id="411" w:name="_Toc161752288"/>
      <w:bookmarkStart w:id="412" w:name="_Toc161759726"/>
      <w:r>
        <w:t xml:space="preserve">7.2.1 </w:t>
      </w:r>
      <w:r w:rsidR="008F2722">
        <w:t>Formal s</w:t>
      </w:r>
      <w:r>
        <w:t>tatutory review of legislative and operational framework</w:t>
      </w:r>
      <w:bookmarkEnd w:id="408"/>
      <w:bookmarkEnd w:id="409"/>
      <w:bookmarkEnd w:id="410"/>
      <w:bookmarkEnd w:id="411"/>
      <w:bookmarkEnd w:id="412"/>
    </w:p>
    <w:p w14:paraId="62242969" w14:textId="77777777" w:rsidR="008F2722" w:rsidRDefault="008F2722" w:rsidP="00BF6268">
      <w:r>
        <w:t xml:space="preserve">The bill to establish the legislative framework for the policy </w:t>
      </w:r>
      <w:r w:rsidR="00E77931">
        <w:t xml:space="preserve">will </w:t>
      </w:r>
      <w:r>
        <w:t xml:space="preserve">include provision for a formal statutory review of the legislation and operational framework. This is intended as an early review to identify any issues raised during the initial 12 months’ of the Authority’s work in relation to the pooled redeployment policy, and consider the </w:t>
      </w:r>
      <w:r w:rsidR="008343EA">
        <w:t xml:space="preserve">likely </w:t>
      </w:r>
      <w:r>
        <w:t>effectiveness of the legislative framework.</w:t>
      </w:r>
    </w:p>
    <w:p w14:paraId="20557B36" w14:textId="77777777" w:rsidR="00D23AC5" w:rsidRPr="003D290F" w:rsidRDefault="008F2722">
      <w:r>
        <w:t xml:space="preserve">The review will be able to consider the overall scope of the scheme, as well as </w:t>
      </w:r>
      <w:r w:rsidR="008343EA">
        <w:t xml:space="preserve">potential </w:t>
      </w:r>
      <w:r>
        <w:t>impacts of business compulsion and mandatory obligations, and the Fair Work Commission’s role.</w:t>
      </w:r>
    </w:p>
    <w:p w14:paraId="0A6486D6" w14:textId="77777777" w:rsidR="00C3202D" w:rsidRPr="003D290F" w:rsidRDefault="00C3202D" w:rsidP="005D46F4">
      <w:pPr>
        <w:pStyle w:val="Heading3"/>
        <w:spacing w:line="276" w:lineRule="auto"/>
      </w:pPr>
      <w:bookmarkStart w:id="413" w:name="_Toc155604660"/>
      <w:bookmarkStart w:id="414" w:name="_Toc161396020"/>
      <w:bookmarkStart w:id="415" w:name="_Toc161403556"/>
      <w:bookmarkStart w:id="416" w:name="_Toc161694834"/>
      <w:bookmarkStart w:id="417" w:name="_Toc161752289"/>
      <w:bookmarkStart w:id="418" w:name="_Toc161759727"/>
      <w:r w:rsidRPr="003D290F">
        <w:t>7.</w:t>
      </w:r>
      <w:r w:rsidR="003C4322" w:rsidRPr="003D290F">
        <w:t>2</w:t>
      </w:r>
      <w:r w:rsidRPr="003D290F">
        <w:t>.</w:t>
      </w:r>
      <w:r w:rsidR="00BF6268">
        <w:t>2</w:t>
      </w:r>
      <w:r w:rsidRPr="003D290F">
        <w:t xml:space="preserve"> Information gather</w:t>
      </w:r>
      <w:r w:rsidR="004E196D" w:rsidRPr="003D290F">
        <w:t>ing</w:t>
      </w:r>
      <w:r w:rsidRPr="003D290F">
        <w:t xml:space="preserve"> </w:t>
      </w:r>
      <w:r w:rsidR="00A222F4" w:rsidRPr="003D290F">
        <w:t>to monitor program uptake</w:t>
      </w:r>
      <w:r w:rsidR="004E196D" w:rsidRPr="003D290F">
        <w:t xml:space="preserve"> and success</w:t>
      </w:r>
      <w:bookmarkEnd w:id="413"/>
      <w:bookmarkEnd w:id="414"/>
      <w:bookmarkEnd w:id="415"/>
      <w:bookmarkEnd w:id="416"/>
      <w:bookmarkEnd w:id="417"/>
      <w:bookmarkEnd w:id="418"/>
    </w:p>
    <w:p w14:paraId="4D956668" w14:textId="77777777" w:rsidR="002F53C6" w:rsidRPr="003D290F" w:rsidRDefault="00C3202D" w:rsidP="006162B0">
      <w:r w:rsidRPr="003D290F">
        <w:t xml:space="preserve">During </w:t>
      </w:r>
      <w:r w:rsidR="004D78A6" w:rsidRPr="003D290F">
        <w:t>implementation</w:t>
      </w:r>
      <w:r w:rsidR="008B6912" w:rsidRPr="003D290F">
        <w:t xml:space="preserve">, </w:t>
      </w:r>
      <w:r w:rsidR="00A222F4" w:rsidRPr="003D290F">
        <w:t>the Authority will be able to monitor the progress by actively engaging with the parties involved.</w:t>
      </w:r>
      <w:r w:rsidR="006A0884">
        <w:t xml:space="preserve"> </w:t>
      </w:r>
      <w:r w:rsidR="002F53C6" w:rsidRPr="003D290F">
        <w:t xml:space="preserve">For example, during the course of identifying a ‘community of interest’, and </w:t>
      </w:r>
      <w:r w:rsidRPr="003D290F">
        <w:t>overseeing</w:t>
      </w:r>
      <w:r w:rsidR="002F53C6" w:rsidRPr="003D290F">
        <w:t xml:space="preserve"> the delivery of a pooled redeployment </w:t>
      </w:r>
      <w:r w:rsidR="00F6294A" w:rsidRPr="003D290F">
        <w:t>plan</w:t>
      </w:r>
      <w:r w:rsidR="00B14885" w:rsidRPr="003D290F">
        <w:t>, including</w:t>
      </w:r>
      <w:r w:rsidRPr="003D290F">
        <w:t xml:space="preserve"> the transfer of workers from closing employers to </w:t>
      </w:r>
      <w:r w:rsidR="001F471B" w:rsidRPr="003D290F">
        <w:t>receiving employers</w:t>
      </w:r>
      <w:r w:rsidR="002F53C6" w:rsidRPr="003D290F">
        <w:t xml:space="preserve">, the Authority </w:t>
      </w:r>
      <w:r w:rsidR="006A0884">
        <w:t>c</w:t>
      </w:r>
      <w:r w:rsidR="002F53C6" w:rsidRPr="003D290F">
        <w:t>ould</w:t>
      </w:r>
      <w:r w:rsidRPr="003D290F">
        <w:t xml:space="preserve"> gather information</w:t>
      </w:r>
      <w:r w:rsidR="002F53C6" w:rsidRPr="003D290F">
        <w:t>:</w:t>
      </w:r>
    </w:p>
    <w:p w14:paraId="77867321" w14:textId="77777777" w:rsidR="00C3202D" w:rsidRPr="003D290F" w:rsidRDefault="002F53C6" w:rsidP="00B82A86">
      <w:pPr>
        <w:pStyle w:val="BulletedList-Level1"/>
        <w:numPr>
          <w:ilvl w:val="0"/>
          <w:numId w:val="18"/>
        </w:numPr>
        <w:spacing w:line="276" w:lineRule="auto"/>
      </w:pPr>
      <w:r w:rsidRPr="003D290F">
        <w:lastRenderedPageBreak/>
        <w:t>from closing employers</w:t>
      </w:r>
      <w:r w:rsidR="00C3202D" w:rsidRPr="003D290F">
        <w:t>,</w:t>
      </w:r>
      <w:r w:rsidRPr="003D290F">
        <w:t xml:space="preserve"> </w:t>
      </w:r>
      <w:r w:rsidR="000B19C2" w:rsidRPr="003D290F">
        <w:t xml:space="preserve">including </w:t>
      </w:r>
      <w:r w:rsidR="00C3202D" w:rsidRPr="003D290F">
        <w:t xml:space="preserve">on the number of their employees that apply to participate in the pooled redeployment </w:t>
      </w:r>
      <w:r w:rsidR="00F6294A" w:rsidRPr="003D290F">
        <w:t>plan</w:t>
      </w:r>
      <w:r w:rsidR="00C3202D" w:rsidRPr="003D290F">
        <w:t>, and information about those</w:t>
      </w:r>
      <w:r w:rsidR="006A0884">
        <w:t xml:space="preserve"> workers’ skills and experience</w:t>
      </w:r>
    </w:p>
    <w:p w14:paraId="7BFBA089" w14:textId="77777777" w:rsidR="00C3202D" w:rsidRPr="003D290F" w:rsidRDefault="00C3202D" w:rsidP="00B82A86">
      <w:pPr>
        <w:pStyle w:val="BulletedList-Level1"/>
        <w:numPr>
          <w:ilvl w:val="0"/>
          <w:numId w:val="18"/>
        </w:numPr>
        <w:spacing w:line="276" w:lineRule="auto"/>
      </w:pPr>
      <w:r w:rsidRPr="003D290F">
        <w:t>from receiving employers</w:t>
      </w:r>
      <w:r w:rsidR="008F2722">
        <w:t xml:space="preserve"> that accept </w:t>
      </w:r>
      <w:r w:rsidR="006A0884">
        <w:t>Australian Government</w:t>
      </w:r>
      <w:r w:rsidR="008F2722">
        <w:t xml:space="preserve"> payments under the scheme</w:t>
      </w:r>
      <w:r w:rsidR="000B19C2" w:rsidRPr="003D290F">
        <w:t>,</w:t>
      </w:r>
      <w:r w:rsidRPr="003D290F">
        <w:t xml:space="preserve"> </w:t>
      </w:r>
      <w:r w:rsidR="000B19C2" w:rsidRPr="003D290F">
        <w:t xml:space="preserve">including </w:t>
      </w:r>
      <w:r w:rsidRPr="003D290F">
        <w:t xml:space="preserve">on: </w:t>
      </w:r>
    </w:p>
    <w:p w14:paraId="7F4AA92B" w14:textId="77777777" w:rsidR="00C3202D" w:rsidRPr="003D290F" w:rsidRDefault="00C3202D" w:rsidP="00B82A86">
      <w:pPr>
        <w:pStyle w:val="BulletedList-Level1"/>
        <w:numPr>
          <w:ilvl w:val="1"/>
          <w:numId w:val="18"/>
        </w:numPr>
      </w:pPr>
      <w:r w:rsidRPr="003D290F">
        <w:t xml:space="preserve">the number of workers that apply for, and are approved to take up early retirement packages through the </w:t>
      </w:r>
      <w:r w:rsidR="00F6294A" w:rsidRPr="003D290F">
        <w:t>plan</w:t>
      </w:r>
      <w:r w:rsidR="006A0884">
        <w:t>,</w:t>
      </w:r>
      <w:r w:rsidR="00B94DCC" w:rsidRPr="003D290F">
        <w:t xml:space="preserve"> and</w:t>
      </w:r>
    </w:p>
    <w:p w14:paraId="6E48CB22" w14:textId="77777777" w:rsidR="00C3202D" w:rsidRPr="003D290F" w:rsidRDefault="00C3202D" w:rsidP="00B82A86">
      <w:pPr>
        <w:pStyle w:val="BulletedList-Level1"/>
        <w:numPr>
          <w:ilvl w:val="1"/>
          <w:numId w:val="18"/>
        </w:numPr>
      </w:pPr>
      <w:r w:rsidRPr="003D290F">
        <w:t xml:space="preserve">the number of closing employer </w:t>
      </w:r>
      <w:r w:rsidR="007734BC" w:rsidRPr="003D290F">
        <w:t xml:space="preserve">employees </w:t>
      </w:r>
      <w:r w:rsidRPr="003D290F">
        <w:t xml:space="preserve">who successfully transfer </w:t>
      </w:r>
      <w:r w:rsidR="000B19C2" w:rsidRPr="003D290F">
        <w:t>into positions at receiving employers.</w:t>
      </w:r>
      <w:r w:rsidR="00B94DCC" w:rsidRPr="003D290F" w:rsidDel="00B94DCC">
        <w:t xml:space="preserve"> </w:t>
      </w:r>
    </w:p>
    <w:p w14:paraId="79A5C292" w14:textId="77777777" w:rsidR="009F56AE" w:rsidRDefault="009F56AE" w:rsidP="00ED7D02">
      <w:pPr>
        <w:pStyle w:val="ListParagraph"/>
        <w:numPr>
          <w:ilvl w:val="0"/>
          <w:numId w:val="18"/>
        </w:numPr>
        <w:spacing w:before="240"/>
      </w:pPr>
      <w:r>
        <w:t xml:space="preserve">from stakeholders that are out of scope of the impact analysis (covered in </w:t>
      </w:r>
      <w:r w:rsidRPr="00ED7D02">
        <w:rPr>
          <w:rFonts w:eastAsia="Times New Roman"/>
          <w:b/>
          <w:color w:val="1B375C" w:themeColor="accent1"/>
        </w:rPr>
        <w:t>Section 4.3.4</w:t>
      </w:r>
      <w:r w:rsidRPr="00ED7D02">
        <w:rPr>
          <w:rFonts w:eastAsia="Times New Roman"/>
        </w:rPr>
        <w:t>)</w:t>
      </w:r>
    </w:p>
    <w:p w14:paraId="6726588B" w14:textId="77777777" w:rsidR="006A0884" w:rsidRDefault="000F4248" w:rsidP="0017616E">
      <w:pPr>
        <w:spacing w:before="240"/>
      </w:pPr>
      <w:r w:rsidRPr="003D290F">
        <w:t xml:space="preserve">The information gathered by the Authority would enable it to directly measure how successful pooled redeployment </w:t>
      </w:r>
      <w:r w:rsidR="00F6294A" w:rsidRPr="003D290F">
        <w:t>plan</w:t>
      </w:r>
      <w:r w:rsidRPr="003D290F">
        <w:t xml:space="preserve">s are in facilitating direct job-to-job transfers for workers at closing power stations. </w:t>
      </w:r>
      <w:r w:rsidR="00A32FC1">
        <w:t>T</w:t>
      </w:r>
      <w:r w:rsidR="00855298">
        <w:t xml:space="preserve">he information </w:t>
      </w:r>
      <w:r w:rsidR="006A0884">
        <w:t>c</w:t>
      </w:r>
      <w:r w:rsidR="00855298">
        <w:t xml:space="preserve">ould be used </w:t>
      </w:r>
      <w:r w:rsidR="00A32FC1">
        <w:t>on an ongoing basis and during evaluations to consider</w:t>
      </w:r>
      <w:r w:rsidR="00855298">
        <w:t xml:space="preserve"> course-correction decisions</w:t>
      </w:r>
      <w:r w:rsidR="00F30C5E">
        <w:t xml:space="preserve"> and fill in data limitations</w:t>
      </w:r>
      <w:r w:rsidR="00A32FC1">
        <w:t>.</w:t>
      </w:r>
      <w:r w:rsidR="00855298">
        <w:t xml:space="preserve"> </w:t>
      </w:r>
    </w:p>
    <w:p w14:paraId="451FAFED" w14:textId="77777777" w:rsidR="000F4248" w:rsidRPr="003D290F" w:rsidRDefault="00910DDF" w:rsidP="0017616E">
      <w:pPr>
        <w:spacing w:before="240"/>
      </w:pPr>
      <w:r>
        <w:t xml:space="preserve">Evaluations would be undertaken by the Authority or external parties commissioned by the Authority to provide independent advice. </w:t>
      </w:r>
      <w:r w:rsidR="000F4248" w:rsidRPr="003D290F">
        <w:t xml:space="preserve">The Authority </w:t>
      </w:r>
      <w:r w:rsidR="006A0884">
        <w:t>c</w:t>
      </w:r>
      <w:r w:rsidR="000F4248" w:rsidRPr="003D290F">
        <w:t xml:space="preserve">ould develop specific metrics in this regard, which could include: </w:t>
      </w:r>
    </w:p>
    <w:p w14:paraId="6BACF25C" w14:textId="77777777" w:rsidR="000F4248" w:rsidRPr="003D290F" w:rsidRDefault="00B14885" w:rsidP="00B82A86">
      <w:pPr>
        <w:pStyle w:val="BulletedList-Level1"/>
        <w:numPr>
          <w:ilvl w:val="0"/>
          <w:numId w:val="19"/>
        </w:numPr>
        <w:spacing w:line="276" w:lineRule="auto"/>
      </w:pPr>
      <w:r w:rsidRPr="003D290F">
        <w:t xml:space="preserve">participation of receiving employers in a </w:t>
      </w:r>
      <w:r w:rsidR="00F6294A" w:rsidRPr="003D290F">
        <w:t>plan</w:t>
      </w:r>
      <w:r w:rsidRPr="003D290F">
        <w:t xml:space="preserve"> (that is, </w:t>
      </w:r>
      <w:r w:rsidR="000F4248" w:rsidRPr="003D290F">
        <w:t xml:space="preserve">the number of </w:t>
      </w:r>
      <w:r w:rsidRPr="003D290F">
        <w:t xml:space="preserve">places that are created, and filled, at each participating </w:t>
      </w:r>
      <w:r w:rsidR="006A0884">
        <w:t>receiving employer)</w:t>
      </w:r>
    </w:p>
    <w:p w14:paraId="64DA9666" w14:textId="77777777" w:rsidR="00B14885" w:rsidRPr="003D290F" w:rsidRDefault="00B14885" w:rsidP="00B82A86">
      <w:pPr>
        <w:pStyle w:val="BulletedList-Level1"/>
        <w:numPr>
          <w:ilvl w:val="0"/>
          <w:numId w:val="19"/>
        </w:numPr>
        <w:spacing w:line="276" w:lineRule="auto"/>
      </w:pPr>
      <w:r w:rsidRPr="003D290F">
        <w:t xml:space="preserve">The number of workers redeployed under each </w:t>
      </w:r>
      <w:r w:rsidR="00F6294A" w:rsidRPr="003D290F">
        <w:t>plan</w:t>
      </w:r>
      <w:r w:rsidRPr="003D290F">
        <w:t>, and</w:t>
      </w:r>
    </w:p>
    <w:p w14:paraId="30C8C54F" w14:textId="77777777" w:rsidR="00B14885" w:rsidRPr="003D290F" w:rsidRDefault="00B14885" w:rsidP="00B82A86">
      <w:pPr>
        <w:pStyle w:val="BulletedList-Level1"/>
        <w:numPr>
          <w:ilvl w:val="0"/>
          <w:numId w:val="19"/>
        </w:numPr>
        <w:spacing w:line="276" w:lineRule="auto"/>
      </w:pPr>
      <w:r w:rsidRPr="003D290F">
        <w:t>Remuneration and retention rates for these worker following transfer.</w:t>
      </w:r>
    </w:p>
    <w:p w14:paraId="21464403" w14:textId="77777777" w:rsidR="004E196D" w:rsidRDefault="00C3202D">
      <w:r w:rsidRPr="003D290F">
        <w:t xml:space="preserve">The Authority would also </w:t>
      </w:r>
      <w:r w:rsidR="00A222F4" w:rsidRPr="003D290F">
        <w:t xml:space="preserve">be able to </w:t>
      </w:r>
      <w:r w:rsidRPr="003D290F">
        <w:t xml:space="preserve">gather information on what support and training programs are offered by closing employers to their employees, and training initiatives from receiving employers for new workers that are transferred. </w:t>
      </w:r>
    </w:p>
    <w:p w14:paraId="1FABF88A" w14:textId="77777777" w:rsidR="00A32FC1" w:rsidRPr="003D290F" w:rsidRDefault="00A32FC1">
      <w:r>
        <w:t xml:space="preserve">The Authority </w:t>
      </w:r>
      <w:r w:rsidR="006A0884">
        <w:t>c</w:t>
      </w:r>
      <w:r>
        <w:t>ould also consider</w:t>
      </w:r>
      <w:r w:rsidRPr="00A32FC1">
        <w:t xml:space="preserve"> collecting data</w:t>
      </w:r>
      <w:r>
        <w:t xml:space="preserve"> for impacts which </w:t>
      </w:r>
      <w:r w:rsidRPr="00A32FC1">
        <w:t xml:space="preserve">are not </w:t>
      </w:r>
      <w:r>
        <w:t xml:space="preserve">currently </w:t>
      </w:r>
      <w:r w:rsidRPr="00A32FC1">
        <w:t>able to be quantified (e.g. the benefits of reductions in long term unemployment for leaving workers</w:t>
      </w:r>
      <w:r w:rsidR="008F2722">
        <w:t>)</w:t>
      </w:r>
      <w:r>
        <w:t xml:space="preserve"> in this process to</w:t>
      </w:r>
      <w:r w:rsidRPr="00A32FC1">
        <w:t xml:space="preserve"> improve decision-making in the future.</w:t>
      </w:r>
    </w:p>
    <w:p w14:paraId="236A8A9F" w14:textId="77777777" w:rsidR="00FD37A7" w:rsidRPr="003D290F" w:rsidRDefault="00957A54">
      <w:r w:rsidRPr="003D290F">
        <w:t>Additionally, t</w:t>
      </w:r>
      <w:r w:rsidR="00330D1B" w:rsidRPr="003D290F">
        <w:t xml:space="preserve">he Authority </w:t>
      </w:r>
      <w:r w:rsidR="006A0884">
        <w:t>c</w:t>
      </w:r>
      <w:r w:rsidR="00330D1B" w:rsidRPr="003D290F">
        <w:t xml:space="preserve">ould </w:t>
      </w:r>
      <w:r w:rsidR="00B94DCC" w:rsidRPr="003D290F">
        <w:t xml:space="preserve">seek to </w:t>
      </w:r>
      <w:r w:rsidR="00330D1B" w:rsidRPr="003D290F">
        <w:t>work</w:t>
      </w:r>
      <w:r w:rsidR="00AA2925" w:rsidRPr="003D290F">
        <w:t xml:space="preserve"> </w:t>
      </w:r>
      <w:r w:rsidR="00330D1B" w:rsidRPr="003D290F">
        <w:t xml:space="preserve">with other relevant </w:t>
      </w:r>
      <w:r w:rsidR="006A0884">
        <w:t>Australian Government</w:t>
      </w:r>
      <w:r w:rsidR="006A0884" w:rsidRPr="003D290F">
        <w:t xml:space="preserve"> </w:t>
      </w:r>
      <w:r w:rsidR="00330D1B" w:rsidRPr="003D290F">
        <w:t xml:space="preserve">agencies in order to </w:t>
      </w:r>
      <w:r w:rsidR="00AA2925" w:rsidRPr="003D290F">
        <w:t>assess</w:t>
      </w:r>
      <w:r w:rsidR="00330D1B" w:rsidRPr="003D290F">
        <w:t xml:space="preserve"> the outcomes of pooled redeployment </w:t>
      </w:r>
      <w:r w:rsidR="00F6294A" w:rsidRPr="003D290F">
        <w:t>plan</w:t>
      </w:r>
      <w:r w:rsidR="00330D1B" w:rsidRPr="003D290F">
        <w:t xml:space="preserve">s. </w:t>
      </w:r>
      <w:r w:rsidR="00AA2925" w:rsidRPr="003D290F">
        <w:t xml:space="preserve">This could include </w:t>
      </w:r>
      <w:r w:rsidR="004E196D" w:rsidRPr="003D290F">
        <w:t>working</w:t>
      </w:r>
      <w:r w:rsidR="00AA2925" w:rsidRPr="003D290F">
        <w:t xml:space="preserve"> with DEWR to monitor the uptake of other </w:t>
      </w:r>
      <w:r w:rsidR="006A0884">
        <w:t>Australian Government</w:t>
      </w:r>
      <w:r w:rsidR="006A0884" w:rsidRPr="003D290F">
        <w:t xml:space="preserve"> </w:t>
      </w:r>
      <w:r w:rsidR="00FD37A7" w:rsidRPr="003D290F">
        <w:t>supports for retrenched workers</w:t>
      </w:r>
      <w:r w:rsidR="00AA2925" w:rsidRPr="003D290F">
        <w:t xml:space="preserve"> </w:t>
      </w:r>
      <w:r w:rsidR="004E196D" w:rsidRPr="003D290F">
        <w:t>from closing facilities</w:t>
      </w:r>
      <w:r w:rsidR="00AA2925" w:rsidRPr="003D290F">
        <w:t xml:space="preserve">, </w:t>
      </w:r>
      <w:r w:rsidR="004E196D" w:rsidRPr="003D290F">
        <w:t>and utilising broader data sets such as regional labour force data from the ABS</w:t>
      </w:r>
      <w:r w:rsidR="00B94DCC" w:rsidRPr="003D290F">
        <w:t xml:space="preserve"> to augment information collected directly by the Authority</w:t>
      </w:r>
      <w:r w:rsidR="004E196D" w:rsidRPr="003D290F">
        <w:t>.</w:t>
      </w:r>
      <w:r w:rsidR="00FD37A7" w:rsidRPr="003D290F">
        <w:t xml:space="preserve"> </w:t>
      </w:r>
      <w:r w:rsidR="001D407B" w:rsidRPr="003D290F">
        <w:t xml:space="preserve">Outcomes would need to be assessed in the context of the broader regional economic environment during and after particular facility closures. </w:t>
      </w:r>
    </w:p>
    <w:p w14:paraId="4954A9FD" w14:textId="77777777" w:rsidR="00910DDF" w:rsidRDefault="00461EC4" w:rsidP="002034D6">
      <w:r w:rsidRPr="003D290F">
        <w:t xml:space="preserve">The Authority would also continue to engage with employers, unions and other regional stakeholders as part of its broader worker transition function. This will help inform how the pooled redeployment </w:t>
      </w:r>
      <w:r w:rsidR="00F6294A" w:rsidRPr="003D290F">
        <w:t xml:space="preserve">is </w:t>
      </w:r>
      <w:r w:rsidRPr="003D290F">
        <w:t xml:space="preserve">implemented over the course of the net zero transition.  </w:t>
      </w:r>
    </w:p>
    <w:p w14:paraId="500A198A" w14:textId="77777777" w:rsidR="009F56AE" w:rsidRDefault="009F56AE">
      <w:r>
        <w:br w:type="page"/>
      </w:r>
    </w:p>
    <w:p w14:paraId="2E8299AD" w14:textId="77777777" w:rsidR="007550AB" w:rsidRPr="003D290F" w:rsidRDefault="007550AB" w:rsidP="00AA30B5">
      <w:pPr>
        <w:pStyle w:val="Heading1"/>
      </w:pPr>
      <w:bookmarkStart w:id="419" w:name="_Toc161396021"/>
      <w:bookmarkStart w:id="420" w:name="_Toc161403557"/>
      <w:bookmarkStart w:id="421" w:name="_Toc161752290"/>
      <w:bookmarkStart w:id="422" w:name="_Toc161759728"/>
      <w:r w:rsidRPr="003D290F">
        <w:lastRenderedPageBreak/>
        <w:t>Reference</w:t>
      </w:r>
      <w:r w:rsidR="00F10022" w:rsidRPr="003D290F">
        <w:t>s</w:t>
      </w:r>
      <w:bookmarkEnd w:id="419"/>
      <w:bookmarkEnd w:id="420"/>
      <w:bookmarkEnd w:id="421"/>
      <w:bookmarkEnd w:id="422"/>
    </w:p>
    <w:p w14:paraId="634E53D1" w14:textId="77777777" w:rsidR="00FD6C33" w:rsidRPr="003D290F" w:rsidRDefault="00FD6C33" w:rsidP="00E01AF2">
      <w:pPr>
        <w:pStyle w:val="FootnoteText"/>
        <w:spacing w:before="60" w:after="120"/>
        <w:ind w:left="284" w:hanging="284"/>
        <w:rPr>
          <w:szCs w:val="16"/>
        </w:rPr>
      </w:pPr>
      <w:r w:rsidRPr="003D290F">
        <w:rPr>
          <w:color w:val="000000"/>
          <w:szCs w:val="16"/>
        </w:rPr>
        <w:t xml:space="preserve">Alinta Energy, (Nov. 2016), </w:t>
      </w:r>
      <w:r w:rsidRPr="003D290F">
        <w:rPr>
          <w:i/>
          <w:szCs w:val="16"/>
        </w:rPr>
        <w:t>Submission to the Federal Senate Inquiry into the Retirement of Coal Fired Power Stations</w:t>
      </w:r>
      <w:r w:rsidRPr="003D290F">
        <w:rPr>
          <w:szCs w:val="16"/>
        </w:rPr>
        <w:t xml:space="preserve">. </w:t>
      </w:r>
      <w:hyperlink r:id="rId34" w:history="1">
        <w:r w:rsidRPr="003D290F">
          <w:rPr>
            <w:rStyle w:val="Hyperlink"/>
            <w:szCs w:val="16"/>
          </w:rPr>
          <w:t>https://www.aph.gov.au/parliamentary_business/committees/senate/environment_and_communications/coal_fired_power_stations/submissions</w:t>
        </w:r>
      </w:hyperlink>
    </w:p>
    <w:p w14:paraId="4EF26E30" w14:textId="77777777" w:rsidR="00FD6C33" w:rsidRPr="003D290F" w:rsidRDefault="00FD6C33" w:rsidP="00E01AF2">
      <w:pPr>
        <w:pStyle w:val="FootnoteText"/>
        <w:spacing w:before="60" w:after="120"/>
        <w:ind w:left="284" w:hanging="284"/>
        <w:rPr>
          <w:szCs w:val="16"/>
        </w:rPr>
      </w:pPr>
      <w:r w:rsidRPr="003D290F">
        <w:rPr>
          <w:szCs w:val="16"/>
        </w:rPr>
        <w:t xml:space="preserve">AGL, (Apr. 2023), </w:t>
      </w:r>
      <w:r w:rsidRPr="003D290F">
        <w:rPr>
          <w:i/>
          <w:szCs w:val="16"/>
        </w:rPr>
        <w:t>AGL’s Liddell Power Station closes after 52 years of operation</w:t>
      </w:r>
      <w:r w:rsidRPr="003D290F">
        <w:rPr>
          <w:szCs w:val="16"/>
        </w:rPr>
        <w:t xml:space="preserve">. </w:t>
      </w:r>
      <w:hyperlink r:id="rId35" w:history="1">
        <w:r w:rsidRPr="003D290F">
          <w:rPr>
            <w:rStyle w:val="Hyperlink"/>
            <w:szCs w:val="16"/>
          </w:rPr>
          <w:t>https://www.agl.com.au/about-agl/media-centre/asx-and-media-releases/2023/april/agls-liddell-power-station-closes-after-52-years-of-operation</w:t>
        </w:r>
      </w:hyperlink>
    </w:p>
    <w:p w14:paraId="457A0B8B" w14:textId="77777777" w:rsidR="00FD6C33" w:rsidRPr="003D290F" w:rsidRDefault="00FD6C33" w:rsidP="00E01AF2">
      <w:pPr>
        <w:pStyle w:val="FootnoteText"/>
        <w:spacing w:before="60" w:after="120"/>
        <w:ind w:left="284" w:hanging="284"/>
        <w:rPr>
          <w:szCs w:val="16"/>
        </w:rPr>
      </w:pPr>
      <w:r w:rsidRPr="003D290F">
        <w:rPr>
          <w:szCs w:val="16"/>
        </w:rPr>
        <w:t xml:space="preserve">AGL, (Jul. 2020), </w:t>
      </w:r>
      <w:r w:rsidRPr="003D290F">
        <w:rPr>
          <w:i/>
          <w:szCs w:val="16"/>
        </w:rPr>
        <w:t>AGL Loy Yang Community Fund Program</w:t>
      </w:r>
      <w:r w:rsidRPr="003D290F">
        <w:rPr>
          <w:szCs w:val="16"/>
        </w:rPr>
        <w:t xml:space="preserve">; Application Guidelines. </w:t>
      </w:r>
      <w:hyperlink r:id="rId36" w:history="1">
        <w:r w:rsidRPr="003D290F">
          <w:rPr>
            <w:rStyle w:val="Hyperlink"/>
            <w:szCs w:val="16"/>
          </w:rPr>
          <w:t>https://www.agl.com.au/content/dam/digital/agl/documents/about-agl/how-we-source-energy/loy-yang-power-station/220228-loy-yang-community-fund-program-application-guidelines-v1.2.pdf</w:t>
        </w:r>
      </w:hyperlink>
    </w:p>
    <w:p w14:paraId="7619A0BF" w14:textId="77777777" w:rsidR="00FD6C33" w:rsidRPr="003D290F" w:rsidRDefault="00FD6C33" w:rsidP="00E01AF2">
      <w:pPr>
        <w:pStyle w:val="FootnoteText"/>
        <w:spacing w:before="60" w:after="120"/>
        <w:ind w:left="284" w:hanging="284"/>
        <w:rPr>
          <w:szCs w:val="16"/>
        </w:rPr>
      </w:pPr>
      <w:r w:rsidRPr="003D290F">
        <w:rPr>
          <w:szCs w:val="16"/>
        </w:rPr>
        <w:t xml:space="preserve">Australian Bureau of Statistics, (2021), </w:t>
      </w:r>
      <w:r w:rsidRPr="003D290F">
        <w:rPr>
          <w:i/>
          <w:szCs w:val="16"/>
        </w:rPr>
        <w:t>2021 Population and Housing Census</w:t>
      </w:r>
      <w:r w:rsidRPr="003D290F">
        <w:rPr>
          <w:szCs w:val="16"/>
        </w:rPr>
        <w:t xml:space="preserve">. </w:t>
      </w:r>
      <w:hyperlink r:id="rId37" w:history="1">
        <w:r w:rsidRPr="003D290F">
          <w:rPr>
            <w:rStyle w:val="Hyperlink"/>
            <w:szCs w:val="16"/>
          </w:rPr>
          <w:t>https://www.abs.gov.au/census</w:t>
        </w:r>
      </w:hyperlink>
    </w:p>
    <w:p w14:paraId="5038A3A4" w14:textId="77777777" w:rsidR="00FD6C33" w:rsidRPr="003D290F" w:rsidRDefault="00FD6C33" w:rsidP="00E01AF2">
      <w:pPr>
        <w:pStyle w:val="FootnoteText"/>
        <w:spacing w:before="60" w:after="120"/>
        <w:ind w:left="284" w:hanging="284"/>
        <w:rPr>
          <w:szCs w:val="16"/>
        </w:rPr>
      </w:pPr>
      <w:r w:rsidRPr="003D290F">
        <w:rPr>
          <w:szCs w:val="16"/>
        </w:rPr>
        <w:t xml:space="preserve">Australian Bureau of Statistics, (Aug. 2023), </w:t>
      </w:r>
      <w:r w:rsidRPr="003D290F">
        <w:rPr>
          <w:i/>
          <w:szCs w:val="16"/>
        </w:rPr>
        <w:t>Counts of Australian Businesses, including Entries and Exits</w:t>
      </w:r>
      <w:r w:rsidRPr="003D290F">
        <w:rPr>
          <w:szCs w:val="16"/>
        </w:rPr>
        <w:t xml:space="preserve">. </w:t>
      </w:r>
      <w:hyperlink r:id="rId38" w:history="1">
        <w:r w:rsidRPr="003D290F">
          <w:rPr>
            <w:rStyle w:val="Hyperlink"/>
            <w:szCs w:val="16"/>
          </w:rPr>
          <w:t>https://www.abs.gov.au/statistics/economy/business-indicators/counts-australian-businesses-including-entries-and-exits/latest-release</w:t>
        </w:r>
      </w:hyperlink>
    </w:p>
    <w:p w14:paraId="27EAA5EB" w14:textId="77777777" w:rsidR="00FD6C33" w:rsidRDefault="00FD6C33" w:rsidP="00E01AF2">
      <w:pPr>
        <w:pStyle w:val="FootnoteText"/>
        <w:spacing w:before="60" w:after="120"/>
        <w:ind w:left="284" w:hanging="284"/>
        <w:rPr>
          <w:rStyle w:val="Hyperlink"/>
          <w:szCs w:val="16"/>
        </w:rPr>
      </w:pPr>
      <w:r w:rsidRPr="003D290F">
        <w:rPr>
          <w:szCs w:val="16"/>
        </w:rPr>
        <w:t xml:space="preserve">Australian Bureau of Statistics, (Jun. 2022), </w:t>
      </w:r>
      <w:r w:rsidRPr="003D290F">
        <w:rPr>
          <w:i/>
          <w:szCs w:val="16"/>
        </w:rPr>
        <w:t>Labour Force, Australia.</w:t>
      </w:r>
      <w:r w:rsidRPr="003D290F">
        <w:rPr>
          <w:szCs w:val="16"/>
        </w:rPr>
        <w:t xml:space="preserve"> </w:t>
      </w:r>
      <w:hyperlink r:id="rId39" w:history="1">
        <w:r w:rsidRPr="003D290F">
          <w:rPr>
            <w:rStyle w:val="Hyperlink"/>
            <w:szCs w:val="16"/>
          </w:rPr>
          <w:t>https://www.abs.gov.au/statistics/labour/employment-and-unemployment/labour-force-australia/latest-release</w:t>
        </w:r>
      </w:hyperlink>
    </w:p>
    <w:p w14:paraId="6FEBEBF4" w14:textId="77777777" w:rsidR="004B0459" w:rsidRPr="003D290F" w:rsidRDefault="004B0459">
      <w:pPr>
        <w:pStyle w:val="FootnoteText"/>
        <w:spacing w:before="60" w:after="120"/>
        <w:ind w:left="284" w:hanging="284"/>
        <w:rPr>
          <w:szCs w:val="16"/>
        </w:rPr>
      </w:pPr>
      <w:r w:rsidRPr="003D290F">
        <w:rPr>
          <w:szCs w:val="16"/>
        </w:rPr>
        <w:t>Australian Bureau of Statistics, (</w:t>
      </w:r>
      <w:r>
        <w:rPr>
          <w:szCs w:val="16"/>
        </w:rPr>
        <w:t>Nov</w:t>
      </w:r>
      <w:r w:rsidRPr="003D290F">
        <w:rPr>
          <w:szCs w:val="16"/>
        </w:rPr>
        <w:t xml:space="preserve">. </w:t>
      </w:r>
      <w:r>
        <w:rPr>
          <w:szCs w:val="16"/>
        </w:rPr>
        <w:t>2023</w:t>
      </w:r>
      <w:r w:rsidRPr="003D290F">
        <w:rPr>
          <w:szCs w:val="16"/>
        </w:rPr>
        <w:t xml:space="preserve">), </w:t>
      </w:r>
      <w:r>
        <w:rPr>
          <w:i/>
          <w:szCs w:val="16"/>
        </w:rPr>
        <w:t>Average Weekly Earnings</w:t>
      </w:r>
      <w:r w:rsidRPr="003D290F">
        <w:rPr>
          <w:i/>
          <w:szCs w:val="16"/>
        </w:rPr>
        <w:t>, Australia.</w:t>
      </w:r>
      <w:r w:rsidRPr="003D290F">
        <w:rPr>
          <w:szCs w:val="16"/>
        </w:rPr>
        <w:t xml:space="preserve"> </w:t>
      </w:r>
      <w:hyperlink r:id="rId40" w:history="1">
        <w:r>
          <w:rPr>
            <w:rStyle w:val="Hyperlink"/>
          </w:rPr>
          <w:t>Average Weekly Earnings, Australia, November 2023 | Australian Bureau of Statistics (abs.gov.au)</w:t>
        </w:r>
      </w:hyperlink>
    </w:p>
    <w:p w14:paraId="48C7E9B3" w14:textId="77777777" w:rsidR="00FD6C33" w:rsidRPr="003D290F" w:rsidRDefault="00FD6C33" w:rsidP="00E01AF2">
      <w:pPr>
        <w:pStyle w:val="FootnoteText"/>
        <w:spacing w:before="60" w:after="120"/>
        <w:ind w:left="284" w:hanging="284"/>
        <w:rPr>
          <w:rFonts w:cs="Segoe UI"/>
          <w:szCs w:val="16"/>
        </w:rPr>
      </w:pPr>
      <w:r w:rsidRPr="003D290F">
        <w:rPr>
          <w:szCs w:val="16"/>
        </w:rPr>
        <w:t xml:space="preserve">Australian Energy Market Operator, (Jul. 2023), </w:t>
      </w:r>
      <w:r w:rsidRPr="003D290F">
        <w:rPr>
          <w:i/>
          <w:szCs w:val="16"/>
        </w:rPr>
        <w:t>Generation Information</w:t>
      </w:r>
      <w:r w:rsidRPr="003D290F">
        <w:rPr>
          <w:szCs w:val="16"/>
        </w:rPr>
        <w:t xml:space="preserve">. </w:t>
      </w:r>
      <w:hyperlink r:id="rId41" w:history="1">
        <w:r w:rsidRPr="003D290F">
          <w:rPr>
            <w:rStyle w:val="Hyperlink"/>
            <w:rFonts w:cs="Segoe UI"/>
            <w:szCs w:val="16"/>
          </w:rPr>
          <w:t>https://aemo.com.au/en/energy-systems/electricity/national-electricity-market-nem/nem-forecasting-and-planning/forecasting-and-planning-data/generation-information</w:t>
        </w:r>
      </w:hyperlink>
    </w:p>
    <w:p w14:paraId="385D4DD2" w14:textId="77777777" w:rsidR="00FD6C33" w:rsidRPr="003D290F" w:rsidRDefault="00FD6C33" w:rsidP="00E01AF2">
      <w:pPr>
        <w:pStyle w:val="FootnoteText"/>
        <w:spacing w:before="60" w:after="120"/>
        <w:ind w:left="284" w:hanging="284"/>
        <w:rPr>
          <w:szCs w:val="16"/>
        </w:rPr>
      </w:pPr>
      <w:r w:rsidRPr="003D290F">
        <w:rPr>
          <w:szCs w:val="16"/>
        </w:rPr>
        <w:t>Ben Caldecott et al,</w:t>
      </w:r>
      <w:r w:rsidRPr="003D290F" w:rsidDel="005F1C6B">
        <w:rPr>
          <w:szCs w:val="16"/>
        </w:rPr>
        <w:t xml:space="preserve"> </w:t>
      </w:r>
      <w:r w:rsidRPr="003D290F">
        <w:rPr>
          <w:szCs w:val="16"/>
        </w:rPr>
        <w:t xml:space="preserve">(2017), Lessons from previous ‘Coal Transitions’ High-level Summary for Decision-makers. Part of ‘Coal-Transitions: IDDRI and Climate Strategies. </w:t>
      </w:r>
      <w:hyperlink r:id="rId42" w:history="1">
        <w:r w:rsidRPr="003D290F">
          <w:rPr>
            <w:rStyle w:val="Hyperlink"/>
            <w:szCs w:val="16"/>
          </w:rPr>
          <w:t>https://www.iddri.org/sites/default/files/import/publications/coal_synthesisreport_v04.pdf</w:t>
        </w:r>
      </w:hyperlink>
    </w:p>
    <w:p w14:paraId="6E7F4A4D" w14:textId="77777777" w:rsidR="00FD6C33" w:rsidRPr="003D290F" w:rsidRDefault="00FD6C33" w:rsidP="00E01AF2">
      <w:pPr>
        <w:pStyle w:val="FootnoteText"/>
        <w:spacing w:before="60" w:after="120"/>
        <w:ind w:left="284" w:hanging="284"/>
        <w:rPr>
          <w:szCs w:val="16"/>
        </w:rPr>
      </w:pPr>
      <w:r w:rsidRPr="003D290F">
        <w:rPr>
          <w:rStyle w:val="Hyperlink"/>
          <w:rFonts w:cs="Segoe UI"/>
          <w:color w:val="auto"/>
          <w:szCs w:val="16"/>
          <w:u w:val="none"/>
        </w:rPr>
        <w:t>Blau, H et al</w:t>
      </w:r>
      <w:r w:rsidR="00D175DF">
        <w:rPr>
          <w:rStyle w:val="Hyperlink"/>
          <w:rFonts w:cs="Segoe UI"/>
          <w:color w:val="auto"/>
          <w:szCs w:val="16"/>
          <w:u w:val="none"/>
        </w:rPr>
        <w:t>.</w:t>
      </w:r>
      <w:r w:rsidRPr="003D290F">
        <w:rPr>
          <w:rStyle w:val="Hyperlink"/>
          <w:rFonts w:cs="Segoe UI"/>
          <w:color w:val="auto"/>
          <w:szCs w:val="16"/>
          <w:u w:val="none"/>
        </w:rPr>
        <w:t xml:space="preserve">, (May. 1997), </w:t>
      </w:r>
      <w:r w:rsidRPr="003D290F">
        <w:rPr>
          <w:i/>
          <w:szCs w:val="16"/>
        </w:rPr>
        <w:t>Labour Market Studies</w:t>
      </w:r>
      <w:r w:rsidRPr="003D290F">
        <w:rPr>
          <w:szCs w:val="16"/>
        </w:rPr>
        <w:t xml:space="preserve">. </w:t>
      </w:r>
      <w:r w:rsidRPr="003D290F">
        <w:rPr>
          <w:rStyle w:val="Hyperlink"/>
          <w:rFonts w:cs="Segoe UI"/>
          <w:color w:val="auto"/>
          <w:szCs w:val="16"/>
          <w:u w:val="none"/>
        </w:rPr>
        <w:t>ifo Institute for Economic Research.</w:t>
      </w:r>
      <w:r w:rsidRPr="003D290F">
        <w:rPr>
          <w:szCs w:val="16"/>
        </w:rPr>
        <w:t xml:space="preserve"> </w:t>
      </w:r>
      <w:hyperlink r:id="rId43" w:history="1">
        <w:r w:rsidRPr="003D290F">
          <w:rPr>
            <w:rStyle w:val="Hyperlink"/>
            <w:szCs w:val="16"/>
          </w:rPr>
          <w:t>http://aei.pitt.edu/60345/1/GERMANY.pdf</w:t>
        </w:r>
      </w:hyperlink>
    </w:p>
    <w:p w14:paraId="24526416" w14:textId="77777777" w:rsidR="00FD6C33" w:rsidRPr="003D290F" w:rsidRDefault="00FD6C33" w:rsidP="00E01AF2">
      <w:pPr>
        <w:pStyle w:val="FootnoteText"/>
        <w:spacing w:before="60" w:after="120"/>
        <w:ind w:left="284" w:hanging="284"/>
        <w:rPr>
          <w:rFonts w:cs="Segoe UI"/>
          <w:szCs w:val="16"/>
        </w:rPr>
      </w:pPr>
      <w:r w:rsidRPr="003D290F">
        <w:rPr>
          <w:rFonts w:cs="Segoe UI"/>
          <w:szCs w:val="16"/>
        </w:rPr>
        <w:t>Browne-Yung et al</w:t>
      </w:r>
      <w:r w:rsidR="00D175DF">
        <w:rPr>
          <w:rFonts w:cs="Segoe UI"/>
          <w:szCs w:val="16"/>
        </w:rPr>
        <w:t>.</w:t>
      </w:r>
      <w:r w:rsidRPr="003D290F">
        <w:rPr>
          <w:rFonts w:cs="Segoe UI"/>
          <w:szCs w:val="16"/>
        </w:rPr>
        <w:t xml:space="preserve">, (Jun. 2019), </w:t>
      </w:r>
      <w:r w:rsidRPr="003D290F">
        <w:rPr>
          <w:i/>
          <w:szCs w:val="16"/>
        </w:rPr>
        <w:t>General Motor Holden’s closure in Playford, South Australia: Analysis of the policy response and its implications for health</w:t>
      </w:r>
      <w:r w:rsidRPr="003D290F">
        <w:rPr>
          <w:rFonts w:cs="Segoe UI"/>
          <w:szCs w:val="16"/>
        </w:rPr>
        <w:t xml:space="preserve">. Australian Journal of Public Administration. 79(1): p 76-92. </w:t>
      </w:r>
      <w:hyperlink r:id="rId44" w:history="1">
        <w:r w:rsidRPr="003D290F">
          <w:rPr>
            <w:rStyle w:val="Hyperlink"/>
            <w:rFonts w:cs="Segoe UI"/>
            <w:szCs w:val="16"/>
          </w:rPr>
          <w:t>https://onlinelibrary.wiley.com/doi/full/10.1111/1467-8500.12390</w:t>
        </w:r>
      </w:hyperlink>
    </w:p>
    <w:p w14:paraId="07D65A11" w14:textId="77777777" w:rsidR="00FD6C33" w:rsidRPr="003D290F" w:rsidRDefault="00FD6C33" w:rsidP="00E01AF2">
      <w:pPr>
        <w:pStyle w:val="FootnoteText"/>
        <w:spacing w:before="60" w:after="120"/>
        <w:ind w:left="284" w:hanging="284"/>
        <w:rPr>
          <w:szCs w:val="16"/>
        </w:rPr>
      </w:pPr>
      <w:r w:rsidRPr="003D290F">
        <w:rPr>
          <w:szCs w:val="16"/>
        </w:rPr>
        <w:t>Burke et al</w:t>
      </w:r>
      <w:r w:rsidR="00D175DF">
        <w:rPr>
          <w:szCs w:val="16"/>
        </w:rPr>
        <w:t>.</w:t>
      </w:r>
      <w:r w:rsidRPr="003D290F">
        <w:rPr>
          <w:szCs w:val="16"/>
        </w:rPr>
        <w:t xml:space="preserve">, (Jan. 2019), </w:t>
      </w:r>
      <w:r w:rsidRPr="003D290F">
        <w:rPr>
          <w:i/>
          <w:szCs w:val="16"/>
        </w:rPr>
        <w:t xml:space="preserve">Closures of coal-fired power stations in Australia: local unemployment effects. </w:t>
      </w:r>
      <w:r w:rsidRPr="003D290F">
        <w:rPr>
          <w:szCs w:val="16"/>
        </w:rPr>
        <w:t xml:space="preserve">Australian Journal of Agricultural and Resource Economics, 63(1): p. 142-165. </w:t>
      </w:r>
      <w:hyperlink r:id="rId45" w:history="1">
        <w:r w:rsidRPr="003D290F">
          <w:rPr>
            <w:rStyle w:val="Hyperlink"/>
            <w:szCs w:val="16"/>
          </w:rPr>
          <w:t>https://onlinelibrary.wiley.com/doi/epdf/10.1111/1467-8489.12289</w:t>
        </w:r>
      </w:hyperlink>
    </w:p>
    <w:p w14:paraId="4549E8E3" w14:textId="77777777" w:rsidR="00FD6C33" w:rsidRPr="003D290F" w:rsidRDefault="00FD6C33" w:rsidP="00E01AF2">
      <w:pPr>
        <w:pStyle w:val="FootnoteText"/>
        <w:spacing w:before="60" w:after="120"/>
        <w:ind w:left="284" w:hanging="284"/>
        <w:rPr>
          <w:szCs w:val="16"/>
        </w:rPr>
      </w:pPr>
      <w:r w:rsidRPr="003D290F">
        <w:rPr>
          <w:szCs w:val="16"/>
        </w:rPr>
        <w:t xml:space="preserve">Coal Industry Statistics, </w:t>
      </w:r>
      <w:r w:rsidRPr="003D290F">
        <w:rPr>
          <w:color w:val="000000"/>
          <w:szCs w:val="16"/>
        </w:rPr>
        <w:t xml:space="preserve">(Jan. 2019), </w:t>
      </w:r>
      <w:r w:rsidRPr="003D290F">
        <w:rPr>
          <w:i/>
          <w:szCs w:val="16"/>
        </w:rPr>
        <w:t>Total employees by district</w:t>
      </w:r>
      <w:r w:rsidRPr="003D290F">
        <w:rPr>
          <w:szCs w:val="16"/>
        </w:rPr>
        <w:t xml:space="preserve">. </w:t>
      </w:r>
      <w:hyperlink r:id="rId46" w:history="1">
        <w:r w:rsidRPr="003D290F">
          <w:rPr>
            <w:rStyle w:val="Hyperlink"/>
            <w:szCs w:val="16"/>
          </w:rPr>
          <w:t>https://kohlenstatistik.de/downloads/steinkohle/</w:t>
        </w:r>
      </w:hyperlink>
    </w:p>
    <w:p w14:paraId="3F781479" w14:textId="77777777" w:rsidR="00FD6C33" w:rsidRPr="003D290F" w:rsidRDefault="00FD6C33" w:rsidP="00E01AF2">
      <w:pPr>
        <w:pStyle w:val="FootnoteText"/>
        <w:spacing w:before="60" w:after="120"/>
        <w:ind w:left="284" w:hanging="284"/>
        <w:rPr>
          <w:szCs w:val="16"/>
        </w:rPr>
      </w:pPr>
      <w:r w:rsidRPr="003D290F">
        <w:rPr>
          <w:szCs w:val="16"/>
        </w:rPr>
        <w:t>Commonwealth of Australia, (Mar. 2017), S</w:t>
      </w:r>
      <w:r w:rsidR="00B86DC4" w:rsidRPr="003D290F">
        <w:rPr>
          <w:szCs w:val="16"/>
        </w:rPr>
        <w:t xml:space="preserve">enate Environment and Communications References Committee, </w:t>
      </w:r>
      <w:r w:rsidRPr="003D290F">
        <w:rPr>
          <w:i/>
          <w:szCs w:val="16"/>
        </w:rPr>
        <w:t>Inquiry into the Retirement of coal fired power stations</w:t>
      </w:r>
      <w:r w:rsidRPr="003D290F">
        <w:rPr>
          <w:szCs w:val="16"/>
        </w:rPr>
        <w:t xml:space="preserve">. </w:t>
      </w:r>
      <w:r w:rsidR="00B86DC4" w:rsidRPr="003D290F">
        <w:rPr>
          <w:szCs w:val="16"/>
        </w:rPr>
        <w:t>Final Report</w:t>
      </w:r>
      <w:r w:rsidRPr="003D290F">
        <w:rPr>
          <w:szCs w:val="16"/>
        </w:rPr>
        <w:t xml:space="preserve">. </w:t>
      </w:r>
      <w:hyperlink r:id="rId47" w:history="1">
        <w:r w:rsidRPr="003D290F">
          <w:rPr>
            <w:rStyle w:val="Hyperlink"/>
            <w:szCs w:val="16"/>
          </w:rPr>
          <w:t>https://www.aph.gov.au/Parliamentary_Business/Committees/Senate/Environment_and_Communications/Coal_fired_power_stations/~/media/Committees/ec_ctte/Coal_fired_power_stations/Final%20Report/report.pdf</w:t>
        </w:r>
      </w:hyperlink>
    </w:p>
    <w:p w14:paraId="7CB62EC9" w14:textId="77777777" w:rsidR="00FD6C33" w:rsidRPr="003D290F" w:rsidRDefault="00FD6C33" w:rsidP="00E01AF2">
      <w:pPr>
        <w:pStyle w:val="FootnoteText"/>
        <w:spacing w:before="60" w:after="120"/>
        <w:ind w:left="284" w:hanging="284"/>
        <w:rPr>
          <w:szCs w:val="16"/>
        </w:rPr>
      </w:pPr>
      <w:r w:rsidRPr="003D290F">
        <w:rPr>
          <w:szCs w:val="16"/>
        </w:rPr>
        <w:t xml:space="preserve">Commonwealth Office of Impact Analysis, (Jul. 2023), </w:t>
      </w:r>
      <w:r w:rsidRPr="003D290F">
        <w:rPr>
          <w:i/>
          <w:szCs w:val="16"/>
        </w:rPr>
        <w:t>Cost Benefit Analysis</w:t>
      </w:r>
      <w:r w:rsidRPr="003D290F">
        <w:rPr>
          <w:szCs w:val="16"/>
        </w:rPr>
        <w:t xml:space="preserve">. Department of the Prime Minister and Cabinet. </w:t>
      </w:r>
      <w:hyperlink r:id="rId48" w:history="1">
        <w:r w:rsidRPr="003D290F">
          <w:rPr>
            <w:rStyle w:val="Hyperlink"/>
            <w:szCs w:val="16"/>
          </w:rPr>
          <w:t>https://oia.pmc.gov.au/resources/guidance-assessing-impacts/cost-benefit-analysis</w:t>
        </w:r>
      </w:hyperlink>
    </w:p>
    <w:p w14:paraId="742DC423" w14:textId="77777777" w:rsidR="00FD6C33" w:rsidRPr="003D290F" w:rsidRDefault="00FD6C33" w:rsidP="00E01AF2">
      <w:pPr>
        <w:pStyle w:val="FootnoteText"/>
        <w:spacing w:before="60" w:after="120"/>
        <w:ind w:left="284" w:hanging="284"/>
        <w:rPr>
          <w:szCs w:val="16"/>
        </w:rPr>
      </w:pPr>
      <w:r w:rsidRPr="003D290F">
        <w:rPr>
          <w:szCs w:val="16"/>
        </w:rPr>
        <w:t xml:space="preserve">Commonwealth Office of Impact Analysis, (Jul. 2023), Regulatory Burden Measurement Framework. Department of the Prime Minister and Cabinet. </w:t>
      </w:r>
      <w:hyperlink r:id="rId49" w:history="1">
        <w:r w:rsidRPr="003D290F">
          <w:rPr>
            <w:rStyle w:val="Hyperlink"/>
            <w:szCs w:val="16"/>
          </w:rPr>
          <w:t>https://oia.pmc.gov.au/sites/default/files/2023-09/regulatory-burden-measurement-framework.pdf</w:t>
        </w:r>
      </w:hyperlink>
    </w:p>
    <w:p w14:paraId="1ACA5AF1" w14:textId="77777777" w:rsidR="00FD6C33" w:rsidRPr="003D290F" w:rsidRDefault="00FD6C33" w:rsidP="00E01AF2">
      <w:pPr>
        <w:pStyle w:val="FootnoteText"/>
        <w:spacing w:before="60" w:after="120"/>
        <w:ind w:left="284" w:hanging="284"/>
        <w:rPr>
          <w:szCs w:val="16"/>
        </w:rPr>
      </w:pPr>
      <w:r w:rsidRPr="003D290F">
        <w:rPr>
          <w:szCs w:val="16"/>
        </w:rPr>
        <w:t xml:space="preserve">Construction, Forestry, Mining &amp; Energy Union, </w:t>
      </w:r>
      <w:r w:rsidRPr="003D290F">
        <w:rPr>
          <w:color w:val="000000"/>
          <w:szCs w:val="16"/>
        </w:rPr>
        <w:t xml:space="preserve">(Nov. 2016), </w:t>
      </w:r>
      <w:r w:rsidRPr="003D290F">
        <w:rPr>
          <w:i/>
          <w:szCs w:val="16"/>
        </w:rPr>
        <w:t>Submission to the Commonwealth Senate Inquiry on the Retirement of coal power stations</w:t>
      </w:r>
      <w:r w:rsidRPr="003D290F">
        <w:rPr>
          <w:szCs w:val="16"/>
        </w:rPr>
        <w:t xml:space="preserve"> (18.1 Supplementary to submission 18). </w:t>
      </w:r>
      <w:hyperlink r:id="rId50" w:history="1">
        <w:r w:rsidRPr="003D290F">
          <w:rPr>
            <w:rStyle w:val="Hyperlink"/>
            <w:szCs w:val="16"/>
          </w:rPr>
          <w:t>https://www.aph.gov.au/parliamentary_business/committees/senate/environment_and_communications/coal_fired_power_stations/submissions</w:t>
        </w:r>
      </w:hyperlink>
    </w:p>
    <w:p w14:paraId="600F9C80" w14:textId="77777777" w:rsidR="00FD6C33" w:rsidRPr="003D290F" w:rsidRDefault="00FD6C33" w:rsidP="00E01AF2">
      <w:pPr>
        <w:pStyle w:val="FootnoteText"/>
        <w:spacing w:before="60" w:after="120"/>
        <w:ind w:left="284" w:hanging="284"/>
        <w:rPr>
          <w:sz w:val="24"/>
        </w:rPr>
      </w:pPr>
      <w:r w:rsidRPr="003D290F">
        <w:rPr>
          <w:color w:val="000000"/>
          <w:szCs w:val="16"/>
        </w:rPr>
        <w:t xml:space="preserve">CS Energy, (Mar. 2010), </w:t>
      </w:r>
      <w:r w:rsidRPr="003D290F">
        <w:rPr>
          <w:i/>
          <w:color w:val="000000"/>
          <w:szCs w:val="16"/>
        </w:rPr>
        <w:t xml:space="preserve">Media Release: </w:t>
      </w:r>
      <w:r w:rsidRPr="003D290F">
        <w:rPr>
          <w:i/>
          <w:szCs w:val="16"/>
        </w:rPr>
        <w:t xml:space="preserve">Future of Swanbank B Power Station announced. </w:t>
      </w:r>
      <w:hyperlink r:id="rId51" w:history="1">
        <w:r w:rsidR="00D17698" w:rsidRPr="003D290F">
          <w:rPr>
            <w:rStyle w:val="Hyperlink"/>
            <w:szCs w:val="16"/>
          </w:rPr>
          <w:t>https://www.csenergy.com.au/ArticleDocuments/189/Future%20of%20Swanbank%20B%20announced%20-%2026%20March%202010.pdf.aspx</w:t>
        </w:r>
      </w:hyperlink>
    </w:p>
    <w:p w14:paraId="51F3C93E" w14:textId="77777777" w:rsidR="00FD6C33" w:rsidRPr="003D290F" w:rsidRDefault="00FD6C33" w:rsidP="00E01AF2">
      <w:pPr>
        <w:pStyle w:val="FootnoteText"/>
        <w:spacing w:before="60" w:after="120"/>
        <w:ind w:left="284" w:hanging="284"/>
        <w:rPr>
          <w:szCs w:val="16"/>
        </w:rPr>
      </w:pPr>
      <w:r w:rsidRPr="003D290F">
        <w:rPr>
          <w:szCs w:val="16"/>
        </w:rPr>
        <w:t xml:space="preserve">Department of Climate Change, Energy, the Environment and Water, (2023), </w:t>
      </w:r>
      <w:r w:rsidRPr="003D290F">
        <w:rPr>
          <w:i/>
          <w:szCs w:val="16"/>
        </w:rPr>
        <w:t>National Pollutant Inventory</w:t>
      </w:r>
      <w:r w:rsidRPr="003D290F">
        <w:rPr>
          <w:szCs w:val="16"/>
        </w:rPr>
        <w:t xml:space="preserve">. </w:t>
      </w:r>
      <w:hyperlink r:id="rId52" w:history="1">
        <w:r w:rsidRPr="003D290F">
          <w:rPr>
            <w:rStyle w:val="Hyperlink"/>
            <w:szCs w:val="16"/>
          </w:rPr>
          <w:t>https://www.dcceew.gov.au/environment/protection/npi</w:t>
        </w:r>
      </w:hyperlink>
    </w:p>
    <w:p w14:paraId="107C3B33" w14:textId="77777777" w:rsidR="00FD6C33" w:rsidRPr="003D290F" w:rsidRDefault="00FD6C33" w:rsidP="00E01AF2">
      <w:pPr>
        <w:pStyle w:val="FootnoteText"/>
        <w:spacing w:before="60" w:after="120"/>
        <w:ind w:left="284" w:hanging="284"/>
        <w:rPr>
          <w:szCs w:val="16"/>
        </w:rPr>
      </w:pPr>
      <w:r w:rsidRPr="003D290F">
        <w:rPr>
          <w:szCs w:val="16"/>
        </w:rPr>
        <w:t xml:space="preserve">Department of Climate Change, Energy, the Environment and Water, (Aug. 2023), </w:t>
      </w:r>
      <w:r w:rsidRPr="003D290F">
        <w:rPr>
          <w:i/>
          <w:szCs w:val="16"/>
        </w:rPr>
        <w:t>Net Zero</w:t>
      </w:r>
      <w:r w:rsidRPr="003D290F">
        <w:rPr>
          <w:szCs w:val="16"/>
        </w:rPr>
        <w:t xml:space="preserve">. </w:t>
      </w:r>
      <w:hyperlink r:id="rId53" w:history="1">
        <w:r w:rsidRPr="003D290F">
          <w:rPr>
            <w:rStyle w:val="Hyperlink"/>
            <w:szCs w:val="16"/>
          </w:rPr>
          <w:t>https://www.dcceew.gov.au/climate-change/emissions-reduction/net-zero</w:t>
        </w:r>
      </w:hyperlink>
    </w:p>
    <w:p w14:paraId="08F7C7AE" w14:textId="77777777" w:rsidR="00FD6C33" w:rsidRPr="003D290F" w:rsidRDefault="00FD6C33" w:rsidP="00E01AF2">
      <w:pPr>
        <w:pStyle w:val="FootnoteText"/>
        <w:spacing w:before="60" w:after="120"/>
        <w:ind w:left="284" w:hanging="284"/>
        <w:rPr>
          <w:szCs w:val="16"/>
        </w:rPr>
      </w:pPr>
      <w:r w:rsidRPr="003D290F">
        <w:rPr>
          <w:color w:val="000000"/>
          <w:szCs w:val="16"/>
        </w:rPr>
        <w:t xml:space="preserve">DEWR, (May 2020), </w:t>
      </w:r>
      <w:r w:rsidRPr="003D290F">
        <w:rPr>
          <w:i/>
          <w:szCs w:val="16"/>
        </w:rPr>
        <w:t>The Transition of the Australian Car Manufacturing Sector</w:t>
      </w:r>
      <w:r w:rsidRPr="003D290F">
        <w:rPr>
          <w:szCs w:val="16"/>
        </w:rPr>
        <w:t xml:space="preserve">. </w:t>
      </w:r>
      <w:hyperlink r:id="rId54" w:history="1">
        <w:r w:rsidRPr="003D290F">
          <w:rPr>
            <w:rStyle w:val="Hyperlink"/>
            <w:szCs w:val="16"/>
          </w:rPr>
          <w:t>https://www.dewr.gov.au/whats-next/resources/transition-australian-car-manufacturing-sector-outcomes-and-best-practice-full-report</w:t>
        </w:r>
      </w:hyperlink>
    </w:p>
    <w:p w14:paraId="24B421E0" w14:textId="77777777" w:rsidR="00FD6C33" w:rsidRPr="003D290F" w:rsidRDefault="00FD6C33" w:rsidP="00E01AF2">
      <w:pPr>
        <w:pStyle w:val="FootnoteText"/>
        <w:spacing w:before="60" w:after="120"/>
        <w:ind w:left="284" w:hanging="284"/>
        <w:rPr>
          <w:szCs w:val="16"/>
        </w:rPr>
      </w:pPr>
      <w:r w:rsidRPr="003D290F">
        <w:rPr>
          <w:szCs w:val="16"/>
        </w:rPr>
        <w:t xml:space="preserve">EnergyAustralia, (Aug. 2023), </w:t>
      </w:r>
      <w:r w:rsidRPr="003D290F">
        <w:rPr>
          <w:i/>
          <w:szCs w:val="16"/>
        </w:rPr>
        <w:t>EnergyAustralia Climate Transition Action Plan</w:t>
      </w:r>
      <w:r w:rsidRPr="003D290F">
        <w:rPr>
          <w:szCs w:val="16"/>
        </w:rPr>
        <w:t xml:space="preserve">. </w:t>
      </w:r>
      <w:hyperlink r:id="rId55" w:history="1">
        <w:r w:rsidRPr="003D290F">
          <w:rPr>
            <w:rStyle w:val="Hyperlink"/>
            <w:szCs w:val="16"/>
          </w:rPr>
          <w:t>https://www.energyaustralia.com.au/sites/default/files/2023-09/ClimateTransitionActionPlan.pdf</w:t>
        </w:r>
      </w:hyperlink>
    </w:p>
    <w:p w14:paraId="2D8442AD" w14:textId="77777777" w:rsidR="00FD6C33" w:rsidRPr="003D290F" w:rsidRDefault="00FD6C33" w:rsidP="00E01AF2">
      <w:pPr>
        <w:pStyle w:val="FootnoteText"/>
        <w:spacing w:before="60" w:after="120"/>
        <w:ind w:left="284" w:hanging="284"/>
        <w:rPr>
          <w:szCs w:val="16"/>
        </w:rPr>
      </w:pPr>
      <w:r w:rsidRPr="003D290F">
        <w:rPr>
          <w:szCs w:val="16"/>
        </w:rPr>
        <w:t xml:space="preserve">EnergyAustralia, (Nov. 2022), </w:t>
      </w:r>
      <w:r w:rsidRPr="003D290F">
        <w:rPr>
          <w:i/>
          <w:szCs w:val="16"/>
        </w:rPr>
        <w:t>News: EnergyAustralia helps Yallourn workers prepare for life after coal.</w:t>
      </w:r>
      <w:r w:rsidRPr="003D290F">
        <w:rPr>
          <w:szCs w:val="16"/>
        </w:rPr>
        <w:t xml:space="preserve"> </w:t>
      </w:r>
      <w:hyperlink r:id="rId56" w:history="1">
        <w:r w:rsidRPr="003D290F">
          <w:rPr>
            <w:rStyle w:val="Hyperlink"/>
            <w:szCs w:val="16"/>
          </w:rPr>
          <w:t>https://www.energyaustralia.com.au/about-us/media/news/energyaustralia-helps-yallourn-workers-prepare-life-after-coal</w:t>
        </w:r>
      </w:hyperlink>
    </w:p>
    <w:p w14:paraId="45FEB872" w14:textId="77777777" w:rsidR="00FD6C33" w:rsidRPr="003D290F" w:rsidRDefault="00FD6C33" w:rsidP="00E01AF2">
      <w:pPr>
        <w:pStyle w:val="FootnoteText"/>
        <w:spacing w:before="60" w:after="120"/>
        <w:ind w:left="284" w:hanging="284"/>
        <w:rPr>
          <w:szCs w:val="16"/>
        </w:rPr>
      </w:pPr>
      <w:r w:rsidRPr="003D290F">
        <w:rPr>
          <w:szCs w:val="16"/>
        </w:rPr>
        <w:t xml:space="preserve">EnergyAustralia, (Oct. 2023), </w:t>
      </w:r>
      <w:r w:rsidRPr="003D290F">
        <w:rPr>
          <w:i/>
          <w:szCs w:val="16"/>
        </w:rPr>
        <w:t xml:space="preserve">News: EnergyAustralia and Elanora Offshore partner to secure jobs and training for Yallourn workers in offshore wind. </w:t>
      </w:r>
      <w:hyperlink r:id="rId57" w:history="1">
        <w:r w:rsidRPr="003D290F">
          <w:rPr>
            <w:rStyle w:val="Hyperlink"/>
            <w:szCs w:val="16"/>
          </w:rPr>
          <w:t>https://www.energyaustralia.com.au/about-us/media/news/energyaustralia-and-elanora-offshore-partner-secure-jobs-and-training-yallourn</w:t>
        </w:r>
      </w:hyperlink>
    </w:p>
    <w:p w14:paraId="57F6BFD6" w14:textId="77777777" w:rsidR="00FD6C33" w:rsidRPr="003D290F" w:rsidRDefault="00E32F9D" w:rsidP="00E52AA9">
      <w:pPr>
        <w:pStyle w:val="FootnoteText"/>
        <w:spacing w:before="60" w:after="120"/>
        <w:ind w:left="284" w:hanging="284"/>
        <w:rPr>
          <w:szCs w:val="16"/>
        </w:rPr>
      </w:pPr>
      <w:hyperlink r:id="rId58" w:history="1">
        <w:r w:rsidR="00FD6C33" w:rsidRPr="003D290F">
          <w:rPr>
            <w:szCs w:val="16"/>
          </w:rPr>
          <w:t>Environment Victoria, (Oct. 2021),</w:t>
        </w:r>
      </w:hyperlink>
      <w:r w:rsidR="00FD6C33" w:rsidRPr="003D290F">
        <w:rPr>
          <w:szCs w:val="16"/>
        </w:rPr>
        <w:t xml:space="preserve"> </w:t>
      </w:r>
      <w:r w:rsidR="00FD6C33" w:rsidRPr="003D290F">
        <w:rPr>
          <w:i/>
          <w:szCs w:val="16"/>
        </w:rPr>
        <w:t>Submission to the Victorian Parliamentary Inquiry into the Closure of the Hazelwood and Yallourn Power Stations.</w:t>
      </w:r>
      <w:r w:rsidR="00FD6C33" w:rsidRPr="003D290F">
        <w:rPr>
          <w:szCs w:val="16"/>
        </w:rPr>
        <w:t xml:space="preserve"> </w:t>
      </w:r>
      <w:hyperlink r:id="rId59" w:history="1">
        <w:r w:rsidR="00FD6C33" w:rsidRPr="003D290F">
          <w:rPr>
            <w:rStyle w:val="Hyperlink"/>
            <w:szCs w:val="16"/>
          </w:rPr>
          <w:t>https://new.parliament.vic.gov.au/4a4d2e/contentassets/1afbfe1f20f04cf092c14df98557d0da/submission-documents/046---environment-victoria_redacted.pdf</w:t>
        </w:r>
      </w:hyperlink>
    </w:p>
    <w:p w14:paraId="302A4717" w14:textId="77777777" w:rsidR="00FD6C33" w:rsidRPr="003D290F" w:rsidRDefault="00FD6C33" w:rsidP="00E52AA9">
      <w:pPr>
        <w:pStyle w:val="FootnoteText"/>
        <w:spacing w:before="60" w:after="120"/>
        <w:ind w:left="284" w:hanging="284"/>
        <w:rPr>
          <w:szCs w:val="16"/>
        </w:rPr>
      </w:pPr>
      <w:r w:rsidRPr="003D290F">
        <w:rPr>
          <w:szCs w:val="16"/>
        </w:rPr>
        <w:t>Furnaro, A et al</w:t>
      </w:r>
      <w:r w:rsidR="00D175DF">
        <w:rPr>
          <w:szCs w:val="16"/>
        </w:rPr>
        <w:t>.</w:t>
      </w:r>
      <w:r w:rsidRPr="003D290F">
        <w:rPr>
          <w:szCs w:val="16"/>
        </w:rPr>
        <w:t xml:space="preserve">, (Nov. 2021), </w:t>
      </w:r>
      <w:r w:rsidRPr="003D290F">
        <w:rPr>
          <w:i/>
          <w:szCs w:val="16"/>
        </w:rPr>
        <w:t>German Just Transition: A Review of Public Policies to Assist German Coal Communities in Transition</w:t>
      </w:r>
      <w:r w:rsidRPr="003D290F">
        <w:rPr>
          <w:szCs w:val="16"/>
        </w:rPr>
        <w:t xml:space="preserve">. Resources for the Future and the Environment Defense Fund. </w:t>
      </w:r>
      <w:hyperlink r:id="rId60" w:history="1">
        <w:r w:rsidRPr="003D290F">
          <w:rPr>
            <w:rStyle w:val="Hyperlink"/>
            <w:szCs w:val="16"/>
          </w:rPr>
          <w:t>https://media.rff.org/documents/21-13.pdf</w:t>
        </w:r>
      </w:hyperlink>
    </w:p>
    <w:p w14:paraId="60F608BB" w14:textId="77777777" w:rsidR="00FD6C33" w:rsidRPr="003D290F" w:rsidRDefault="00FD6C33" w:rsidP="00E52AA9">
      <w:pPr>
        <w:pStyle w:val="FootnoteText"/>
        <w:spacing w:before="60" w:after="120"/>
        <w:ind w:left="284" w:hanging="284"/>
        <w:rPr>
          <w:sz w:val="24"/>
        </w:rPr>
      </w:pPr>
      <w:r w:rsidRPr="003D290F">
        <w:rPr>
          <w:rFonts w:cs="Segoe UI"/>
          <w:szCs w:val="16"/>
        </w:rPr>
        <w:t xml:space="preserve">Geoff Gilfillan, </w:t>
      </w:r>
      <w:r w:rsidRPr="003D290F">
        <w:rPr>
          <w:szCs w:val="16"/>
        </w:rPr>
        <w:t xml:space="preserve">(Jan. 2023), </w:t>
      </w:r>
      <w:r w:rsidRPr="003D290F">
        <w:rPr>
          <w:i/>
          <w:szCs w:val="16"/>
        </w:rPr>
        <w:t>Employment trends in coal mining and the renewable energy sector.</w:t>
      </w:r>
      <w:r w:rsidRPr="003D290F">
        <w:rPr>
          <w:szCs w:val="16"/>
        </w:rPr>
        <w:t xml:space="preserve"> </w:t>
      </w:r>
      <w:r w:rsidRPr="003D290F">
        <w:rPr>
          <w:rFonts w:cs="Segoe UI"/>
          <w:szCs w:val="16"/>
        </w:rPr>
        <w:t>Parliament of Australia</w:t>
      </w:r>
      <w:r w:rsidRPr="003D290F">
        <w:rPr>
          <w:szCs w:val="16"/>
        </w:rPr>
        <w:t xml:space="preserve">. </w:t>
      </w:r>
      <w:hyperlink r:id="rId61" w:history="1">
        <w:r w:rsidR="00E01AF2" w:rsidRPr="003D290F">
          <w:rPr>
            <w:rStyle w:val="Hyperlink"/>
            <w:szCs w:val="16"/>
          </w:rPr>
          <w:t>https://www.aph.gov.au/About_Parliament/Parliamentary_departments/Parliamentary_Library/pubs/rp/rp2223/EmploymentTrendsCoalMiningRenewableEnergy</w:t>
        </w:r>
      </w:hyperlink>
    </w:p>
    <w:p w14:paraId="59B9E3CB" w14:textId="77777777" w:rsidR="00FD6C33" w:rsidRPr="003D290F" w:rsidRDefault="00FD6C33" w:rsidP="00E52AA9">
      <w:pPr>
        <w:pStyle w:val="FootnoteText"/>
        <w:spacing w:before="60" w:after="120"/>
        <w:ind w:left="284" w:hanging="284"/>
        <w:rPr>
          <w:rFonts w:eastAsia="Times New Roman" w:cs="Segoe UI"/>
          <w:szCs w:val="16"/>
        </w:rPr>
      </w:pPr>
      <w:r w:rsidRPr="003D290F">
        <w:rPr>
          <w:szCs w:val="16"/>
        </w:rPr>
        <w:t xml:space="preserve">Geoscience Australia, (2022), </w:t>
      </w:r>
      <w:r w:rsidRPr="003D290F">
        <w:rPr>
          <w:i/>
          <w:szCs w:val="16"/>
        </w:rPr>
        <w:t>Australian Operating Mines Map 2022</w:t>
      </w:r>
      <w:r w:rsidRPr="003D290F">
        <w:rPr>
          <w:rFonts w:eastAsia="Times New Roman" w:cs="Segoe UI"/>
          <w:i/>
          <w:szCs w:val="16"/>
        </w:rPr>
        <w:t>.</w:t>
      </w:r>
      <w:r w:rsidRPr="003D290F">
        <w:rPr>
          <w:szCs w:val="16"/>
        </w:rPr>
        <w:t xml:space="preserve"> </w:t>
      </w:r>
      <w:hyperlink r:id="rId62" w:anchor="/metadata/147694" w:history="1">
        <w:r w:rsidRPr="003D290F">
          <w:rPr>
            <w:rStyle w:val="Hyperlink"/>
            <w:rFonts w:eastAsia="Times New Roman" w:cs="Segoe UI"/>
            <w:szCs w:val="16"/>
          </w:rPr>
          <w:t>https://ecat.ga.gov.au/geonetwork/srv/eng/catalog.search#/metadata/147694</w:t>
        </w:r>
      </w:hyperlink>
    </w:p>
    <w:p w14:paraId="4B64D83C" w14:textId="77777777" w:rsidR="00FD6C33" w:rsidRPr="003D290F" w:rsidRDefault="00FD6C33" w:rsidP="00E52AA9">
      <w:pPr>
        <w:pStyle w:val="FootnoteText"/>
        <w:spacing w:before="60" w:after="120"/>
        <w:ind w:left="284" w:hanging="284"/>
        <w:rPr>
          <w:szCs w:val="16"/>
        </w:rPr>
      </w:pPr>
      <w:r w:rsidRPr="003D290F">
        <w:rPr>
          <w:rStyle w:val="Hyperlink"/>
          <w:rFonts w:cs="Segoe UI"/>
          <w:color w:val="auto"/>
          <w:szCs w:val="16"/>
          <w:u w:val="none"/>
        </w:rPr>
        <w:t>German Federal Statistical Office, (Jan. 2019),</w:t>
      </w:r>
      <w:r w:rsidRPr="003D290F">
        <w:rPr>
          <w:rStyle w:val="Hyperlink"/>
          <w:rFonts w:cs="Segoe UI"/>
          <w:i/>
          <w:color w:val="auto"/>
          <w:szCs w:val="16"/>
          <w:u w:val="none"/>
        </w:rPr>
        <w:t xml:space="preserve"> </w:t>
      </w:r>
      <w:r w:rsidRPr="003D290F">
        <w:rPr>
          <w:i/>
          <w:szCs w:val="16"/>
        </w:rPr>
        <w:t xml:space="preserve">2018: continued increase in employment. </w:t>
      </w:r>
      <w:hyperlink r:id="rId63" w:history="1">
        <w:r w:rsidRPr="003D290F">
          <w:rPr>
            <w:rStyle w:val="Hyperlink"/>
            <w:szCs w:val="16"/>
          </w:rPr>
          <w:t>https://www.destatis.de/EN/Press/2019/01/PE19_001_13321.html</w:t>
        </w:r>
      </w:hyperlink>
    </w:p>
    <w:p w14:paraId="76C84871" w14:textId="77777777" w:rsidR="00FD6C33" w:rsidRPr="003D290F" w:rsidRDefault="00FD6C33" w:rsidP="00E52AA9">
      <w:pPr>
        <w:pStyle w:val="FootnoteText"/>
        <w:spacing w:before="60" w:after="120"/>
        <w:ind w:left="284" w:hanging="284"/>
        <w:rPr>
          <w:szCs w:val="16"/>
        </w:rPr>
      </w:pPr>
      <w:r w:rsidRPr="003D290F">
        <w:rPr>
          <w:color w:val="000000"/>
          <w:szCs w:val="16"/>
        </w:rPr>
        <w:t xml:space="preserve">Government of South Australia, (Nov. 2016), </w:t>
      </w:r>
      <w:r w:rsidRPr="003D290F">
        <w:rPr>
          <w:i/>
          <w:szCs w:val="16"/>
        </w:rPr>
        <w:t>Submission to the Federal Senate Inquiry into the Retirement of Coal Fired Power Stations</w:t>
      </w:r>
      <w:r w:rsidRPr="003D290F">
        <w:rPr>
          <w:szCs w:val="16"/>
        </w:rPr>
        <w:t xml:space="preserve"> </w:t>
      </w:r>
      <w:r w:rsidRPr="003D290F">
        <w:rPr>
          <w:i/>
          <w:szCs w:val="16"/>
        </w:rPr>
        <w:t xml:space="preserve">(Attachment 3). </w:t>
      </w:r>
      <w:hyperlink r:id="rId64" w:history="1">
        <w:r w:rsidRPr="003D290F">
          <w:rPr>
            <w:rStyle w:val="Hyperlink"/>
            <w:szCs w:val="16"/>
          </w:rPr>
          <w:t>https://www.aph.gov.au/parliamentary_business/committees/senate/environment_and_communications/coal_fired_power_stations/submissions</w:t>
        </w:r>
      </w:hyperlink>
    </w:p>
    <w:p w14:paraId="7C8FFE4C" w14:textId="77777777" w:rsidR="00FD6C33" w:rsidRPr="003D290F" w:rsidRDefault="00FD6C33" w:rsidP="00E52AA9">
      <w:pPr>
        <w:pStyle w:val="FootnoteText"/>
        <w:spacing w:before="60" w:after="120"/>
        <w:ind w:left="284" w:hanging="284"/>
        <w:rPr>
          <w:szCs w:val="16"/>
        </w:rPr>
      </w:pPr>
      <w:r w:rsidRPr="003D290F">
        <w:rPr>
          <w:color w:val="000000"/>
          <w:szCs w:val="16"/>
        </w:rPr>
        <w:t xml:space="preserve">Government of Victoria, (Jun. 2022), </w:t>
      </w:r>
      <w:r w:rsidRPr="003D290F">
        <w:rPr>
          <w:i/>
          <w:szCs w:val="16"/>
        </w:rPr>
        <w:t>Inquiry into the closure of the Hazelwood and Yallourn power stations</w:t>
      </w:r>
      <w:r w:rsidRPr="003D290F">
        <w:rPr>
          <w:szCs w:val="16"/>
        </w:rPr>
        <w:t xml:space="preserve">. </w:t>
      </w:r>
      <w:hyperlink r:id="rId65" w:history="1">
        <w:r w:rsidRPr="003D290F">
          <w:rPr>
            <w:rStyle w:val="Hyperlink"/>
            <w:szCs w:val="16"/>
          </w:rPr>
          <w:t>https://new.parliament.vic.gov.au/4a5c05/contentassets/bb36eec27c15447bbdefee0dec57d50f/lceic-59-08-closure-of-hazelwood-and-yallourn.pdf</w:t>
        </w:r>
      </w:hyperlink>
    </w:p>
    <w:p w14:paraId="3B1BB580" w14:textId="77777777" w:rsidR="00FD6C33" w:rsidRPr="003D290F" w:rsidRDefault="00FD6C33" w:rsidP="00E52AA9">
      <w:pPr>
        <w:pStyle w:val="FootnoteText"/>
        <w:spacing w:before="60" w:after="120"/>
        <w:ind w:left="284" w:hanging="284"/>
        <w:rPr>
          <w:szCs w:val="16"/>
        </w:rPr>
      </w:pPr>
      <w:r w:rsidRPr="003D290F">
        <w:rPr>
          <w:rFonts w:cs="Segoe UI"/>
          <w:szCs w:val="16"/>
        </w:rPr>
        <w:t xml:space="preserve">Government of Western Australia, (2023), </w:t>
      </w:r>
      <w:r w:rsidRPr="003D290F">
        <w:rPr>
          <w:rFonts w:cs="Segoe UI"/>
          <w:i/>
          <w:szCs w:val="16"/>
        </w:rPr>
        <w:t>Collie Community Fact Sheet</w:t>
      </w:r>
      <w:r w:rsidRPr="003D290F">
        <w:rPr>
          <w:rFonts w:cs="Segoe UI"/>
          <w:szCs w:val="16"/>
        </w:rPr>
        <w:t xml:space="preserve">. </w:t>
      </w:r>
      <w:hyperlink r:id="rId66" w:history="1">
        <w:r w:rsidRPr="003D290F">
          <w:rPr>
            <w:rStyle w:val="Hyperlink"/>
            <w:rFonts w:cs="Segoe UI"/>
            <w:szCs w:val="16"/>
          </w:rPr>
          <w:t>https://www.wa.gov.au/system/files/2023-08/colliecommunityfactsheet.pdf</w:t>
        </w:r>
      </w:hyperlink>
    </w:p>
    <w:p w14:paraId="310ECE23" w14:textId="77777777" w:rsidR="00B71E5D" w:rsidRPr="003D290F" w:rsidRDefault="00FD6C33" w:rsidP="00B71E5D">
      <w:pPr>
        <w:pStyle w:val="FootnoteText"/>
        <w:spacing w:before="60" w:after="120"/>
        <w:ind w:left="284" w:hanging="284"/>
        <w:rPr>
          <w:szCs w:val="16"/>
        </w:rPr>
      </w:pPr>
      <w:r w:rsidRPr="003D290F">
        <w:rPr>
          <w:szCs w:val="16"/>
        </w:rPr>
        <w:t>Green, F &amp; Gambhir, A, (Aug. 2019</w:t>
      </w:r>
      <w:r w:rsidRPr="003D290F">
        <w:rPr>
          <w:i/>
          <w:szCs w:val="16"/>
        </w:rPr>
        <w:t xml:space="preserve">), Transitional assistance policies for just, equitable and smooth low-carbon transitions: who, what and how? </w:t>
      </w:r>
      <w:r w:rsidRPr="003D290F">
        <w:rPr>
          <w:szCs w:val="16"/>
        </w:rPr>
        <w:t xml:space="preserve">Climate Policy. 20(3): 1-20. </w:t>
      </w:r>
      <w:hyperlink r:id="rId67" w:history="1">
        <w:r w:rsidR="00B71E5D" w:rsidRPr="003D290F">
          <w:rPr>
            <w:rStyle w:val="Hyperlink"/>
            <w:szCs w:val="16"/>
          </w:rPr>
          <w:t>https://share.internal.pmc.gov.au/recordid/DOC23-338347</w:t>
        </w:r>
      </w:hyperlink>
    </w:p>
    <w:p w14:paraId="2006D801" w14:textId="77777777" w:rsidR="00FD6C33" w:rsidRPr="003D290F" w:rsidRDefault="00FD6C33">
      <w:pPr>
        <w:pStyle w:val="FootnoteText"/>
        <w:spacing w:before="60" w:after="120"/>
        <w:rPr>
          <w:szCs w:val="16"/>
        </w:rPr>
      </w:pPr>
      <w:r w:rsidRPr="003D290F">
        <w:rPr>
          <w:szCs w:val="16"/>
        </w:rPr>
        <w:lastRenderedPageBreak/>
        <w:t xml:space="preserve">Headley, T &amp; Bezdek, R, (Jun. 2020), </w:t>
      </w:r>
      <w:r w:rsidRPr="003D290F">
        <w:rPr>
          <w:i/>
          <w:szCs w:val="16"/>
        </w:rPr>
        <w:t>How Many Coal-Dependent Jobs Are There and How Important Are They?</w:t>
      </w:r>
      <w:r w:rsidRPr="003D290F">
        <w:rPr>
          <w:szCs w:val="16"/>
        </w:rPr>
        <w:t xml:space="preserve"> Public Utilities Fortnightly. </w:t>
      </w:r>
      <w:hyperlink r:id="rId68" w:history="1">
        <w:r w:rsidRPr="003D290F">
          <w:rPr>
            <w:rStyle w:val="Hyperlink"/>
            <w:szCs w:val="16"/>
          </w:rPr>
          <w:t>https://www.fortnightly.com/fortnightly/2020/06/how-many-coal-dependent-jobs-are-there-and-how-important-are-they?authkey=c5b485e50f3e95a5fd6e219884fff27c090a82321028977ac266c5d95ef3fb79</w:t>
        </w:r>
      </w:hyperlink>
    </w:p>
    <w:p w14:paraId="4199562F" w14:textId="77777777" w:rsidR="00FD6C33" w:rsidRPr="003D290F" w:rsidRDefault="00FD6C33" w:rsidP="00E52AA9">
      <w:pPr>
        <w:pStyle w:val="FootnoteText"/>
        <w:spacing w:before="60" w:after="120"/>
        <w:ind w:left="284" w:hanging="284"/>
        <w:rPr>
          <w:szCs w:val="16"/>
        </w:rPr>
      </w:pPr>
      <w:r w:rsidRPr="003D290F">
        <w:rPr>
          <w:szCs w:val="16"/>
        </w:rPr>
        <w:t xml:space="preserve">Industrial Relations Research Centre University of New South Wales, (Oct. 2018), </w:t>
      </w:r>
      <w:r w:rsidRPr="003D290F">
        <w:rPr>
          <w:i/>
          <w:szCs w:val="16"/>
        </w:rPr>
        <w:t>The Ruhr or Appalachia? Deciding the future of Australia’s coal power workers and communities</w:t>
      </w:r>
      <w:r w:rsidRPr="003D290F">
        <w:rPr>
          <w:szCs w:val="16"/>
        </w:rPr>
        <w:t xml:space="preserve">. </w:t>
      </w:r>
      <w:hyperlink r:id="rId69" w:history="1">
        <w:r w:rsidRPr="003D290F">
          <w:rPr>
            <w:rStyle w:val="Hyperlink"/>
            <w:szCs w:val="16"/>
          </w:rPr>
          <w:t>https://www.ituc-csi.org/IMG/pdf/ruhrorappalachia_report_final.pdf</w:t>
        </w:r>
      </w:hyperlink>
    </w:p>
    <w:p w14:paraId="328C2F47" w14:textId="77777777" w:rsidR="00FD6C33" w:rsidRPr="003D290F" w:rsidRDefault="00FD6C33" w:rsidP="00E52AA9">
      <w:pPr>
        <w:pStyle w:val="FootnoteText"/>
        <w:spacing w:before="60" w:after="120"/>
        <w:ind w:left="284" w:hanging="284"/>
        <w:rPr>
          <w:sz w:val="24"/>
        </w:rPr>
      </w:pPr>
      <w:r w:rsidRPr="003D290F">
        <w:rPr>
          <w:szCs w:val="16"/>
        </w:rPr>
        <w:t xml:space="preserve">International Labour Organisation, (Nov. 2017), Just Transition, Decent Work, and Climate Resilience. </w:t>
      </w:r>
      <w:hyperlink r:id="rId70" w:history="1">
        <w:r w:rsidR="00D17698" w:rsidRPr="003D290F">
          <w:rPr>
            <w:rStyle w:val="Hyperlink"/>
            <w:szCs w:val="16"/>
          </w:rPr>
          <w:t>https://www.ilo.org/wcmsp5/groups/public/---dgreports/---dcomm/documents/publication/wcms_589098.pdf</w:t>
        </w:r>
      </w:hyperlink>
    </w:p>
    <w:p w14:paraId="46FE8757" w14:textId="77777777" w:rsidR="00FD6C33" w:rsidRPr="003D290F" w:rsidRDefault="00FD6C33" w:rsidP="00E52AA9">
      <w:pPr>
        <w:pStyle w:val="FootnoteText"/>
        <w:spacing w:before="60" w:after="120"/>
        <w:ind w:left="284" w:hanging="284"/>
        <w:rPr>
          <w:sz w:val="24"/>
        </w:rPr>
      </w:pPr>
      <w:r w:rsidRPr="003D290F">
        <w:rPr>
          <w:szCs w:val="16"/>
        </w:rPr>
        <w:t xml:space="preserve">Jobs and Skills Australia, (Oct. 2023), </w:t>
      </w:r>
      <w:r w:rsidRPr="003D290F">
        <w:rPr>
          <w:i/>
          <w:szCs w:val="16"/>
        </w:rPr>
        <w:t>The Clean Energy Generation: Workforce needs for a net zero economy.</w:t>
      </w:r>
      <w:r w:rsidRPr="003D290F">
        <w:rPr>
          <w:szCs w:val="16"/>
        </w:rPr>
        <w:t xml:space="preserve"> </w:t>
      </w:r>
      <w:hyperlink r:id="rId71" w:history="1">
        <w:r w:rsidR="00E01AF2" w:rsidRPr="003D290F">
          <w:rPr>
            <w:rStyle w:val="Hyperlink"/>
            <w:szCs w:val="16"/>
          </w:rPr>
          <w:t>https://www.jobsandskills.gov.au/publications/the-clean-energy-generation</w:t>
        </w:r>
      </w:hyperlink>
    </w:p>
    <w:p w14:paraId="2D9AF890" w14:textId="77777777" w:rsidR="00FD6C33" w:rsidRPr="003D290F" w:rsidRDefault="00FD6C33" w:rsidP="00E52AA9">
      <w:pPr>
        <w:pStyle w:val="FootnoteText"/>
        <w:spacing w:before="60" w:after="120"/>
        <w:ind w:left="284" w:hanging="284"/>
        <w:rPr>
          <w:szCs w:val="16"/>
        </w:rPr>
      </w:pPr>
      <w:r w:rsidRPr="003D290F">
        <w:rPr>
          <w:szCs w:val="16"/>
        </w:rPr>
        <w:t>Morris, A et al</w:t>
      </w:r>
      <w:r w:rsidR="00D175DF">
        <w:rPr>
          <w:szCs w:val="16"/>
        </w:rPr>
        <w:t>.</w:t>
      </w:r>
      <w:r w:rsidRPr="003D290F">
        <w:rPr>
          <w:szCs w:val="16"/>
        </w:rPr>
        <w:t xml:space="preserve">, (Jul. 2019), </w:t>
      </w:r>
      <w:r w:rsidRPr="003D290F">
        <w:rPr>
          <w:i/>
          <w:szCs w:val="16"/>
        </w:rPr>
        <w:t xml:space="preserve">The Risk of Fiscal Collapse in Coal-Reliant Communities. </w:t>
      </w:r>
      <w:r w:rsidRPr="003D290F">
        <w:rPr>
          <w:szCs w:val="16"/>
        </w:rPr>
        <w:t xml:space="preserve">Columbia Centre of Global Energy Policy. </w:t>
      </w:r>
      <w:hyperlink r:id="rId72" w:history="1">
        <w:r w:rsidRPr="003D290F">
          <w:rPr>
            <w:rStyle w:val="Hyperlink"/>
            <w:szCs w:val="16"/>
          </w:rPr>
          <w:t>https://www.brookings.edu/wp-content/uploads/2019/05/Morris_Kaufman_Doshi_RiskofFiscalCollapseinCoalReliantCommunities-CGEP_Report_FINAL.pdf</w:t>
        </w:r>
      </w:hyperlink>
    </w:p>
    <w:p w14:paraId="2D3E6BA1" w14:textId="77777777" w:rsidR="00FD6C33" w:rsidRPr="003D290F" w:rsidRDefault="002846B9" w:rsidP="00E52AA9">
      <w:pPr>
        <w:pStyle w:val="FootnoteText"/>
        <w:spacing w:before="60" w:after="120"/>
        <w:ind w:left="284" w:hanging="284"/>
        <w:rPr>
          <w:szCs w:val="16"/>
        </w:rPr>
      </w:pPr>
      <w:r w:rsidRPr="003D290F">
        <w:rPr>
          <w:szCs w:val="16"/>
        </w:rPr>
        <w:t>Jobs and Skills Australia</w:t>
      </w:r>
      <w:r w:rsidR="00FD6C33" w:rsidRPr="003D290F">
        <w:rPr>
          <w:szCs w:val="16"/>
        </w:rPr>
        <w:t xml:space="preserve">, (Nov. 2022), </w:t>
      </w:r>
      <w:r w:rsidR="00FD6C33" w:rsidRPr="003D290F">
        <w:rPr>
          <w:i/>
          <w:szCs w:val="16"/>
        </w:rPr>
        <w:t>Small Area Labour Markets.</w:t>
      </w:r>
      <w:r w:rsidR="00FD6C33" w:rsidRPr="003D290F">
        <w:rPr>
          <w:szCs w:val="16"/>
        </w:rPr>
        <w:t xml:space="preserve"> </w:t>
      </w:r>
      <w:hyperlink r:id="rId73" w:history="1">
        <w:r w:rsidR="00FD6C33" w:rsidRPr="003D290F">
          <w:rPr>
            <w:rStyle w:val="Hyperlink"/>
            <w:szCs w:val="16"/>
          </w:rPr>
          <w:t>https://www.nationalskillscommission.gov.au/topics/small-area-labour-markets</w:t>
        </w:r>
      </w:hyperlink>
    </w:p>
    <w:p w14:paraId="4EB3C59F" w14:textId="77777777" w:rsidR="00FD6C33" w:rsidRPr="003D290F" w:rsidRDefault="00FD6C33" w:rsidP="00E52AA9">
      <w:pPr>
        <w:pStyle w:val="FootnoteText"/>
        <w:spacing w:before="60" w:after="120"/>
        <w:ind w:left="284" w:hanging="284"/>
        <w:rPr>
          <w:szCs w:val="16"/>
        </w:rPr>
      </w:pPr>
      <w:r w:rsidRPr="003D290F">
        <w:rPr>
          <w:szCs w:val="16"/>
        </w:rPr>
        <w:t xml:space="preserve">Premier of Victoria, Hon Jacinta Allan MP, (Aug. 2023), </w:t>
      </w:r>
      <w:r w:rsidRPr="003D290F">
        <w:rPr>
          <w:i/>
          <w:szCs w:val="16"/>
        </w:rPr>
        <w:t>Agreement Secures Transition For Loy Yang A</w:t>
      </w:r>
      <w:r w:rsidRPr="003D290F">
        <w:rPr>
          <w:szCs w:val="16"/>
        </w:rPr>
        <w:t xml:space="preserve">. </w:t>
      </w:r>
      <w:hyperlink r:id="rId74" w:history="1">
        <w:r w:rsidRPr="003D290F">
          <w:rPr>
            <w:rStyle w:val="Hyperlink"/>
            <w:szCs w:val="16"/>
          </w:rPr>
          <w:t>https://www.premier.vic.gov.au/agreement-secures-transition-loy-yang</w:t>
        </w:r>
      </w:hyperlink>
    </w:p>
    <w:p w14:paraId="61B13F33" w14:textId="77777777" w:rsidR="00FD6C33" w:rsidRPr="003D290F" w:rsidRDefault="00FD6C33" w:rsidP="00E52AA9">
      <w:pPr>
        <w:pStyle w:val="FootnoteText"/>
        <w:spacing w:before="60" w:after="120"/>
        <w:ind w:left="284" w:hanging="284"/>
        <w:rPr>
          <w:szCs w:val="16"/>
        </w:rPr>
      </w:pPr>
      <w:r w:rsidRPr="003D290F">
        <w:rPr>
          <w:szCs w:val="16"/>
        </w:rPr>
        <w:t xml:space="preserve">Queensland Government Department of Energy and Public Works, (Oct. 2023), </w:t>
      </w:r>
      <w:r w:rsidRPr="003D290F">
        <w:rPr>
          <w:i/>
          <w:szCs w:val="16"/>
        </w:rPr>
        <w:t>Queensland Energy and Jobs Plan: Workers</w:t>
      </w:r>
      <w:r w:rsidRPr="003D290F">
        <w:rPr>
          <w:szCs w:val="16"/>
        </w:rPr>
        <w:t xml:space="preserve">. </w:t>
      </w:r>
      <w:hyperlink r:id="rId75" w:history="1">
        <w:r w:rsidRPr="003D290F">
          <w:rPr>
            <w:rStyle w:val="Hyperlink"/>
            <w:szCs w:val="16"/>
          </w:rPr>
          <w:t>https://www.epw.qld.gov.au/energyandjobsplan/benefits/workers</w:t>
        </w:r>
      </w:hyperlink>
    </w:p>
    <w:p w14:paraId="67D26A95" w14:textId="77777777" w:rsidR="00FD6C33" w:rsidRPr="003D290F" w:rsidRDefault="00FD6C33" w:rsidP="00E52AA9">
      <w:pPr>
        <w:pStyle w:val="FootnoteText"/>
        <w:spacing w:before="60" w:after="120"/>
        <w:ind w:left="284" w:hanging="284"/>
        <w:rPr>
          <w:szCs w:val="16"/>
        </w:rPr>
      </w:pPr>
      <w:r w:rsidRPr="003D290F">
        <w:rPr>
          <w:szCs w:val="16"/>
        </w:rPr>
        <w:t xml:space="preserve">Rio Tinto, (2023), </w:t>
      </w:r>
      <w:r w:rsidRPr="003D290F">
        <w:rPr>
          <w:i/>
          <w:szCs w:val="16"/>
        </w:rPr>
        <w:t>Health, Safety &amp; Wellbeing.</w:t>
      </w:r>
      <w:r w:rsidRPr="003D290F">
        <w:rPr>
          <w:szCs w:val="16"/>
        </w:rPr>
        <w:t xml:space="preserve"> </w:t>
      </w:r>
      <w:hyperlink r:id="rId76" w:history="1">
        <w:r w:rsidRPr="003D290F">
          <w:rPr>
            <w:rStyle w:val="Hyperlink"/>
            <w:szCs w:val="16"/>
          </w:rPr>
          <w:t>https://www.riotinto.com/en/sustainability/health-safety-wellbeing</w:t>
        </w:r>
      </w:hyperlink>
    </w:p>
    <w:p w14:paraId="0E4FB4EB" w14:textId="77777777" w:rsidR="00FD6C33" w:rsidRPr="003D290F" w:rsidRDefault="00FD6C33" w:rsidP="00E52AA9">
      <w:pPr>
        <w:pStyle w:val="FootnoteText"/>
        <w:spacing w:before="60" w:after="120"/>
        <w:ind w:left="284" w:hanging="284"/>
        <w:rPr>
          <w:szCs w:val="16"/>
        </w:rPr>
      </w:pPr>
      <w:r w:rsidRPr="003D290F">
        <w:rPr>
          <w:color w:val="000000"/>
          <w:szCs w:val="16"/>
        </w:rPr>
        <w:t xml:space="preserve">Shepherd, T, (Nov. 2021), </w:t>
      </w:r>
      <w:r w:rsidRPr="003D290F">
        <w:rPr>
          <w:i/>
          <w:szCs w:val="16"/>
        </w:rPr>
        <w:t>Australia promises jobs to workers stranded by scrapping of French submarine deal.</w:t>
      </w:r>
      <w:r w:rsidRPr="003D290F">
        <w:rPr>
          <w:szCs w:val="16"/>
        </w:rPr>
        <w:t xml:space="preserve"> The Guardian. </w:t>
      </w:r>
      <w:hyperlink r:id="rId77" w:history="1">
        <w:r w:rsidRPr="003D290F">
          <w:rPr>
            <w:rStyle w:val="Hyperlink"/>
            <w:szCs w:val="16"/>
          </w:rPr>
          <w:t>https://www.theguardian.com/world/2021/nov/09/australia-promises-jobs-to-workers-stranded-by-scrapping-of-french-submarine-deal</w:t>
        </w:r>
      </w:hyperlink>
    </w:p>
    <w:p w14:paraId="22DC463B" w14:textId="77777777" w:rsidR="00FD6C33" w:rsidRPr="003D290F" w:rsidRDefault="00FD6C33" w:rsidP="00E52AA9">
      <w:pPr>
        <w:pStyle w:val="FootnoteText"/>
        <w:spacing w:before="60" w:after="120"/>
        <w:ind w:left="284" w:hanging="284"/>
        <w:rPr>
          <w:szCs w:val="16"/>
        </w:rPr>
      </w:pPr>
      <w:r w:rsidRPr="003D290F">
        <w:rPr>
          <w:szCs w:val="16"/>
        </w:rPr>
        <w:t xml:space="preserve">Synergy, (2023), </w:t>
      </w:r>
      <w:r w:rsidRPr="003D290F">
        <w:rPr>
          <w:i/>
          <w:szCs w:val="16"/>
        </w:rPr>
        <w:t>Muja Power Station Workforce Transition Program</w:t>
      </w:r>
      <w:r w:rsidRPr="003D290F">
        <w:rPr>
          <w:szCs w:val="16"/>
        </w:rPr>
        <w:t xml:space="preserve">. </w:t>
      </w:r>
      <w:hyperlink r:id="rId78" w:history="1">
        <w:r w:rsidRPr="003D290F">
          <w:rPr>
            <w:rStyle w:val="Hyperlink"/>
            <w:szCs w:val="16"/>
          </w:rPr>
          <w:t>https://www.synergy.net.au/About-us/Community-Investment/Muja-Workforce-Transition-Program</w:t>
        </w:r>
      </w:hyperlink>
    </w:p>
    <w:p w14:paraId="777F1B60" w14:textId="77777777" w:rsidR="00FD6C33" w:rsidRPr="003D290F" w:rsidRDefault="00FF583D" w:rsidP="00E52AA9">
      <w:pPr>
        <w:pStyle w:val="FootnoteText"/>
        <w:spacing w:before="60" w:after="120"/>
        <w:ind w:left="284" w:hanging="284"/>
        <w:rPr>
          <w:szCs w:val="16"/>
        </w:rPr>
      </w:pPr>
      <w:r w:rsidRPr="003D290F">
        <w:rPr>
          <w:szCs w:val="16"/>
        </w:rPr>
        <w:t xml:space="preserve">Treasury, (Sep. 2023), </w:t>
      </w:r>
      <w:r w:rsidRPr="003D290F">
        <w:rPr>
          <w:i/>
          <w:szCs w:val="16"/>
        </w:rPr>
        <w:t xml:space="preserve">Working Future: The Australian Government’s White Paper on Jobs and Opportunities. </w:t>
      </w:r>
      <w:r w:rsidR="00D034FA" w:rsidRPr="003D290F">
        <w:rPr>
          <w:szCs w:val="16"/>
        </w:rPr>
        <w:t>Commonwealth of Australia</w:t>
      </w:r>
      <w:r w:rsidRPr="003D290F">
        <w:rPr>
          <w:szCs w:val="16"/>
        </w:rPr>
        <w:t>.</w:t>
      </w:r>
      <w:r w:rsidR="00D034FA" w:rsidRPr="003D290F">
        <w:rPr>
          <w:szCs w:val="16"/>
        </w:rPr>
        <w:t xml:space="preserve"> </w:t>
      </w:r>
      <w:hyperlink r:id="rId79" w:history="1">
        <w:r w:rsidRPr="003D290F">
          <w:rPr>
            <w:rStyle w:val="Hyperlink"/>
            <w:szCs w:val="16"/>
          </w:rPr>
          <w:t>https://treasury.gov.au/sites/default/files/2023-10/p2023-447996-working-future.pdf</w:t>
        </w:r>
      </w:hyperlink>
    </w:p>
    <w:p w14:paraId="624A18D3" w14:textId="77777777" w:rsidR="00FD6C33" w:rsidRPr="003D290F" w:rsidRDefault="00FD6C33" w:rsidP="00E52AA9">
      <w:pPr>
        <w:pStyle w:val="FootnoteText"/>
        <w:spacing w:before="60" w:after="120"/>
        <w:ind w:left="284" w:hanging="284"/>
        <w:rPr>
          <w:szCs w:val="16"/>
        </w:rPr>
      </w:pPr>
      <w:r w:rsidRPr="003D290F">
        <w:rPr>
          <w:szCs w:val="16"/>
        </w:rPr>
        <w:t xml:space="preserve">Victorian Department of Jobs, Precincts and Regions, </w:t>
      </w:r>
      <w:hyperlink r:id="rId80" w:history="1">
        <w:r w:rsidRPr="003D290F">
          <w:rPr>
            <w:rStyle w:val="Hyperlink"/>
            <w:rFonts w:cs="Segoe UI"/>
            <w:color w:val="000000"/>
            <w:szCs w:val="16"/>
            <w:u w:val="none"/>
          </w:rPr>
          <w:t>(Dec. 2021),</w:t>
        </w:r>
      </w:hyperlink>
      <w:r w:rsidRPr="003D290F">
        <w:rPr>
          <w:rStyle w:val="Hyperlink"/>
          <w:rFonts w:cs="Segoe UI"/>
          <w:color w:val="000000"/>
          <w:szCs w:val="16"/>
          <w:u w:val="none"/>
        </w:rPr>
        <w:t xml:space="preserve"> </w:t>
      </w:r>
      <w:r w:rsidRPr="003D290F">
        <w:rPr>
          <w:rFonts w:cs="Segoe UI"/>
          <w:i/>
          <w:szCs w:val="16"/>
        </w:rPr>
        <w:t>Submission to the Victorian Parliamentary Inquiry into the Closure of the Hazelwood and Yallourn Power Stations</w:t>
      </w:r>
      <w:r w:rsidRPr="003D290F">
        <w:rPr>
          <w:i/>
          <w:szCs w:val="16"/>
        </w:rPr>
        <w:t>.</w:t>
      </w:r>
      <w:r w:rsidRPr="003D290F">
        <w:rPr>
          <w:szCs w:val="16"/>
        </w:rPr>
        <w:t xml:space="preserve"> </w:t>
      </w:r>
      <w:hyperlink r:id="rId81" w:history="1">
        <w:r w:rsidRPr="003D290F">
          <w:rPr>
            <w:rStyle w:val="Hyperlink"/>
            <w:rFonts w:cs="Segoe UI"/>
            <w:color w:val="0563C6"/>
            <w:szCs w:val="16"/>
          </w:rPr>
          <w:t>https://new.parliament.vic.gov.au/4a4d4e/contentassets/cb0c1b3c0b664bdc8778b03b80fa8f00/submission-documents/062---department-of-jobs-precincts-and-regions.pdf</w:t>
        </w:r>
      </w:hyperlink>
    </w:p>
    <w:p w14:paraId="4FA746AB" w14:textId="77777777" w:rsidR="00FD6C33" w:rsidRPr="003D290F" w:rsidRDefault="00FD6C33" w:rsidP="00E52AA9">
      <w:pPr>
        <w:pStyle w:val="FootnoteText"/>
        <w:spacing w:before="60" w:after="120"/>
        <w:ind w:left="284" w:hanging="284"/>
        <w:rPr>
          <w:szCs w:val="16"/>
        </w:rPr>
      </w:pPr>
      <w:r w:rsidRPr="003D290F">
        <w:rPr>
          <w:szCs w:val="16"/>
        </w:rPr>
        <w:t xml:space="preserve">Victorian Department of Jobs, Precincts and Regions, </w:t>
      </w:r>
      <w:hyperlink r:id="rId82" w:history="1">
        <w:r w:rsidRPr="003D290F">
          <w:rPr>
            <w:rStyle w:val="Hyperlink"/>
            <w:rFonts w:cs="Segoe UI"/>
            <w:color w:val="000000"/>
            <w:szCs w:val="16"/>
            <w:u w:val="none"/>
          </w:rPr>
          <w:t>(Dec. 2021),</w:t>
        </w:r>
      </w:hyperlink>
      <w:r w:rsidRPr="003D290F">
        <w:rPr>
          <w:rStyle w:val="Hyperlink"/>
          <w:rFonts w:cs="Segoe UI"/>
          <w:i/>
          <w:color w:val="000000"/>
          <w:szCs w:val="16"/>
          <w:u w:val="none"/>
        </w:rPr>
        <w:t xml:space="preserve"> </w:t>
      </w:r>
      <w:r w:rsidRPr="003D290F">
        <w:rPr>
          <w:rFonts w:cs="Segoe UI"/>
          <w:i/>
          <w:szCs w:val="16"/>
        </w:rPr>
        <w:t>Submission No.62 to the Victorian Parliamentary Inquiry into the Closure of the Hazelwood and Yallourn Power Stations</w:t>
      </w:r>
      <w:r w:rsidRPr="003D290F">
        <w:rPr>
          <w:i/>
          <w:szCs w:val="16"/>
        </w:rPr>
        <w:t>.</w:t>
      </w:r>
      <w:r w:rsidRPr="003D290F">
        <w:rPr>
          <w:szCs w:val="16"/>
        </w:rPr>
        <w:t xml:space="preserve"> </w:t>
      </w:r>
      <w:hyperlink r:id="rId83" w:history="1">
        <w:r w:rsidRPr="003D290F">
          <w:rPr>
            <w:rStyle w:val="Hyperlink"/>
            <w:szCs w:val="16"/>
          </w:rPr>
          <w:t>https://new.parliament.vic.gov.au/4a4d4e/contentassets/cb0c1b3c0b664bdc8778b03b80fa8f00/submission-documents/062---department-of-jobs-precincts-and-regions.pdf</w:t>
        </w:r>
      </w:hyperlink>
    </w:p>
    <w:p w14:paraId="5F4EFD2A" w14:textId="77777777" w:rsidR="00D034FA" w:rsidRPr="003D290F" w:rsidRDefault="00FD6C33" w:rsidP="00E52AA9">
      <w:pPr>
        <w:pStyle w:val="FootnoteText"/>
        <w:spacing w:before="60" w:after="120"/>
        <w:ind w:left="284" w:hanging="284"/>
        <w:rPr>
          <w:szCs w:val="16"/>
        </w:rPr>
      </w:pPr>
      <w:r w:rsidRPr="003D290F">
        <w:rPr>
          <w:szCs w:val="16"/>
        </w:rPr>
        <w:t>Wiseman, J et al</w:t>
      </w:r>
      <w:r w:rsidR="00D175DF">
        <w:rPr>
          <w:szCs w:val="16"/>
        </w:rPr>
        <w:t>.</w:t>
      </w:r>
      <w:r w:rsidRPr="003D290F">
        <w:rPr>
          <w:szCs w:val="16"/>
        </w:rPr>
        <w:t>, (Nov. 2020</w:t>
      </w:r>
      <w:r w:rsidRPr="003D290F">
        <w:rPr>
          <w:i/>
          <w:szCs w:val="16"/>
        </w:rPr>
        <w:t>), After the Hazelwood coal fired power station closure: Latrobe Valley regional transition policies and outcomes 2017-2020</w:t>
      </w:r>
      <w:r w:rsidRPr="003D290F">
        <w:rPr>
          <w:szCs w:val="16"/>
        </w:rPr>
        <w:t xml:space="preserve">. Crawford School of Public Policy, Centre for Climate and Energy Policy, ANU. </w:t>
      </w:r>
      <w:hyperlink r:id="rId84" w:history="1">
        <w:r w:rsidRPr="003D290F">
          <w:rPr>
            <w:rStyle w:val="Hyperlink"/>
            <w:szCs w:val="16"/>
          </w:rPr>
          <w:t>https://ccep.crawford.anu.edu.au/sites/default/files/publication/ccep_crawford_anu_edu_au/2020-11/ccep20-10_wiseman_workman_fastenrath_jotzo_after_hazelwood.pdf</w:t>
        </w:r>
      </w:hyperlink>
    </w:p>
    <w:p w14:paraId="74531570" w14:textId="77777777" w:rsidR="008B1B76" w:rsidRPr="003D290F" w:rsidRDefault="008B1B76" w:rsidP="008B1B76">
      <w:pPr>
        <w:rPr>
          <w:rFonts w:eastAsiaTheme="majorEastAsia" w:cstheme="majorBidi"/>
          <w:color w:val="1B375C" w:themeColor="accent1"/>
          <w:sz w:val="48"/>
          <w:szCs w:val="40"/>
        </w:rPr>
      </w:pPr>
      <w:r w:rsidRPr="003D290F">
        <w:br w:type="page"/>
      </w:r>
    </w:p>
    <w:p w14:paraId="326A5A15" w14:textId="77777777" w:rsidR="007550AB" w:rsidRPr="003D290F" w:rsidRDefault="007550AB" w:rsidP="00AA30B5">
      <w:pPr>
        <w:pStyle w:val="Heading1"/>
      </w:pPr>
      <w:bookmarkStart w:id="423" w:name="_Toc161396022"/>
      <w:bookmarkStart w:id="424" w:name="_Toc161403558"/>
      <w:bookmarkStart w:id="425" w:name="_Toc161752291"/>
      <w:bookmarkStart w:id="426" w:name="_Toc161759729"/>
      <w:r w:rsidRPr="003D290F">
        <w:lastRenderedPageBreak/>
        <w:t xml:space="preserve">Appendix </w:t>
      </w:r>
      <w:r w:rsidR="00B777DF" w:rsidRPr="003D290F">
        <w:t>A</w:t>
      </w:r>
      <w:bookmarkEnd w:id="423"/>
      <w:bookmarkEnd w:id="424"/>
      <w:bookmarkEnd w:id="425"/>
      <w:bookmarkEnd w:id="426"/>
    </w:p>
    <w:p w14:paraId="350E9CCA" w14:textId="77777777" w:rsidR="00D21224" w:rsidRPr="003D290F" w:rsidRDefault="00226661" w:rsidP="007550AB">
      <w:pPr>
        <w:pStyle w:val="Heading2"/>
      </w:pPr>
      <w:bookmarkStart w:id="427" w:name="_Toc155604663"/>
      <w:bookmarkStart w:id="428" w:name="_Toc161396023"/>
      <w:bookmarkStart w:id="429" w:name="_Toc161403559"/>
      <w:bookmarkStart w:id="430" w:name="_Toc161752292"/>
      <w:bookmarkStart w:id="431" w:name="_Toc161759730"/>
      <w:r w:rsidRPr="003D290F">
        <w:t>Table</w:t>
      </w:r>
      <w:r w:rsidR="00D21224" w:rsidRPr="003D290F">
        <w:t xml:space="preserve"> of c</w:t>
      </w:r>
      <w:r w:rsidR="00ED7D62" w:rsidRPr="003D290F">
        <w:t>oal-fired power station closures</w:t>
      </w:r>
      <w:bookmarkEnd w:id="427"/>
      <w:bookmarkEnd w:id="428"/>
      <w:bookmarkEnd w:id="429"/>
      <w:bookmarkEnd w:id="430"/>
      <w:bookmarkEnd w:id="431"/>
    </w:p>
    <w:tbl>
      <w:tblPr>
        <w:tblStyle w:val="TableGrid1"/>
        <w:tblW w:w="5000" w:type="pct"/>
        <w:tblBorders>
          <w:top w:val="single" w:sz="12" w:space="0" w:color="auto"/>
          <w:left w:val="single" w:sz="12" w:space="0" w:color="auto"/>
          <w:bottom w:val="single" w:sz="12" w:space="0" w:color="auto"/>
          <w:right w:val="single" w:sz="12" w:space="0" w:color="auto"/>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820"/>
        <w:gridCol w:w="1841"/>
        <w:gridCol w:w="1844"/>
        <w:gridCol w:w="3669"/>
      </w:tblGrid>
      <w:tr w:rsidR="008B40DC" w:rsidRPr="003D290F" w14:paraId="4F9A3EEC" w14:textId="77777777" w:rsidTr="00825212">
        <w:trPr>
          <w:trHeight w:val="376"/>
          <w:tblHeader/>
        </w:trPr>
        <w:tc>
          <w:tcPr>
            <w:tcW w:w="1386" w:type="pct"/>
            <w:tcBorders>
              <w:top w:val="single" w:sz="12" w:space="0" w:color="auto"/>
              <w:bottom w:val="single" w:sz="12" w:space="0" w:color="auto"/>
            </w:tcBorders>
            <w:shd w:val="clear" w:color="auto" w:fill="1B375C"/>
            <w:vAlign w:val="center"/>
          </w:tcPr>
          <w:p w14:paraId="0CA1BDF7" w14:textId="77777777" w:rsidR="008B40DC" w:rsidRPr="003D290F" w:rsidRDefault="008B40DC" w:rsidP="007F0B2D">
            <w:pPr>
              <w:rPr>
                <w:rFonts w:eastAsia="Times New Roman" w:cs="Segoe UI"/>
                <w:b/>
                <w:sz w:val="20"/>
                <w:szCs w:val="20"/>
              </w:rPr>
            </w:pPr>
            <w:r w:rsidRPr="003D290F">
              <w:rPr>
                <w:rFonts w:eastAsia="Times New Roman" w:cs="Segoe UI"/>
                <w:b/>
                <w:sz w:val="20"/>
                <w:szCs w:val="20"/>
              </w:rPr>
              <w:t>FACILITY</w:t>
            </w:r>
          </w:p>
        </w:tc>
        <w:tc>
          <w:tcPr>
            <w:tcW w:w="905" w:type="pct"/>
            <w:tcBorders>
              <w:top w:val="single" w:sz="12" w:space="0" w:color="auto"/>
              <w:bottom w:val="single" w:sz="12" w:space="0" w:color="auto"/>
            </w:tcBorders>
            <w:shd w:val="clear" w:color="auto" w:fill="1B375C"/>
            <w:vAlign w:val="center"/>
          </w:tcPr>
          <w:p w14:paraId="34015245" w14:textId="77777777" w:rsidR="008B40DC" w:rsidRPr="003D290F" w:rsidRDefault="008B40DC" w:rsidP="007F0B2D">
            <w:pPr>
              <w:rPr>
                <w:rFonts w:eastAsia="Times New Roman" w:cs="Segoe UI"/>
                <w:b/>
                <w:sz w:val="20"/>
                <w:szCs w:val="20"/>
              </w:rPr>
            </w:pPr>
            <w:r w:rsidRPr="003D290F">
              <w:rPr>
                <w:rFonts w:eastAsia="Times New Roman" w:cs="Segoe UI"/>
                <w:b/>
                <w:sz w:val="20"/>
                <w:szCs w:val="20"/>
              </w:rPr>
              <w:t>REGION</w:t>
            </w:r>
          </w:p>
        </w:tc>
        <w:tc>
          <w:tcPr>
            <w:tcW w:w="906" w:type="pct"/>
            <w:tcBorders>
              <w:top w:val="single" w:sz="12" w:space="0" w:color="auto"/>
              <w:bottom w:val="single" w:sz="12" w:space="0" w:color="auto"/>
            </w:tcBorders>
            <w:shd w:val="clear" w:color="auto" w:fill="1B375C"/>
            <w:vAlign w:val="center"/>
          </w:tcPr>
          <w:p w14:paraId="31BDFAFB" w14:textId="77777777" w:rsidR="008B40DC" w:rsidRPr="003D290F" w:rsidRDefault="008B40DC" w:rsidP="007F0B2D">
            <w:pPr>
              <w:jc w:val="center"/>
              <w:rPr>
                <w:rFonts w:eastAsia="Times New Roman" w:cs="Segoe UI"/>
                <w:b/>
                <w:sz w:val="20"/>
                <w:szCs w:val="20"/>
              </w:rPr>
            </w:pPr>
            <w:r w:rsidRPr="003D290F">
              <w:rPr>
                <w:rFonts w:eastAsia="Times New Roman" w:cs="Segoe UI"/>
                <w:b/>
                <w:sz w:val="20"/>
                <w:szCs w:val="20"/>
              </w:rPr>
              <w:t>EXPECTED CLOSURE YEAR</w:t>
            </w:r>
          </w:p>
        </w:tc>
        <w:tc>
          <w:tcPr>
            <w:tcW w:w="1803" w:type="pct"/>
            <w:tcBorders>
              <w:top w:val="single" w:sz="12" w:space="0" w:color="auto"/>
              <w:bottom w:val="single" w:sz="12" w:space="0" w:color="auto"/>
            </w:tcBorders>
            <w:shd w:val="clear" w:color="auto" w:fill="1B375C"/>
          </w:tcPr>
          <w:p w14:paraId="605247D2" w14:textId="77777777" w:rsidR="008B40DC" w:rsidRPr="003D290F" w:rsidRDefault="008B40DC">
            <w:pPr>
              <w:jc w:val="center"/>
              <w:rPr>
                <w:rFonts w:eastAsia="Times New Roman" w:cs="Segoe UI"/>
                <w:b/>
                <w:sz w:val="20"/>
                <w:szCs w:val="20"/>
              </w:rPr>
            </w:pPr>
            <w:r w:rsidRPr="003D290F">
              <w:rPr>
                <w:rFonts w:eastAsia="Times New Roman" w:cs="Segoe UI"/>
                <w:b/>
                <w:sz w:val="20"/>
                <w:szCs w:val="20"/>
              </w:rPr>
              <w:t>SCOPE</w:t>
            </w:r>
            <w:r w:rsidR="00E600EA">
              <w:rPr>
                <w:rFonts w:eastAsia="Times New Roman" w:cs="Segoe UI"/>
                <w:b/>
                <w:sz w:val="20"/>
                <w:szCs w:val="20"/>
              </w:rPr>
              <w:t xml:space="preserve"> FOR THE PURPOSES OF THIS ANALYSIS</w:t>
            </w:r>
          </w:p>
        </w:tc>
      </w:tr>
      <w:tr w:rsidR="008B40DC" w:rsidRPr="003D290F" w14:paraId="7603075B" w14:textId="77777777" w:rsidTr="00825212">
        <w:trPr>
          <w:trHeight w:val="238"/>
        </w:trPr>
        <w:tc>
          <w:tcPr>
            <w:tcW w:w="1386" w:type="pct"/>
            <w:tcBorders>
              <w:top w:val="single" w:sz="12" w:space="0" w:color="auto"/>
              <w:left w:val="nil"/>
              <w:bottom w:val="single" w:sz="4" w:space="0" w:color="FFFFFF"/>
            </w:tcBorders>
            <w:shd w:val="clear" w:color="auto" w:fill="E0E8F2"/>
            <w:vAlign w:val="center"/>
          </w:tcPr>
          <w:p w14:paraId="6B6CB255" w14:textId="77777777" w:rsidR="008B40DC" w:rsidRPr="003D290F" w:rsidRDefault="008B40DC" w:rsidP="008B40DC">
            <w:pPr>
              <w:rPr>
                <w:rFonts w:eastAsia="Times New Roman" w:cs="Segoe UI"/>
                <w:b/>
                <w:sz w:val="20"/>
                <w:szCs w:val="20"/>
              </w:rPr>
            </w:pPr>
            <w:r w:rsidRPr="003D290F">
              <w:rPr>
                <w:rFonts w:cs="Segoe UI"/>
                <w:b/>
                <w:bCs/>
                <w:color w:val="000000"/>
                <w:sz w:val="20"/>
                <w:szCs w:val="20"/>
              </w:rPr>
              <w:t>Muja Power Station C</w:t>
            </w:r>
          </w:p>
        </w:tc>
        <w:tc>
          <w:tcPr>
            <w:tcW w:w="905" w:type="pct"/>
            <w:tcBorders>
              <w:top w:val="single" w:sz="12" w:space="0" w:color="auto"/>
              <w:bottom w:val="single" w:sz="4" w:space="0" w:color="FFFFFF"/>
            </w:tcBorders>
            <w:shd w:val="clear" w:color="auto" w:fill="E0E8F2"/>
            <w:vAlign w:val="center"/>
          </w:tcPr>
          <w:p w14:paraId="44025579" w14:textId="77777777" w:rsidR="008B40DC" w:rsidRPr="003D290F" w:rsidRDefault="008B40DC" w:rsidP="008B40DC">
            <w:pPr>
              <w:rPr>
                <w:rFonts w:eastAsia="Times New Roman" w:cs="Segoe UI"/>
                <w:sz w:val="20"/>
                <w:szCs w:val="20"/>
              </w:rPr>
            </w:pPr>
            <w:r w:rsidRPr="003D290F">
              <w:rPr>
                <w:rFonts w:cs="Segoe UI"/>
                <w:color w:val="000000"/>
                <w:sz w:val="20"/>
                <w:szCs w:val="20"/>
              </w:rPr>
              <w:t>Collie</w:t>
            </w:r>
          </w:p>
        </w:tc>
        <w:tc>
          <w:tcPr>
            <w:tcW w:w="906" w:type="pct"/>
            <w:tcBorders>
              <w:top w:val="single" w:sz="12" w:space="0" w:color="auto"/>
              <w:bottom w:val="single" w:sz="4" w:space="0" w:color="FFFFFF"/>
              <w:right w:val="nil"/>
            </w:tcBorders>
            <w:shd w:val="clear" w:color="auto" w:fill="E0E8F2"/>
            <w:vAlign w:val="center"/>
          </w:tcPr>
          <w:p w14:paraId="2895E0B2"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Apr-2025</w:t>
            </w:r>
          </w:p>
        </w:tc>
        <w:tc>
          <w:tcPr>
            <w:tcW w:w="1803" w:type="pct"/>
            <w:tcBorders>
              <w:top w:val="single" w:sz="12" w:space="0" w:color="auto"/>
              <w:bottom w:val="single" w:sz="4" w:space="0" w:color="FFFFFF"/>
              <w:right w:val="nil"/>
            </w:tcBorders>
            <w:shd w:val="clear" w:color="auto" w:fill="E0E8F2"/>
          </w:tcPr>
          <w:p w14:paraId="18D9C90F" w14:textId="77777777" w:rsidR="008B40DC" w:rsidRPr="003D290F" w:rsidRDefault="002644C4">
            <w:pPr>
              <w:rPr>
                <w:rFonts w:cs="Segoe UI"/>
                <w:b/>
                <w:color w:val="000000"/>
                <w:sz w:val="20"/>
                <w:szCs w:val="20"/>
              </w:rPr>
            </w:pPr>
            <w:r w:rsidRPr="003D290F">
              <w:rPr>
                <w:rFonts w:cs="Segoe UI"/>
                <w:b/>
                <w:color w:val="000000"/>
                <w:sz w:val="20"/>
                <w:szCs w:val="20"/>
              </w:rPr>
              <w:t>Out-of-scope</w:t>
            </w:r>
            <w:r w:rsidR="003459C0" w:rsidRPr="003D290F">
              <w:rPr>
                <w:rFonts w:cs="Segoe UI"/>
                <w:color w:val="000000"/>
                <w:sz w:val="20"/>
                <w:szCs w:val="20"/>
              </w:rPr>
              <w:t xml:space="preserve">, </w:t>
            </w:r>
            <w:r w:rsidR="00FB135B">
              <w:rPr>
                <w:rFonts w:cs="Segoe UI"/>
                <w:color w:val="000000"/>
                <w:sz w:val="20"/>
                <w:szCs w:val="20"/>
              </w:rPr>
              <w:t>significant</w:t>
            </w:r>
            <w:r w:rsidR="00E600EA">
              <w:rPr>
                <w:rFonts w:cs="Segoe UI"/>
                <w:color w:val="000000"/>
                <w:sz w:val="20"/>
                <w:szCs w:val="20"/>
              </w:rPr>
              <w:t xml:space="preserve"> state government supports </w:t>
            </w:r>
            <w:r w:rsidR="00FB135B">
              <w:rPr>
                <w:rFonts w:cs="Segoe UI"/>
                <w:color w:val="000000"/>
                <w:sz w:val="20"/>
                <w:szCs w:val="20"/>
              </w:rPr>
              <w:t xml:space="preserve">already </w:t>
            </w:r>
            <w:r w:rsidR="00E600EA">
              <w:rPr>
                <w:rFonts w:cs="Segoe UI"/>
                <w:color w:val="000000"/>
                <w:sz w:val="20"/>
                <w:szCs w:val="20"/>
              </w:rPr>
              <w:t>in place</w:t>
            </w:r>
          </w:p>
        </w:tc>
      </w:tr>
      <w:tr w:rsidR="008B40DC" w:rsidRPr="003D290F" w14:paraId="2CD3C809" w14:textId="77777777" w:rsidTr="00825212">
        <w:trPr>
          <w:trHeight w:val="230"/>
        </w:trPr>
        <w:tc>
          <w:tcPr>
            <w:tcW w:w="1386" w:type="pct"/>
            <w:tcBorders>
              <w:top w:val="single" w:sz="4" w:space="0" w:color="FFFFFF"/>
              <w:left w:val="nil"/>
              <w:bottom w:val="single" w:sz="4" w:space="0" w:color="FFFFFF"/>
            </w:tcBorders>
            <w:vAlign w:val="center"/>
          </w:tcPr>
          <w:p w14:paraId="6D3E3620" w14:textId="77777777" w:rsidR="008B40DC" w:rsidRPr="003D290F" w:rsidRDefault="008B40DC" w:rsidP="008B40DC">
            <w:pPr>
              <w:rPr>
                <w:rFonts w:eastAsia="Times New Roman" w:cs="Segoe UI"/>
                <w:b/>
                <w:sz w:val="20"/>
                <w:szCs w:val="20"/>
              </w:rPr>
            </w:pPr>
            <w:r w:rsidRPr="003D290F">
              <w:rPr>
                <w:rFonts w:cs="Segoe UI"/>
                <w:b/>
                <w:bCs/>
                <w:color w:val="000000"/>
                <w:sz w:val="20"/>
                <w:szCs w:val="20"/>
              </w:rPr>
              <w:t>Eraring Power Station</w:t>
            </w:r>
          </w:p>
        </w:tc>
        <w:tc>
          <w:tcPr>
            <w:tcW w:w="905" w:type="pct"/>
            <w:tcBorders>
              <w:top w:val="single" w:sz="4" w:space="0" w:color="FFFFFF"/>
              <w:bottom w:val="single" w:sz="4" w:space="0" w:color="FFFFFF"/>
            </w:tcBorders>
            <w:vAlign w:val="center"/>
          </w:tcPr>
          <w:p w14:paraId="06AF6470"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Hunter Valley</w:t>
            </w:r>
          </w:p>
        </w:tc>
        <w:tc>
          <w:tcPr>
            <w:tcW w:w="906" w:type="pct"/>
            <w:tcBorders>
              <w:top w:val="single" w:sz="4" w:space="0" w:color="FFFFFF"/>
              <w:bottom w:val="single" w:sz="4" w:space="0" w:color="FFFFFF"/>
              <w:right w:val="nil"/>
            </w:tcBorders>
            <w:vAlign w:val="center"/>
          </w:tcPr>
          <w:p w14:paraId="11ACC514"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Aug-2025</w:t>
            </w:r>
          </w:p>
        </w:tc>
        <w:tc>
          <w:tcPr>
            <w:tcW w:w="1803" w:type="pct"/>
            <w:tcBorders>
              <w:top w:val="single" w:sz="4" w:space="0" w:color="FFFFFF"/>
              <w:bottom w:val="single" w:sz="4" w:space="0" w:color="FFFFFF"/>
              <w:right w:val="nil"/>
            </w:tcBorders>
          </w:tcPr>
          <w:p w14:paraId="2C114012" w14:textId="77777777" w:rsidR="008B40DC" w:rsidRPr="003D290F" w:rsidRDefault="008B40DC" w:rsidP="008B40DC">
            <w:pPr>
              <w:rPr>
                <w:rFonts w:cs="Segoe UI"/>
                <w:b/>
                <w:color w:val="000000"/>
                <w:sz w:val="20"/>
                <w:szCs w:val="20"/>
              </w:rPr>
            </w:pPr>
            <w:r w:rsidRPr="003D290F">
              <w:rPr>
                <w:rFonts w:cs="Segoe UI"/>
                <w:b/>
                <w:color w:val="000000"/>
                <w:sz w:val="20"/>
                <w:szCs w:val="20"/>
              </w:rPr>
              <w:t>In-scope</w:t>
            </w:r>
          </w:p>
        </w:tc>
      </w:tr>
      <w:tr w:rsidR="008B40DC" w:rsidRPr="003D290F" w14:paraId="0B4A3E4F" w14:textId="77777777" w:rsidTr="00825212">
        <w:trPr>
          <w:trHeight w:val="230"/>
        </w:trPr>
        <w:tc>
          <w:tcPr>
            <w:tcW w:w="1386" w:type="pct"/>
            <w:tcBorders>
              <w:top w:val="single" w:sz="4" w:space="0" w:color="FFFFFF"/>
              <w:left w:val="nil"/>
              <w:bottom w:val="single" w:sz="4" w:space="0" w:color="FFFFFF"/>
            </w:tcBorders>
            <w:shd w:val="clear" w:color="auto" w:fill="E0E8F2"/>
            <w:vAlign w:val="center"/>
          </w:tcPr>
          <w:p w14:paraId="53ADBE69" w14:textId="77777777" w:rsidR="008B40DC" w:rsidRPr="003D290F" w:rsidRDefault="008B40DC" w:rsidP="008B40DC">
            <w:pPr>
              <w:rPr>
                <w:rFonts w:eastAsia="Times New Roman" w:cs="Segoe UI"/>
                <w:b/>
                <w:sz w:val="20"/>
                <w:szCs w:val="20"/>
              </w:rPr>
            </w:pPr>
            <w:r w:rsidRPr="003D290F">
              <w:rPr>
                <w:rFonts w:cs="Segoe UI"/>
                <w:b/>
                <w:bCs/>
                <w:color w:val="000000"/>
                <w:sz w:val="20"/>
                <w:szCs w:val="20"/>
              </w:rPr>
              <w:t>Collie Power Station</w:t>
            </w:r>
          </w:p>
        </w:tc>
        <w:tc>
          <w:tcPr>
            <w:tcW w:w="905" w:type="pct"/>
            <w:tcBorders>
              <w:top w:val="single" w:sz="4" w:space="0" w:color="FFFFFF"/>
              <w:bottom w:val="single" w:sz="4" w:space="0" w:color="FFFFFF"/>
            </w:tcBorders>
            <w:shd w:val="clear" w:color="auto" w:fill="E0E8F2"/>
            <w:vAlign w:val="center"/>
          </w:tcPr>
          <w:p w14:paraId="4B6EA460"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Collie</w:t>
            </w:r>
          </w:p>
        </w:tc>
        <w:tc>
          <w:tcPr>
            <w:tcW w:w="906" w:type="pct"/>
            <w:tcBorders>
              <w:top w:val="single" w:sz="4" w:space="0" w:color="FFFFFF"/>
              <w:bottom w:val="single" w:sz="4" w:space="0" w:color="FFFFFF"/>
              <w:right w:val="nil"/>
            </w:tcBorders>
            <w:shd w:val="clear" w:color="auto" w:fill="E0E8F2"/>
            <w:vAlign w:val="center"/>
          </w:tcPr>
          <w:p w14:paraId="6EA4D5BB"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Oct-2027</w:t>
            </w:r>
          </w:p>
        </w:tc>
        <w:tc>
          <w:tcPr>
            <w:tcW w:w="1803" w:type="pct"/>
            <w:tcBorders>
              <w:top w:val="single" w:sz="4" w:space="0" w:color="FFFFFF"/>
              <w:bottom w:val="single" w:sz="4" w:space="0" w:color="FFFFFF"/>
              <w:right w:val="nil"/>
            </w:tcBorders>
            <w:shd w:val="clear" w:color="auto" w:fill="E0E8F2"/>
          </w:tcPr>
          <w:p w14:paraId="44A8657D" w14:textId="77777777" w:rsidR="008B40DC" w:rsidRPr="003D290F" w:rsidRDefault="008B40DC">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xml:space="preserve">, </w:t>
            </w:r>
            <w:r w:rsidR="00FB135B">
              <w:rPr>
                <w:rFonts w:cs="Segoe UI"/>
                <w:color w:val="000000"/>
                <w:sz w:val="20"/>
                <w:szCs w:val="20"/>
              </w:rPr>
              <w:t>significant state government supports already in place</w:t>
            </w:r>
          </w:p>
        </w:tc>
      </w:tr>
      <w:tr w:rsidR="008B40DC" w:rsidRPr="003D290F" w14:paraId="61DE4A2C"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3A4524A2"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Callide Power Station B</w:t>
            </w:r>
          </w:p>
        </w:tc>
        <w:tc>
          <w:tcPr>
            <w:tcW w:w="905" w:type="pct"/>
            <w:tcBorders>
              <w:top w:val="single" w:sz="4" w:space="0" w:color="FFFFFF"/>
              <w:bottom w:val="single" w:sz="4" w:space="0" w:color="FFFFFF"/>
            </w:tcBorders>
            <w:shd w:val="clear" w:color="auto" w:fill="auto"/>
            <w:vAlign w:val="center"/>
          </w:tcPr>
          <w:p w14:paraId="099B1CB8" w14:textId="77777777" w:rsidR="008B40DC" w:rsidRPr="003D290F" w:rsidRDefault="008B40DC" w:rsidP="008B40DC">
            <w:pPr>
              <w:rPr>
                <w:rFonts w:eastAsia="Times New Roman" w:cs="Segoe UI"/>
                <w:sz w:val="20"/>
                <w:szCs w:val="20"/>
              </w:rPr>
            </w:pPr>
            <w:r w:rsidRPr="003D290F">
              <w:rPr>
                <w:rFonts w:cs="Segoe UI"/>
                <w:color w:val="000000"/>
                <w:sz w:val="20"/>
                <w:szCs w:val="20"/>
              </w:rPr>
              <w:t>Central QLD</w:t>
            </w:r>
          </w:p>
        </w:tc>
        <w:tc>
          <w:tcPr>
            <w:tcW w:w="906" w:type="pct"/>
            <w:tcBorders>
              <w:top w:val="single" w:sz="4" w:space="0" w:color="FFFFFF"/>
              <w:bottom w:val="single" w:sz="4" w:space="0" w:color="FFFFFF"/>
              <w:right w:val="nil"/>
            </w:tcBorders>
            <w:vAlign w:val="center"/>
          </w:tcPr>
          <w:p w14:paraId="1EA9655C"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2028</w:t>
            </w:r>
          </w:p>
        </w:tc>
        <w:tc>
          <w:tcPr>
            <w:tcW w:w="1803" w:type="pct"/>
            <w:tcBorders>
              <w:top w:val="single" w:sz="4" w:space="0" w:color="FFFFFF"/>
              <w:bottom w:val="single" w:sz="4" w:space="0" w:color="FFFFFF"/>
              <w:right w:val="nil"/>
            </w:tcBorders>
          </w:tcPr>
          <w:p w14:paraId="63A23BD5" w14:textId="77777777" w:rsidR="008B40DC" w:rsidRPr="003D290F" w:rsidRDefault="008B40DC">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xml:space="preserve">, </w:t>
            </w:r>
            <w:r w:rsidR="00FB135B">
              <w:rPr>
                <w:rFonts w:cs="Segoe UI"/>
                <w:color w:val="000000"/>
                <w:sz w:val="20"/>
                <w:szCs w:val="20"/>
              </w:rPr>
              <w:t>significant state government supports already in place</w:t>
            </w:r>
          </w:p>
        </w:tc>
      </w:tr>
      <w:tr w:rsidR="008B40DC" w:rsidRPr="003D290F" w14:paraId="3988E04F" w14:textId="77777777" w:rsidTr="00825212">
        <w:trPr>
          <w:trHeight w:val="222"/>
        </w:trPr>
        <w:tc>
          <w:tcPr>
            <w:tcW w:w="1386" w:type="pct"/>
            <w:tcBorders>
              <w:top w:val="single" w:sz="4" w:space="0" w:color="FFFFFF"/>
              <w:left w:val="nil"/>
              <w:bottom w:val="single" w:sz="4" w:space="0" w:color="FFFFFF"/>
            </w:tcBorders>
            <w:shd w:val="clear" w:color="auto" w:fill="E0E8F2"/>
            <w:vAlign w:val="center"/>
          </w:tcPr>
          <w:p w14:paraId="27D05420"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Yallourn Power Station</w:t>
            </w:r>
          </w:p>
        </w:tc>
        <w:tc>
          <w:tcPr>
            <w:tcW w:w="905" w:type="pct"/>
            <w:tcBorders>
              <w:top w:val="single" w:sz="4" w:space="0" w:color="FFFFFF"/>
              <w:bottom w:val="single" w:sz="4" w:space="0" w:color="FFFFFF"/>
            </w:tcBorders>
            <w:shd w:val="clear" w:color="auto" w:fill="E0E8F2"/>
            <w:vAlign w:val="center"/>
          </w:tcPr>
          <w:p w14:paraId="7E3816CE" w14:textId="77777777" w:rsidR="008B40DC" w:rsidRPr="003D290F" w:rsidRDefault="008B40DC" w:rsidP="008B40DC">
            <w:pPr>
              <w:rPr>
                <w:rFonts w:eastAsia="Times New Roman" w:cs="Segoe UI"/>
                <w:sz w:val="20"/>
                <w:szCs w:val="20"/>
              </w:rPr>
            </w:pPr>
            <w:r w:rsidRPr="003D290F">
              <w:rPr>
                <w:rFonts w:cs="Segoe UI"/>
                <w:color w:val="000000"/>
                <w:sz w:val="20"/>
                <w:szCs w:val="20"/>
              </w:rPr>
              <w:t>Latrobe Valley</w:t>
            </w:r>
          </w:p>
        </w:tc>
        <w:tc>
          <w:tcPr>
            <w:tcW w:w="906" w:type="pct"/>
            <w:tcBorders>
              <w:top w:val="single" w:sz="4" w:space="0" w:color="FFFFFF"/>
              <w:bottom w:val="single" w:sz="4" w:space="0" w:color="FFFFFF"/>
              <w:right w:val="nil"/>
            </w:tcBorders>
            <w:shd w:val="clear" w:color="auto" w:fill="E0E8F2"/>
            <w:vAlign w:val="center"/>
          </w:tcPr>
          <w:p w14:paraId="48CFCC1B"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2028</w:t>
            </w:r>
          </w:p>
        </w:tc>
        <w:tc>
          <w:tcPr>
            <w:tcW w:w="1803" w:type="pct"/>
            <w:tcBorders>
              <w:top w:val="single" w:sz="4" w:space="0" w:color="FFFFFF"/>
              <w:bottom w:val="single" w:sz="4" w:space="0" w:color="FFFFFF"/>
              <w:right w:val="nil"/>
            </w:tcBorders>
            <w:shd w:val="clear" w:color="auto" w:fill="E0E8F2"/>
          </w:tcPr>
          <w:p w14:paraId="66D5F79B" w14:textId="77777777" w:rsidR="008B40DC" w:rsidRPr="003D290F" w:rsidRDefault="008B40DC" w:rsidP="008B40DC">
            <w:pPr>
              <w:rPr>
                <w:rFonts w:cs="Segoe UI"/>
                <w:b/>
                <w:color w:val="000000"/>
                <w:sz w:val="20"/>
                <w:szCs w:val="20"/>
              </w:rPr>
            </w:pPr>
            <w:r w:rsidRPr="003D290F">
              <w:rPr>
                <w:rFonts w:cs="Segoe UI"/>
                <w:b/>
                <w:color w:val="000000"/>
                <w:sz w:val="20"/>
                <w:szCs w:val="20"/>
              </w:rPr>
              <w:t>In-scope</w:t>
            </w:r>
          </w:p>
        </w:tc>
      </w:tr>
      <w:tr w:rsidR="008B40DC" w:rsidRPr="003D290F" w14:paraId="4E745CA1"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5311F8DC"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Muja Power Station D</w:t>
            </w:r>
          </w:p>
        </w:tc>
        <w:tc>
          <w:tcPr>
            <w:tcW w:w="905" w:type="pct"/>
            <w:tcBorders>
              <w:top w:val="single" w:sz="4" w:space="0" w:color="FFFFFF"/>
              <w:bottom w:val="single" w:sz="4" w:space="0" w:color="FFFFFF"/>
            </w:tcBorders>
            <w:shd w:val="clear" w:color="auto" w:fill="auto"/>
            <w:vAlign w:val="center"/>
          </w:tcPr>
          <w:p w14:paraId="7384F8AB" w14:textId="77777777" w:rsidR="008B40DC" w:rsidRPr="003D290F" w:rsidRDefault="008B40DC" w:rsidP="008B40DC">
            <w:pPr>
              <w:rPr>
                <w:rFonts w:eastAsia="Times New Roman" w:cs="Segoe UI"/>
                <w:sz w:val="20"/>
                <w:szCs w:val="20"/>
              </w:rPr>
            </w:pPr>
            <w:r w:rsidRPr="003D290F">
              <w:rPr>
                <w:rFonts w:cs="Segoe UI"/>
                <w:color w:val="000000"/>
                <w:sz w:val="20"/>
                <w:szCs w:val="20"/>
              </w:rPr>
              <w:t>Collie</w:t>
            </w:r>
          </w:p>
        </w:tc>
        <w:tc>
          <w:tcPr>
            <w:tcW w:w="906" w:type="pct"/>
            <w:tcBorders>
              <w:top w:val="single" w:sz="4" w:space="0" w:color="FFFFFF"/>
              <w:bottom w:val="single" w:sz="4" w:space="0" w:color="FFFFFF"/>
              <w:right w:val="nil"/>
            </w:tcBorders>
            <w:vAlign w:val="center"/>
          </w:tcPr>
          <w:p w14:paraId="4F44B5C6"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Oct-2029</w:t>
            </w:r>
          </w:p>
        </w:tc>
        <w:tc>
          <w:tcPr>
            <w:tcW w:w="1803" w:type="pct"/>
            <w:tcBorders>
              <w:top w:val="single" w:sz="4" w:space="0" w:color="FFFFFF"/>
              <w:bottom w:val="single" w:sz="4" w:space="0" w:color="FFFFFF"/>
              <w:right w:val="nil"/>
            </w:tcBorders>
          </w:tcPr>
          <w:p w14:paraId="19FE5E4D" w14:textId="77777777" w:rsidR="008B40DC" w:rsidRPr="003D290F" w:rsidRDefault="008B40DC"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xml:space="preserve">, </w:t>
            </w:r>
            <w:r w:rsidR="00FB135B">
              <w:rPr>
                <w:rFonts w:cs="Segoe UI"/>
                <w:color w:val="000000"/>
                <w:sz w:val="20"/>
                <w:szCs w:val="20"/>
              </w:rPr>
              <w:t>significant state government supports already in place</w:t>
            </w:r>
          </w:p>
        </w:tc>
      </w:tr>
      <w:tr w:rsidR="008B40DC" w:rsidRPr="003D290F" w14:paraId="06F4B1FD" w14:textId="77777777" w:rsidTr="00825212">
        <w:trPr>
          <w:trHeight w:val="230"/>
        </w:trPr>
        <w:tc>
          <w:tcPr>
            <w:tcW w:w="1386" w:type="pct"/>
            <w:tcBorders>
              <w:top w:val="single" w:sz="4" w:space="0" w:color="FFFFFF"/>
              <w:left w:val="nil"/>
              <w:bottom w:val="single" w:sz="4" w:space="0" w:color="FFFFFF"/>
            </w:tcBorders>
            <w:shd w:val="clear" w:color="auto" w:fill="E0E8F2" w:themeFill="background2"/>
            <w:vAlign w:val="center"/>
          </w:tcPr>
          <w:p w14:paraId="61127037"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Bayswater Power Station</w:t>
            </w:r>
          </w:p>
        </w:tc>
        <w:tc>
          <w:tcPr>
            <w:tcW w:w="905" w:type="pct"/>
            <w:tcBorders>
              <w:top w:val="single" w:sz="4" w:space="0" w:color="FFFFFF"/>
              <w:bottom w:val="single" w:sz="4" w:space="0" w:color="FFFFFF"/>
            </w:tcBorders>
            <w:shd w:val="clear" w:color="auto" w:fill="E0E8F2" w:themeFill="background2"/>
            <w:vAlign w:val="center"/>
          </w:tcPr>
          <w:p w14:paraId="1B67E51E"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Hunter Valley</w:t>
            </w:r>
          </w:p>
        </w:tc>
        <w:tc>
          <w:tcPr>
            <w:tcW w:w="906" w:type="pct"/>
            <w:tcBorders>
              <w:top w:val="single" w:sz="4" w:space="0" w:color="FFFFFF"/>
              <w:bottom w:val="single" w:sz="4" w:space="0" w:color="FFFFFF"/>
              <w:right w:val="nil"/>
            </w:tcBorders>
            <w:shd w:val="clear" w:color="auto" w:fill="E0E8F2" w:themeFill="background2"/>
            <w:vAlign w:val="center"/>
          </w:tcPr>
          <w:p w14:paraId="7BCD8264"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2033</w:t>
            </w:r>
          </w:p>
        </w:tc>
        <w:tc>
          <w:tcPr>
            <w:tcW w:w="1803" w:type="pct"/>
            <w:tcBorders>
              <w:top w:val="single" w:sz="4" w:space="0" w:color="FFFFFF"/>
              <w:bottom w:val="single" w:sz="4" w:space="0" w:color="FFFFFF"/>
              <w:right w:val="nil"/>
            </w:tcBorders>
            <w:shd w:val="clear" w:color="auto" w:fill="E0E8F2" w:themeFill="background2"/>
          </w:tcPr>
          <w:p w14:paraId="16103602" w14:textId="77777777" w:rsidR="008B40DC" w:rsidRPr="003D290F" w:rsidRDefault="008B40DC" w:rsidP="008B40DC">
            <w:pPr>
              <w:rPr>
                <w:rFonts w:cs="Segoe UI"/>
                <w:b/>
                <w:color w:val="000000"/>
                <w:sz w:val="20"/>
                <w:szCs w:val="20"/>
              </w:rPr>
            </w:pPr>
            <w:r w:rsidRPr="003D290F">
              <w:rPr>
                <w:rFonts w:cs="Segoe UI"/>
                <w:b/>
                <w:color w:val="000000"/>
                <w:sz w:val="20"/>
                <w:szCs w:val="20"/>
              </w:rPr>
              <w:t>In-scope</w:t>
            </w:r>
          </w:p>
        </w:tc>
      </w:tr>
      <w:tr w:rsidR="008B40DC" w:rsidRPr="003D290F" w14:paraId="45140456"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745CE06B"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Vales Point Power Station</w:t>
            </w:r>
          </w:p>
        </w:tc>
        <w:tc>
          <w:tcPr>
            <w:tcW w:w="905" w:type="pct"/>
            <w:tcBorders>
              <w:top w:val="single" w:sz="4" w:space="0" w:color="FFFFFF"/>
              <w:bottom w:val="single" w:sz="4" w:space="0" w:color="FFFFFF"/>
            </w:tcBorders>
            <w:shd w:val="clear" w:color="auto" w:fill="auto"/>
            <w:vAlign w:val="center"/>
          </w:tcPr>
          <w:p w14:paraId="2A1A5AD7"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Hunter Valley</w:t>
            </w:r>
          </w:p>
        </w:tc>
        <w:tc>
          <w:tcPr>
            <w:tcW w:w="906" w:type="pct"/>
            <w:tcBorders>
              <w:top w:val="single" w:sz="4" w:space="0" w:color="FFFFFF"/>
              <w:bottom w:val="single" w:sz="4" w:space="0" w:color="FFFFFF"/>
              <w:right w:val="nil"/>
            </w:tcBorders>
            <w:vAlign w:val="center"/>
          </w:tcPr>
          <w:p w14:paraId="501BA838"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2033</w:t>
            </w:r>
          </w:p>
        </w:tc>
        <w:tc>
          <w:tcPr>
            <w:tcW w:w="1803" w:type="pct"/>
            <w:tcBorders>
              <w:top w:val="single" w:sz="4" w:space="0" w:color="FFFFFF"/>
              <w:bottom w:val="single" w:sz="4" w:space="0" w:color="FFFFFF"/>
              <w:right w:val="nil"/>
            </w:tcBorders>
          </w:tcPr>
          <w:p w14:paraId="50115C70" w14:textId="77777777" w:rsidR="008B40DC" w:rsidRPr="003D290F" w:rsidRDefault="008B40DC" w:rsidP="008B40DC">
            <w:pPr>
              <w:rPr>
                <w:rFonts w:cs="Segoe UI"/>
                <w:b/>
                <w:color w:val="000000"/>
                <w:sz w:val="20"/>
                <w:szCs w:val="20"/>
              </w:rPr>
            </w:pPr>
            <w:r w:rsidRPr="003D290F">
              <w:rPr>
                <w:rFonts w:cs="Segoe UI"/>
                <w:b/>
                <w:color w:val="000000"/>
                <w:sz w:val="20"/>
                <w:szCs w:val="20"/>
              </w:rPr>
              <w:t>In-scope</w:t>
            </w:r>
          </w:p>
        </w:tc>
      </w:tr>
      <w:tr w:rsidR="008B40DC" w:rsidRPr="003D290F" w14:paraId="3C0700B6" w14:textId="77777777" w:rsidTr="00825212">
        <w:trPr>
          <w:trHeight w:val="230"/>
        </w:trPr>
        <w:tc>
          <w:tcPr>
            <w:tcW w:w="1386" w:type="pct"/>
            <w:tcBorders>
              <w:top w:val="single" w:sz="4" w:space="0" w:color="FFFFFF"/>
              <w:left w:val="nil"/>
              <w:bottom w:val="single" w:sz="4" w:space="0" w:color="FFFFFF"/>
            </w:tcBorders>
            <w:shd w:val="clear" w:color="auto" w:fill="E0E8F2" w:themeFill="background2"/>
            <w:vAlign w:val="center"/>
          </w:tcPr>
          <w:p w14:paraId="2BF7344E"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Gladstone Power Station</w:t>
            </w:r>
          </w:p>
        </w:tc>
        <w:tc>
          <w:tcPr>
            <w:tcW w:w="905" w:type="pct"/>
            <w:tcBorders>
              <w:top w:val="single" w:sz="4" w:space="0" w:color="FFFFFF"/>
              <w:bottom w:val="single" w:sz="4" w:space="0" w:color="FFFFFF"/>
            </w:tcBorders>
            <w:shd w:val="clear" w:color="auto" w:fill="E0E8F2" w:themeFill="background2"/>
            <w:vAlign w:val="center"/>
          </w:tcPr>
          <w:p w14:paraId="459E5EBD"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Gladstone</w:t>
            </w:r>
          </w:p>
        </w:tc>
        <w:tc>
          <w:tcPr>
            <w:tcW w:w="906" w:type="pct"/>
            <w:tcBorders>
              <w:top w:val="single" w:sz="4" w:space="0" w:color="FFFFFF"/>
              <w:bottom w:val="single" w:sz="4" w:space="0" w:color="FFFFFF"/>
              <w:right w:val="nil"/>
            </w:tcBorders>
            <w:shd w:val="clear" w:color="auto" w:fill="E0E8F2" w:themeFill="background2"/>
            <w:vAlign w:val="center"/>
          </w:tcPr>
          <w:p w14:paraId="67A560A9"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2035</w:t>
            </w:r>
          </w:p>
        </w:tc>
        <w:tc>
          <w:tcPr>
            <w:tcW w:w="1803" w:type="pct"/>
            <w:tcBorders>
              <w:top w:val="single" w:sz="4" w:space="0" w:color="FFFFFF"/>
              <w:bottom w:val="single" w:sz="4" w:space="0" w:color="FFFFFF"/>
              <w:right w:val="nil"/>
            </w:tcBorders>
            <w:shd w:val="clear" w:color="auto" w:fill="E0E8F2" w:themeFill="background2"/>
          </w:tcPr>
          <w:p w14:paraId="4E7A11BB" w14:textId="77777777" w:rsidR="008B40DC" w:rsidRPr="003D290F" w:rsidRDefault="008B40DC" w:rsidP="008B40DC">
            <w:pPr>
              <w:rPr>
                <w:rFonts w:cs="Segoe UI"/>
                <w:b/>
                <w:color w:val="000000"/>
                <w:sz w:val="20"/>
                <w:szCs w:val="20"/>
              </w:rPr>
            </w:pPr>
            <w:r w:rsidRPr="003D290F">
              <w:rPr>
                <w:rFonts w:cs="Segoe UI"/>
                <w:b/>
                <w:color w:val="000000"/>
                <w:sz w:val="20"/>
                <w:szCs w:val="20"/>
              </w:rPr>
              <w:t>In-scope</w:t>
            </w:r>
          </w:p>
        </w:tc>
      </w:tr>
      <w:tr w:rsidR="008B40DC" w:rsidRPr="003D290F" w14:paraId="09881C60"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73B30E6C"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Loy Yang Power Station A</w:t>
            </w:r>
          </w:p>
        </w:tc>
        <w:tc>
          <w:tcPr>
            <w:tcW w:w="905" w:type="pct"/>
            <w:tcBorders>
              <w:top w:val="single" w:sz="4" w:space="0" w:color="FFFFFF"/>
              <w:bottom w:val="single" w:sz="4" w:space="0" w:color="FFFFFF"/>
            </w:tcBorders>
            <w:shd w:val="clear" w:color="auto" w:fill="auto"/>
            <w:vAlign w:val="center"/>
          </w:tcPr>
          <w:p w14:paraId="373D29F0"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Latrobe Valley</w:t>
            </w:r>
          </w:p>
        </w:tc>
        <w:tc>
          <w:tcPr>
            <w:tcW w:w="906" w:type="pct"/>
            <w:tcBorders>
              <w:top w:val="single" w:sz="4" w:space="0" w:color="FFFFFF"/>
              <w:bottom w:val="single" w:sz="4" w:space="0" w:color="FFFFFF"/>
              <w:right w:val="nil"/>
            </w:tcBorders>
            <w:vAlign w:val="center"/>
          </w:tcPr>
          <w:p w14:paraId="407EBAD2"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2035</w:t>
            </w:r>
          </w:p>
        </w:tc>
        <w:tc>
          <w:tcPr>
            <w:tcW w:w="1803" w:type="pct"/>
            <w:tcBorders>
              <w:top w:val="single" w:sz="4" w:space="0" w:color="FFFFFF"/>
              <w:bottom w:val="single" w:sz="4" w:space="0" w:color="FFFFFF"/>
              <w:right w:val="nil"/>
            </w:tcBorders>
          </w:tcPr>
          <w:p w14:paraId="58D1F3F0" w14:textId="77777777" w:rsidR="008B40DC" w:rsidRPr="003D290F" w:rsidRDefault="008B40DC" w:rsidP="008B40DC">
            <w:pPr>
              <w:rPr>
                <w:rFonts w:cs="Segoe UI"/>
                <w:b/>
                <w:color w:val="000000"/>
                <w:sz w:val="20"/>
                <w:szCs w:val="20"/>
              </w:rPr>
            </w:pPr>
            <w:r w:rsidRPr="003D290F">
              <w:rPr>
                <w:rFonts w:cs="Segoe UI"/>
                <w:b/>
                <w:color w:val="000000"/>
                <w:sz w:val="20"/>
                <w:szCs w:val="20"/>
              </w:rPr>
              <w:t>In-scope</w:t>
            </w:r>
          </w:p>
        </w:tc>
      </w:tr>
      <w:tr w:rsidR="008B40DC" w:rsidRPr="003D290F" w14:paraId="24EC8010" w14:textId="77777777" w:rsidTr="00825212">
        <w:trPr>
          <w:trHeight w:val="230"/>
        </w:trPr>
        <w:tc>
          <w:tcPr>
            <w:tcW w:w="1386" w:type="pct"/>
            <w:tcBorders>
              <w:top w:val="single" w:sz="4" w:space="0" w:color="FFFFFF"/>
              <w:left w:val="nil"/>
              <w:bottom w:val="single" w:sz="4" w:space="0" w:color="FFFFFF"/>
            </w:tcBorders>
            <w:shd w:val="clear" w:color="auto" w:fill="E0E8F2" w:themeFill="background2"/>
            <w:vAlign w:val="center"/>
          </w:tcPr>
          <w:p w14:paraId="45B54EB7"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Tarong Power Station</w:t>
            </w:r>
          </w:p>
        </w:tc>
        <w:tc>
          <w:tcPr>
            <w:tcW w:w="905" w:type="pct"/>
            <w:tcBorders>
              <w:top w:val="single" w:sz="4" w:space="0" w:color="FFFFFF"/>
              <w:bottom w:val="single" w:sz="4" w:space="0" w:color="FFFFFF"/>
            </w:tcBorders>
            <w:shd w:val="clear" w:color="auto" w:fill="E0E8F2" w:themeFill="background2"/>
            <w:vAlign w:val="center"/>
          </w:tcPr>
          <w:p w14:paraId="57999307"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South Burnett</w:t>
            </w:r>
          </w:p>
        </w:tc>
        <w:tc>
          <w:tcPr>
            <w:tcW w:w="906" w:type="pct"/>
            <w:tcBorders>
              <w:top w:val="single" w:sz="4" w:space="0" w:color="FFFFFF"/>
              <w:bottom w:val="single" w:sz="4" w:space="0" w:color="FFFFFF"/>
              <w:right w:val="nil"/>
            </w:tcBorders>
            <w:shd w:val="clear" w:color="auto" w:fill="E0E8F2" w:themeFill="background2"/>
            <w:vAlign w:val="center"/>
          </w:tcPr>
          <w:p w14:paraId="39AA577F"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2036</w:t>
            </w:r>
          </w:p>
        </w:tc>
        <w:tc>
          <w:tcPr>
            <w:tcW w:w="1803" w:type="pct"/>
            <w:tcBorders>
              <w:top w:val="single" w:sz="4" w:space="0" w:color="FFFFFF"/>
              <w:bottom w:val="single" w:sz="4" w:space="0" w:color="FFFFFF"/>
              <w:right w:val="nil"/>
            </w:tcBorders>
            <w:shd w:val="clear" w:color="auto" w:fill="E0E8F2" w:themeFill="background2"/>
          </w:tcPr>
          <w:p w14:paraId="56EB88D0" w14:textId="77777777" w:rsidR="008B40DC" w:rsidRPr="003D290F" w:rsidRDefault="008B40DC"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xml:space="preserve">, beyond </w:t>
            </w:r>
            <w:r w:rsidRPr="003D290F">
              <w:rPr>
                <w:rFonts w:cs="Segoe UI"/>
                <w:color w:val="000000"/>
                <w:sz w:val="20"/>
                <w:szCs w:val="20"/>
              </w:rPr>
              <w:t>time horizon</w:t>
            </w:r>
          </w:p>
        </w:tc>
      </w:tr>
      <w:tr w:rsidR="008B40DC" w:rsidRPr="003D290F" w14:paraId="1B0DF511"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1FF999E4"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Tarong North</w:t>
            </w:r>
          </w:p>
        </w:tc>
        <w:tc>
          <w:tcPr>
            <w:tcW w:w="905" w:type="pct"/>
            <w:tcBorders>
              <w:top w:val="single" w:sz="4" w:space="0" w:color="FFFFFF"/>
              <w:bottom w:val="single" w:sz="4" w:space="0" w:color="FFFFFF"/>
            </w:tcBorders>
            <w:shd w:val="clear" w:color="auto" w:fill="auto"/>
            <w:vAlign w:val="center"/>
          </w:tcPr>
          <w:p w14:paraId="45917C85"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South Burnett</w:t>
            </w:r>
          </w:p>
        </w:tc>
        <w:tc>
          <w:tcPr>
            <w:tcW w:w="906" w:type="pct"/>
            <w:tcBorders>
              <w:top w:val="single" w:sz="4" w:space="0" w:color="FFFFFF"/>
              <w:bottom w:val="single" w:sz="4" w:space="0" w:color="FFFFFF"/>
              <w:right w:val="nil"/>
            </w:tcBorders>
            <w:vAlign w:val="center"/>
          </w:tcPr>
          <w:p w14:paraId="7962D919"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2037</w:t>
            </w:r>
          </w:p>
        </w:tc>
        <w:tc>
          <w:tcPr>
            <w:tcW w:w="1803" w:type="pct"/>
            <w:tcBorders>
              <w:top w:val="single" w:sz="4" w:space="0" w:color="FFFFFF"/>
              <w:bottom w:val="single" w:sz="4" w:space="0" w:color="FFFFFF"/>
              <w:right w:val="nil"/>
            </w:tcBorders>
          </w:tcPr>
          <w:p w14:paraId="602F8BAA" w14:textId="77777777" w:rsidR="008B40DC" w:rsidRPr="003D290F" w:rsidRDefault="002644C4"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xml:space="preserve">, beyond </w:t>
            </w:r>
            <w:r w:rsidRPr="003D290F">
              <w:rPr>
                <w:rFonts w:cs="Segoe UI"/>
                <w:color w:val="000000"/>
                <w:sz w:val="20"/>
                <w:szCs w:val="20"/>
              </w:rPr>
              <w:t>time horizon</w:t>
            </w:r>
          </w:p>
        </w:tc>
      </w:tr>
      <w:tr w:rsidR="008B40DC" w:rsidRPr="003D290F" w14:paraId="2647BDCD" w14:textId="77777777" w:rsidTr="00825212">
        <w:trPr>
          <w:trHeight w:val="230"/>
        </w:trPr>
        <w:tc>
          <w:tcPr>
            <w:tcW w:w="1386" w:type="pct"/>
            <w:tcBorders>
              <w:top w:val="single" w:sz="4" w:space="0" w:color="FFFFFF"/>
              <w:left w:val="nil"/>
              <w:bottom w:val="single" w:sz="4" w:space="0" w:color="FFFFFF"/>
            </w:tcBorders>
            <w:shd w:val="clear" w:color="auto" w:fill="E0E8F2" w:themeFill="background2"/>
            <w:vAlign w:val="center"/>
          </w:tcPr>
          <w:p w14:paraId="017F4DC5"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Mount Piper Power Station</w:t>
            </w:r>
          </w:p>
        </w:tc>
        <w:tc>
          <w:tcPr>
            <w:tcW w:w="905" w:type="pct"/>
            <w:tcBorders>
              <w:top w:val="single" w:sz="4" w:space="0" w:color="FFFFFF"/>
              <w:bottom w:val="single" w:sz="4" w:space="0" w:color="FFFFFF"/>
            </w:tcBorders>
            <w:shd w:val="clear" w:color="auto" w:fill="E0E8F2" w:themeFill="background2"/>
            <w:vAlign w:val="center"/>
          </w:tcPr>
          <w:p w14:paraId="0BD721B6"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Lithgow</w:t>
            </w:r>
          </w:p>
        </w:tc>
        <w:tc>
          <w:tcPr>
            <w:tcW w:w="906" w:type="pct"/>
            <w:tcBorders>
              <w:top w:val="single" w:sz="4" w:space="0" w:color="FFFFFF"/>
              <w:bottom w:val="single" w:sz="4" w:space="0" w:color="FFFFFF"/>
              <w:right w:val="nil"/>
            </w:tcBorders>
            <w:shd w:val="clear" w:color="auto" w:fill="E0E8F2" w:themeFill="background2"/>
            <w:vAlign w:val="center"/>
          </w:tcPr>
          <w:p w14:paraId="5734FDDC"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2040</w:t>
            </w:r>
          </w:p>
        </w:tc>
        <w:tc>
          <w:tcPr>
            <w:tcW w:w="1803" w:type="pct"/>
            <w:tcBorders>
              <w:top w:val="single" w:sz="4" w:space="0" w:color="FFFFFF"/>
              <w:bottom w:val="single" w:sz="4" w:space="0" w:color="FFFFFF"/>
              <w:right w:val="nil"/>
            </w:tcBorders>
            <w:shd w:val="clear" w:color="auto" w:fill="E0E8F2" w:themeFill="background2"/>
          </w:tcPr>
          <w:p w14:paraId="26FBD5D9" w14:textId="77777777" w:rsidR="008B40DC" w:rsidRPr="003D290F" w:rsidRDefault="002644C4"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beyond</w:t>
            </w:r>
            <w:r w:rsidRPr="003D290F">
              <w:rPr>
                <w:rFonts w:cs="Segoe UI"/>
                <w:color w:val="000000"/>
                <w:sz w:val="20"/>
                <w:szCs w:val="20"/>
              </w:rPr>
              <w:t xml:space="preserve"> time horizon</w:t>
            </w:r>
          </w:p>
        </w:tc>
      </w:tr>
      <w:tr w:rsidR="008B40DC" w:rsidRPr="003D290F" w14:paraId="5F790E72"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29491E64"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Kogan Creek Power Station</w:t>
            </w:r>
          </w:p>
        </w:tc>
        <w:tc>
          <w:tcPr>
            <w:tcW w:w="905" w:type="pct"/>
            <w:tcBorders>
              <w:top w:val="single" w:sz="4" w:space="0" w:color="FFFFFF"/>
              <w:bottom w:val="single" w:sz="4" w:space="0" w:color="FFFFFF"/>
            </w:tcBorders>
            <w:shd w:val="clear" w:color="auto" w:fill="auto"/>
            <w:vAlign w:val="center"/>
          </w:tcPr>
          <w:p w14:paraId="751FAFA7"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Darling Downs</w:t>
            </w:r>
          </w:p>
        </w:tc>
        <w:tc>
          <w:tcPr>
            <w:tcW w:w="906" w:type="pct"/>
            <w:tcBorders>
              <w:top w:val="single" w:sz="4" w:space="0" w:color="FFFFFF"/>
              <w:bottom w:val="single" w:sz="4" w:space="0" w:color="FFFFFF"/>
              <w:right w:val="nil"/>
            </w:tcBorders>
            <w:vAlign w:val="center"/>
          </w:tcPr>
          <w:p w14:paraId="5BA284E4"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2042</w:t>
            </w:r>
          </w:p>
        </w:tc>
        <w:tc>
          <w:tcPr>
            <w:tcW w:w="1803" w:type="pct"/>
            <w:tcBorders>
              <w:top w:val="single" w:sz="4" w:space="0" w:color="FFFFFF"/>
              <w:bottom w:val="single" w:sz="4" w:space="0" w:color="FFFFFF"/>
              <w:right w:val="nil"/>
            </w:tcBorders>
          </w:tcPr>
          <w:p w14:paraId="04D0F5F9" w14:textId="77777777" w:rsidR="008B40DC" w:rsidRPr="003D290F" w:rsidRDefault="002644C4"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beyond</w:t>
            </w:r>
            <w:r w:rsidRPr="003D290F">
              <w:rPr>
                <w:rFonts w:cs="Segoe UI"/>
                <w:color w:val="000000"/>
                <w:sz w:val="20"/>
                <w:szCs w:val="20"/>
              </w:rPr>
              <w:t xml:space="preserve"> time horizon</w:t>
            </w:r>
          </w:p>
        </w:tc>
      </w:tr>
      <w:tr w:rsidR="008B40DC" w:rsidRPr="003D290F" w14:paraId="14323B63" w14:textId="77777777" w:rsidTr="00825212">
        <w:trPr>
          <w:trHeight w:val="230"/>
        </w:trPr>
        <w:tc>
          <w:tcPr>
            <w:tcW w:w="1386" w:type="pct"/>
            <w:tcBorders>
              <w:top w:val="single" w:sz="4" w:space="0" w:color="FFFFFF"/>
              <w:left w:val="nil"/>
              <w:bottom w:val="single" w:sz="4" w:space="0" w:color="FFFFFF"/>
            </w:tcBorders>
            <w:shd w:val="clear" w:color="auto" w:fill="E0E8F2" w:themeFill="background2"/>
            <w:vAlign w:val="center"/>
          </w:tcPr>
          <w:p w14:paraId="422C2612"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Stanwell Power Station</w:t>
            </w:r>
          </w:p>
        </w:tc>
        <w:tc>
          <w:tcPr>
            <w:tcW w:w="905" w:type="pct"/>
            <w:tcBorders>
              <w:top w:val="single" w:sz="4" w:space="0" w:color="FFFFFF"/>
              <w:bottom w:val="single" w:sz="4" w:space="0" w:color="FFFFFF"/>
            </w:tcBorders>
            <w:shd w:val="clear" w:color="auto" w:fill="E0E8F2" w:themeFill="background2"/>
            <w:vAlign w:val="center"/>
          </w:tcPr>
          <w:p w14:paraId="32BD67A4"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Central QLD</w:t>
            </w:r>
          </w:p>
        </w:tc>
        <w:tc>
          <w:tcPr>
            <w:tcW w:w="906" w:type="pct"/>
            <w:tcBorders>
              <w:top w:val="single" w:sz="4" w:space="0" w:color="FFFFFF"/>
              <w:bottom w:val="single" w:sz="4" w:space="0" w:color="FFFFFF"/>
              <w:right w:val="nil"/>
            </w:tcBorders>
            <w:shd w:val="clear" w:color="auto" w:fill="E0E8F2" w:themeFill="background2"/>
            <w:vAlign w:val="center"/>
          </w:tcPr>
          <w:p w14:paraId="273DD605"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2043-46</w:t>
            </w:r>
          </w:p>
        </w:tc>
        <w:tc>
          <w:tcPr>
            <w:tcW w:w="1803" w:type="pct"/>
            <w:tcBorders>
              <w:top w:val="single" w:sz="4" w:space="0" w:color="FFFFFF"/>
              <w:bottom w:val="single" w:sz="4" w:space="0" w:color="FFFFFF"/>
              <w:right w:val="nil"/>
            </w:tcBorders>
            <w:shd w:val="clear" w:color="auto" w:fill="E0E8F2" w:themeFill="background2"/>
          </w:tcPr>
          <w:p w14:paraId="0A4856AF" w14:textId="77777777" w:rsidR="008B40DC" w:rsidRPr="003D290F" w:rsidRDefault="002644C4"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beyond</w:t>
            </w:r>
            <w:r w:rsidRPr="003D290F">
              <w:rPr>
                <w:rFonts w:cs="Segoe UI"/>
                <w:color w:val="000000"/>
                <w:sz w:val="20"/>
                <w:szCs w:val="20"/>
              </w:rPr>
              <w:t xml:space="preserve"> time horizon</w:t>
            </w:r>
          </w:p>
        </w:tc>
      </w:tr>
      <w:tr w:rsidR="008B40DC" w:rsidRPr="003D290F" w14:paraId="1E566CA6"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661D0733"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Loy Yang Power Station B</w:t>
            </w:r>
          </w:p>
        </w:tc>
        <w:tc>
          <w:tcPr>
            <w:tcW w:w="905" w:type="pct"/>
            <w:tcBorders>
              <w:top w:val="single" w:sz="4" w:space="0" w:color="FFFFFF"/>
              <w:bottom w:val="single" w:sz="4" w:space="0" w:color="FFFFFF"/>
            </w:tcBorders>
            <w:shd w:val="clear" w:color="auto" w:fill="auto"/>
            <w:vAlign w:val="center"/>
          </w:tcPr>
          <w:p w14:paraId="02AA1F40"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Latrobe Valley</w:t>
            </w:r>
          </w:p>
        </w:tc>
        <w:tc>
          <w:tcPr>
            <w:tcW w:w="906" w:type="pct"/>
            <w:tcBorders>
              <w:top w:val="single" w:sz="4" w:space="0" w:color="FFFFFF"/>
              <w:bottom w:val="single" w:sz="4" w:space="0" w:color="FFFFFF"/>
              <w:right w:val="nil"/>
            </w:tcBorders>
            <w:vAlign w:val="center"/>
          </w:tcPr>
          <w:p w14:paraId="537D870E"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2047</w:t>
            </w:r>
          </w:p>
        </w:tc>
        <w:tc>
          <w:tcPr>
            <w:tcW w:w="1803" w:type="pct"/>
            <w:tcBorders>
              <w:top w:val="single" w:sz="4" w:space="0" w:color="FFFFFF"/>
              <w:bottom w:val="single" w:sz="4" w:space="0" w:color="FFFFFF"/>
              <w:right w:val="nil"/>
            </w:tcBorders>
          </w:tcPr>
          <w:p w14:paraId="11B315C2" w14:textId="77777777" w:rsidR="008B40DC" w:rsidRPr="003D290F" w:rsidRDefault="002644C4"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beyond</w:t>
            </w:r>
            <w:r w:rsidRPr="003D290F">
              <w:rPr>
                <w:rFonts w:cs="Segoe UI"/>
                <w:color w:val="000000"/>
                <w:sz w:val="20"/>
                <w:szCs w:val="20"/>
              </w:rPr>
              <w:t xml:space="preserve"> time horizon</w:t>
            </w:r>
          </w:p>
        </w:tc>
      </w:tr>
      <w:tr w:rsidR="008B40DC" w:rsidRPr="003D290F" w14:paraId="416EBBAD" w14:textId="77777777" w:rsidTr="00825212">
        <w:trPr>
          <w:trHeight w:val="230"/>
        </w:trPr>
        <w:tc>
          <w:tcPr>
            <w:tcW w:w="1386" w:type="pct"/>
            <w:tcBorders>
              <w:top w:val="single" w:sz="4" w:space="0" w:color="FFFFFF"/>
              <w:left w:val="nil"/>
              <w:bottom w:val="single" w:sz="4" w:space="0" w:color="FFFFFF"/>
            </w:tcBorders>
            <w:shd w:val="clear" w:color="auto" w:fill="E0E8F2" w:themeFill="background2"/>
            <w:vAlign w:val="center"/>
          </w:tcPr>
          <w:p w14:paraId="7492E67B"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Millmerran Power Station</w:t>
            </w:r>
          </w:p>
        </w:tc>
        <w:tc>
          <w:tcPr>
            <w:tcW w:w="905" w:type="pct"/>
            <w:tcBorders>
              <w:top w:val="single" w:sz="4" w:space="0" w:color="FFFFFF"/>
              <w:bottom w:val="single" w:sz="4" w:space="0" w:color="FFFFFF"/>
            </w:tcBorders>
            <w:shd w:val="clear" w:color="auto" w:fill="E0E8F2" w:themeFill="background2"/>
            <w:vAlign w:val="center"/>
          </w:tcPr>
          <w:p w14:paraId="42A0F624"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Darling Downs</w:t>
            </w:r>
          </w:p>
        </w:tc>
        <w:tc>
          <w:tcPr>
            <w:tcW w:w="906" w:type="pct"/>
            <w:tcBorders>
              <w:top w:val="single" w:sz="4" w:space="0" w:color="FFFFFF"/>
              <w:bottom w:val="single" w:sz="4" w:space="0" w:color="FFFFFF"/>
              <w:right w:val="nil"/>
            </w:tcBorders>
            <w:shd w:val="clear" w:color="auto" w:fill="E0E8F2" w:themeFill="background2"/>
            <w:vAlign w:val="center"/>
          </w:tcPr>
          <w:p w14:paraId="340FADDA"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2051</w:t>
            </w:r>
          </w:p>
        </w:tc>
        <w:tc>
          <w:tcPr>
            <w:tcW w:w="1803" w:type="pct"/>
            <w:tcBorders>
              <w:top w:val="single" w:sz="4" w:space="0" w:color="FFFFFF"/>
              <w:bottom w:val="single" w:sz="4" w:space="0" w:color="FFFFFF"/>
              <w:right w:val="nil"/>
            </w:tcBorders>
            <w:shd w:val="clear" w:color="auto" w:fill="E0E8F2" w:themeFill="background2"/>
          </w:tcPr>
          <w:p w14:paraId="588D57D0" w14:textId="77777777" w:rsidR="008B40DC" w:rsidRPr="003D290F" w:rsidRDefault="002644C4" w:rsidP="003459C0">
            <w:pPr>
              <w:rPr>
                <w:rFonts w:cs="Segoe UI"/>
                <w:color w:val="000000"/>
                <w:sz w:val="20"/>
                <w:szCs w:val="20"/>
              </w:rPr>
            </w:pPr>
            <w:r w:rsidRPr="003D290F">
              <w:rPr>
                <w:rFonts w:cs="Segoe UI"/>
                <w:b/>
                <w:color w:val="000000"/>
                <w:sz w:val="20"/>
                <w:szCs w:val="20"/>
              </w:rPr>
              <w:t>Out-of-scope</w:t>
            </w:r>
            <w:r w:rsidR="003459C0" w:rsidRPr="003D290F">
              <w:rPr>
                <w:rFonts w:cs="Segoe UI"/>
                <w:color w:val="000000"/>
                <w:sz w:val="20"/>
                <w:szCs w:val="20"/>
              </w:rPr>
              <w:t>, beyond</w:t>
            </w:r>
            <w:r w:rsidRPr="003D290F">
              <w:rPr>
                <w:rFonts w:cs="Segoe UI"/>
                <w:color w:val="000000"/>
                <w:sz w:val="20"/>
                <w:szCs w:val="20"/>
              </w:rPr>
              <w:t xml:space="preserve"> time horizon</w:t>
            </w:r>
          </w:p>
        </w:tc>
      </w:tr>
      <w:tr w:rsidR="008B40DC" w:rsidRPr="003D290F" w14:paraId="5CF89A86" w14:textId="77777777" w:rsidTr="00825212">
        <w:trPr>
          <w:trHeight w:val="230"/>
        </w:trPr>
        <w:tc>
          <w:tcPr>
            <w:tcW w:w="1386" w:type="pct"/>
            <w:tcBorders>
              <w:top w:val="single" w:sz="4" w:space="0" w:color="FFFFFF"/>
              <w:left w:val="nil"/>
              <w:bottom w:val="single" w:sz="4" w:space="0" w:color="FFFFFF"/>
            </w:tcBorders>
            <w:shd w:val="clear" w:color="auto" w:fill="auto"/>
            <w:vAlign w:val="center"/>
          </w:tcPr>
          <w:p w14:paraId="5022B204" w14:textId="77777777" w:rsidR="008B40DC" w:rsidRPr="003D290F" w:rsidRDefault="008B40DC" w:rsidP="008B40DC">
            <w:pPr>
              <w:rPr>
                <w:rFonts w:eastAsia="Times New Roman" w:cs="Segoe UI"/>
                <w:b/>
                <w:color w:val="000000"/>
                <w:sz w:val="20"/>
                <w:szCs w:val="20"/>
              </w:rPr>
            </w:pPr>
            <w:r w:rsidRPr="003D290F">
              <w:rPr>
                <w:rFonts w:cs="Segoe UI"/>
                <w:b/>
                <w:bCs/>
                <w:color w:val="000000"/>
                <w:sz w:val="20"/>
                <w:szCs w:val="20"/>
              </w:rPr>
              <w:t>Callide Power Station C</w:t>
            </w:r>
          </w:p>
        </w:tc>
        <w:tc>
          <w:tcPr>
            <w:tcW w:w="905" w:type="pct"/>
            <w:tcBorders>
              <w:top w:val="single" w:sz="4" w:space="0" w:color="FFFFFF"/>
              <w:bottom w:val="single" w:sz="4" w:space="0" w:color="FFFFFF"/>
            </w:tcBorders>
            <w:shd w:val="clear" w:color="auto" w:fill="auto"/>
            <w:vAlign w:val="center"/>
          </w:tcPr>
          <w:p w14:paraId="5E1418F2"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Central QLD</w:t>
            </w:r>
          </w:p>
        </w:tc>
        <w:tc>
          <w:tcPr>
            <w:tcW w:w="906" w:type="pct"/>
            <w:tcBorders>
              <w:top w:val="single" w:sz="4" w:space="0" w:color="FFFFFF"/>
              <w:bottom w:val="single" w:sz="4" w:space="0" w:color="FFFFFF"/>
              <w:right w:val="nil"/>
            </w:tcBorders>
            <w:vAlign w:val="center"/>
          </w:tcPr>
          <w:p w14:paraId="440DDF6B"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Not provided</w:t>
            </w:r>
          </w:p>
        </w:tc>
        <w:tc>
          <w:tcPr>
            <w:tcW w:w="1803" w:type="pct"/>
            <w:tcBorders>
              <w:top w:val="single" w:sz="4" w:space="0" w:color="FFFFFF"/>
              <w:bottom w:val="single" w:sz="4" w:space="0" w:color="FFFFFF"/>
              <w:right w:val="nil"/>
            </w:tcBorders>
          </w:tcPr>
          <w:p w14:paraId="6340EE1A" w14:textId="77777777" w:rsidR="002644C4" w:rsidRPr="003D290F" w:rsidRDefault="002644C4" w:rsidP="002644C4">
            <w:pPr>
              <w:rPr>
                <w:rFonts w:cs="Segoe UI"/>
                <w:b/>
                <w:color w:val="000000"/>
                <w:sz w:val="20"/>
                <w:szCs w:val="20"/>
              </w:rPr>
            </w:pPr>
            <w:r w:rsidRPr="003D290F">
              <w:rPr>
                <w:rFonts w:cs="Segoe UI"/>
                <w:b/>
                <w:color w:val="000000"/>
                <w:sz w:val="20"/>
                <w:szCs w:val="20"/>
              </w:rPr>
              <w:t>Out-of-scope</w:t>
            </w:r>
            <w:r w:rsidR="003459C0" w:rsidRPr="003D290F">
              <w:rPr>
                <w:rFonts w:cs="Segoe UI"/>
                <w:b/>
                <w:color w:val="000000"/>
                <w:sz w:val="20"/>
                <w:szCs w:val="20"/>
              </w:rPr>
              <w:t>,</w:t>
            </w:r>
          </w:p>
          <w:p w14:paraId="4CFB3A4E" w14:textId="77777777" w:rsidR="008B40DC" w:rsidRPr="003D290F" w:rsidRDefault="002644C4" w:rsidP="002644C4">
            <w:pPr>
              <w:rPr>
                <w:rFonts w:cs="Segoe UI"/>
                <w:color w:val="000000"/>
                <w:sz w:val="20"/>
                <w:szCs w:val="20"/>
              </w:rPr>
            </w:pPr>
            <w:r w:rsidRPr="003D290F">
              <w:rPr>
                <w:rFonts w:cs="Segoe UI"/>
                <w:color w:val="000000"/>
                <w:sz w:val="20"/>
                <w:szCs w:val="20"/>
              </w:rPr>
              <w:t>No closure time provided</w:t>
            </w:r>
          </w:p>
        </w:tc>
      </w:tr>
      <w:tr w:rsidR="008B40DC" w:rsidRPr="003D290F" w14:paraId="2A9A351D" w14:textId="77777777" w:rsidTr="00825212">
        <w:trPr>
          <w:trHeight w:val="230"/>
        </w:trPr>
        <w:tc>
          <w:tcPr>
            <w:tcW w:w="1386" w:type="pct"/>
            <w:tcBorders>
              <w:top w:val="single" w:sz="4" w:space="0" w:color="FFFFFF"/>
              <w:left w:val="nil"/>
              <w:bottom w:val="single" w:sz="12" w:space="0" w:color="auto"/>
            </w:tcBorders>
            <w:shd w:val="clear" w:color="auto" w:fill="E0E8F2" w:themeFill="background2"/>
            <w:vAlign w:val="center"/>
          </w:tcPr>
          <w:p w14:paraId="484CFEDD" w14:textId="77777777" w:rsidR="008B40DC" w:rsidRPr="003D290F" w:rsidRDefault="008B40DC" w:rsidP="008B40DC">
            <w:pPr>
              <w:rPr>
                <w:rFonts w:cs="Segoe UI"/>
                <w:b/>
                <w:bCs/>
                <w:color w:val="000000"/>
                <w:sz w:val="20"/>
                <w:szCs w:val="20"/>
              </w:rPr>
            </w:pPr>
            <w:r w:rsidRPr="003D290F">
              <w:rPr>
                <w:rFonts w:cs="Segoe UI"/>
                <w:b/>
                <w:bCs/>
                <w:color w:val="000000"/>
                <w:sz w:val="20"/>
                <w:szCs w:val="20"/>
              </w:rPr>
              <w:t>Bluewaters Power Station</w:t>
            </w:r>
          </w:p>
        </w:tc>
        <w:tc>
          <w:tcPr>
            <w:tcW w:w="905" w:type="pct"/>
            <w:tcBorders>
              <w:top w:val="single" w:sz="4" w:space="0" w:color="FFFFFF"/>
              <w:bottom w:val="single" w:sz="12" w:space="0" w:color="auto"/>
            </w:tcBorders>
            <w:shd w:val="clear" w:color="auto" w:fill="E0E8F2" w:themeFill="background2"/>
            <w:vAlign w:val="center"/>
          </w:tcPr>
          <w:p w14:paraId="4CDA4B9C" w14:textId="77777777" w:rsidR="008B40DC" w:rsidRPr="003D290F" w:rsidRDefault="008B40DC" w:rsidP="008B40DC">
            <w:pPr>
              <w:rPr>
                <w:rFonts w:eastAsia="Times New Roman" w:cs="Segoe UI"/>
                <w:color w:val="000000"/>
                <w:sz w:val="20"/>
                <w:szCs w:val="20"/>
              </w:rPr>
            </w:pPr>
            <w:r w:rsidRPr="003D290F">
              <w:rPr>
                <w:rFonts w:cs="Segoe UI"/>
                <w:color w:val="000000"/>
                <w:sz w:val="20"/>
                <w:szCs w:val="20"/>
              </w:rPr>
              <w:t>Collie</w:t>
            </w:r>
          </w:p>
        </w:tc>
        <w:tc>
          <w:tcPr>
            <w:tcW w:w="906" w:type="pct"/>
            <w:tcBorders>
              <w:top w:val="single" w:sz="4" w:space="0" w:color="FFFFFF"/>
              <w:bottom w:val="single" w:sz="12" w:space="0" w:color="auto"/>
              <w:right w:val="nil"/>
            </w:tcBorders>
            <w:shd w:val="clear" w:color="auto" w:fill="E0E8F2" w:themeFill="background2"/>
            <w:vAlign w:val="center"/>
          </w:tcPr>
          <w:p w14:paraId="6D938C04" w14:textId="77777777" w:rsidR="008B40DC" w:rsidRPr="003D290F" w:rsidRDefault="008B40DC" w:rsidP="008B40DC">
            <w:pPr>
              <w:jc w:val="right"/>
              <w:rPr>
                <w:rFonts w:eastAsia="Times New Roman" w:cs="Segoe UI"/>
                <w:color w:val="000000"/>
                <w:sz w:val="20"/>
                <w:szCs w:val="20"/>
              </w:rPr>
            </w:pPr>
            <w:r w:rsidRPr="003D290F">
              <w:rPr>
                <w:rFonts w:cs="Segoe UI"/>
                <w:color w:val="000000"/>
                <w:sz w:val="20"/>
                <w:szCs w:val="20"/>
              </w:rPr>
              <w:t>Not provided</w:t>
            </w:r>
          </w:p>
        </w:tc>
        <w:tc>
          <w:tcPr>
            <w:tcW w:w="1803" w:type="pct"/>
            <w:tcBorders>
              <w:top w:val="single" w:sz="4" w:space="0" w:color="FFFFFF"/>
              <w:bottom w:val="single" w:sz="12" w:space="0" w:color="auto"/>
              <w:right w:val="nil"/>
            </w:tcBorders>
            <w:shd w:val="clear" w:color="auto" w:fill="E0E8F2" w:themeFill="background2"/>
          </w:tcPr>
          <w:p w14:paraId="506F6851" w14:textId="77777777" w:rsidR="002644C4" w:rsidRPr="003D290F" w:rsidRDefault="002644C4" w:rsidP="002644C4">
            <w:pPr>
              <w:rPr>
                <w:rFonts w:cs="Segoe UI"/>
                <w:b/>
                <w:color w:val="000000"/>
                <w:sz w:val="20"/>
                <w:szCs w:val="20"/>
              </w:rPr>
            </w:pPr>
            <w:r w:rsidRPr="003D290F">
              <w:rPr>
                <w:rFonts w:cs="Segoe UI"/>
                <w:b/>
                <w:color w:val="000000"/>
                <w:sz w:val="20"/>
                <w:szCs w:val="20"/>
              </w:rPr>
              <w:t>Out-of-scope</w:t>
            </w:r>
            <w:r w:rsidR="003459C0" w:rsidRPr="003D290F">
              <w:rPr>
                <w:rFonts w:cs="Segoe UI"/>
                <w:b/>
                <w:color w:val="000000"/>
                <w:sz w:val="20"/>
                <w:szCs w:val="20"/>
              </w:rPr>
              <w:t>,</w:t>
            </w:r>
          </w:p>
          <w:p w14:paraId="5D01D6CC" w14:textId="77777777" w:rsidR="008B40DC" w:rsidRPr="003D290F" w:rsidRDefault="002644C4" w:rsidP="002644C4">
            <w:pPr>
              <w:rPr>
                <w:rFonts w:cs="Segoe UI"/>
                <w:color w:val="000000"/>
                <w:sz w:val="20"/>
                <w:szCs w:val="20"/>
              </w:rPr>
            </w:pPr>
            <w:r w:rsidRPr="003D290F">
              <w:rPr>
                <w:rFonts w:cs="Segoe UI"/>
                <w:color w:val="000000"/>
                <w:sz w:val="20"/>
                <w:szCs w:val="20"/>
              </w:rPr>
              <w:t>No closure time provided</w:t>
            </w:r>
          </w:p>
        </w:tc>
      </w:tr>
    </w:tbl>
    <w:p w14:paraId="78F46DAD" w14:textId="77777777" w:rsidR="007550AB" w:rsidRPr="003D290F" w:rsidRDefault="000D7CD2" w:rsidP="000D7CD2">
      <w:pPr>
        <w:spacing w:before="40"/>
        <w:rPr>
          <w:rFonts w:asciiTheme="majorHAnsi" w:eastAsiaTheme="majorEastAsia" w:hAnsiTheme="majorHAnsi" w:cstheme="majorBidi"/>
          <w:color w:val="1B375C" w:themeColor="accent1"/>
          <w:sz w:val="18"/>
          <w:szCs w:val="18"/>
        </w:rPr>
      </w:pPr>
      <w:r w:rsidRPr="003D290F">
        <w:rPr>
          <w:b/>
          <w:sz w:val="18"/>
          <w:szCs w:val="18"/>
        </w:rPr>
        <w:t>Source:</w:t>
      </w:r>
      <w:r w:rsidRPr="003D290F">
        <w:rPr>
          <w:sz w:val="18"/>
          <w:szCs w:val="18"/>
        </w:rPr>
        <w:t xml:space="preserve"> Australian Energy Market Operator, (Jul. 2023), </w:t>
      </w:r>
      <w:hyperlink r:id="rId85" w:history="1">
        <w:r w:rsidRPr="003D290F">
          <w:rPr>
            <w:rStyle w:val="Hyperlink"/>
            <w:rFonts w:cs="Segoe UI"/>
            <w:sz w:val="18"/>
            <w:szCs w:val="18"/>
          </w:rPr>
          <w:t>Generation information</w:t>
        </w:r>
      </w:hyperlink>
      <w:r w:rsidRPr="003D290F">
        <w:rPr>
          <w:rStyle w:val="Hyperlink"/>
          <w:rFonts w:cs="Segoe UI"/>
          <w:color w:val="auto"/>
          <w:sz w:val="18"/>
          <w:szCs w:val="18"/>
          <w:u w:val="none"/>
        </w:rPr>
        <w:t>;</w:t>
      </w:r>
      <w:r w:rsidRPr="003D290F">
        <w:rPr>
          <w:rFonts w:cs="Segoe UI"/>
          <w:sz w:val="18"/>
          <w:szCs w:val="18"/>
        </w:rPr>
        <w:t xml:space="preserve"> Government of Western Australia (2023), </w:t>
      </w:r>
      <w:hyperlink r:id="rId86" w:history="1">
        <w:r w:rsidRPr="003D290F">
          <w:rPr>
            <w:rStyle w:val="Hyperlink"/>
            <w:rFonts w:cs="Segoe UI"/>
            <w:sz w:val="18"/>
            <w:szCs w:val="18"/>
          </w:rPr>
          <w:t>Collie Community Fact Sheet</w:t>
        </w:r>
      </w:hyperlink>
      <w:r w:rsidR="00D21224" w:rsidRPr="003D290F">
        <w:rPr>
          <w:sz w:val="18"/>
          <w:szCs w:val="18"/>
        </w:rPr>
        <w:br w:type="page"/>
      </w:r>
    </w:p>
    <w:p w14:paraId="54208560" w14:textId="77777777" w:rsidR="00D82957" w:rsidRPr="003D290F" w:rsidRDefault="00D82957" w:rsidP="00AA30B5">
      <w:pPr>
        <w:pStyle w:val="Heading1"/>
      </w:pPr>
      <w:bookmarkStart w:id="432" w:name="_Toc161396024"/>
      <w:bookmarkStart w:id="433" w:name="_Toc161403560"/>
      <w:bookmarkStart w:id="434" w:name="_Toc161752293"/>
      <w:bookmarkStart w:id="435" w:name="_Toc161759731"/>
      <w:r w:rsidRPr="003D290F">
        <w:lastRenderedPageBreak/>
        <w:t xml:space="preserve">Appendix </w:t>
      </w:r>
      <w:r w:rsidR="00B777DF" w:rsidRPr="003D290F">
        <w:t>B</w:t>
      </w:r>
      <w:bookmarkEnd w:id="432"/>
      <w:bookmarkEnd w:id="433"/>
      <w:bookmarkEnd w:id="434"/>
      <w:bookmarkEnd w:id="435"/>
    </w:p>
    <w:p w14:paraId="7EA993B4" w14:textId="77777777" w:rsidR="002764CF" w:rsidRPr="003D290F" w:rsidRDefault="002764CF" w:rsidP="00D82957">
      <w:pPr>
        <w:pStyle w:val="Heading2"/>
      </w:pPr>
      <w:bookmarkStart w:id="436" w:name="_Toc155604665"/>
      <w:bookmarkStart w:id="437" w:name="_Toc161396025"/>
      <w:bookmarkStart w:id="438" w:name="_Toc161403561"/>
      <w:bookmarkStart w:id="439" w:name="_Toc161752294"/>
      <w:bookmarkStart w:id="440" w:name="_Toc161759732"/>
      <w:r w:rsidRPr="003D290F">
        <w:t>Geographic regions surrounding coal-fired power stations</w:t>
      </w:r>
      <w:bookmarkEnd w:id="436"/>
      <w:bookmarkEnd w:id="437"/>
      <w:bookmarkEnd w:id="438"/>
      <w:bookmarkEnd w:id="439"/>
      <w:bookmarkEnd w:id="440"/>
    </w:p>
    <w:p w14:paraId="4A946CCE" w14:textId="77777777" w:rsidR="00E15920" w:rsidRPr="003D290F" w:rsidRDefault="00E15920" w:rsidP="00E15920">
      <w:r w:rsidRPr="003D290F">
        <w:t xml:space="preserve">Each region surrounding coal-fired power stations is created by grouping Statistical Areas Level 2 (SA2s) as defined by the Australian Bureau of Statistics’ </w:t>
      </w:r>
      <w:hyperlink r:id="rId87" w:history="1">
        <w:r w:rsidRPr="003D290F">
          <w:rPr>
            <w:rStyle w:val="Hyperlink"/>
          </w:rPr>
          <w:t>Australian Statistical Geography Standard Edition Three</w:t>
        </w:r>
      </w:hyperlink>
      <w:r w:rsidRPr="003D290F">
        <w:t>.</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2406"/>
        <w:gridCol w:w="3117"/>
        <w:gridCol w:w="2553"/>
        <w:gridCol w:w="2118"/>
      </w:tblGrid>
      <w:tr w:rsidR="00E15920" w:rsidRPr="003D290F" w14:paraId="45574A36" w14:textId="77777777" w:rsidTr="0026705A">
        <w:trPr>
          <w:trHeight w:val="20"/>
        </w:trPr>
        <w:tc>
          <w:tcPr>
            <w:tcW w:w="1180" w:type="pct"/>
            <w:tcBorders>
              <w:bottom w:val="single" w:sz="4" w:space="0" w:color="FFFFFF" w:themeColor="background1"/>
            </w:tcBorders>
            <w:shd w:val="clear" w:color="000000" w:fill="1B375C"/>
            <w:noWrap/>
            <w:vAlign w:val="bottom"/>
            <w:hideMark/>
          </w:tcPr>
          <w:p w14:paraId="3B1F03F6" w14:textId="77777777" w:rsidR="00E15920" w:rsidRPr="003D290F" w:rsidRDefault="00E15920" w:rsidP="0026705A">
            <w:pPr>
              <w:spacing w:after="0" w:line="240" w:lineRule="auto"/>
              <w:rPr>
                <w:rFonts w:eastAsia="Times New Roman" w:cs="Segoe UI"/>
                <w:b/>
                <w:bCs/>
                <w:color w:val="FFFFFF"/>
                <w:sz w:val="16"/>
                <w:szCs w:val="16"/>
                <w:lang w:eastAsia="en-AU"/>
              </w:rPr>
            </w:pPr>
            <w:r w:rsidRPr="003D290F">
              <w:rPr>
                <w:rFonts w:eastAsia="Times New Roman" w:cs="Segoe UI"/>
                <w:b/>
                <w:bCs/>
                <w:color w:val="FFFFFF"/>
                <w:sz w:val="16"/>
                <w:szCs w:val="16"/>
                <w:lang w:eastAsia="en-AU"/>
              </w:rPr>
              <w:t>COLLIE</w:t>
            </w:r>
          </w:p>
        </w:tc>
        <w:tc>
          <w:tcPr>
            <w:tcW w:w="1529" w:type="pct"/>
            <w:tcBorders>
              <w:bottom w:val="single" w:sz="4" w:space="0" w:color="FFFFFF" w:themeColor="background1"/>
            </w:tcBorders>
            <w:shd w:val="clear" w:color="000000" w:fill="1B375C"/>
            <w:vAlign w:val="bottom"/>
          </w:tcPr>
          <w:p w14:paraId="2FE7C823" w14:textId="77777777" w:rsidR="00E15920" w:rsidRPr="003D290F" w:rsidRDefault="00E15920" w:rsidP="0026705A">
            <w:pPr>
              <w:spacing w:after="0" w:line="240" w:lineRule="auto"/>
              <w:rPr>
                <w:rFonts w:eastAsia="Times New Roman" w:cs="Segoe UI"/>
                <w:b/>
                <w:bCs/>
                <w:color w:val="FFFFFF"/>
                <w:sz w:val="16"/>
                <w:szCs w:val="16"/>
                <w:lang w:eastAsia="en-AU"/>
              </w:rPr>
            </w:pPr>
            <w:r w:rsidRPr="003D290F">
              <w:rPr>
                <w:rFonts w:eastAsia="Times New Roman" w:cs="Segoe UI"/>
                <w:b/>
                <w:bCs/>
                <w:color w:val="FFFFFF"/>
                <w:sz w:val="16"/>
                <w:szCs w:val="16"/>
                <w:lang w:eastAsia="en-AU"/>
              </w:rPr>
              <w:t>GLADSTONE &amp; CENTRAL QLD (CONT.)</w:t>
            </w:r>
          </w:p>
        </w:tc>
        <w:tc>
          <w:tcPr>
            <w:tcW w:w="1252" w:type="pct"/>
            <w:tcBorders>
              <w:bottom w:val="single" w:sz="4" w:space="0" w:color="FFFFFF" w:themeColor="background1"/>
            </w:tcBorders>
            <w:shd w:val="clear" w:color="000000" w:fill="1B375C"/>
          </w:tcPr>
          <w:p w14:paraId="69F5C366" w14:textId="77777777" w:rsidR="00E15920" w:rsidRPr="003D290F" w:rsidRDefault="00E15920" w:rsidP="0026705A">
            <w:pPr>
              <w:spacing w:after="0" w:line="240" w:lineRule="auto"/>
              <w:rPr>
                <w:rFonts w:eastAsia="Times New Roman" w:cs="Segoe UI"/>
                <w:b/>
                <w:bCs/>
                <w:color w:val="FFFFFF"/>
                <w:sz w:val="16"/>
                <w:szCs w:val="16"/>
                <w:lang w:eastAsia="en-AU"/>
              </w:rPr>
            </w:pPr>
            <w:r w:rsidRPr="003D290F">
              <w:rPr>
                <w:rFonts w:eastAsia="Times New Roman" w:cs="Segoe UI"/>
                <w:b/>
                <w:color w:val="FFFFFF" w:themeColor="background1"/>
                <w:sz w:val="16"/>
                <w:szCs w:val="16"/>
                <w:lang w:eastAsia="en-AU"/>
              </w:rPr>
              <w:t>HUNTER VALLEY (CONT.)</w:t>
            </w:r>
          </w:p>
        </w:tc>
        <w:tc>
          <w:tcPr>
            <w:tcW w:w="1039" w:type="pct"/>
            <w:shd w:val="clear" w:color="000000" w:fill="1B375C"/>
          </w:tcPr>
          <w:p w14:paraId="14561459" w14:textId="77777777" w:rsidR="00E15920" w:rsidRPr="003D290F" w:rsidRDefault="00E15920" w:rsidP="0026705A">
            <w:pPr>
              <w:spacing w:after="0" w:line="240" w:lineRule="auto"/>
              <w:rPr>
                <w:rFonts w:eastAsia="Times New Roman" w:cs="Segoe UI"/>
                <w:b/>
                <w:color w:val="FFFFFF" w:themeColor="background1"/>
                <w:sz w:val="16"/>
                <w:szCs w:val="16"/>
                <w:lang w:eastAsia="en-AU"/>
              </w:rPr>
            </w:pPr>
            <w:r w:rsidRPr="003D290F">
              <w:rPr>
                <w:rFonts w:eastAsia="Times New Roman" w:cs="Segoe UI"/>
                <w:b/>
                <w:color w:val="FFFFFF" w:themeColor="background1"/>
                <w:sz w:val="16"/>
                <w:szCs w:val="16"/>
                <w:lang w:eastAsia="en-AU"/>
              </w:rPr>
              <w:t>LATROBE VALLEY (CONT.)</w:t>
            </w:r>
          </w:p>
        </w:tc>
      </w:tr>
      <w:tr w:rsidR="00E15920" w:rsidRPr="003D290F" w14:paraId="0AD87623"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40C6D61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Collie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270F9CA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Parkhurst - Kawana</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CF96EE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Muswellbrook</w:t>
            </w:r>
          </w:p>
        </w:tc>
        <w:tc>
          <w:tcPr>
            <w:tcW w:w="1039" w:type="pct"/>
            <w:tcBorders>
              <w:left w:val="single" w:sz="4" w:space="0" w:color="000000" w:themeColor="text1"/>
            </w:tcBorders>
            <w:shd w:val="clear" w:color="000000" w:fill="DCE7F5"/>
            <w:vAlign w:val="bottom"/>
          </w:tcPr>
          <w:p w14:paraId="2820BBFC"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Traralgon - East</w:t>
            </w:r>
          </w:p>
        </w:tc>
      </w:tr>
      <w:tr w:rsidR="00E15920" w:rsidRPr="003D290F" w14:paraId="7E97E150"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1B375C" w:themeFill="accent1"/>
            <w:noWrap/>
            <w:vAlign w:val="bottom"/>
          </w:tcPr>
          <w:p w14:paraId="2D38CA0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eastAsia="Times New Roman" w:cs="Segoe UI"/>
                <w:b/>
                <w:bCs/>
                <w:color w:val="FFFFFF"/>
                <w:sz w:val="16"/>
                <w:szCs w:val="16"/>
                <w:lang w:eastAsia="en-AU"/>
              </w:rPr>
              <w:t>DARLING DOWNS</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76AC041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Rockhampton - West</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4025455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Muswellbrook Surrounds</w:t>
            </w:r>
          </w:p>
        </w:tc>
        <w:tc>
          <w:tcPr>
            <w:tcW w:w="1039" w:type="pct"/>
            <w:tcBorders>
              <w:left w:val="single" w:sz="4" w:space="0" w:color="000000" w:themeColor="text1"/>
            </w:tcBorders>
            <w:vAlign w:val="bottom"/>
          </w:tcPr>
          <w:p w14:paraId="70E0E401"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Traralgon - West</w:t>
            </w:r>
          </w:p>
        </w:tc>
      </w:tr>
      <w:tr w:rsidR="00E15920" w:rsidRPr="003D290F" w14:paraId="0D8F54B7"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23ABAA1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Cambooya - Wyreema</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BA8B06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Rockhampton City</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618387C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Narara</w:t>
            </w:r>
          </w:p>
        </w:tc>
        <w:tc>
          <w:tcPr>
            <w:tcW w:w="1039" w:type="pct"/>
            <w:tcBorders>
              <w:left w:val="single" w:sz="4" w:space="0" w:color="000000" w:themeColor="text1"/>
            </w:tcBorders>
            <w:shd w:val="clear" w:color="000000" w:fill="DCE7F5"/>
            <w:vAlign w:val="bottom"/>
          </w:tcPr>
          <w:p w14:paraId="0DFBBD06"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Yallourn North - Glengarry</w:t>
            </w:r>
          </w:p>
        </w:tc>
      </w:tr>
      <w:tr w:rsidR="00E15920" w:rsidRPr="003D290F" w14:paraId="3E6506FD"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4EB1B98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Chinchilla</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3279A6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Rockhampton Surrounds - East</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715C49B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Newcastle - Cooks Hill</w:t>
            </w:r>
          </w:p>
        </w:tc>
        <w:tc>
          <w:tcPr>
            <w:tcW w:w="1039" w:type="pct"/>
            <w:tcBorders>
              <w:left w:val="single" w:sz="4" w:space="0" w:color="000000" w:themeColor="text1"/>
            </w:tcBorders>
            <w:shd w:val="clear" w:color="auto" w:fill="1B375C" w:themeFill="accent1"/>
          </w:tcPr>
          <w:p w14:paraId="7C8611C7" w14:textId="77777777" w:rsidR="00E15920" w:rsidRPr="003D290F" w:rsidRDefault="00E15920" w:rsidP="0026705A">
            <w:pPr>
              <w:spacing w:after="0" w:line="240" w:lineRule="auto"/>
              <w:rPr>
                <w:rFonts w:cs="Segoe UI"/>
                <w:color w:val="000000"/>
                <w:sz w:val="16"/>
                <w:szCs w:val="16"/>
              </w:rPr>
            </w:pPr>
            <w:r w:rsidRPr="003D290F">
              <w:rPr>
                <w:rFonts w:cs="Segoe UI"/>
                <w:b/>
                <w:color w:val="FFFFFF" w:themeColor="background1"/>
                <w:sz w:val="16"/>
                <w:szCs w:val="16"/>
              </w:rPr>
              <w:t>LITHGOW</w:t>
            </w:r>
          </w:p>
        </w:tc>
      </w:tr>
      <w:tr w:rsidR="00E15920" w:rsidRPr="003D290F" w14:paraId="0262BB99"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44C9EFF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Clifton - Greenmount</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207278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Rockhampton Surrounds - West</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37842F4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Newcastle Port - Kooragang</w:t>
            </w:r>
          </w:p>
        </w:tc>
        <w:tc>
          <w:tcPr>
            <w:tcW w:w="1039" w:type="pct"/>
            <w:tcBorders>
              <w:left w:val="single" w:sz="4" w:space="0" w:color="000000" w:themeColor="text1"/>
            </w:tcBorders>
            <w:shd w:val="clear" w:color="000000" w:fill="DCE7F5"/>
            <w:vAlign w:val="bottom"/>
          </w:tcPr>
          <w:p w14:paraId="65156F7B"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Lithgow</w:t>
            </w:r>
          </w:p>
        </w:tc>
      </w:tr>
      <w:tr w:rsidR="00E15920" w:rsidRPr="003D290F" w14:paraId="01593074"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20C37E0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Crows Nest - Rosalie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6C5A04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South Trees</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6A3230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Niagara Park - Lisarow</w:t>
            </w:r>
          </w:p>
        </w:tc>
        <w:tc>
          <w:tcPr>
            <w:tcW w:w="1039" w:type="pct"/>
            <w:tcBorders>
              <w:left w:val="single" w:sz="4" w:space="0" w:color="000000" w:themeColor="text1"/>
            </w:tcBorders>
            <w:vAlign w:val="bottom"/>
          </w:tcPr>
          <w:p w14:paraId="1B82BB53"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Lithgow Surrounds</w:t>
            </w:r>
          </w:p>
        </w:tc>
      </w:tr>
      <w:tr w:rsidR="00E15920" w:rsidRPr="003D290F" w14:paraId="07FFBE3E"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55A488B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Darling Heights</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241CAAC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Telina - Toolooa</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7AD01CE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Ourimbah - Fountaindale</w:t>
            </w:r>
          </w:p>
        </w:tc>
        <w:tc>
          <w:tcPr>
            <w:tcW w:w="1039" w:type="pct"/>
            <w:tcBorders>
              <w:left w:val="single" w:sz="4" w:space="0" w:color="000000" w:themeColor="text1"/>
            </w:tcBorders>
            <w:shd w:val="clear" w:color="000000" w:fill="DCE7F5"/>
            <w:vAlign w:val="bottom"/>
          </w:tcPr>
          <w:p w14:paraId="1CF1EC37"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Mudgee</w:t>
            </w:r>
          </w:p>
        </w:tc>
      </w:tr>
      <w:tr w:rsidR="00E15920" w:rsidRPr="003D290F" w14:paraId="6AB86B4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7932163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Drayton - Harristown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18AC64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The Range - Allenstown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3E4346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Point Clare - Koolewong</w:t>
            </w:r>
          </w:p>
        </w:tc>
        <w:tc>
          <w:tcPr>
            <w:tcW w:w="1039" w:type="pct"/>
            <w:tcBorders>
              <w:left w:val="single" w:sz="4" w:space="0" w:color="000000" w:themeColor="text1"/>
              <w:bottom w:val="single" w:sz="4" w:space="0" w:color="FFFFFF" w:themeColor="background1"/>
            </w:tcBorders>
            <w:shd w:val="clear" w:color="auto" w:fill="auto"/>
            <w:vAlign w:val="bottom"/>
          </w:tcPr>
          <w:p w14:paraId="34BA50BE" w14:textId="77777777" w:rsidR="00E15920" w:rsidRPr="003D290F" w:rsidRDefault="00E15920" w:rsidP="0026705A">
            <w:pPr>
              <w:spacing w:after="0" w:line="240" w:lineRule="auto"/>
              <w:rPr>
                <w:rFonts w:cs="Segoe UI"/>
                <w:b/>
                <w:color w:val="000000"/>
                <w:sz w:val="16"/>
                <w:szCs w:val="16"/>
              </w:rPr>
            </w:pPr>
            <w:r w:rsidRPr="003D290F">
              <w:rPr>
                <w:rFonts w:cs="Segoe UI"/>
                <w:color w:val="000000"/>
                <w:sz w:val="16"/>
                <w:szCs w:val="16"/>
              </w:rPr>
              <w:t>Mudgee Surrounds - East</w:t>
            </w:r>
          </w:p>
        </w:tc>
      </w:tr>
      <w:tr w:rsidR="00E15920" w:rsidRPr="003D290F" w14:paraId="0E9D0D2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FF77B7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Gowrie (Qld)</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448A92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West Gladstone</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28DE8A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Raymond Terrace</w:t>
            </w:r>
          </w:p>
        </w:tc>
        <w:tc>
          <w:tcPr>
            <w:tcW w:w="1039" w:type="pct"/>
            <w:tcBorders>
              <w:top w:val="single" w:sz="4" w:space="0" w:color="FFFFFF" w:themeColor="background1"/>
              <w:left w:val="single" w:sz="4" w:space="0" w:color="000000" w:themeColor="text1"/>
              <w:bottom w:val="single" w:sz="4" w:space="0" w:color="000000" w:themeColor="text1"/>
            </w:tcBorders>
            <w:shd w:val="clear" w:color="000000" w:fill="DCE7F5"/>
            <w:vAlign w:val="bottom"/>
          </w:tcPr>
          <w:p w14:paraId="59222973" w14:textId="77777777" w:rsidR="00E15920" w:rsidRPr="003D290F" w:rsidRDefault="00E15920" w:rsidP="0026705A">
            <w:pPr>
              <w:spacing w:after="0" w:line="240" w:lineRule="auto"/>
              <w:rPr>
                <w:rFonts w:cs="Segoe UI"/>
                <w:color w:val="000000"/>
                <w:sz w:val="16"/>
                <w:szCs w:val="16"/>
              </w:rPr>
            </w:pPr>
            <w:r w:rsidRPr="003D290F">
              <w:rPr>
                <w:rFonts w:cs="Segoe UI"/>
                <w:color w:val="000000"/>
                <w:sz w:val="16"/>
                <w:szCs w:val="16"/>
              </w:rPr>
              <w:t>Mudgee Surrounds - West</w:t>
            </w:r>
          </w:p>
        </w:tc>
      </w:tr>
      <w:tr w:rsidR="00E15920" w:rsidRPr="003D290F" w14:paraId="7CCA8F2A"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3A0D512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Highfields</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1B375C" w:themeFill="accent1"/>
            <w:vAlign w:val="bottom"/>
          </w:tcPr>
          <w:p w14:paraId="2BEE23ED" w14:textId="77777777" w:rsidR="00E15920" w:rsidRPr="003D290F" w:rsidRDefault="00E15920" w:rsidP="0026705A">
            <w:pPr>
              <w:spacing w:after="0" w:line="240" w:lineRule="auto"/>
              <w:rPr>
                <w:rFonts w:eastAsia="Times New Roman" w:cs="Segoe UI"/>
                <w:b/>
                <w:color w:val="000000"/>
                <w:sz w:val="16"/>
                <w:szCs w:val="16"/>
                <w:lang w:eastAsia="en-AU"/>
              </w:rPr>
            </w:pPr>
            <w:r w:rsidRPr="003D290F">
              <w:rPr>
                <w:rFonts w:eastAsia="Times New Roman" w:cs="Segoe UI"/>
                <w:b/>
                <w:color w:val="FFFFFF" w:themeColor="background1"/>
                <w:sz w:val="16"/>
                <w:szCs w:val="16"/>
                <w:lang w:eastAsia="en-AU"/>
              </w:rPr>
              <w:t>HUNTER VALLEY</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9E4F2C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Redhead</w:t>
            </w:r>
          </w:p>
        </w:tc>
        <w:tc>
          <w:tcPr>
            <w:tcW w:w="1039" w:type="pct"/>
            <w:tcBorders>
              <w:top w:val="single" w:sz="4" w:space="0" w:color="000000" w:themeColor="text1"/>
              <w:left w:val="single" w:sz="4" w:space="0" w:color="000000" w:themeColor="text1"/>
              <w:bottom w:val="nil"/>
              <w:right w:val="nil"/>
            </w:tcBorders>
            <w:shd w:val="clear" w:color="auto" w:fill="auto"/>
            <w:vAlign w:val="bottom"/>
          </w:tcPr>
          <w:p w14:paraId="0F4247D6" w14:textId="77777777" w:rsidR="00E15920" w:rsidRPr="003D290F" w:rsidRDefault="00E15920" w:rsidP="0026705A">
            <w:pPr>
              <w:spacing w:after="0" w:line="240" w:lineRule="auto"/>
              <w:rPr>
                <w:rFonts w:cs="Segoe UI"/>
                <w:color w:val="000000"/>
                <w:sz w:val="16"/>
                <w:szCs w:val="16"/>
              </w:rPr>
            </w:pPr>
          </w:p>
        </w:tc>
      </w:tr>
      <w:tr w:rsidR="00E15920" w:rsidRPr="003D290F" w14:paraId="72B70C7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01E347D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Jondaryan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747566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Adamstown - Kotara</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6C969D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Rutherford (North) - Aberglasslyn</w:t>
            </w:r>
          </w:p>
        </w:tc>
        <w:tc>
          <w:tcPr>
            <w:tcW w:w="1039" w:type="pct"/>
            <w:tcBorders>
              <w:top w:val="nil"/>
              <w:left w:val="single" w:sz="4" w:space="0" w:color="000000" w:themeColor="text1"/>
              <w:bottom w:val="nil"/>
              <w:right w:val="nil"/>
            </w:tcBorders>
            <w:shd w:val="clear" w:color="auto" w:fill="auto"/>
            <w:vAlign w:val="bottom"/>
          </w:tcPr>
          <w:p w14:paraId="07EEE43F" w14:textId="77777777" w:rsidR="00E15920" w:rsidRPr="003D290F" w:rsidRDefault="00E15920" w:rsidP="0026705A">
            <w:pPr>
              <w:spacing w:after="0" w:line="240" w:lineRule="auto"/>
              <w:rPr>
                <w:rFonts w:cs="Segoe UI"/>
                <w:color w:val="000000"/>
                <w:sz w:val="16"/>
                <w:szCs w:val="16"/>
              </w:rPr>
            </w:pPr>
          </w:p>
        </w:tc>
      </w:tr>
      <w:tr w:rsidR="00E15920" w:rsidRPr="003D290F" w14:paraId="1B474454"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736536C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Kingaroy</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CF411B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Avoca Beach - Copacabana</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A59739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Rutherford (South) - Telarah</w:t>
            </w:r>
          </w:p>
        </w:tc>
        <w:tc>
          <w:tcPr>
            <w:tcW w:w="1039" w:type="pct"/>
            <w:tcBorders>
              <w:top w:val="nil"/>
              <w:left w:val="single" w:sz="4" w:space="0" w:color="000000" w:themeColor="text1"/>
              <w:bottom w:val="nil"/>
              <w:right w:val="nil"/>
            </w:tcBorders>
            <w:shd w:val="clear" w:color="auto" w:fill="auto"/>
            <w:vAlign w:val="bottom"/>
          </w:tcPr>
          <w:p w14:paraId="24B3A82B" w14:textId="77777777" w:rsidR="00E15920" w:rsidRPr="003D290F" w:rsidRDefault="00E15920" w:rsidP="0026705A">
            <w:pPr>
              <w:spacing w:after="0" w:line="240" w:lineRule="auto"/>
              <w:rPr>
                <w:rFonts w:cs="Segoe UI"/>
                <w:color w:val="000000"/>
                <w:sz w:val="16"/>
                <w:szCs w:val="16"/>
              </w:rPr>
            </w:pPr>
          </w:p>
        </w:tc>
      </w:tr>
      <w:tr w:rsidR="00E15920" w:rsidRPr="003D290F" w14:paraId="0F37D5E4"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181501A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Kingaroy Surrounds - South</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78EDA49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Bateau Bay - Killarney Vale</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FD0C3F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Saratoga - Davistown</w:t>
            </w:r>
          </w:p>
        </w:tc>
        <w:tc>
          <w:tcPr>
            <w:tcW w:w="1039" w:type="pct"/>
            <w:tcBorders>
              <w:top w:val="nil"/>
              <w:left w:val="single" w:sz="4" w:space="0" w:color="000000" w:themeColor="text1"/>
              <w:bottom w:val="nil"/>
              <w:right w:val="nil"/>
            </w:tcBorders>
            <w:shd w:val="clear" w:color="auto" w:fill="auto"/>
            <w:vAlign w:val="bottom"/>
          </w:tcPr>
          <w:p w14:paraId="16F9FBA6" w14:textId="77777777" w:rsidR="00E15920" w:rsidRPr="003D290F" w:rsidRDefault="00E15920" w:rsidP="0026705A">
            <w:pPr>
              <w:spacing w:after="0" w:line="240" w:lineRule="auto"/>
              <w:rPr>
                <w:rFonts w:cs="Segoe UI"/>
                <w:color w:val="000000"/>
                <w:sz w:val="16"/>
                <w:szCs w:val="16"/>
              </w:rPr>
            </w:pPr>
          </w:p>
        </w:tc>
      </w:tr>
      <w:tr w:rsidR="00E15920" w:rsidRPr="003D290F" w14:paraId="30D2CD4E"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6C15435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Lockyer Valley - West</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6C59E0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Belmont - Bennetts Green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64C2D36"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Scone</w:t>
            </w:r>
          </w:p>
        </w:tc>
        <w:tc>
          <w:tcPr>
            <w:tcW w:w="1039" w:type="pct"/>
            <w:tcBorders>
              <w:top w:val="nil"/>
              <w:left w:val="single" w:sz="4" w:space="0" w:color="000000" w:themeColor="text1"/>
              <w:bottom w:val="nil"/>
              <w:right w:val="nil"/>
            </w:tcBorders>
            <w:shd w:val="clear" w:color="auto" w:fill="auto"/>
          </w:tcPr>
          <w:p w14:paraId="136F5313" w14:textId="77777777" w:rsidR="00E15920" w:rsidRPr="003D290F" w:rsidRDefault="00E15920" w:rsidP="0026705A">
            <w:pPr>
              <w:spacing w:after="0" w:line="240" w:lineRule="auto"/>
              <w:rPr>
                <w:rFonts w:cs="Segoe UI"/>
                <w:color w:val="000000"/>
                <w:sz w:val="16"/>
                <w:szCs w:val="16"/>
              </w:rPr>
            </w:pPr>
          </w:p>
        </w:tc>
      </w:tr>
      <w:tr w:rsidR="00E15920" w:rsidRPr="003D290F" w14:paraId="33516F2D"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221AF52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Middle Ridge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7F3C1F3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Belmont South - Blacksmiths</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085EAA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Scone Surrounds</w:t>
            </w:r>
          </w:p>
        </w:tc>
        <w:tc>
          <w:tcPr>
            <w:tcW w:w="1039" w:type="pct"/>
            <w:tcBorders>
              <w:top w:val="nil"/>
              <w:left w:val="single" w:sz="4" w:space="0" w:color="000000" w:themeColor="text1"/>
              <w:bottom w:val="nil"/>
              <w:right w:val="nil"/>
            </w:tcBorders>
            <w:shd w:val="clear" w:color="auto" w:fill="auto"/>
          </w:tcPr>
          <w:p w14:paraId="6C87DDB6" w14:textId="77777777" w:rsidR="00E15920" w:rsidRPr="003D290F" w:rsidRDefault="00E15920" w:rsidP="0026705A">
            <w:pPr>
              <w:spacing w:after="0" w:line="240" w:lineRule="auto"/>
              <w:rPr>
                <w:rFonts w:cs="Segoe UI"/>
                <w:color w:val="000000"/>
                <w:sz w:val="16"/>
                <w:szCs w:val="16"/>
              </w:rPr>
            </w:pPr>
          </w:p>
        </w:tc>
      </w:tr>
      <w:tr w:rsidR="00E15920" w:rsidRPr="003D290F" w14:paraId="3ABD6BCB"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5622E61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Miles - Wandoan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3E1EAE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Beresfield - Hexham</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5CFD84F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Seaham - Woodville</w:t>
            </w:r>
          </w:p>
        </w:tc>
        <w:tc>
          <w:tcPr>
            <w:tcW w:w="1039" w:type="pct"/>
            <w:tcBorders>
              <w:top w:val="nil"/>
              <w:left w:val="single" w:sz="4" w:space="0" w:color="000000" w:themeColor="text1"/>
              <w:bottom w:val="nil"/>
              <w:right w:val="nil"/>
            </w:tcBorders>
            <w:shd w:val="clear" w:color="auto" w:fill="auto"/>
          </w:tcPr>
          <w:p w14:paraId="04E405C1" w14:textId="77777777" w:rsidR="00E15920" w:rsidRPr="003D290F" w:rsidRDefault="00E15920" w:rsidP="0026705A">
            <w:pPr>
              <w:spacing w:after="0" w:line="240" w:lineRule="auto"/>
              <w:rPr>
                <w:rFonts w:cs="Segoe UI"/>
                <w:color w:val="000000"/>
                <w:sz w:val="16"/>
                <w:szCs w:val="16"/>
              </w:rPr>
            </w:pPr>
          </w:p>
        </w:tc>
      </w:tr>
      <w:tr w:rsidR="00E15920" w:rsidRPr="003D290F" w14:paraId="217D5ACA"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0FDD2AC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Millmerran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32BFF56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Blue Haven - San Remo</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937599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Shortland - Jesmond</w:t>
            </w:r>
          </w:p>
        </w:tc>
        <w:tc>
          <w:tcPr>
            <w:tcW w:w="1039" w:type="pct"/>
            <w:tcBorders>
              <w:top w:val="nil"/>
              <w:left w:val="single" w:sz="4" w:space="0" w:color="000000" w:themeColor="text1"/>
              <w:bottom w:val="nil"/>
              <w:right w:val="nil"/>
            </w:tcBorders>
            <w:shd w:val="clear" w:color="auto" w:fill="auto"/>
          </w:tcPr>
          <w:p w14:paraId="2B74235C" w14:textId="77777777" w:rsidR="00E15920" w:rsidRPr="003D290F" w:rsidRDefault="00E15920" w:rsidP="0026705A">
            <w:pPr>
              <w:spacing w:after="0" w:line="240" w:lineRule="auto"/>
              <w:rPr>
                <w:rFonts w:cs="Segoe UI"/>
                <w:color w:val="000000"/>
                <w:sz w:val="16"/>
                <w:szCs w:val="16"/>
              </w:rPr>
            </w:pPr>
          </w:p>
        </w:tc>
      </w:tr>
      <w:tr w:rsidR="00E15920" w:rsidRPr="003D290F" w14:paraId="44078D6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6110AD1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Nanango</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57CDC7B6"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Bolton Point - Teralba</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C73885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Singleton</w:t>
            </w:r>
          </w:p>
        </w:tc>
        <w:tc>
          <w:tcPr>
            <w:tcW w:w="1039" w:type="pct"/>
            <w:tcBorders>
              <w:top w:val="nil"/>
              <w:left w:val="single" w:sz="4" w:space="0" w:color="000000" w:themeColor="text1"/>
              <w:bottom w:val="nil"/>
              <w:right w:val="nil"/>
            </w:tcBorders>
            <w:shd w:val="clear" w:color="auto" w:fill="auto"/>
          </w:tcPr>
          <w:p w14:paraId="4741D7FB" w14:textId="77777777" w:rsidR="00E15920" w:rsidRPr="003D290F" w:rsidRDefault="00E15920" w:rsidP="0026705A">
            <w:pPr>
              <w:spacing w:after="0" w:line="240" w:lineRule="auto"/>
              <w:rPr>
                <w:rFonts w:cs="Segoe UI"/>
                <w:color w:val="000000"/>
                <w:sz w:val="16"/>
                <w:szCs w:val="16"/>
              </w:rPr>
            </w:pPr>
          </w:p>
        </w:tc>
      </w:tr>
      <w:tr w:rsidR="00E15920" w:rsidRPr="003D290F" w14:paraId="1330C267"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70C789D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Newtown (Qld)</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3200FC5D"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Bonnells Bay - Silverwater</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6ADE593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Singleton Surrounds</w:t>
            </w:r>
          </w:p>
        </w:tc>
        <w:tc>
          <w:tcPr>
            <w:tcW w:w="1039" w:type="pct"/>
            <w:tcBorders>
              <w:top w:val="nil"/>
              <w:left w:val="single" w:sz="4" w:space="0" w:color="000000" w:themeColor="text1"/>
              <w:bottom w:val="nil"/>
              <w:right w:val="nil"/>
            </w:tcBorders>
            <w:shd w:val="clear" w:color="auto" w:fill="auto"/>
          </w:tcPr>
          <w:p w14:paraId="6F11A696" w14:textId="77777777" w:rsidR="00E15920" w:rsidRPr="003D290F" w:rsidRDefault="00E15920" w:rsidP="0026705A">
            <w:pPr>
              <w:spacing w:after="0" w:line="240" w:lineRule="auto"/>
              <w:rPr>
                <w:rFonts w:cs="Segoe UI"/>
                <w:color w:val="000000"/>
                <w:sz w:val="16"/>
                <w:szCs w:val="16"/>
              </w:rPr>
            </w:pPr>
          </w:p>
        </w:tc>
      </w:tr>
      <w:tr w:rsidR="00E15920" w:rsidRPr="003D290F" w14:paraId="54FA3CF7"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509EB146"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North Toowoomba - Harlaxton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7303ABA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Box Head - MacMasters Beach</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EDE4FE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Stockton - Fullerton Cove</w:t>
            </w:r>
          </w:p>
        </w:tc>
        <w:tc>
          <w:tcPr>
            <w:tcW w:w="1039" w:type="pct"/>
            <w:tcBorders>
              <w:top w:val="nil"/>
              <w:left w:val="single" w:sz="4" w:space="0" w:color="000000" w:themeColor="text1"/>
              <w:bottom w:val="nil"/>
              <w:right w:val="nil"/>
            </w:tcBorders>
            <w:shd w:val="clear" w:color="auto" w:fill="auto"/>
          </w:tcPr>
          <w:p w14:paraId="61AD6B4C" w14:textId="77777777" w:rsidR="00E15920" w:rsidRPr="003D290F" w:rsidRDefault="00E15920" w:rsidP="0026705A">
            <w:pPr>
              <w:spacing w:after="0" w:line="240" w:lineRule="auto"/>
              <w:rPr>
                <w:rFonts w:cs="Segoe UI"/>
                <w:color w:val="000000"/>
                <w:sz w:val="16"/>
                <w:szCs w:val="16"/>
              </w:rPr>
            </w:pPr>
          </w:p>
        </w:tc>
      </w:tr>
      <w:tr w:rsidR="00E15920" w:rsidRPr="003D290F" w14:paraId="7C542CDD"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1F01C15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Pittsworth</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21624EB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Branxton - Greta - Pokolbin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37299D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Summerland Point - Gwandalan</w:t>
            </w:r>
          </w:p>
        </w:tc>
        <w:tc>
          <w:tcPr>
            <w:tcW w:w="1039" w:type="pct"/>
            <w:tcBorders>
              <w:top w:val="nil"/>
              <w:left w:val="single" w:sz="4" w:space="0" w:color="000000" w:themeColor="text1"/>
              <w:bottom w:val="nil"/>
              <w:right w:val="nil"/>
            </w:tcBorders>
            <w:shd w:val="clear" w:color="auto" w:fill="auto"/>
          </w:tcPr>
          <w:p w14:paraId="6E84EBBA" w14:textId="77777777" w:rsidR="00E15920" w:rsidRPr="003D290F" w:rsidRDefault="00E15920" w:rsidP="0026705A">
            <w:pPr>
              <w:spacing w:after="0" w:line="240" w:lineRule="auto"/>
              <w:rPr>
                <w:rFonts w:cs="Segoe UI"/>
                <w:color w:val="000000"/>
                <w:sz w:val="16"/>
                <w:szCs w:val="16"/>
              </w:rPr>
            </w:pPr>
          </w:p>
        </w:tc>
      </w:tr>
      <w:tr w:rsidR="00E15920" w:rsidRPr="003D290F" w14:paraId="31DB53E0"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444A028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Rangeville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64F288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Budgewoi - Buff Point - Halekulani</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5D324E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Swansea - Caves Beach</w:t>
            </w:r>
          </w:p>
        </w:tc>
        <w:tc>
          <w:tcPr>
            <w:tcW w:w="1039" w:type="pct"/>
            <w:tcBorders>
              <w:top w:val="nil"/>
              <w:left w:val="single" w:sz="4" w:space="0" w:color="000000" w:themeColor="text1"/>
              <w:bottom w:val="nil"/>
              <w:right w:val="nil"/>
            </w:tcBorders>
            <w:shd w:val="clear" w:color="auto" w:fill="auto"/>
          </w:tcPr>
          <w:p w14:paraId="103A910D" w14:textId="77777777" w:rsidR="00E15920" w:rsidRPr="003D290F" w:rsidRDefault="00E15920" w:rsidP="0026705A">
            <w:pPr>
              <w:spacing w:after="0" w:line="240" w:lineRule="auto"/>
              <w:rPr>
                <w:rFonts w:cs="Segoe UI"/>
                <w:color w:val="000000"/>
                <w:sz w:val="16"/>
                <w:szCs w:val="16"/>
              </w:rPr>
            </w:pPr>
          </w:p>
        </w:tc>
      </w:tr>
      <w:tr w:rsidR="00E15920" w:rsidRPr="003D290F" w14:paraId="21C3C96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462D7C0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Roma</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9FC3FE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Calga - Kulnura</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3D2D856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Tea Gardens - Hawks Nest</w:t>
            </w:r>
          </w:p>
        </w:tc>
        <w:tc>
          <w:tcPr>
            <w:tcW w:w="1039" w:type="pct"/>
            <w:tcBorders>
              <w:top w:val="nil"/>
              <w:left w:val="single" w:sz="4" w:space="0" w:color="000000" w:themeColor="text1"/>
              <w:bottom w:val="nil"/>
              <w:right w:val="nil"/>
            </w:tcBorders>
            <w:shd w:val="clear" w:color="auto" w:fill="auto"/>
          </w:tcPr>
          <w:p w14:paraId="166452A9" w14:textId="77777777" w:rsidR="00E15920" w:rsidRPr="003D290F" w:rsidRDefault="00E15920" w:rsidP="0026705A">
            <w:pPr>
              <w:spacing w:after="0" w:line="240" w:lineRule="auto"/>
              <w:rPr>
                <w:rFonts w:cs="Segoe UI"/>
                <w:color w:val="000000"/>
                <w:sz w:val="16"/>
                <w:szCs w:val="16"/>
              </w:rPr>
            </w:pPr>
          </w:p>
        </w:tc>
      </w:tr>
      <w:tr w:rsidR="00E15920" w:rsidRPr="003D290F" w14:paraId="29EE5EB4"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6F11599D"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Roma Surrounds</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7A7D1E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Cessnock</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4C2C33C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Tenambit - East Maitland</w:t>
            </w:r>
          </w:p>
        </w:tc>
        <w:tc>
          <w:tcPr>
            <w:tcW w:w="1039" w:type="pct"/>
            <w:tcBorders>
              <w:top w:val="nil"/>
              <w:left w:val="single" w:sz="4" w:space="0" w:color="000000" w:themeColor="text1"/>
              <w:bottom w:val="nil"/>
              <w:right w:val="nil"/>
            </w:tcBorders>
            <w:shd w:val="clear" w:color="auto" w:fill="auto"/>
          </w:tcPr>
          <w:p w14:paraId="56CA4CBA" w14:textId="77777777" w:rsidR="00E15920" w:rsidRPr="003D290F" w:rsidRDefault="00E15920" w:rsidP="0026705A">
            <w:pPr>
              <w:spacing w:after="0" w:line="240" w:lineRule="auto"/>
              <w:rPr>
                <w:rFonts w:cs="Segoe UI"/>
                <w:color w:val="000000"/>
                <w:sz w:val="16"/>
                <w:szCs w:val="16"/>
              </w:rPr>
            </w:pPr>
          </w:p>
        </w:tc>
      </w:tr>
      <w:tr w:rsidR="00E15920" w:rsidRPr="003D290F" w14:paraId="7DA08B9B"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8B3DEC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Tara</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67766BC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Cessnock Surrounds</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510C7C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Terrigal - North Avoca</w:t>
            </w:r>
          </w:p>
        </w:tc>
        <w:tc>
          <w:tcPr>
            <w:tcW w:w="1039" w:type="pct"/>
            <w:tcBorders>
              <w:top w:val="nil"/>
              <w:left w:val="single" w:sz="4" w:space="0" w:color="000000" w:themeColor="text1"/>
              <w:bottom w:val="nil"/>
              <w:right w:val="nil"/>
            </w:tcBorders>
            <w:shd w:val="clear" w:color="auto" w:fill="auto"/>
          </w:tcPr>
          <w:p w14:paraId="2FCD9A2D" w14:textId="77777777" w:rsidR="00E15920" w:rsidRPr="003D290F" w:rsidRDefault="00E15920" w:rsidP="0026705A">
            <w:pPr>
              <w:spacing w:after="0" w:line="240" w:lineRule="auto"/>
              <w:rPr>
                <w:rFonts w:cs="Segoe UI"/>
                <w:color w:val="000000"/>
                <w:sz w:val="16"/>
                <w:szCs w:val="16"/>
              </w:rPr>
            </w:pPr>
          </w:p>
        </w:tc>
      </w:tr>
      <w:tr w:rsidR="00E15920" w:rsidRPr="003D290F" w14:paraId="0FFA6ADF"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1318C2A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Toowoomba - Central</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37F0588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Charlestown - Dudley</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A82424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The Entrance</w:t>
            </w:r>
          </w:p>
        </w:tc>
        <w:tc>
          <w:tcPr>
            <w:tcW w:w="1039" w:type="pct"/>
            <w:tcBorders>
              <w:top w:val="nil"/>
              <w:left w:val="single" w:sz="4" w:space="0" w:color="000000" w:themeColor="text1"/>
              <w:bottom w:val="nil"/>
              <w:right w:val="nil"/>
            </w:tcBorders>
            <w:shd w:val="clear" w:color="auto" w:fill="auto"/>
          </w:tcPr>
          <w:p w14:paraId="1234D5CA" w14:textId="77777777" w:rsidR="00E15920" w:rsidRPr="003D290F" w:rsidRDefault="00E15920" w:rsidP="0026705A">
            <w:pPr>
              <w:spacing w:after="0" w:line="240" w:lineRule="auto"/>
              <w:rPr>
                <w:rFonts w:cs="Segoe UI"/>
                <w:color w:val="000000"/>
                <w:sz w:val="16"/>
                <w:szCs w:val="16"/>
              </w:rPr>
            </w:pPr>
          </w:p>
        </w:tc>
      </w:tr>
      <w:tr w:rsidR="00E15920" w:rsidRPr="003D290F" w14:paraId="2454097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14E2A13D"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Toowoomba - East</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5506BC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Chittaway Bay - Tumbi Umbi</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943FAE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Thornton - Millers Forest</w:t>
            </w:r>
          </w:p>
        </w:tc>
        <w:tc>
          <w:tcPr>
            <w:tcW w:w="1039" w:type="pct"/>
            <w:tcBorders>
              <w:top w:val="nil"/>
              <w:left w:val="single" w:sz="4" w:space="0" w:color="000000" w:themeColor="text1"/>
              <w:bottom w:val="nil"/>
              <w:right w:val="nil"/>
            </w:tcBorders>
            <w:shd w:val="clear" w:color="auto" w:fill="auto"/>
          </w:tcPr>
          <w:p w14:paraId="0FFE2813" w14:textId="77777777" w:rsidR="00E15920" w:rsidRPr="003D290F" w:rsidRDefault="00E15920" w:rsidP="0026705A">
            <w:pPr>
              <w:spacing w:after="0" w:line="240" w:lineRule="auto"/>
              <w:rPr>
                <w:rFonts w:cs="Segoe UI"/>
                <w:color w:val="000000"/>
                <w:sz w:val="16"/>
                <w:szCs w:val="16"/>
              </w:rPr>
            </w:pPr>
          </w:p>
        </w:tc>
      </w:tr>
      <w:tr w:rsidR="00E15920" w:rsidRPr="003D290F" w14:paraId="6EC5E676"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46FAF1C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Toowoomba - West</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auto"/>
            <w:vAlign w:val="bottom"/>
          </w:tcPr>
          <w:p w14:paraId="241AC60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Dungog</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auto"/>
            <w:vAlign w:val="bottom"/>
          </w:tcPr>
          <w:p w14:paraId="322AABE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Toronto - Awaba</w:t>
            </w:r>
          </w:p>
        </w:tc>
        <w:tc>
          <w:tcPr>
            <w:tcW w:w="1039" w:type="pct"/>
            <w:tcBorders>
              <w:top w:val="nil"/>
              <w:left w:val="single" w:sz="4" w:space="0" w:color="000000" w:themeColor="text1"/>
              <w:bottom w:val="nil"/>
              <w:right w:val="nil"/>
            </w:tcBorders>
            <w:shd w:val="clear" w:color="auto" w:fill="auto"/>
          </w:tcPr>
          <w:p w14:paraId="2A112504" w14:textId="77777777" w:rsidR="00E15920" w:rsidRPr="003D290F" w:rsidRDefault="00E15920" w:rsidP="0026705A">
            <w:pPr>
              <w:spacing w:after="0" w:line="240" w:lineRule="auto"/>
              <w:rPr>
                <w:rFonts w:cs="Segoe UI"/>
                <w:color w:val="000000"/>
                <w:sz w:val="16"/>
                <w:szCs w:val="16"/>
              </w:rPr>
            </w:pPr>
          </w:p>
        </w:tc>
      </w:tr>
      <w:tr w:rsidR="00E15920" w:rsidRPr="003D290F" w14:paraId="2B1346EE"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39273F2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Wambo</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31AF29A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East Maitland - Metford</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27DE3ED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Toukley - Norah Head</w:t>
            </w:r>
          </w:p>
        </w:tc>
        <w:tc>
          <w:tcPr>
            <w:tcW w:w="1039" w:type="pct"/>
            <w:tcBorders>
              <w:top w:val="nil"/>
              <w:left w:val="single" w:sz="4" w:space="0" w:color="000000" w:themeColor="text1"/>
              <w:bottom w:val="nil"/>
              <w:right w:val="nil"/>
            </w:tcBorders>
            <w:shd w:val="clear" w:color="auto" w:fill="auto"/>
          </w:tcPr>
          <w:p w14:paraId="141CAC86" w14:textId="77777777" w:rsidR="00E15920" w:rsidRPr="003D290F" w:rsidRDefault="00E15920" w:rsidP="0026705A">
            <w:pPr>
              <w:spacing w:after="0" w:line="240" w:lineRule="auto"/>
              <w:rPr>
                <w:rFonts w:cs="Segoe UI"/>
                <w:color w:val="000000"/>
                <w:sz w:val="16"/>
                <w:szCs w:val="16"/>
              </w:rPr>
            </w:pPr>
          </w:p>
        </w:tc>
      </w:tr>
      <w:tr w:rsidR="00E15920" w:rsidRPr="003D290F" w14:paraId="5639F972"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1D94DF6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Wilsonton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734BE63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Edgeworth - Cameron Park</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1CC67E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Tuggerah - Kangy Angy</w:t>
            </w:r>
          </w:p>
        </w:tc>
        <w:tc>
          <w:tcPr>
            <w:tcW w:w="1039" w:type="pct"/>
            <w:tcBorders>
              <w:top w:val="nil"/>
              <w:left w:val="single" w:sz="4" w:space="0" w:color="000000" w:themeColor="text1"/>
              <w:bottom w:val="nil"/>
              <w:right w:val="nil"/>
            </w:tcBorders>
            <w:shd w:val="clear" w:color="auto" w:fill="auto"/>
          </w:tcPr>
          <w:p w14:paraId="59BA2C15" w14:textId="77777777" w:rsidR="00E15920" w:rsidRPr="003D290F" w:rsidRDefault="00E15920" w:rsidP="0026705A">
            <w:pPr>
              <w:spacing w:after="0" w:line="240" w:lineRule="auto"/>
              <w:rPr>
                <w:rFonts w:cs="Segoe UI"/>
                <w:color w:val="000000"/>
                <w:sz w:val="16"/>
                <w:szCs w:val="16"/>
              </w:rPr>
            </w:pPr>
          </w:p>
        </w:tc>
      </w:tr>
      <w:tr w:rsidR="00E15920" w:rsidRPr="003D290F" w14:paraId="067CD4A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1B375C" w:themeFill="accent1"/>
            <w:noWrap/>
            <w:vAlign w:val="bottom"/>
          </w:tcPr>
          <w:p w14:paraId="09235FC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eastAsia="Times New Roman" w:cs="Segoe UI"/>
                <w:b/>
                <w:bCs/>
                <w:color w:val="FFFFFF"/>
                <w:sz w:val="16"/>
                <w:szCs w:val="16"/>
                <w:lang w:eastAsia="en-AU"/>
              </w:rPr>
              <w:t>GLADSTONE &amp; CENTRAL QLD</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2D1D6B0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Erina - Green Point</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5CA06F7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Umina - Booker Bay - Patonga</w:t>
            </w:r>
          </w:p>
        </w:tc>
        <w:tc>
          <w:tcPr>
            <w:tcW w:w="1039" w:type="pct"/>
            <w:tcBorders>
              <w:top w:val="nil"/>
              <w:left w:val="single" w:sz="4" w:space="0" w:color="000000" w:themeColor="text1"/>
              <w:bottom w:val="nil"/>
              <w:right w:val="nil"/>
            </w:tcBorders>
            <w:shd w:val="clear" w:color="auto" w:fill="auto"/>
          </w:tcPr>
          <w:p w14:paraId="11E12CB5" w14:textId="77777777" w:rsidR="00E15920" w:rsidRPr="003D290F" w:rsidRDefault="00E15920" w:rsidP="0026705A">
            <w:pPr>
              <w:spacing w:after="0" w:line="240" w:lineRule="auto"/>
              <w:rPr>
                <w:rFonts w:cs="Segoe UI"/>
                <w:color w:val="000000"/>
                <w:sz w:val="16"/>
                <w:szCs w:val="16"/>
              </w:rPr>
            </w:pPr>
          </w:p>
        </w:tc>
      </w:tr>
      <w:tr w:rsidR="00E15920" w:rsidRPr="003D290F" w14:paraId="273A5DC8"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7DF5D2C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Banana</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AA4995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Glendale - Cardiff - Hillsborough</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779AEE6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Valentine - Eleebana</w:t>
            </w:r>
          </w:p>
        </w:tc>
        <w:tc>
          <w:tcPr>
            <w:tcW w:w="1039" w:type="pct"/>
            <w:tcBorders>
              <w:top w:val="nil"/>
              <w:left w:val="single" w:sz="4" w:space="0" w:color="000000" w:themeColor="text1"/>
              <w:bottom w:val="nil"/>
              <w:right w:val="nil"/>
            </w:tcBorders>
            <w:shd w:val="clear" w:color="auto" w:fill="auto"/>
          </w:tcPr>
          <w:p w14:paraId="0DB9AD4F" w14:textId="77777777" w:rsidR="00E15920" w:rsidRPr="003D290F" w:rsidRDefault="00E15920" w:rsidP="0026705A">
            <w:pPr>
              <w:spacing w:after="0" w:line="240" w:lineRule="auto"/>
              <w:rPr>
                <w:rFonts w:cs="Segoe UI"/>
                <w:color w:val="000000"/>
                <w:sz w:val="16"/>
                <w:szCs w:val="16"/>
              </w:rPr>
            </w:pPr>
          </w:p>
        </w:tc>
      </w:tr>
      <w:tr w:rsidR="00E15920" w:rsidRPr="003D290F" w14:paraId="08120068"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052C9056"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Berserker</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9A9DC1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Gorokan - Kanwal - Charmhaven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246CC4E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Wallsend - Elermore Vale</w:t>
            </w:r>
          </w:p>
        </w:tc>
        <w:tc>
          <w:tcPr>
            <w:tcW w:w="1039" w:type="pct"/>
            <w:tcBorders>
              <w:top w:val="nil"/>
              <w:left w:val="single" w:sz="4" w:space="0" w:color="000000" w:themeColor="text1"/>
              <w:bottom w:val="nil"/>
              <w:right w:val="nil"/>
            </w:tcBorders>
            <w:shd w:val="clear" w:color="auto" w:fill="auto"/>
          </w:tcPr>
          <w:p w14:paraId="7BC9CEDD" w14:textId="77777777" w:rsidR="00E15920" w:rsidRPr="003D290F" w:rsidRDefault="00E15920" w:rsidP="0026705A">
            <w:pPr>
              <w:spacing w:after="0" w:line="240" w:lineRule="auto"/>
              <w:rPr>
                <w:rFonts w:cs="Segoe UI"/>
                <w:color w:val="000000"/>
                <w:sz w:val="16"/>
                <w:szCs w:val="16"/>
              </w:rPr>
            </w:pPr>
          </w:p>
        </w:tc>
      </w:tr>
      <w:tr w:rsidR="00E15920" w:rsidRPr="003D290F" w14:paraId="74425596"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5A63CA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Biloela</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572506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Gosford - Springfield</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4D824E1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Wamberal - Forresters Beach</w:t>
            </w:r>
          </w:p>
        </w:tc>
        <w:tc>
          <w:tcPr>
            <w:tcW w:w="1039" w:type="pct"/>
            <w:tcBorders>
              <w:top w:val="nil"/>
              <w:left w:val="single" w:sz="4" w:space="0" w:color="000000" w:themeColor="text1"/>
              <w:bottom w:val="nil"/>
              <w:right w:val="nil"/>
            </w:tcBorders>
            <w:shd w:val="clear" w:color="auto" w:fill="auto"/>
          </w:tcPr>
          <w:p w14:paraId="1AF997D4" w14:textId="77777777" w:rsidR="00E15920" w:rsidRPr="003D290F" w:rsidRDefault="00E15920" w:rsidP="0026705A">
            <w:pPr>
              <w:spacing w:after="0" w:line="240" w:lineRule="auto"/>
              <w:rPr>
                <w:rFonts w:cs="Segoe UI"/>
                <w:color w:val="000000"/>
                <w:sz w:val="16"/>
                <w:szCs w:val="16"/>
              </w:rPr>
            </w:pPr>
          </w:p>
        </w:tc>
      </w:tr>
      <w:tr w:rsidR="00E15920" w:rsidRPr="003D290F" w14:paraId="637FBA70"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2FDA56D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Bouldercombe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641B5E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Hamilton - Broadmeadow</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01EBD27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Wangi Wangi - Rathmines</w:t>
            </w:r>
          </w:p>
        </w:tc>
        <w:tc>
          <w:tcPr>
            <w:tcW w:w="1039" w:type="pct"/>
            <w:tcBorders>
              <w:top w:val="nil"/>
              <w:left w:val="single" w:sz="4" w:space="0" w:color="000000" w:themeColor="text1"/>
              <w:bottom w:val="nil"/>
              <w:right w:val="nil"/>
            </w:tcBorders>
            <w:shd w:val="clear" w:color="auto" w:fill="auto"/>
          </w:tcPr>
          <w:p w14:paraId="4EF68CAD" w14:textId="77777777" w:rsidR="00E15920" w:rsidRPr="003D290F" w:rsidRDefault="00E15920" w:rsidP="0026705A">
            <w:pPr>
              <w:spacing w:after="0" w:line="240" w:lineRule="auto"/>
              <w:rPr>
                <w:rFonts w:cs="Segoe UI"/>
                <w:color w:val="000000"/>
                <w:sz w:val="16"/>
                <w:szCs w:val="16"/>
              </w:rPr>
            </w:pPr>
          </w:p>
        </w:tc>
      </w:tr>
      <w:tr w:rsidR="00E15920" w:rsidRPr="003D290F" w14:paraId="1321F192"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620599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Boyne Island - Tannum Sands</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21AD0B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Jilliby - Yarramalong</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29C535C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Waratah - North Lambton</w:t>
            </w:r>
          </w:p>
        </w:tc>
        <w:tc>
          <w:tcPr>
            <w:tcW w:w="1039" w:type="pct"/>
            <w:tcBorders>
              <w:top w:val="nil"/>
              <w:left w:val="single" w:sz="4" w:space="0" w:color="000000" w:themeColor="text1"/>
              <w:bottom w:val="nil"/>
              <w:right w:val="nil"/>
            </w:tcBorders>
            <w:shd w:val="clear" w:color="auto" w:fill="auto"/>
          </w:tcPr>
          <w:p w14:paraId="0DABCE9C" w14:textId="77777777" w:rsidR="00E15920" w:rsidRPr="003D290F" w:rsidRDefault="00E15920" w:rsidP="0026705A">
            <w:pPr>
              <w:spacing w:after="0" w:line="240" w:lineRule="auto"/>
              <w:rPr>
                <w:rFonts w:cs="Segoe UI"/>
                <w:color w:val="000000"/>
                <w:sz w:val="16"/>
                <w:szCs w:val="16"/>
              </w:rPr>
            </w:pPr>
          </w:p>
        </w:tc>
      </w:tr>
      <w:tr w:rsidR="00E15920" w:rsidRPr="003D290F" w14:paraId="471861CB"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183D18AD"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Callemondah</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7AE865E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Kariong</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4099826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Warners Bay - Boolaroo</w:t>
            </w:r>
          </w:p>
        </w:tc>
        <w:tc>
          <w:tcPr>
            <w:tcW w:w="1039" w:type="pct"/>
            <w:tcBorders>
              <w:top w:val="nil"/>
              <w:left w:val="single" w:sz="4" w:space="0" w:color="000000" w:themeColor="text1"/>
              <w:bottom w:val="nil"/>
              <w:right w:val="nil"/>
            </w:tcBorders>
            <w:shd w:val="clear" w:color="auto" w:fill="auto"/>
          </w:tcPr>
          <w:p w14:paraId="5C2D0B53" w14:textId="77777777" w:rsidR="00E15920" w:rsidRPr="003D290F" w:rsidRDefault="00E15920" w:rsidP="0026705A">
            <w:pPr>
              <w:spacing w:after="0" w:line="240" w:lineRule="auto"/>
              <w:rPr>
                <w:rFonts w:cs="Segoe UI"/>
                <w:color w:val="000000"/>
                <w:sz w:val="16"/>
                <w:szCs w:val="16"/>
              </w:rPr>
            </w:pPr>
          </w:p>
        </w:tc>
      </w:tr>
      <w:tr w:rsidR="00E15920" w:rsidRPr="003D290F" w14:paraId="3B4E9230"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0D6C7F2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Clinton - New Auckland</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6564C1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Kincumber - Picketts Valley</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7B2CBA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Warnervale - Wadalba</w:t>
            </w:r>
          </w:p>
        </w:tc>
        <w:tc>
          <w:tcPr>
            <w:tcW w:w="1039" w:type="pct"/>
            <w:tcBorders>
              <w:top w:val="nil"/>
              <w:left w:val="single" w:sz="4" w:space="0" w:color="000000" w:themeColor="text1"/>
              <w:bottom w:val="nil"/>
              <w:right w:val="nil"/>
            </w:tcBorders>
            <w:shd w:val="clear" w:color="auto" w:fill="auto"/>
          </w:tcPr>
          <w:p w14:paraId="713C8F33" w14:textId="77777777" w:rsidR="00E15920" w:rsidRPr="003D290F" w:rsidRDefault="00E15920" w:rsidP="0026705A">
            <w:pPr>
              <w:spacing w:after="0" w:line="240" w:lineRule="auto"/>
              <w:rPr>
                <w:rFonts w:cs="Segoe UI"/>
                <w:color w:val="000000"/>
                <w:sz w:val="16"/>
                <w:szCs w:val="16"/>
              </w:rPr>
            </w:pPr>
          </w:p>
        </w:tc>
      </w:tr>
      <w:tr w:rsidR="00E15920" w:rsidRPr="003D290F" w14:paraId="31B7416B"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504AFC40"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Emu Park</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7BC01A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Kurri Kurri - Abermain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32988524"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West Wallsend - Barnsley - Killingworth</w:t>
            </w:r>
          </w:p>
        </w:tc>
        <w:tc>
          <w:tcPr>
            <w:tcW w:w="1039" w:type="pct"/>
            <w:tcBorders>
              <w:top w:val="nil"/>
              <w:left w:val="single" w:sz="4" w:space="0" w:color="000000" w:themeColor="text1"/>
              <w:bottom w:val="nil"/>
              <w:right w:val="nil"/>
            </w:tcBorders>
            <w:shd w:val="clear" w:color="auto" w:fill="auto"/>
          </w:tcPr>
          <w:p w14:paraId="20387A44" w14:textId="77777777" w:rsidR="00E15920" w:rsidRPr="003D290F" w:rsidRDefault="00E15920" w:rsidP="0026705A">
            <w:pPr>
              <w:spacing w:after="0" w:line="240" w:lineRule="auto"/>
              <w:rPr>
                <w:rFonts w:cs="Segoe UI"/>
                <w:color w:val="000000"/>
                <w:sz w:val="16"/>
                <w:szCs w:val="16"/>
              </w:rPr>
            </w:pPr>
          </w:p>
        </w:tc>
      </w:tr>
      <w:tr w:rsidR="00E15920" w:rsidRPr="003D290F" w14:paraId="5CF2198E"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5E5580F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Frenchville - Mount Archer</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142189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Lake Munmorah - Mannering Park</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2FB638E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Wickham - Carrington - Tighes Hill</w:t>
            </w:r>
          </w:p>
        </w:tc>
        <w:tc>
          <w:tcPr>
            <w:tcW w:w="1039" w:type="pct"/>
            <w:tcBorders>
              <w:top w:val="nil"/>
              <w:left w:val="single" w:sz="4" w:space="0" w:color="000000" w:themeColor="text1"/>
              <w:bottom w:val="nil"/>
              <w:right w:val="nil"/>
            </w:tcBorders>
            <w:shd w:val="clear" w:color="auto" w:fill="auto"/>
          </w:tcPr>
          <w:p w14:paraId="7CB23D99" w14:textId="77777777" w:rsidR="00E15920" w:rsidRPr="003D290F" w:rsidRDefault="00E15920" w:rsidP="0026705A">
            <w:pPr>
              <w:spacing w:after="0" w:line="240" w:lineRule="auto"/>
              <w:rPr>
                <w:rFonts w:cs="Segoe UI"/>
                <w:color w:val="000000"/>
                <w:sz w:val="16"/>
                <w:szCs w:val="16"/>
              </w:rPr>
            </w:pPr>
          </w:p>
        </w:tc>
      </w:tr>
      <w:tr w:rsidR="00E15920" w:rsidRPr="003D290F" w14:paraId="2E9C54A0"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4ECB49E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Gladstone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7DF23A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Lambton - New Lambton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76674D06"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Williamtown - Medowie - Karuah</w:t>
            </w:r>
          </w:p>
        </w:tc>
        <w:tc>
          <w:tcPr>
            <w:tcW w:w="1039" w:type="pct"/>
            <w:tcBorders>
              <w:top w:val="nil"/>
              <w:left w:val="single" w:sz="4" w:space="0" w:color="000000" w:themeColor="text1"/>
              <w:bottom w:val="nil"/>
              <w:right w:val="nil"/>
            </w:tcBorders>
            <w:shd w:val="clear" w:color="auto" w:fill="auto"/>
          </w:tcPr>
          <w:p w14:paraId="7402E872" w14:textId="77777777" w:rsidR="00E15920" w:rsidRPr="003D290F" w:rsidRDefault="00E15920" w:rsidP="0026705A">
            <w:pPr>
              <w:spacing w:after="0" w:line="240" w:lineRule="auto"/>
              <w:rPr>
                <w:rFonts w:cs="Segoe UI"/>
                <w:color w:val="000000"/>
                <w:sz w:val="16"/>
                <w:szCs w:val="16"/>
              </w:rPr>
            </w:pPr>
          </w:p>
        </w:tc>
      </w:tr>
      <w:tr w:rsidR="00E15920" w:rsidRPr="003D290F" w14:paraId="2EF422E0"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E6757A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Gladstone Hinterland</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1D9AF0E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Lemon Tree Passage - Tanilba Bay</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C19513E"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Woy Woy - Blackwall</w:t>
            </w:r>
          </w:p>
        </w:tc>
        <w:tc>
          <w:tcPr>
            <w:tcW w:w="1039" w:type="pct"/>
            <w:tcBorders>
              <w:top w:val="nil"/>
              <w:left w:val="single" w:sz="4" w:space="0" w:color="000000" w:themeColor="text1"/>
              <w:bottom w:val="nil"/>
              <w:right w:val="nil"/>
            </w:tcBorders>
            <w:shd w:val="clear" w:color="auto" w:fill="auto"/>
          </w:tcPr>
          <w:p w14:paraId="524EAA9D" w14:textId="77777777" w:rsidR="00E15920" w:rsidRPr="003D290F" w:rsidRDefault="00E15920" w:rsidP="0026705A">
            <w:pPr>
              <w:spacing w:after="0" w:line="240" w:lineRule="auto"/>
              <w:rPr>
                <w:rFonts w:cs="Segoe UI"/>
                <w:color w:val="000000"/>
                <w:sz w:val="16"/>
                <w:szCs w:val="16"/>
              </w:rPr>
            </w:pPr>
          </w:p>
        </w:tc>
      </w:tr>
      <w:tr w:rsidR="00E15920" w:rsidRPr="003D290F" w14:paraId="333CBE61"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66EABD0B"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Glenlee - Rockyview</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56634EBF"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Maitland</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3AD0E9F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Wyoming</w:t>
            </w:r>
          </w:p>
        </w:tc>
        <w:tc>
          <w:tcPr>
            <w:tcW w:w="1039" w:type="pct"/>
            <w:tcBorders>
              <w:top w:val="nil"/>
              <w:left w:val="single" w:sz="4" w:space="0" w:color="000000" w:themeColor="text1"/>
              <w:bottom w:val="nil"/>
              <w:right w:val="nil"/>
            </w:tcBorders>
            <w:shd w:val="clear" w:color="auto" w:fill="auto"/>
          </w:tcPr>
          <w:p w14:paraId="7BACE792" w14:textId="77777777" w:rsidR="00E15920" w:rsidRPr="003D290F" w:rsidRDefault="00E15920" w:rsidP="0026705A">
            <w:pPr>
              <w:spacing w:after="0" w:line="240" w:lineRule="auto"/>
              <w:rPr>
                <w:rFonts w:cs="Segoe UI"/>
                <w:color w:val="000000"/>
                <w:sz w:val="16"/>
                <w:szCs w:val="16"/>
              </w:rPr>
            </w:pPr>
          </w:p>
        </w:tc>
      </w:tr>
      <w:tr w:rsidR="00E15920" w:rsidRPr="003D290F" w14:paraId="3E21E773"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C60704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Gracemere</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5ABFE98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Maitland - North</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F6E871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Wyong</w:t>
            </w:r>
          </w:p>
        </w:tc>
        <w:tc>
          <w:tcPr>
            <w:tcW w:w="1039" w:type="pct"/>
            <w:tcBorders>
              <w:top w:val="nil"/>
              <w:left w:val="single" w:sz="4" w:space="0" w:color="000000" w:themeColor="text1"/>
              <w:bottom w:val="nil"/>
              <w:right w:val="nil"/>
            </w:tcBorders>
            <w:shd w:val="clear" w:color="auto" w:fill="auto"/>
          </w:tcPr>
          <w:p w14:paraId="1E40FC75" w14:textId="77777777" w:rsidR="00E15920" w:rsidRPr="003D290F" w:rsidRDefault="00E15920" w:rsidP="0026705A">
            <w:pPr>
              <w:spacing w:after="0" w:line="240" w:lineRule="auto"/>
              <w:rPr>
                <w:rFonts w:cs="Segoe UI"/>
                <w:color w:val="000000"/>
                <w:sz w:val="16"/>
                <w:szCs w:val="16"/>
              </w:rPr>
            </w:pPr>
          </w:p>
        </w:tc>
      </w:tr>
      <w:tr w:rsidR="00E15920" w:rsidRPr="003D290F" w14:paraId="20DE3128"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35B9038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Kin Kora - Sun Valley</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15C99A08"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Maryland - Fletcher - Minmi</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1B375C" w:themeFill="accent1"/>
          </w:tcPr>
          <w:p w14:paraId="7226D0A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eastAsia="Times New Roman" w:cs="Segoe UI"/>
                <w:b/>
                <w:color w:val="FFFFFF" w:themeColor="background1"/>
                <w:sz w:val="16"/>
                <w:szCs w:val="16"/>
                <w:lang w:eastAsia="en-AU"/>
              </w:rPr>
              <w:t>LATROBE VALLEY</w:t>
            </w:r>
          </w:p>
        </w:tc>
        <w:tc>
          <w:tcPr>
            <w:tcW w:w="1039" w:type="pct"/>
            <w:tcBorders>
              <w:top w:val="nil"/>
              <w:left w:val="single" w:sz="4" w:space="0" w:color="000000" w:themeColor="text1"/>
              <w:bottom w:val="nil"/>
              <w:right w:val="nil"/>
            </w:tcBorders>
            <w:shd w:val="clear" w:color="auto" w:fill="auto"/>
          </w:tcPr>
          <w:p w14:paraId="561FE698" w14:textId="77777777" w:rsidR="00E15920" w:rsidRPr="003D290F" w:rsidRDefault="00E15920" w:rsidP="0026705A">
            <w:pPr>
              <w:spacing w:after="0" w:line="240" w:lineRule="auto"/>
              <w:rPr>
                <w:rFonts w:eastAsia="Times New Roman" w:cs="Segoe UI"/>
                <w:color w:val="000000"/>
                <w:sz w:val="16"/>
                <w:szCs w:val="16"/>
                <w:lang w:eastAsia="en-AU"/>
              </w:rPr>
            </w:pPr>
          </w:p>
        </w:tc>
      </w:tr>
      <w:tr w:rsidR="00E15920" w:rsidRPr="003D290F" w14:paraId="2BFDDB46"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0710A081"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Lakes Creek</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23EA279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Mayfield - Warabrook</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68FDA49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Churchill</w:t>
            </w:r>
          </w:p>
        </w:tc>
        <w:tc>
          <w:tcPr>
            <w:tcW w:w="1039" w:type="pct"/>
            <w:tcBorders>
              <w:top w:val="nil"/>
              <w:left w:val="single" w:sz="4" w:space="0" w:color="000000" w:themeColor="text1"/>
              <w:bottom w:val="nil"/>
              <w:right w:val="nil"/>
            </w:tcBorders>
            <w:shd w:val="clear" w:color="auto" w:fill="auto"/>
          </w:tcPr>
          <w:p w14:paraId="659F5146" w14:textId="77777777" w:rsidR="00E15920" w:rsidRPr="003D290F" w:rsidRDefault="00E15920" w:rsidP="0026705A">
            <w:pPr>
              <w:spacing w:after="0" w:line="240" w:lineRule="auto"/>
              <w:rPr>
                <w:rFonts w:eastAsia="Times New Roman" w:cs="Segoe UI"/>
                <w:color w:val="000000"/>
                <w:sz w:val="16"/>
                <w:szCs w:val="16"/>
                <w:lang w:eastAsia="en-AU"/>
              </w:rPr>
            </w:pPr>
          </w:p>
        </w:tc>
      </w:tr>
      <w:tr w:rsidR="00E15920" w:rsidRPr="003D290F" w14:paraId="31F59129"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auto" w:fill="auto"/>
            <w:noWrap/>
            <w:vAlign w:val="bottom"/>
          </w:tcPr>
          <w:p w14:paraId="44D1D509"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Mount Morgan</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40E6947C"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Merewether - The Junction</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bottom"/>
          </w:tcPr>
          <w:p w14:paraId="68DB273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Moe - Newborough</w:t>
            </w:r>
          </w:p>
        </w:tc>
        <w:tc>
          <w:tcPr>
            <w:tcW w:w="1039" w:type="pct"/>
            <w:tcBorders>
              <w:top w:val="nil"/>
              <w:left w:val="single" w:sz="4" w:space="0" w:color="000000" w:themeColor="text1"/>
              <w:bottom w:val="nil"/>
              <w:right w:val="nil"/>
            </w:tcBorders>
            <w:shd w:val="clear" w:color="auto" w:fill="auto"/>
          </w:tcPr>
          <w:p w14:paraId="3A7B9450" w14:textId="77777777" w:rsidR="00E15920" w:rsidRPr="003D290F" w:rsidRDefault="00E15920" w:rsidP="0026705A">
            <w:pPr>
              <w:spacing w:after="0" w:line="240" w:lineRule="auto"/>
              <w:rPr>
                <w:rFonts w:eastAsia="Times New Roman" w:cs="Segoe UI"/>
                <w:color w:val="000000"/>
                <w:sz w:val="16"/>
                <w:szCs w:val="16"/>
                <w:lang w:eastAsia="en-AU"/>
              </w:rPr>
            </w:pPr>
          </w:p>
        </w:tc>
      </w:tr>
      <w:tr w:rsidR="00E15920" w:rsidRPr="003D290F" w14:paraId="2797C6C4" w14:textId="77777777" w:rsidTr="0026705A">
        <w:trPr>
          <w:trHeight w:val="20"/>
        </w:trPr>
        <w:tc>
          <w:tcPr>
            <w:tcW w:w="1180" w:type="pct"/>
            <w:tcBorders>
              <w:top w:val="single" w:sz="4" w:space="0" w:color="FFFFFF" w:themeColor="background1"/>
              <w:bottom w:val="single" w:sz="4" w:space="0" w:color="FFFFFF" w:themeColor="background1"/>
              <w:right w:val="single" w:sz="4" w:space="0" w:color="000000" w:themeColor="text1"/>
            </w:tcBorders>
            <w:shd w:val="clear" w:color="000000" w:fill="DCE7F5"/>
            <w:noWrap/>
            <w:vAlign w:val="bottom"/>
          </w:tcPr>
          <w:p w14:paraId="34CEB267"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Norman Gardens</w:t>
            </w:r>
          </w:p>
        </w:tc>
        <w:tc>
          <w:tcPr>
            <w:tcW w:w="1529"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789EF175"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Morisset - Cooranbong</w:t>
            </w:r>
          </w:p>
        </w:tc>
        <w:tc>
          <w:tcPr>
            <w:tcW w:w="1252"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000000" w:fill="DCE7F5"/>
            <w:vAlign w:val="bottom"/>
          </w:tcPr>
          <w:p w14:paraId="04A1FFC2"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Morwell</w:t>
            </w:r>
          </w:p>
        </w:tc>
        <w:tc>
          <w:tcPr>
            <w:tcW w:w="1039" w:type="pct"/>
            <w:tcBorders>
              <w:top w:val="nil"/>
              <w:left w:val="single" w:sz="4" w:space="0" w:color="000000" w:themeColor="text1"/>
              <w:bottom w:val="nil"/>
              <w:right w:val="nil"/>
            </w:tcBorders>
            <w:shd w:val="clear" w:color="auto" w:fill="auto"/>
          </w:tcPr>
          <w:p w14:paraId="55DD5878" w14:textId="77777777" w:rsidR="00E15920" w:rsidRPr="003D290F" w:rsidRDefault="00E15920" w:rsidP="0026705A">
            <w:pPr>
              <w:spacing w:after="0" w:line="240" w:lineRule="auto"/>
              <w:rPr>
                <w:rFonts w:eastAsia="Times New Roman" w:cs="Segoe UI"/>
                <w:color w:val="000000"/>
                <w:sz w:val="16"/>
                <w:szCs w:val="16"/>
                <w:lang w:eastAsia="en-AU"/>
              </w:rPr>
            </w:pPr>
          </w:p>
        </w:tc>
      </w:tr>
      <w:tr w:rsidR="00E15920" w:rsidRPr="003D290F" w14:paraId="24A76618" w14:textId="77777777" w:rsidTr="0026705A">
        <w:trPr>
          <w:trHeight w:val="20"/>
        </w:trPr>
        <w:tc>
          <w:tcPr>
            <w:tcW w:w="1180" w:type="pct"/>
            <w:tcBorders>
              <w:top w:val="single" w:sz="4" w:space="0" w:color="FFFFFF" w:themeColor="background1"/>
              <w:bottom w:val="single" w:sz="4" w:space="0" w:color="000000" w:themeColor="text1"/>
              <w:right w:val="single" w:sz="4" w:space="0" w:color="000000" w:themeColor="text1"/>
            </w:tcBorders>
            <w:shd w:val="clear" w:color="auto" w:fill="auto"/>
            <w:noWrap/>
            <w:vAlign w:val="bottom"/>
          </w:tcPr>
          <w:p w14:paraId="04B1188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Park Avenue</w:t>
            </w:r>
          </w:p>
        </w:tc>
        <w:tc>
          <w:tcPr>
            <w:tcW w:w="1529"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bottom"/>
          </w:tcPr>
          <w:p w14:paraId="1905FBC3"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Mount Hutton - Windale</w:t>
            </w:r>
          </w:p>
        </w:tc>
        <w:tc>
          <w:tcPr>
            <w:tcW w:w="1252"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bottom"/>
          </w:tcPr>
          <w:p w14:paraId="159814BA" w14:textId="77777777" w:rsidR="00E15920" w:rsidRPr="003D290F" w:rsidRDefault="00E15920" w:rsidP="0026705A">
            <w:pPr>
              <w:spacing w:after="0" w:line="240" w:lineRule="auto"/>
              <w:rPr>
                <w:rFonts w:eastAsia="Times New Roman" w:cs="Segoe UI"/>
                <w:color w:val="000000"/>
                <w:sz w:val="16"/>
                <w:szCs w:val="16"/>
                <w:lang w:eastAsia="en-AU"/>
              </w:rPr>
            </w:pPr>
            <w:r w:rsidRPr="003D290F">
              <w:rPr>
                <w:rFonts w:cs="Segoe UI"/>
                <w:color w:val="000000"/>
                <w:sz w:val="16"/>
                <w:szCs w:val="16"/>
              </w:rPr>
              <w:t>Trafalgar (Vic.)</w:t>
            </w:r>
          </w:p>
        </w:tc>
        <w:tc>
          <w:tcPr>
            <w:tcW w:w="1039" w:type="pct"/>
            <w:tcBorders>
              <w:top w:val="nil"/>
              <w:left w:val="single" w:sz="4" w:space="0" w:color="000000" w:themeColor="text1"/>
              <w:bottom w:val="nil"/>
              <w:right w:val="nil"/>
            </w:tcBorders>
            <w:shd w:val="clear" w:color="auto" w:fill="auto"/>
          </w:tcPr>
          <w:p w14:paraId="065FCF7B" w14:textId="77777777" w:rsidR="00E15920" w:rsidRPr="003D290F" w:rsidRDefault="00E15920" w:rsidP="0026705A">
            <w:pPr>
              <w:spacing w:after="0" w:line="240" w:lineRule="auto"/>
              <w:rPr>
                <w:rFonts w:eastAsia="Times New Roman" w:cs="Segoe UI"/>
                <w:color w:val="000000"/>
                <w:sz w:val="16"/>
                <w:szCs w:val="16"/>
                <w:lang w:eastAsia="en-AU"/>
              </w:rPr>
            </w:pPr>
          </w:p>
        </w:tc>
      </w:tr>
    </w:tbl>
    <w:p w14:paraId="45047A57" w14:textId="77777777" w:rsidR="007550AB" w:rsidRPr="003D290F" w:rsidRDefault="00731F9D" w:rsidP="00AA30B5">
      <w:pPr>
        <w:pStyle w:val="Heading1"/>
      </w:pPr>
      <w:bookmarkStart w:id="441" w:name="_Toc161396026"/>
      <w:bookmarkStart w:id="442" w:name="_Toc161403562"/>
      <w:bookmarkStart w:id="443" w:name="_Toc161752295"/>
      <w:bookmarkStart w:id="444" w:name="_Toc161759733"/>
      <w:r w:rsidRPr="003D290F">
        <w:lastRenderedPageBreak/>
        <w:t xml:space="preserve">Appendix </w:t>
      </w:r>
      <w:r w:rsidR="00B777DF" w:rsidRPr="003D290F">
        <w:t>C</w:t>
      </w:r>
      <w:bookmarkEnd w:id="441"/>
      <w:bookmarkEnd w:id="442"/>
      <w:bookmarkEnd w:id="443"/>
      <w:bookmarkEnd w:id="444"/>
    </w:p>
    <w:p w14:paraId="57D62A5B" w14:textId="77777777" w:rsidR="00947523" w:rsidRPr="003D290F" w:rsidRDefault="00947523" w:rsidP="00E15920">
      <w:pPr>
        <w:pStyle w:val="Heading2"/>
      </w:pPr>
      <w:bookmarkStart w:id="445" w:name="_Toc155604667"/>
      <w:bookmarkStart w:id="446" w:name="_Toc161396027"/>
      <w:bookmarkStart w:id="447" w:name="_Toc161403563"/>
      <w:bookmarkStart w:id="448" w:name="_Toc161752296"/>
      <w:bookmarkStart w:id="449" w:name="_Toc161759734"/>
      <w:r w:rsidRPr="003D290F">
        <w:t xml:space="preserve">Assumptions used to quantify </w:t>
      </w:r>
      <w:r w:rsidR="00602161" w:rsidRPr="003D290F">
        <w:t xml:space="preserve">the </w:t>
      </w:r>
      <w:r w:rsidRPr="003D290F">
        <w:t xml:space="preserve">net </w:t>
      </w:r>
      <w:r w:rsidR="00602161" w:rsidRPr="003D290F">
        <w:t>benefit</w:t>
      </w:r>
      <w:r w:rsidRPr="003D290F">
        <w:t xml:space="preserve"> of three options</w:t>
      </w:r>
      <w:bookmarkEnd w:id="445"/>
      <w:bookmarkEnd w:id="446"/>
      <w:bookmarkEnd w:id="447"/>
      <w:bookmarkEnd w:id="448"/>
      <w:bookmarkEnd w:id="449"/>
    </w:p>
    <w:p w14:paraId="4E23BB3A" w14:textId="77777777" w:rsidR="00602161" w:rsidRPr="003D290F" w:rsidRDefault="00602161" w:rsidP="00034702">
      <w:pPr>
        <w:rPr>
          <w:rStyle w:val="ui-provider"/>
        </w:rPr>
      </w:pPr>
      <w:r w:rsidRPr="003D290F">
        <w:rPr>
          <w:rStyle w:val="ui-provider"/>
        </w:rPr>
        <w:t>The below tables set out the assumptions utilised in the modelling of direct costs and benefits to the relevant stakeholder groups under the three policy options considered as part of this Impact Analysis.</w:t>
      </w:r>
    </w:p>
    <w:p w14:paraId="4BD27590" w14:textId="77777777" w:rsidR="0012109A" w:rsidRPr="003D290F" w:rsidRDefault="00B777DF" w:rsidP="0013116E">
      <w:pPr>
        <w:rPr>
          <w:rFonts w:eastAsia="Times New Roman" w:cs="Segoe UI"/>
          <w:b/>
          <w:sz w:val="24"/>
        </w:rPr>
      </w:pPr>
      <w:r w:rsidRPr="003D290F">
        <w:rPr>
          <w:rFonts w:eastAsia="Times New Roman" w:cs="Segoe UI"/>
          <w:b/>
          <w:sz w:val="24"/>
        </w:rPr>
        <w:t>TABLE C.1 COMMON ASSUMPTIONS</w:t>
      </w:r>
      <w:r w:rsidR="00A42002" w:rsidRPr="003D290F">
        <w:rPr>
          <w:rFonts w:eastAsia="Times New Roman" w:cs="Segoe UI"/>
          <w:b/>
          <w:sz w:val="24"/>
        </w:rPr>
        <w:t>, ALL POLICY OPTIONS</w:t>
      </w:r>
    </w:p>
    <w:tbl>
      <w:tblPr>
        <w:tblStyle w:val="Custom1"/>
        <w:tblW w:w="10254" w:type="dxa"/>
        <w:tblInd w:w="5" w:type="dxa"/>
        <w:tblLook w:val="04A0" w:firstRow="1" w:lastRow="0" w:firstColumn="1" w:lastColumn="0" w:noHBand="0" w:noVBand="1"/>
      </w:tblPr>
      <w:tblGrid>
        <w:gridCol w:w="3252"/>
        <w:gridCol w:w="5532"/>
        <w:gridCol w:w="1455"/>
        <w:gridCol w:w="15"/>
      </w:tblGrid>
      <w:tr w:rsidR="00ED7B70" w:rsidRPr="003D290F" w14:paraId="3F65C985" w14:textId="77777777" w:rsidTr="00EB12B1">
        <w:trPr>
          <w:cnfStyle w:val="100000000000" w:firstRow="1" w:lastRow="0" w:firstColumn="0" w:lastColumn="0" w:oddVBand="0" w:evenVBand="0" w:oddHBand="0" w:evenHBand="0" w:firstRowFirstColumn="0" w:firstRowLastColumn="0" w:lastRowFirstColumn="0" w:lastRowLastColumn="0"/>
          <w:trHeight w:val="9"/>
          <w:tblHeader/>
        </w:trPr>
        <w:tc>
          <w:tcPr>
            <w:tcW w:w="3252" w:type="dxa"/>
          </w:tcPr>
          <w:p w14:paraId="63F4F8D1" w14:textId="77777777" w:rsidR="00ED7B70" w:rsidRPr="003D290F" w:rsidRDefault="00ED7B70" w:rsidP="0012109A">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ASSUMPTION</w:t>
            </w:r>
          </w:p>
        </w:tc>
        <w:tc>
          <w:tcPr>
            <w:tcW w:w="5532" w:type="dxa"/>
          </w:tcPr>
          <w:p w14:paraId="47FA4C28" w14:textId="77777777" w:rsidR="00ED7B70" w:rsidRPr="003D290F" w:rsidRDefault="00ED7B70">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JUSTIFICATION</w:t>
            </w:r>
          </w:p>
        </w:tc>
        <w:tc>
          <w:tcPr>
            <w:tcW w:w="1470" w:type="dxa"/>
            <w:gridSpan w:val="2"/>
          </w:tcPr>
          <w:p w14:paraId="68487963" w14:textId="77777777" w:rsidR="00ED7B70" w:rsidRPr="003D290F" w:rsidRDefault="00ED7B70" w:rsidP="0012109A">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VALUE</w:t>
            </w:r>
          </w:p>
        </w:tc>
      </w:tr>
      <w:tr w:rsidR="00ED7B70" w:rsidRPr="003D290F" w14:paraId="483AF7AF" w14:textId="77777777" w:rsidTr="00EB12B1">
        <w:trPr>
          <w:gridAfter w:val="1"/>
          <w:cnfStyle w:val="000000100000" w:firstRow="0" w:lastRow="0" w:firstColumn="0" w:lastColumn="0" w:oddVBand="0" w:evenVBand="0" w:oddHBand="1" w:evenHBand="0" w:firstRowFirstColumn="0" w:firstRowLastColumn="0" w:lastRowFirstColumn="0" w:lastRowLastColumn="0"/>
          <w:wAfter w:w="15" w:type="dxa"/>
          <w:trHeight w:val="9"/>
        </w:trPr>
        <w:tc>
          <w:tcPr>
            <w:tcW w:w="3252" w:type="dxa"/>
            <w:tcBorders>
              <w:bottom w:val="single" w:sz="4" w:space="0" w:color="1B375C" w:themeColor="accent1"/>
            </w:tcBorders>
            <w:shd w:val="clear" w:color="auto" w:fill="D9D9D9" w:themeFill="background1" w:themeFillShade="D9"/>
          </w:tcPr>
          <w:p w14:paraId="3EF0C523" w14:textId="77777777" w:rsidR="00ED7B70" w:rsidRPr="003D290F" w:rsidRDefault="00ED7B70" w:rsidP="00C80C07">
            <w:pPr>
              <w:rPr>
                <w:rFonts w:eastAsia="Times New Roman" w:cs="Segoe UI"/>
                <w:b/>
                <w:i/>
                <w:sz w:val="20"/>
                <w:szCs w:val="20"/>
              </w:rPr>
            </w:pPr>
            <w:r w:rsidRPr="003D290F">
              <w:rPr>
                <w:rFonts w:eastAsia="Times New Roman" w:cs="Segoe UI"/>
                <w:b/>
                <w:i/>
                <w:sz w:val="20"/>
                <w:szCs w:val="20"/>
              </w:rPr>
              <w:t>Analysis parameters</w:t>
            </w:r>
          </w:p>
        </w:tc>
        <w:tc>
          <w:tcPr>
            <w:tcW w:w="5532" w:type="dxa"/>
            <w:shd w:val="clear" w:color="auto" w:fill="D9D9D9" w:themeFill="background1" w:themeFillShade="D9"/>
          </w:tcPr>
          <w:p w14:paraId="35C7B70B" w14:textId="77777777" w:rsidR="00ED7B70" w:rsidRPr="003D290F" w:rsidRDefault="00ED7B70" w:rsidP="00C80C07">
            <w:pPr>
              <w:rPr>
                <w:rFonts w:eastAsia="Times New Roman" w:cs="Segoe UI"/>
                <w:color w:val="000000"/>
                <w:sz w:val="20"/>
                <w:szCs w:val="20"/>
                <w:lang w:eastAsia="en-AU"/>
              </w:rPr>
            </w:pPr>
          </w:p>
        </w:tc>
        <w:tc>
          <w:tcPr>
            <w:tcW w:w="1455" w:type="dxa"/>
            <w:shd w:val="clear" w:color="auto" w:fill="D9D9D9" w:themeFill="background1" w:themeFillShade="D9"/>
          </w:tcPr>
          <w:p w14:paraId="49C5E6FB" w14:textId="77777777" w:rsidR="00ED7B70" w:rsidRPr="003D290F" w:rsidRDefault="00ED7B70" w:rsidP="00C80C07">
            <w:pPr>
              <w:rPr>
                <w:rFonts w:eastAsia="Times New Roman" w:cs="Segoe UI"/>
                <w:sz w:val="20"/>
                <w:szCs w:val="20"/>
              </w:rPr>
            </w:pPr>
          </w:p>
        </w:tc>
      </w:tr>
      <w:tr w:rsidR="00ED7B70" w:rsidRPr="003D290F" w14:paraId="6F7312EA" w14:textId="77777777" w:rsidTr="00EB12B1">
        <w:trPr>
          <w:trHeight w:val="9"/>
        </w:trPr>
        <w:tc>
          <w:tcPr>
            <w:tcW w:w="3252" w:type="dxa"/>
            <w:tcBorders>
              <w:bottom w:val="single" w:sz="4" w:space="0" w:color="1B375C" w:themeColor="accent1"/>
            </w:tcBorders>
          </w:tcPr>
          <w:p w14:paraId="193CDFE0" w14:textId="77777777" w:rsidR="00ED7B70" w:rsidRPr="003D290F" w:rsidRDefault="00ED7B70" w:rsidP="00C80C07">
            <w:pPr>
              <w:rPr>
                <w:rFonts w:eastAsia="Times New Roman" w:cs="Segoe UI"/>
                <w:sz w:val="20"/>
                <w:szCs w:val="20"/>
              </w:rPr>
            </w:pPr>
            <w:r w:rsidRPr="003D290F">
              <w:rPr>
                <w:rFonts w:eastAsia="Times New Roman" w:cs="Segoe UI"/>
                <w:sz w:val="20"/>
                <w:szCs w:val="20"/>
              </w:rPr>
              <w:t>Time horizon</w:t>
            </w:r>
          </w:p>
        </w:tc>
        <w:tc>
          <w:tcPr>
            <w:tcW w:w="5532" w:type="dxa"/>
          </w:tcPr>
          <w:p w14:paraId="4F654C0C" w14:textId="77777777" w:rsidR="00ED7B70" w:rsidRPr="003D290F" w:rsidRDefault="00ED7B70" w:rsidP="00C80C07">
            <w:pPr>
              <w:rPr>
                <w:rFonts w:eastAsia="Times New Roman" w:cs="Segoe UI"/>
                <w:b/>
                <w:sz w:val="20"/>
                <w:szCs w:val="20"/>
              </w:rPr>
            </w:pPr>
            <w:r w:rsidRPr="003D290F">
              <w:rPr>
                <w:rFonts w:eastAsia="Times New Roman" w:cs="Segoe UI"/>
                <w:color w:val="000000"/>
                <w:sz w:val="20"/>
                <w:szCs w:val="20"/>
                <w:lang w:eastAsia="en-AU"/>
              </w:rPr>
              <w:t>This balances uncertainty around how ongoing the policy will be with the need to appropriately capture the full breadth of the impact across Australia and across the time period</w:t>
            </w:r>
          </w:p>
        </w:tc>
        <w:tc>
          <w:tcPr>
            <w:tcW w:w="1470" w:type="dxa"/>
            <w:gridSpan w:val="2"/>
          </w:tcPr>
          <w:p w14:paraId="7C23409F" w14:textId="77777777" w:rsidR="00ED7B70" w:rsidRPr="003D290F" w:rsidRDefault="00ED7B70" w:rsidP="00C80C07">
            <w:pPr>
              <w:rPr>
                <w:rFonts w:eastAsia="Times New Roman" w:cs="Segoe UI"/>
                <w:sz w:val="20"/>
                <w:szCs w:val="20"/>
              </w:rPr>
            </w:pPr>
            <w:r w:rsidRPr="003D290F">
              <w:rPr>
                <w:rFonts w:eastAsia="Times New Roman" w:cs="Segoe UI"/>
                <w:sz w:val="20"/>
                <w:szCs w:val="20"/>
              </w:rPr>
              <w:t>2024 - 2035</w:t>
            </w:r>
          </w:p>
        </w:tc>
      </w:tr>
      <w:tr w:rsidR="00ED7B70" w:rsidRPr="003D290F" w14:paraId="2176EF48" w14:textId="77777777" w:rsidTr="00EB12B1">
        <w:trPr>
          <w:cnfStyle w:val="000000100000" w:firstRow="0" w:lastRow="0" w:firstColumn="0" w:lastColumn="0" w:oddVBand="0" w:evenVBand="0" w:oddHBand="1" w:evenHBand="0" w:firstRowFirstColumn="0" w:firstRowLastColumn="0" w:lastRowFirstColumn="0" w:lastRowLastColumn="0"/>
          <w:trHeight w:val="9"/>
        </w:trPr>
        <w:tc>
          <w:tcPr>
            <w:tcW w:w="3252" w:type="dxa"/>
          </w:tcPr>
          <w:p w14:paraId="2CA97E4A" w14:textId="77777777" w:rsidR="00ED7B70" w:rsidRPr="003D290F" w:rsidRDefault="00ED7B70" w:rsidP="00C80C07">
            <w:pPr>
              <w:rPr>
                <w:rFonts w:eastAsia="Times New Roman" w:cs="Segoe UI"/>
                <w:sz w:val="20"/>
                <w:szCs w:val="20"/>
              </w:rPr>
            </w:pPr>
            <w:r w:rsidRPr="003D290F">
              <w:rPr>
                <w:rFonts w:eastAsia="Times New Roman" w:cs="Segoe UI"/>
                <w:sz w:val="20"/>
                <w:szCs w:val="20"/>
              </w:rPr>
              <w:t>Discount rate</w:t>
            </w:r>
          </w:p>
        </w:tc>
        <w:tc>
          <w:tcPr>
            <w:tcW w:w="5532" w:type="dxa"/>
          </w:tcPr>
          <w:p w14:paraId="7D5EAA48" w14:textId="77777777" w:rsidR="00ED7B70" w:rsidRPr="003D290F" w:rsidRDefault="002B03B9" w:rsidP="00C80C07">
            <w:pPr>
              <w:rPr>
                <w:rFonts w:eastAsia="Times New Roman" w:cs="Segoe UI"/>
                <w:sz w:val="20"/>
                <w:szCs w:val="20"/>
              </w:rPr>
            </w:pPr>
            <w:r w:rsidRPr="003D290F">
              <w:rPr>
                <w:rFonts w:eastAsia="Times New Roman" w:cs="Segoe UI"/>
                <w:color w:val="000000"/>
                <w:sz w:val="20"/>
                <w:szCs w:val="20"/>
                <w:lang w:eastAsia="en-AU"/>
              </w:rPr>
              <w:t>Standard</w:t>
            </w:r>
            <w:r w:rsidR="00ED7B70" w:rsidRPr="003D290F">
              <w:rPr>
                <w:rFonts w:eastAsia="Times New Roman" w:cs="Segoe UI"/>
                <w:color w:val="000000"/>
                <w:sz w:val="20"/>
                <w:szCs w:val="20"/>
                <w:lang w:eastAsia="en-AU"/>
              </w:rPr>
              <w:t xml:space="preserve"> Office for Impact Analysis (OIA) </w:t>
            </w:r>
            <w:r w:rsidRPr="003D290F">
              <w:rPr>
                <w:rFonts w:eastAsia="Times New Roman" w:cs="Segoe UI"/>
                <w:color w:val="000000"/>
                <w:sz w:val="20"/>
                <w:szCs w:val="20"/>
                <w:lang w:eastAsia="en-AU"/>
              </w:rPr>
              <w:t>assumption</w:t>
            </w:r>
          </w:p>
        </w:tc>
        <w:tc>
          <w:tcPr>
            <w:tcW w:w="1470" w:type="dxa"/>
            <w:gridSpan w:val="2"/>
          </w:tcPr>
          <w:p w14:paraId="33B77E59" w14:textId="77777777" w:rsidR="00ED7B70" w:rsidRPr="003D290F" w:rsidRDefault="00ED7B70" w:rsidP="00C80C07">
            <w:pPr>
              <w:rPr>
                <w:rFonts w:eastAsia="Times New Roman" w:cs="Segoe UI"/>
                <w:sz w:val="20"/>
                <w:szCs w:val="20"/>
              </w:rPr>
            </w:pPr>
            <w:r w:rsidRPr="003D290F">
              <w:rPr>
                <w:rFonts w:eastAsia="Times New Roman" w:cs="Segoe UI"/>
                <w:color w:val="000000"/>
                <w:sz w:val="20"/>
                <w:szCs w:val="20"/>
                <w:lang w:eastAsia="en-AU"/>
              </w:rPr>
              <w:t>7%</w:t>
            </w:r>
          </w:p>
        </w:tc>
      </w:tr>
      <w:tr w:rsidR="00ED7B70" w:rsidRPr="003D290F" w14:paraId="34A997E2" w14:textId="77777777" w:rsidTr="00EB12B1">
        <w:trPr>
          <w:gridAfter w:val="1"/>
          <w:wAfter w:w="15" w:type="dxa"/>
          <w:trHeight w:val="9"/>
        </w:trPr>
        <w:tc>
          <w:tcPr>
            <w:tcW w:w="8784" w:type="dxa"/>
            <w:gridSpan w:val="2"/>
            <w:shd w:val="clear" w:color="auto" w:fill="D9D9D9" w:themeFill="background1" w:themeFillShade="D9"/>
          </w:tcPr>
          <w:p w14:paraId="6AC6538D" w14:textId="77777777" w:rsidR="00ED7B70" w:rsidRPr="003D290F" w:rsidRDefault="00ED7B70" w:rsidP="00C80C07">
            <w:pPr>
              <w:rPr>
                <w:rFonts w:eastAsia="Times New Roman" w:cs="Segoe UI"/>
                <w:b/>
                <w:i/>
                <w:color w:val="000000"/>
                <w:sz w:val="20"/>
                <w:szCs w:val="20"/>
                <w:lang w:eastAsia="en-AU"/>
              </w:rPr>
            </w:pPr>
            <w:r w:rsidRPr="003D290F">
              <w:rPr>
                <w:rFonts w:eastAsia="Times New Roman" w:cs="Segoe UI"/>
                <w:b/>
                <w:i/>
                <w:sz w:val="20"/>
                <w:szCs w:val="20"/>
              </w:rPr>
              <w:t>Closing employers</w:t>
            </w:r>
          </w:p>
        </w:tc>
        <w:tc>
          <w:tcPr>
            <w:tcW w:w="1455" w:type="dxa"/>
            <w:shd w:val="clear" w:color="auto" w:fill="D9D9D9" w:themeFill="background1" w:themeFillShade="D9"/>
          </w:tcPr>
          <w:p w14:paraId="5580437B" w14:textId="77777777" w:rsidR="00ED7B70" w:rsidRPr="003D290F" w:rsidRDefault="00ED7B70" w:rsidP="00C80C07">
            <w:pPr>
              <w:rPr>
                <w:rFonts w:eastAsia="Times New Roman" w:cs="Segoe UI"/>
                <w:color w:val="000000"/>
                <w:sz w:val="20"/>
                <w:szCs w:val="20"/>
                <w:lang w:eastAsia="en-AU"/>
              </w:rPr>
            </w:pPr>
          </w:p>
        </w:tc>
      </w:tr>
      <w:tr w:rsidR="00ED7B70" w:rsidRPr="003D290F" w14:paraId="7DA8A575" w14:textId="77777777" w:rsidTr="001E79E2">
        <w:trPr>
          <w:cnfStyle w:val="000000100000" w:firstRow="0" w:lastRow="0" w:firstColumn="0" w:lastColumn="0" w:oddVBand="0" w:evenVBand="0" w:oddHBand="1" w:evenHBand="0" w:firstRowFirstColumn="0" w:firstRowLastColumn="0" w:lastRowFirstColumn="0" w:lastRowLastColumn="0"/>
          <w:trHeight w:val="9"/>
        </w:trPr>
        <w:tc>
          <w:tcPr>
            <w:tcW w:w="3252" w:type="dxa"/>
            <w:shd w:val="clear" w:color="auto" w:fill="FFFFFF" w:themeFill="background1"/>
          </w:tcPr>
          <w:p w14:paraId="6934768A" w14:textId="77777777" w:rsidR="00ED7B70" w:rsidRPr="003D290F" w:rsidRDefault="00ED7B70" w:rsidP="00C80C07">
            <w:pPr>
              <w:rPr>
                <w:rFonts w:eastAsia="Times New Roman" w:cs="Segoe UI"/>
                <w:sz w:val="20"/>
                <w:szCs w:val="20"/>
              </w:rPr>
            </w:pPr>
            <w:r w:rsidRPr="003D290F">
              <w:rPr>
                <w:rFonts w:eastAsia="Times New Roman" w:cs="Segoe UI"/>
                <w:sz w:val="20"/>
                <w:szCs w:val="20"/>
              </w:rPr>
              <w:t>Share of closing employer workforce that are contractors</w:t>
            </w:r>
          </w:p>
        </w:tc>
        <w:tc>
          <w:tcPr>
            <w:tcW w:w="5532" w:type="dxa"/>
            <w:shd w:val="clear" w:color="auto" w:fill="FFFFFF" w:themeFill="background1"/>
          </w:tcPr>
          <w:p w14:paraId="1CB48A3D" w14:textId="77777777" w:rsidR="00ED7B70" w:rsidRPr="003D290F" w:rsidRDefault="00ED7B70" w:rsidP="00C80C07">
            <w:pPr>
              <w:rPr>
                <w:rFonts w:eastAsia="Times New Roman" w:cs="Segoe UI"/>
                <w:sz w:val="20"/>
                <w:szCs w:val="20"/>
              </w:rPr>
            </w:pPr>
            <w:r w:rsidRPr="003D290F">
              <w:rPr>
                <w:rFonts w:eastAsia="Times New Roman" w:cs="Segoe UI"/>
                <w:sz w:val="20"/>
                <w:szCs w:val="20"/>
              </w:rPr>
              <w:t>Based on the proportion of contractors reported by 1 in-scope coal-fired power station and three coal mines</w:t>
            </w:r>
          </w:p>
        </w:tc>
        <w:tc>
          <w:tcPr>
            <w:tcW w:w="1470" w:type="dxa"/>
            <w:gridSpan w:val="2"/>
            <w:shd w:val="clear" w:color="auto" w:fill="FFFFFF" w:themeFill="background1"/>
          </w:tcPr>
          <w:p w14:paraId="55281489" w14:textId="77777777" w:rsidR="00ED7B70" w:rsidRPr="003D290F" w:rsidRDefault="00ED7B70" w:rsidP="00C80C07">
            <w:pPr>
              <w:rPr>
                <w:rFonts w:eastAsia="Times New Roman" w:cs="Segoe UI"/>
                <w:sz w:val="20"/>
                <w:szCs w:val="20"/>
              </w:rPr>
            </w:pPr>
            <w:r w:rsidRPr="003D290F">
              <w:rPr>
                <w:rFonts w:eastAsia="Times New Roman" w:cs="Segoe UI"/>
                <w:sz w:val="20"/>
                <w:szCs w:val="20"/>
              </w:rPr>
              <w:t>30%</w:t>
            </w:r>
          </w:p>
        </w:tc>
      </w:tr>
      <w:tr w:rsidR="00ED7B70" w:rsidRPr="003D290F" w14:paraId="25E39852" w14:textId="77777777" w:rsidTr="00EB12B1">
        <w:trPr>
          <w:gridAfter w:val="1"/>
          <w:wAfter w:w="15" w:type="dxa"/>
          <w:trHeight w:val="9"/>
        </w:trPr>
        <w:tc>
          <w:tcPr>
            <w:tcW w:w="3252" w:type="dxa"/>
            <w:shd w:val="clear" w:color="auto" w:fill="D9D9D9" w:themeFill="background1" w:themeFillShade="D9"/>
          </w:tcPr>
          <w:p w14:paraId="49E0639A" w14:textId="77777777" w:rsidR="00ED7B70" w:rsidRPr="003D290F" w:rsidRDefault="00ED7B70" w:rsidP="00C80C07">
            <w:pPr>
              <w:rPr>
                <w:rFonts w:eastAsia="Times New Roman" w:cs="Segoe UI"/>
                <w:b/>
                <w:i/>
                <w:sz w:val="20"/>
                <w:szCs w:val="20"/>
              </w:rPr>
            </w:pPr>
            <w:r w:rsidRPr="003D290F">
              <w:rPr>
                <w:rFonts w:eastAsia="Times New Roman" w:cs="Segoe UI"/>
                <w:b/>
                <w:i/>
                <w:sz w:val="20"/>
                <w:szCs w:val="20"/>
              </w:rPr>
              <w:t>Employees</w:t>
            </w:r>
          </w:p>
        </w:tc>
        <w:tc>
          <w:tcPr>
            <w:tcW w:w="5532" w:type="dxa"/>
            <w:shd w:val="clear" w:color="auto" w:fill="D9D9D9" w:themeFill="background1" w:themeFillShade="D9"/>
          </w:tcPr>
          <w:p w14:paraId="4059EC94" w14:textId="77777777" w:rsidR="00ED7B70" w:rsidRPr="003D290F" w:rsidRDefault="00ED7B70" w:rsidP="00C80C07">
            <w:pPr>
              <w:rPr>
                <w:rFonts w:eastAsia="Times New Roman" w:cs="Segoe UI"/>
                <w:sz w:val="20"/>
                <w:szCs w:val="20"/>
              </w:rPr>
            </w:pPr>
          </w:p>
        </w:tc>
        <w:tc>
          <w:tcPr>
            <w:tcW w:w="1455" w:type="dxa"/>
            <w:shd w:val="clear" w:color="auto" w:fill="D9D9D9" w:themeFill="background1" w:themeFillShade="D9"/>
          </w:tcPr>
          <w:p w14:paraId="54D5B73E" w14:textId="77777777" w:rsidR="00ED7B70" w:rsidRPr="003D290F" w:rsidRDefault="00ED7B70" w:rsidP="00C80C07">
            <w:pPr>
              <w:rPr>
                <w:rFonts w:eastAsia="Times New Roman" w:cs="Segoe UI"/>
                <w:sz w:val="20"/>
                <w:szCs w:val="20"/>
              </w:rPr>
            </w:pPr>
          </w:p>
        </w:tc>
      </w:tr>
      <w:tr w:rsidR="00ED7B70" w:rsidRPr="003D290F" w14:paraId="0758BFF1" w14:textId="77777777" w:rsidTr="00EB12B1">
        <w:trPr>
          <w:gridAfter w:val="1"/>
          <w:cnfStyle w:val="000000100000" w:firstRow="0" w:lastRow="0" w:firstColumn="0" w:lastColumn="0" w:oddVBand="0" w:evenVBand="0" w:oddHBand="1" w:evenHBand="0" w:firstRowFirstColumn="0" w:firstRowLastColumn="0" w:lastRowFirstColumn="0" w:lastRowLastColumn="0"/>
          <w:wAfter w:w="15" w:type="dxa"/>
          <w:trHeight w:val="9"/>
        </w:trPr>
        <w:tc>
          <w:tcPr>
            <w:tcW w:w="3252" w:type="dxa"/>
          </w:tcPr>
          <w:p w14:paraId="2757509E" w14:textId="77777777" w:rsidR="00ED7B70" w:rsidRPr="003D290F" w:rsidRDefault="00ED7B70" w:rsidP="00C80C07">
            <w:pPr>
              <w:rPr>
                <w:rFonts w:eastAsia="Times New Roman" w:cs="Segoe UI"/>
                <w:b/>
                <w:i/>
                <w:sz w:val="20"/>
                <w:szCs w:val="20"/>
              </w:rPr>
            </w:pPr>
            <w:r w:rsidRPr="003D290F">
              <w:rPr>
                <w:rFonts w:eastAsia="Times New Roman" w:cs="Segoe UI"/>
                <w:sz w:val="20"/>
                <w:szCs w:val="20"/>
              </w:rPr>
              <w:t>Salary at power station and/or coal mine</w:t>
            </w:r>
          </w:p>
        </w:tc>
        <w:tc>
          <w:tcPr>
            <w:tcW w:w="5532" w:type="dxa"/>
          </w:tcPr>
          <w:p w14:paraId="5BBC742B" w14:textId="77777777" w:rsidR="00ED7B70" w:rsidRPr="003D290F" w:rsidRDefault="00ED7B70" w:rsidP="00C80C07">
            <w:pPr>
              <w:rPr>
                <w:rFonts w:eastAsia="Times New Roman" w:cs="Segoe UI"/>
                <w:sz w:val="20"/>
                <w:szCs w:val="20"/>
              </w:rPr>
            </w:pPr>
            <w:r w:rsidRPr="003D290F">
              <w:rPr>
                <w:rFonts w:eastAsia="Times New Roman" w:cs="Segoe UI"/>
                <w:sz w:val="20"/>
                <w:szCs w:val="20"/>
              </w:rPr>
              <w:t xml:space="preserve">Calculated by multiplying the average weekly income for workers aged 55-64 in coal mines and </w:t>
            </w:r>
            <w:r w:rsidR="00E743D7" w:rsidRPr="003D290F">
              <w:rPr>
                <w:rFonts w:eastAsia="Times New Roman" w:cs="Segoe UI"/>
                <w:sz w:val="20"/>
                <w:szCs w:val="20"/>
              </w:rPr>
              <w:t xml:space="preserve">coal-fired </w:t>
            </w:r>
            <w:r w:rsidRPr="003D290F">
              <w:rPr>
                <w:rFonts w:eastAsia="Times New Roman" w:cs="Segoe UI"/>
                <w:sz w:val="20"/>
                <w:szCs w:val="20"/>
              </w:rPr>
              <w:t>power stations by 52 weeks</w:t>
            </w:r>
            <w:r w:rsidR="00E743D7" w:rsidRPr="003D290F">
              <w:rPr>
                <w:rFonts w:eastAsia="Times New Roman" w:cs="Segoe UI"/>
                <w:sz w:val="20"/>
                <w:szCs w:val="20"/>
              </w:rPr>
              <w:t>.</w:t>
            </w:r>
          </w:p>
        </w:tc>
        <w:tc>
          <w:tcPr>
            <w:tcW w:w="1455" w:type="dxa"/>
          </w:tcPr>
          <w:p w14:paraId="67C18D5B" w14:textId="77777777" w:rsidR="00ED7B70" w:rsidRPr="003D290F" w:rsidRDefault="00ED7B70" w:rsidP="00C80C07">
            <w:pPr>
              <w:rPr>
                <w:rFonts w:eastAsia="Times New Roman" w:cs="Segoe UI"/>
                <w:sz w:val="20"/>
                <w:szCs w:val="20"/>
              </w:rPr>
            </w:pPr>
            <w:r w:rsidRPr="003D290F">
              <w:rPr>
                <w:rFonts w:eastAsia="Times New Roman" w:cs="Segoe UI"/>
                <w:sz w:val="20"/>
                <w:szCs w:val="20"/>
              </w:rPr>
              <w:t>$151,051</w:t>
            </w:r>
          </w:p>
        </w:tc>
      </w:tr>
      <w:tr w:rsidR="00ED7B70" w:rsidRPr="003D290F" w14:paraId="08E3F4CB" w14:textId="77777777" w:rsidTr="00EB12B1">
        <w:trPr>
          <w:gridAfter w:val="1"/>
          <w:wAfter w:w="15" w:type="dxa"/>
          <w:trHeight w:val="9"/>
        </w:trPr>
        <w:tc>
          <w:tcPr>
            <w:tcW w:w="3252" w:type="dxa"/>
            <w:shd w:val="clear" w:color="auto" w:fill="auto"/>
          </w:tcPr>
          <w:p w14:paraId="72C838E5" w14:textId="77777777" w:rsidR="00ED7B70" w:rsidRPr="003D290F" w:rsidRDefault="00196364" w:rsidP="00C80C07">
            <w:pPr>
              <w:rPr>
                <w:rFonts w:eastAsia="Times New Roman" w:cs="Segoe UI"/>
                <w:sz w:val="20"/>
                <w:szCs w:val="20"/>
              </w:rPr>
            </w:pPr>
            <w:r w:rsidRPr="003D290F">
              <w:rPr>
                <w:rFonts w:eastAsia="Times New Roman" w:cs="Segoe UI"/>
                <w:sz w:val="20"/>
                <w:szCs w:val="20"/>
              </w:rPr>
              <w:t>Remuneration at power station and/or coal mine</w:t>
            </w:r>
          </w:p>
        </w:tc>
        <w:tc>
          <w:tcPr>
            <w:tcW w:w="5532" w:type="dxa"/>
            <w:shd w:val="clear" w:color="auto" w:fill="auto"/>
          </w:tcPr>
          <w:p w14:paraId="063B99D0" w14:textId="77777777" w:rsidR="00ED7B70" w:rsidRPr="003D290F" w:rsidRDefault="00196364" w:rsidP="00C80C07">
            <w:pPr>
              <w:rPr>
                <w:rFonts w:eastAsia="Times New Roman" w:cs="Segoe UI"/>
                <w:sz w:val="20"/>
                <w:szCs w:val="20"/>
              </w:rPr>
            </w:pPr>
            <w:r w:rsidRPr="003D290F">
              <w:rPr>
                <w:rFonts w:eastAsia="Times New Roman" w:cs="Segoe UI"/>
                <w:sz w:val="20"/>
                <w:szCs w:val="20"/>
              </w:rPr>
              <w:t xml:space="preserve">As above, with 12% employer superannuation contributions </w:t>
            </w:r>
          </w:p>
        </w:tc>
        <w:tc>
          <w:tcPr>
            <w:tcW w:w="1455" w:type="dxa"/>
            <w:shd w:val="clear" w:color="auto" w:fill="auto"/>
          </w:tcPr>
          <w:p w14:paraId="37887457" w14:textId="77777777" w:rsidR="00ED7B70" w:rsidRPr="003D290F" w:rsidRDefault="00196364" w:rsidP="00C80C07">
            <w:pPr>
              <w:rPr>
                <w:rFonts w:eastAsia="Times New Roman" w:cs="Segoe UI"/>
                <w:sz w:val="20"/>
                <w:szCs w:val="20"/>
              </w:rPr>
            </w:pPr>
            <w:r w:rsidRPr="003D290F">
              <w:rPr>
                <w:rFonts w:eastAsia="Times New Roman" w:cs="Segoe UI"/>
                <w:sz w:val="20"/>
                <w:szCs w:val="20"/>
              </w:rPr>
              <w:t>$169,177</w:t>
            </w:r>
          </w:p>
        </w:tc>
      </w:tr>
      <w:tr w:rsidR="00ED7B70" w:rsidRPr="003D290F" w14:paraId="064BC5E4" w14:textId="77777777" w:rsidTr="00EB12B1">
        <w:trPr>
          <w:gridAfter w:val="1"/>
          <w:cnfStyle w:val="000000100000" w:firstRow="0" w:lastRow="0" w:firstColumn="0" w:lastColumn="0" w:oddVBand="0" w:evenVBand="0" w:oddHBand="1" w:evenHBand="0" w:firstRowFirstColumn="0" w:firstRowLastColumn="0" w:lastRowFirstColumn="0" w:lastRowLastColumn="0"/>
          <w:wAfter w:w="15" w:type="dxa"/>
          <w:trHeight w:val="9"/>
        </w:trPr>
        <w:tc>
          <w:tcPr>
            <w:tcW w:w="3252" w:type="dxa"/>
          </w:tcPr>
          <w:p w14:paraId="2C32B24A" w14:textId="77777777" w:rsidR="00ED7B70" w:rsidRPr="003D290F" w:rsidRDefault="00196364" w:rsidP="00C80C07">
            <w:pPr>
              <w:rPr>
                <w:rFonts w:eastAsia="Times New Roman" w:cs="Segoe UI"/>
                <w:sz w:val="20"/>
                <w:szCs w:val="20"/>
              </w:rPr>
            </w:pPr>
            <w:r w:rsidRPr="003D290F">
              <w:rPr>
                <w:rFonts w:eastAsia="Times New Roman" w:cs="Segoe UI"/>
                <w:sz w:val="20"/>
                <w:szCs w:val="20"/>
              </w:rPr>
              <w:t>Average salary</w:t>
            </w:r>
            <w:r w:rsidR="00861D3E" w:rsidRPr="003D290F">
              <w:rPr>
                <w:rFonts w:eastAsia="Times New Roman" w:cs="Segoe UI"/>
                <w:sz w:val="20"/>
                <w:szCs w:val="20"/>
              </w:rPr>
              <w:t xml:space="preserve"> at non-</w:t>
            </w:r>
            <w:r w:rsidR="002A500C">
              <w:rPr>
                <w:rFonts w:eastAsia="Times New Roman" w:cs="Segoe UI"/>
                <w:sz w:val="20"/>
                <w:szCs w:val="20"/>
              </w:rPr>
              <w:t>energy</w:t>
            </w:r>
            <w:r w:rsidR="002A500C" w:rsidRPr="003D290F">
              <w:rPr>
                <w:rFonts w:eastAsia="Times New Roman" w:cs="Segoe UI"/>
                <w:sz w:val="20"/>
                <w:szCs w:val="20"/>
              </w:rPr>
              <w:t xml:space="preserve"> </w:t>
            </w:r>
            <w:r w:rsidR="00861D3E" w:rsidRPr="003D290F">
              <w:rPr>
                <w:rFonts w:eastAsia="Times New Roman" w:cs="Segoe UI"/>
                <w:sz w:val="20"/>
                <w:szCs w:val="20"/>
              </w:rPr>
              <w:t>receiving employers</w:t>
            </w:r>
          </w:p>
        </w:tc>
        <w:tc>
          <w:tcPr>
            <w:tcW w:w="5532" w:type="dxa"/>
          </w:tcPr>
          <w:p w14:paraId="2FEE909C" w14:textId="77777777" w:rsidR="00ED7B70" w:rsidRPr="003D290F" w:rsidRDefault="00196364" w:rsidP="00C80C07">
            <w:pPr>
              <w:rPr>
                <w:rFonts w:eastAsia="Times New Roman" w:cs="Segoe UI"/>
                <w:sz w:val="20"/>
                <w:szCs w:val="20"/>
              </w:rPr>
            </w:pPr>
            <w:r w:rsidRPr="003D290F">
              <w:rPr>
                <w:rFonts w:eastAsia="Times New Roman" w:cs="Segoe UI"/>
                <w:sz w:val="20"/>
                <w:szCs w:val="20"/>
              </w:rPr>
              <w:t>Average weekly earnings across Australia in all industries, to reflect salary outcomes at non-coal employers</w:t>
            </w:r>
          </w:p>
        </w:tc>
        <w:tc>
          <w:tcPr>
            <w:tcW w:w="1455" w:type="dxa"/>
          </w:tcPr>
          <w:p w14:paraId="6E2E6E56" w14:textId="77777777" w:rsidR="00ED7B70" w:rsidRPr="003D290F" w:rsidRDefault="00196364" w:rsidP="00C80C07">
            <w:pPr>
              <w:rPr>
                <w:rFonts w:eastAsia="Times New Roman" w:cs="Segoe UI"/>
                <w:sz w:val="20"/>
                <w:szCs w:val="20"/>
              </w:rPr>
            </w:pPr>
            <w:r w:rsidRPr="003D290F">
              <w:rPr>
                <w:rFonts w:eastAsia="Times New Roman" w:cs="Segoe UI"/>
                <w:sz w:val="20"/>
                <w:szCs w:val="20"/>
              </w:rPr>
              <w:t>$95,581</w:t>
            </w:r>
          </w:p>
        </w:tc>
      </w:tr>
      <w:tr w:rsidR="00ED7B70" w:rsidRPr="003D290F" w14:paraId="249ABFDE" w14:textId="77777777" w:rsidTr="00EB12B1">
        <w:trPr>
          <w:gridAfter w:val="1"/>
          <w:wAfter w:w="15" w:type="dxa"/>
          <w:trHeight w:val="9"/>
        </w:trPr>
        <w:tc>
          <w:tcPr>
            <w:tcW w:w="3252" w:type="dxa"/>
            <w:shd w:val="clear" w:color="auto" w:fill="FFFFFF" w:themeFill="background1"/>
          </w:tcPr>
          <w:p w14:paraId="23F37DFE" w14:textId="77777777" w:rsidR="00ED7B70" w:rsidRPr="003D290F" w:rsidRDefault="00196364" w:rsidP="00C80C07">
            <w:pPr>
              <w:rPr>
                <w:rFonts w:eastAsia="Times New Roman" w:cs="Segoe UI"/>
                <w:sz w:val="20"/>
                <w:szCs w:val="20"/>
              </w:rPr>
            </w:pPr>
            <w:r w:rsidRPr="003D290F">
              <w:rPr>
                <w:rFonts w:eastAsia="Times New Roman" w:cs="Segoe UI"/>
                <w:sz w:val="20"/>
                <w:szCs w:val="20"/>
              </w:rPr>
              <w:t>Average remuneration</w:t>
            </w:r>
            <w:r w:rsidR="00861D3E" w:rsidRPr="003D290F">
              <w:rPr>
                <w:rFonts w:eastAsia="Times New Roman" w:cs="Segoe UI"/>
                <w:sz w:val="20"/>
                <w:szCs w:val="20"/>
              </w:rPr>
              <w:t xml:space="preserve"> at non-</w:t>
            </w:r>
            <w:r w:rsidR="002A500C">
              <w:rPr>
                <w:rFonts w:eastAsia="Times New Roman" w:cs="Segoe UI"/>
                <w:sz w:val="20"/>
                <w:szCs w:val="20"/>
              </w:rPr>
              <w:t xml:space="preserve"> energy</w:t>
            </w:r>
            <w:r w:rsidR="002A500C" w:rsidRPr="003D290F" w:rsidDel="002A500C">
              <w:rPr>
                <w:rFonts w:eastAsia="Times New Roman" w:cs="Segoe UI"/>
                <w:sz w:val="20"/>
                <w:szCs w:val="20"/>
              </w:rPr>
              <w:t xml:space="preserve"> </w:t>
            </w:r>
            <w:r w:rsidR="00861D3E" w:rsidRPr="003D290F">
              <w:rPr>
                <w:rFonts w:eastAsia="Times New Roman" w:cs="Segoe UI"/>
                <w:sz w:val="20"/>
                <w:szCs w:val="20"/>
              </w:rPr>
              <w:t>receiving employers</w:t>
            </w:r>
          </w:p>
        </w:tc>
        <w:tc>
          <w:tcPr>
            <w:tcW w:w="5532" w:type="dxa"/>
            <w:shd w:val="clear" w:color="auto" w:fill="FFFFFF" w:themeFill="background1"/>
          </w:tcPr>
          <w:p w14:paraId="4F353BA9" w14:textId="77777777" w:rsidR="00ED7B70" w:rsidRPr="003D290F" w:rsidRDefault="00196364" w:rsidP="00C80C07">
            <w:pPr>
              <w:rPr>
                <w:rFonts w:eastAsia="Times New Roman" w:cs="Segoe UI"/>
                <w:sz w:val="20"/>
                <w:szCs w:val="20"/>
              </w:rPr>
            </w:pPr>
            <w:r w:rsidRPr="003D290F">
              <w:rPr>
                <w:rFonts w:eastAsia="Times New Roman" w:cs="Segoe UI"/>
                <w:sz w:val="20"/>
                <w:szCs w:val="20"/>
              </w:rPr>
              <w:t xml:space="preserve">Average remuneration </w:t>
            </w:r>
            <w:r w:rsidR="002A500C">
              <w:rPr>
                <w:rFonts w:eastAsia="Times New Roman" w:cs="Segoe UI"/>
                <w:sz w:val="20"/>
                <w:szCs w:val="20"/>
              </w:rPr>
              <w:t>across Australia</w:t>
            </w:r>
            <w:r w:rsidRPr="003D290F">
              <w:rPr>
                <w:rFonts w:eastAsia="Times New Roman" w:cs="Segoe UI"/>
                <w:sz w:val="20"/>
                <w:szCs w:val="20"/>
              </w:rPr>
              <w:t>, including 12% superannuation contributions</w:t>
            </w:r>
          </w:p>
        </w:tc>
        <w:tc>
          <w:tcPr>
            <w:tcW w:w="1455" w:type="dxa"/>
            <w:shd w:val="clear" w:color="auto" w:fill="FFFFFF" w:themeFill="background1"/>
          </w:tcPr>
          <w:p w14:paraId="483E99B0" w14:textId="77777777" w:rsidR="00ED7B70" w:rsidRPr="003D290F" w:rsidRDefault="0019498F" w:rsidP="00C80C07">
            <w:pPr>
              <w:rPr>
                <w:rFonts w:eastAsia="Times New Roman" w:cs="Segoe UI"/>
                <w:sz w:val="20"/>
                <w:szCs w:val="20"/>
              </w:rPr>
            </w:pPr>
            <w:r w:rsidRPr="003D290F">
              <w:rPr>
                <w:rFonts w:eastAsia="Times New Roman" w:cs="Segoe UI"/>
                <w:sz w:val="20"/>
                <w:szCs w:val="20"/>
              </w:rPr>
              <w:t>$107,051</w:t>
            </w:r>
          </w:p>
        </w:tc>
      </w:tr>
      <w:tr w:rsidR="00ED7B70" w:rsidRPr="003D290F" w14:paraId="0941C5BC" w14:textId="77777777" w:rsidTr="00EB12B1">
        <w:trPr>
          <w:cnfStyle w:val="000000100000" w:firstRow="0" w:lastRow="0" w:firstColumn="0" w:lastColumn="0" w:oddVBand="0" w:evenVBand="0" w:oddHBand="1" w:evenHBand="0" w:firstRowFirstColumn="0" w:firstRowLastColumn="0" w:lastRowFirstColumn="0" w:lastRowLastColumn="0"/>
          <w:trHeight w:val="9"/>
        </w:trPr>
        <w:tc>
          <w:tcPr>
            <w:tcW w:w="3252" w:type="dxa"/>
          </w:tcPr>
          <w:p w14:paraId="5FBF73B3" w14:textId="77777777" w:rsidR="00ED7B70" w:rsidRPr="003D290F" w:rsidRDefault="0019498F" w:rsidP="00C80C07">
            <w:pPr>
              <w:rPr>
                <w:rFonts w:eastAsia="Times New Roman" w:cs="Segoe UI"/>
                <w:sz w:val="20"/>
                <w:szCs w:val="20"/>
              </w:rPr>
            </w:pPr>
            <w:r w:rsidRPr="003D290F">
              <w:rPr>
                <w:rFonts w:eastAsia="Times New Roman" w:cs="Segoe UI"/>
                <w:sz w:val="20"/>
                <w:szCs w:val="20"/>
              </w:rPr>
              <w:t>Jobseeker payment</w:t>
            </w:r>
          </w:p>
        </w:tc>
        <w:tc>
          <w:tcPr>
            <w:tcW w:w="5532" w:type="dxa"/>
          </w:tcPr>
          <w:p w14:paraId="4EC681E1" w14:textId="77777777" w:rsidR="00ED7B70" w:rsidRPr="003D290F" w:rsidRDefault="0019498F" w:rsidP="00C80C07">
            <w:pPr>
              <w:rPr>
                <w:rFonts w:eastAsia="Times New Roman" w:cs="Segoe UI"/>
                <w:sz w:val="20"/>
                <w:szCs w:val="20"/>
              </w:rPr>
            </w:pPr>
            <w:r w:rsidRPr="003D290F">
              <w:rPr>
                <w:rFonts w:eastAsia="Times New Roman" w:cs="Segoe UI"/>
                <w:sz w:val="20"/>
                <w:szCs w:val="20"/>
              </w:rPr>
              <w:t>For those who become unemployed, the current Jobseeker rate of $802.50 per fortnight for a single with dependent child is assumed.</w:t>
            </w:r>
          </w:p>
        </w:tc>
        <w:tc>
          <w:tcPr>
            <w:tcW w:w="1470" w:type="dxa"/>
            <w:gridSpan w:val="2"/>
          </w:tcPr>
          <w:p w14:paraId="30716523" w14:textId="77777777" w:rsidR="00ED7B70" w:rsidRPr="003D290F" w:rsidRDefault="0019498F" w:rsidP="00C80C07">
            <w:pPr>
              <w:rPr>
                <w:rFonts w:eastAsia="Times New Roman" w:cs="Segoe UI"/>
                <w:sz w:val="20"/>
                <w:szCs w:val="20"/>
              </w:rPr>
            </w:pPr>
            <w:r w:rsidRPr="003D290F">
              <w:rPr>
                <w:rFonts w:eastAsia="Times New Roman" w:cs="Segoe UI"/>
                <w:sz w:val="20"/>
                <w:szCs w:val="20"/>
              </w:rPr>
              <w:t>$20,865</w:t>
            </w:r>
          </w:p>
        </w:tc>
      </w:tr>
      <w:tr w:rsidR="0019498F" w:rsidRPr="003D290F" w14:paraId="1DD715D0" w14:textId="77777777" w:rsidTr="00EB12B1">
        <w:trPr>
          <w:trHeight w:val="9"/>
        </w:trPr>
        <w:tc>
          <w:tcPr>
            <w:tcW w:w="3252" w:type="dxa"/>
            <w:shd w:val="clear" w:color="auto" w:fill="auto"/>
          </w:tcPr>
          <w:p w14:paraId="3B4B84DB" w14:textId="77777777" w:rsidR="0019498F" w:rsidRPr="003D290F" w:rsidRDefault="0019498F" w:rsidP="00C80C07">
            <w:pPr>
              <w:rPr>
                <w:rFonts w:eastAsia="Times New Roman" w:cs="Segoe UI"/>
                <w:sz w:val="20"/>
                <w:szCs w:val="20"/>
              </w:rPr>
            </w:pPr>
            <w:r w:rsidRPr="003D290F">
              <w:rPr>
                <w:rFonts w:eastAsia="Times New Roman" w:cs="Segoe UI"/>
                <w:sz w:val="20"/>
                <w:szCs w:val="20"/>
              </w:rPr>
              <w:t xml:space="preserve">Tenure at closing employers </w:t>
            </w:r>
          </w:p>
        </w:tc>
        <w:tc>
          <w:tcPr>
            <w:tcW w:w="5532" w:type="dxa"/>
            <w:shd w:val="clear" w:color="auto" w:fill="auto"/>
          </w:tcPr>
          <w:p w14:paraId="5B348AF1" w14:textId="77777777" w:rsidR="0019498F" w:rsidRPr="003D290F" w:rsidRDefault="0019498F" w:rsidP="00C80C07">
            <w:pPr>
              <w:rPr>
                <w:rFonts w:eastAsia="Times New Roman" w:cs="Segoe UI"/>
                <w:sz w:val="20"/>
                <w:szCs w:val="20"/>
              </w:rPr>
            </w:pPr>
            <w:r w:rsidRPr="003D290F">
              <w:rPr>
                <w:rFonts w:eastAsia="Times New Roman" w:cs="Segoe UI"/>
                <w:sz w:val="20"/>
                <w:szCs w:val="20"/>
              </w:rPr>
              <w:t xml:space="preserve">Average tenure for workers in </w:t>
            </w:r>
            <w:r w:rsidR="00F22781" w:rsidRPr="003D290F">
              <w:rPr>
                <w:rFonts w:eastAsia="Times New Roman" w:cs="Segoe UI"/>
                <w:sz w:val="20"/>
                <w:szCs w:val="20"/>
              </w:rPr>
              <w:t xml:space="preserve">coal-related jobs, informed by Australian Bureau of Statistics, Job Mobility. </w:t>
            </w:r>
          </w:p>
        </w:tc>
        <w:tc>
          <w:tcPr>
            <w:tcW w:w="1470" w:type="dxa"/>
            <w:gridSpan w:val="2"/>
            <w:shd w:val="clear" w:color="auto" w:fill="auto"/>
          </w:tcPr>
          <w:p w14:paraId="09C32109" w14:textId="77777777" w:rsidR="0019498F" w:rsidRPr="003D290F" w:rsidRDefault="00F22781" w:rsidP="00C80C07">
            <w:pPr>
              <w:rPr>
                <w:rFonts w:eastAsia="Times New Roman" w:cs="Segoe UI"/>
                <w:sz w:val="20"/>
                <w:szCs w:val="20"/>
              </w:rPr>
            </w:pPr>
            <w:r w:rsidRPr="003D290F">
              <w:rPr>
                <w:rFonts w:eastAsia="Times New Roman" w:cs="Segoe UI"/>
                <w:sz w:val="20"/>
                <w:szCs w:val="20"/>
              </w:rPr>
              <w:t>8</w:t>
            </w:r>
            <w:r w:rsidR="00DF137E" w:rsidRPr="003D290F">
              <w:rPr>
                <w:rFonts w:eastAsia="Times New Roman" w:cs="Segoe UI"/>
                <w:sz w:val="20"/>
                <w:szCs w:val="20"/>
              </w:rPr>
              <w:t xml:space="preserve"> years</w:t>
            </w:r>
          </w:p>
        </w:tc>
      </w:tr>
      <w:tr w:rsidR="00D21410" w:rsidRPr="003D290F" w14:paraId="2C568F0B" w14:textId="77777777" w:rsidTr="00742C4F">
        <w:trPr>
          <w:cnfStyle w:val="000000100000" w:firstRow="0" w:lastRow="0" w:firstColumn="0" w:lastColumn="0" w:oddVBand="0" w:evenVBand="0" w:oddHBand="1" w:evenHBand="0" w:firstRowFirstColumn="0" w:firstRowLastColumn="0" w:lastRowFirstColumn="0" w:lastRowLastColumn="0"/>
          <w:trHeight w:val="9"/>
        </w:trPr>
        <w:tc>
          <w:tcPr>
            <w:tcW w:w="3252" w:type="dxa"/>
          </w:tcPr>
          <w:p w14:paraId="5F6C813C" w14:textId="77777777" w:rsidR="00D21410" w:rsidRPr="003D290F" w:rsidRDefault="00D21410" w:rsidP="00C80C07">
            <w:pPr>
              <w:rPr>
                <w:rFonts w:eastAsia="Times New Roman" w:cs="Segoe UI"/>
                <w:sz w:val="20"/>
                <w:szCs w:val="20"/>
              </w:rPr>
            </w:pPr>
            <w:r w:rsidRPr="003D290F">
              <w:rPr>
                <w:rFonts w:eastAsia="Times New Roman" w:cs="Segoe UI"/>
                <w:sz w:val="20"/>
                <w:szCs w:val="20"/>
              </w:rPr>
              <w:t xml:space="preserve">Proportion of closing employer employees that move to </w:t>
            </w:r>
            <w:r w:rsidR="00E41342">
              <w:rPr>
                <w:rFonts w:eastAsia="Times New Roman" w:cs="Segoe UI"/>
                <w:sz w:val="20"/>
                <w:szCs w:val="20"/>
              </w:rPr>
              <w:t xml:space="preserve">energy </w:t>
            </w:r>
            <w:r w:rsidRPr="003D290F">
              <w:rPr>
                <w:rFonts w:eastAsia="Times New Roman" w:cs="Segoe UI"/>
                <w:sz w:val="20"/>
                <w:szCs w:val="20"/>
              </w:rPr>
              <w:t>related jobs</w:t>
            </w:r>
            <w:r w:rsidR="00A42002" w:rsidRPr="003D290F">
              <w:rPr>
                <w:rFonts w:eastAsia="Times New Roman" w:cs="Segoe UI"/>
                <w:sz w:val="20"/>
                <w:szCs w:val="20"/>
              </w:rPr>
              <w:t xml:space="preserve"> (if remain employed)</w:t>
            </w:r>
          </w:p>
        </w:tc>
        <w:tc>
          <w:tcPr>
            <w:tcW w:w="5532" w:type="dxa"/>
            <w:vMerge w:val="restart"/>
            <w:shd w:val="clear" w:color="auto" w:fill="auto"/>
          </w:tcPr>
          <w:p w14:paraId="60A6CF3C" w14:textId="77777777" w:rsidR="00D21410" w:rsidRPr="003D290F" w:rsidRDefault="00C94E74" w:rsidP="00C80C07">
            <w:pPr>
              <w:rPr>
                <w:rFonts w:eastAsia="Times New Roman" w:cs="Segoe UI"/>
                <w:sz w:val="20"/>
                <w:szCs w:val="20"/>
              </w:rPr>
            </w:pPr>
            <w:r w:rsidRPr="003D290F">
              <w:rPr>
                <w:rFonts w:cs="Segoe UI"/>
                <w:sz w:val="20"/>
                <w:szCs w:val="20"/>
              </w:rPr>
              <w:t>R</w:t>
            </w:r>
            <w:r w:rsidR="00D21410" w:rsidRPr="003D290F">
              <w:rPr>
                <w:rFonts w:cs="Segoe UI"/>
                <w:sz w:val="20"/>
                <w:szCs w:val="20"/>
              </w:rPr>
              <w:t xml:space="preserve">edeployments </w:t>
            </w:r>
            <w:r w:rsidRPr="003D290F">
              <w:rPr>
                <w:rFonts w:cs="Segoe UI"/>
                <w:sz w:val="20"/>
                <w:szCs w:val="20"/>
              </w:rPr>
              <w:t xml:space="preserve">are estimated for each closure event, and averaged over the time horizon. </w:t>
            </w:r>
            <w:r w:rsidR="00D21410" w:rsidRPr="003D290F">
              <w:rPr>
                <w:rFonts w:cs="Segoe UI"/>
                <w:sz w:val="20"/>
                <w:szCs w:val="20"/>
              </w:rPr>
              <w:t xml:space="preserve">It is assumed workers will prioritise a same industry transfer if given the choice, as salaries are higher on average and less re-training is likely required. In the early years, more workers </w:t>
            </w:r>
            <w:r w:rsidRPr="003D290F">
              <w:rPr>
                <w:rFonts w:cs="Segoe UI"/>
                <w:sz w:val="20"/>
                <w:szCs w:val="20"/>
              </w:rPr>
              <w:t>are expected to remain within the coal industry than in later years, as the number of remaining coal-fired power stations decreases.</w:t>
            </w:r>
          </w:p>
        </w:tc>
        <w:tc>
          <w:tcPr>
            <w:tcW w:w="1470" w:type="dxa"/>
            <w:gridSpan w:val="2"/>
          </w:tcPr>
          <w:p w14:paraId="7A6914F9" w14:textId="77777777" w:rsidR="00D21410" w:rsidRPr="003D290F" w:rsidRDefault="00D21410" w:rsidP="00C80C07">
            <w:pPr>
              <w:rPr>
                <w:rFonts w:eastAsia="Times New Roman" w:cs="Segoe UI"/>
                <w:sz w:val="20"/>
                <w:szCs w:val="20"/>
              </w:rPr>
            </w:pPr>
            <w:r w:rsidRPr="003D290F">
              <w:rPr>
                <w:rFonts w:eastAsia="Times New Roman" w:cs="Segoe UI"/>
                <w:sz w:val="20"/>
                <w:szCs w:val="20"/>
              </w:rPr>
              <w:t>47%</w:t>
            </w:r>
          </w:p>
        </w:tc>
      </w:tr>
      <w:tr w:rsidR="00D21410" w:rsidRPr="003D290F" w14:paraId="79549311" w14:textId="77777777" w:rsidTr="00742C4F">
        <w:trPr>
          <w:trHeight w:val="9"/>
        </w:trPr>
        <w:tc>
          <w:tcPr>
            <w:tcW w:w="3252" w:type="dxa"/>
            <w:shd w:val="clear" w:color="auto" w:fill="auto"/>
          </w:tcPr>
          <w:p w14:paraId="0FBA52C5" w14:textId="77777777" w:rsidR="00D21410" w:rsidRPr="003D290F" w:rsidRDefault="00D21410" w:rsidP="00C80C07">
            <w:pPr>
              <w:rPr>
                <w:rFonts w:eastAsia="Times New Roman" w:cs="Segoe UI"/>
                <w:sz w:val="20"/>
                <w:szCs w:val="20"/>
              </w:rPr>
            </w:pPr>
            <w:r w:rsidRPr="003D290F">
              <w:rPr>
                <w:rFonts w:eastAsia="Times New Roman" w:cs="Segoe UI"/>
                <w:sz w:val="20"/>
                <w:szCs w:val="20"/>
              </w:rPr>
              <w:t>Proportion of closing employer employees that move to non-</w:t>
            </w:r>
            <w:r w:rsidR="00E41342">
              <w:rPr>
                <w:rFonts w:eastAsia="Times New Roman" w:cs="Segoe UI"/>
                <w:sz w:val="20"/>
                <w:szCs w:val="20"/>
              </w:rPr>
              <w:t>energy</w:t>
            </w:r>
            <w:r w:rsidRPr="003D290F">
              <w:rPr>
                <w:rFonts w:eastAsia="Times New Roman" w:cs="Segoe UI"/>
                <w:sz w:val="20"/>
                <w:szCs w:val="20"/>
              </w:rPr>
              <w:t xml:space="preserve"> related jobs</w:t>
            </w:r>
            <w:r w:rsidR="00A42002" w:rsidRPr="003D290F">
              <w:rPr>
                <w:rFonts w:eastAsia="Times New Roman" w:cs="Segoe UI"/>
                <w:sz w:val="20"/>
                <w:szCs w:val="20"/>
              </w:rPr>
              <w:t xml:space="preserve"> (if remain employed)</w:t>
            </w:r>
          </w:p>
        </w:tc>
        <w:tc>
          <w:tcPr>
            <w:tcW w:w="5532" w:type="dxa"/>
            <w:vMerge/>
            <w:shd w:val="clear" w:color="auto" w:fill="auto"/>
          </w:tcPr>
          <w:p w14:paraId="7A0604C3" w14:textId="77777777" w:rsidR="00D21410" w:rsidRPr="003D290F" w:rsidRDefault="00D21410">
            <w:pPr>
              <w:rPr>
                <w:rFonts w:eastAsia="Times New Roman" w:cs="Segoe UI"/>
                <w:sz w:val="20"/>
                <w:szCs w:val="20"/>
              </w:rPr>
            </w:pPr>
          </w:p>
        </w:tc>
        <w:tc>
          <w:tcPr>
            <w:tcW w:w="1470" w:type="dxa"/>
            <w:gridSpan w:val="2"/>
            <w:shd w:val="clear" w:color="auto" w:fill="auto"/>
          </w:tcPr>
          <w:p w14:paraId="53F1ABB1" w14:textId="77777777" w:rsidR="00D21410" w:rsidRPr="003D290F" w:rsidRDefault="00D21410">
            <w:pPr>
              <w:rPr>
                <w:rFonts w:eastAsia="Times New Roman" w:cs="Segoe UI"/>
                <w:sz w:val="20"/>
                <w:szCs w:val="20"/>
              </w:rPr>
            </w:pPr>
            <w:r w:rsidRPr="003D290F">
              <w:rPr>
                <w:rFonts w:eastAsia="Times New Roman" w:cs="Segoe UI"/>
                <w:sz w:val="20"/>
                <w:szCs w:val="20"/>
              </w:rPr>
              <w:t>53%</w:t>
            </w:r>
          </w:p>
        </w:tc>
      </w:tr>
      <w:tr w:rsidR="001872E8" w:rsidRPr="003D290F" w14:paraId="67175F3D" w14:textId="77777777" w:rsidTr="00A81139">
        <w:trPr>
          <w:cnfStyle w:val="000000100000" w:firstRow="0" w:lastRow="0" w:firstColumn="0" w:lastColumn="0" w:oddVBand="0" w:evenVBand="0" w:oddHBand="1" w:evenHBand="0" w:firstRowFirstColumn="0" w:firstRowLastColumn="0" w:lastRowFirstColumn="0" w:lastRowLastColumn="0"/>
          <w:trHeight w:val="9"/>
        </w:trPr>
        <w:tc>
          <w:tcPr>
            <w:tcW w:w="3252" w:type="dxa"/>
          </w:tcPr>
          <w:p w14:paraId="3C9AF75A" w14:textId="77777777" w:rsidR="001872E8" w:rsidRPr="003D290F" w:rsidRDefault="007D1E16" w:rsidP="00835358">
            <w:pPr>
              <w:rPr>
                <w:rFonts w:eastAsia="Times New Roman" w:cs="Segoe UI"/>
                <w:sz w:val="20"/>
                <w:szCs w:val="20"/>
              </w:rPr>
            </w:pPr>
            <w:r w:rsidRPr="003D290F">
              <w:rPr>
                <w:rFonts w:eastAsia="Times New Roman" w:cs="Segoe UI"/>
                <w:sz w:val="20"/>
                <w:szCs w:val="20"/>
              </w:rPr>
              <w:t>Value of leisure time</w:t>
            </w:r>
          </w:p>
        </w:tc>
        <w:tc>
          <w:tcPr>
            <w:tcW w:w="5532" w:type="dxa"/>
          </w:tcPr>
          <w:p w14:paraId="200FFB0F" w14:textId="77777777" w:rsidR="001872E8" w:rsidRPr="003D290F" w:rsidRDefault="007D1E16" w:rsidP="00835358">
            <w:pPr>
              <w:rPr>
                <w:rFonts w:eastAsia="Times New Roman" w:cs="Segoe UI"/>
                <w:sz w:val="20"/>
                <w:szCs w:val="20"/>
              </w:rPr>
            </w:pPr>
            <w:r w:rsidRPr="003D290F">
              <w:rPr>
                <w:rFonts w:eastAsia="Times New Roman" w:cs="Segoe UI"/>
                <w:sz w:val="20"/>
                <w:szCs w:val="20"/>
              </w:rPr>
              <w:t>Office for Impact Analysis assumption used across all scenarios</w:t>
            </w:r>
          </w:p>
        </w:tc>
        <w:tc>
          <w:tcPr>
            <w:tcW w:w="1470" w:type="dxa"/>
            <w:gridSpan w:val="2"/>
          </w:tcPr>
          <w:p w14:paraId="201F2D3E" w14:textId="77777777" w:rsidR="001872E8" w:rsidRPr="003D290F" w:rsidRDefault="007D1E16" w:rsidP="00835358">
            <w:pPr>
              <w:rPr>
                <w:rFonts w:eastAsia="Times New Roman" w:cs="Segoe UI"/>
                <w:sz w:val="20"/>
                <w:szCs w:val="20"/>
              </w:rPr>
            </w:pPr>
            <w:r w:rsidRPr="003D290F">
              <w:rPr>
                <w:rFonts w:eastAsia="Times New Roman" w:cs="Segoe UI"/>
                <w:sz w:val="20"/>
                <w:szCs w:val="20"/>
              </w:rPr>
              <w:t>$36 per hour</w:t>
            </w:r>
          </w:p>
        </w:tc>
      </w:tr>
      <w:tr w:rsidR="00187584" w:rsidRPr="003D290F" w14:paraId="356464E8" w14:textId="77777777" w:rsidTr="00070A5F">
        <w:trPr>
          <w:trHeight w:val="9"/>
        </w:trPr>
        <w:tc>
          <w:tcPr>
            <w:tcW w:w="8784" w:type="dxa"/>
            <w:gridSpan w:val="2"/>
            <w:shd w:val="clear" w:color="auto" w:fill="D9D9D9" w:themeFill="background1" w:themeFillShade="D9"/>
          </w:tcPr>
          <w:p w14:paraId="06AD9E73" w14:textId="77777777" w:rsidR="00187584" w:rsidRPr="003D290F" w:rsidRDefault="00187584" w:rsidP="00835358">
            <w:pPr>
              <w:rPr>
                <w:rFonts w:eastAsia="Times New Roman" w:cs="Segoe UI"/>
                <w:b/>
                <w:i/>
                <w:sz w:val="20"/>
                <w:szCs w:val="20"/>
              </w:rPr>
            </w:pPr>
            <w:r w:rsidRPr="003D290F">
              <w:rPr>
                <w:rFonts w:eastAsia="Times New Roman" w:cs="Segoe UI"/>
                <w:b/>
                <w:i/>
                <w:sz w:val="20"/>
                <w:szCs w:val="20"/>
              </w:rPr>
              <w:lastRenderedPageBreak/>
              <w:t>Closing employer employee outcomes</w:t>
            </w:r>
          </w:p>
        </w:tc>
        <w:tc>
          <w:tcPr>
            <w:tcW w:w="1470" w:type="dxa"/>
            <w:gridSpan w:val="2"/>
            <w:shd w:val="clear" w:color="auto" w:fill="D9D9D9" w:themeFill="background1" w:themeFillShade="D9"/>
          </w:tcPr>
          <w:p w14:paraId="4DA45BD9" w14:textId="77777777" w:rsidR="00187584" w:rsidRPr="003D290F" w:rsidRDefault="00187584" w:rsidP="00835358">
            <w:pPr>
              <w:rPr>
                <w:rFonts w:eastAsia="Times New Roman" w:cs="Segoe UI"/>
                <w:b/>
                <w:i/>
                <w:sz w:val="20"/>
                <w:szCs w:val="20"/>
              </w:rPr>
            </w:pPr>
          </w:p>
        </w:tc>
      </w:tr>
      <w:tr w:rsidR="00187584" w:rsidRPr="003D290F" w14:paraId="436F9DF3" w14:textId="77777777" w:rsidTr="00A81139">
        <w:trPr>
          <w:cnfStyle w:val="000000100000" w:firstRow="0" w:lastRow="0" w:firstColumn="0" w:lastColumn="0" w:oddVBand="0" w:evenVBand="0" w:oddHBand="1" w:evenHBand="0" w:firstRowFirstColumn="0" w:firstRowLastColumn="0" w:lastRowFirstColumn="0" w:lastRowLastColumn="0"/>
          <w:trHeight w:val="9"/>
        </w:trPr>
        <w:tc>
          <w:tcPr>
            <w:tcW w:w="3252" w:type="dxa"/>
            <w:shd w:val="clear" w:color="auto" w:fill="auto"/>
          </w:tcPr>
          <w:p w14:paraId="677FE049" w14:textId="77777777" w:rsidR="00187584" w:rsidRPr="003D290F" w:rsidRDefault="00187584" w:rsidP="00835358">
            <w:pPr>
              <w:rPr>
                <w:rFonts w:eastAsia="Times New Roman" w:cs="Segoe UI"/>
                <w:sz w:val="20"/>
                <w:szCs w:val="20"/>
              </w:rPr>
            </w:pPr>
            <w:r w:rsidRPr="003D290F">
              <w:rPr>
                <w:rFonts w:eastAsia="Times New Roman" w:cs="Segoe UI"/>
                <w:sz w:val="20"/>
                <w:szCs w:val="20"/>
              </w:rPr>
              <w:t xml:space="preserve">Employed in absence of </w:t>
            </w:r>
            <w:r w:rsidR="00F6294A" w:rsidRPr="003D290F">
              <w:rPr>
                <w:rFonts w:eastAsia="Times New Roman" w:cs="Segoe UI"/>
                <w:sz w:val="20"/>
                <w:szCs w:val="20"/>
              </w:rPr>
              <w:t>plan</w:t>
            </w:r>
          </w:p>
        </w:tc>
        <w:tc>
          <w:tcPr>
            <w:tcW w:w="5532" w:type="dxa"/>
            <w:shd w:val="clear" w:color="auto" w:fill="auto"/>
          </w:tcPr>
          <w:p w14:paraId="2FCC3FB7" w14:textId="77777777" w:rsidR="00187584" w:rsidRPr="003D290F" w:rsidRDefault="00070A5F">
            <w:pPr>
              <w:rPr>
                <w:rFonts w:eastAsia="Times New Roman" w:cs="Segoe UI"/>
                <w:sz w:val="20"/>
                <w:szCs w:val="20"/>
              </w:rPr>
            </w:pPr>
            <w:r w:rsidRPr="003D290F">
              <w:rPr>
                <w:rFonts w:eastAsia="Times New Roman" w:cs="Segoe UI"/>
                <w:sz w:val="20"/>
                <w:szCs w:val="20"/>
              </w:rPr>
              <w:t>Assumptions derived from industrial facility closures.</w:t>
            </w:r>
          </w:p>
        </w:tc>
        <w:tc>
          <w:tcPr>
            <w:tcW w:w="1470" w:type="dxa"/>
            <w:gridSpan w:val="2"/>
            <w:shd w:val="clear" w:color="auto" w:fill="auto"/>
          </w:tcPr>
          <w:p w14:paraId="49B5183C" w14:textId="77777777" w:rsidR="00187584" w:rsidRPr="003D290F" w:rsidRDefault="00070A5F" w:rsidP="000409FE">
            <w:pPr>
              <w:rPr>
                <w:rFonts w:eastAsia="Times New Roman" w:cs="Segoe UI"/>
                <w:sz w:val="20"/>
                <w:szCs w:val="20"/>
              </w:rPr>
            </w:pPr>
            <w:r w:rsidRPr="003D290F">
              <w:rPr>
                <w:rFonts w:eastAsia="Times New Roman" w:cs="Segoe UI"/>
                <w:sz w:val="20"/>
                <w:szCs w:val="20"/>
              </w:rPr>
              <w:t>7</w:t>
            </w:r>
            <w:r w:rsidR="000409FE" w:rsidRPr="003D290F">
              <w:rPr>
                <w:rFonts w:eastAsia="Times New Roman" w:cs="Segoe UI"/>
                <w:sz w:val="20"/>
                <w:szCs w:val="20"/>
              </w:rPr>
              <w:t>6</w:t>
            </w:r>
            <w:r w:rsidRPr="003D290F">
              <w:rPr>
                <w:rFonts w:eastAsia="Times New Roman" w:cs="Segoe UI"/>
                <w:sz w:val="20"/>
                <w:szCs w:val="20"/>
              </w:rPr>
              <w:t>%</w:t>
            </w:r>
          </w:p>
        </w:tc>
      </w:tr>
      <w:tr w:rsidR="00187584" w:rsidRPr="003D290F" w14:paraId="1113D741" w14:textId="77777777" w:rsidTr="00A81139">
        <w:trPr>
          <w:trHeight w:val="9"/>
        </w:trPr>
        <w:tc>
          <w:tcPr>
            <w:tcW w:w="3252" w:type="dxa"/>
          </w:tcPr>
          <w:p w14:paraId="2C0B3930" w14:textId="77777777" w:rsidR="00187584" w:rsidRPr="003D290F" w:rsidRDefault="00187584" w:rsidP="00835358">
            <w:pPr>
              <w:rPr>
                <w:rFonts w:eastAsia="Times New Roman" w:cs="Segoe UI"/>
                <w:sz w:val="20"/>
                <w:szCs w:val="20"/>
              </w:rPr>
            </w:pPr>
            <w:r w:rsidRPr="003D290F">
              <w:rPr>
                <w:rFonts w:eastAsia="Times New Roman" w:cs="Segoe UI"/>
                <w:sz w:val="20"/>
                <w:szCs w:val="20"/>
              </w:rPr>
              <w:t xml:space="preserve">Unemployed in absence of </w:t>
            </w:r>
            <w:r w:rsidR="00F6294A" w:rsidRPr="003D290F">
              <w:rPr>
                <w:rFonts w:eastAsia="Times New Roman" w:cs="Segoe UI"/>
                <w:sz w:val="20"/>
                <w:szCs w:val="20"/>
              </w:rPr>
              <w:t>plan</w:t>
            </w:r>
          </w:p>
        </w:tc>
        <w:tc>
          <w:tcPr>
            <w:tcW w:w="5532" w:type="dxa"/>
          </w:tcPr>
          <w:p w14:paraId="459DABF9" w14:textId="77777777" w:rsidR="00187584" w:rsidRPr="003D290F" w:rsidRDefault="00070A5F" w:rsidP="00835358">
            <w:pPr>
              <w:rPr>
                <w:rFonts w:eastAsia="Times New Roman" w:cs="Segoe UI"/>
                <w:sz w:val="20"/>
                <w:szCs w:val="20"/>
              </w:rPr>
            </w:pPr>
            <w:r w:rsidRPr="003D290F">
              <w:rPr>
                <w:rFonts w:eastAsia="Times New Roman" w:cs="Segoe UI"/>
                <w:sz w:val="20"/>
                <w:szCs w:val="20"/>
              </w:rPr>
              <w:t>Assumptions derived from industrial facility closures.</w:t>
            </w:r>
          </w:p>
        </w:tc>
        <w:tc>
          <w:tcPr>
            <w:tcW w:w="1470" w:type="dxa"/>
            <w:gridSpan w:val="2"/>
          </w:tcPr>
          <w:p w14:paraId="4CDB3883" w14:textId="77777777" w:rsidR="00187584" w:rsidRPr="003D290F" w:rsidRDefault="00070A5F" w:rsidP="000409FE">
            <w:pPr>
              <w:rPr>
                <w:rFonts w:eastAsia="Times New Roman" w:cs="Segoe UI"/>
                <w:sz w:val="20"/>
                <w:szCs w:val="20"/>
              </w:rPr>
            </w:pPr>
            <w:r w:rsidRPr="003D290F">
              <w:rPr>
                <w:rFonts w:eastAsia="Times New Roman" w:cs="Segoe UI"/>
                <w:sz w:val="20"/>
                <w:szCs w:val="20"/>
              </w:rPr>
              <w:t>2</w:t>
            </w:r>
            <w:r w:rsidR="000409FE" w:rsidRPr="003D290F">
              <w:rPr>
                <w:rFonts w:eastAsia="Times New Roman" w:cs="Segoe UI"/>
                <w:sz w:val="20"/>
                <w:szCs w:val="20"/>
              </w:rPr>
              <w:t>2</w:t>
            </w:r>
            <w:r w:rsidRPr="003D290F">
              <w:rPr>
                <w:rFonts w:eastAsia="Times New Roman" w:cs="Segoe UI"/>
                <w:sz w:val="20"/>
                <w:szCs w:val="20"/>
              </w:rPr>
              <w:t>%</w:t>
            </w:r>
          </w:p>
        </w:tc>
      </w:tr>
      <w:tr w:rsidR="00187584" w:rsidRPr="003D290F" w14:paraId="52601552" w14:textId="77777777" w:rsidTr="00A81139">
        <w:trPr>
          <w:cnfStyle w:val="000000100000" w:firstRow="0" w:lastRow="0" w:firstColumn="0" w:lastColumn="0" w:oddVBand="0" w:evenVBand="0" w:oddHBand="1" w:evenHBand="0" w:firstRowFirstColumn="0" w:firstRowLastColumn="0" w:lastRowFirstColumn="0" w:lastRowLastColumn="0"/>
          <w:trHeight w:val="9"/>
        </w:trPr>
        <w:tc>
          <w:tcPr>
            <w:tcW w:w="3252" w:type="dxa"/>
            <w:shd w:val="clear" w:color="auto" w:fill="auto"/>
          </w:tcPr>
          <w:p w14:paraId="41358E0A" w14:textId="77777777" w:rsidR="00187584" w:rsidRPr="003D290F" w:rsidRDefault="00187584" w:rsidP="00835358">
            <w:pPr>
              <w:rPr>
                <w:rFonts w:eastAsia="Times New Roman" w:cs="Segoe UI"/>
                <w:sz w:val="20"/>
                <w:szCs w:val="20"/>
              </w:rPr>
            </w:pPr>
            <w:r w:rsidRPr="003D290F">
              <w:rPr>
                <w:rFonts w:eastAsia="Times New Roman" w:cs="Segoe UI"/>
                <w:sz w:val="20"/>
                <w:szCs w:val="20"/>
              </w:rPr>
              <w:t xml:space="preserve">Retired in absence of </w:t>
            </w:r>
            <w:r w:rsidR="00F6294A" w:rsidRPr="003D290F">
              <w:rPr>
                <w:rFonts w:eastAsia="Times New Roman" w:cs="Segoe UI"/>
                <w:sz w:val="20"/>
                <w:szCs w:val="20"/>
              </w:rPr>
              <w:t>plan</w:t>
            </w:r>
          </w:p>
        </w:tc>
        <w:tc>
          <w:tcPr>
            <w:tcW w:w="5532" w:type="dxa"/>
            <w:shd w:val="clear" w:color="auto" w:fill="auto"/>
          </w:tcPr>
          <w:p w14:paraId="3E96DCAA" w14:textId="77777777" w:rsidR="00187584" w:rsidRPr="003D290F" w:rsidRDefault="00070A5F" w:rsidP="00835358">
            <w:pPr>
              <w:rPr>
                <w:rFonts w:eastAsia="Times New Roman" w:cs="Segoe UI"/>
                <w:sz w:val="20"/>
                <w:szCs w:val="20"/>
              </w:rPr>
            </w:pPr>
            <w:r w:rsidRPr="003D290F">
              <w:rPr>
                <w:rFonts w:eastAsia="Times New Roman" w:cs="Segoe UI"/>
                <w:sz w:val="20"/>
                <w:szCs w:val="20"/>
              </w:rPr>
              <w:t>Assumptions derived from industrial facility closures.</w:t>
            </w:r>
          </w:p>
        </w:tc>
        <w:tc>
          <w:tcPr>
            <w:tcW w:w="1470" w:type="dxa"/>
            <w:gridSpan w:val="2"/>
            <w:shd w:val="clear" w:color="auto" w:fill="auto"/>
          </w:tcPr>
          <w:p w14:paraId="3C9C4717" w14:textId="77777777" w:rsidR="00187584" w:rsidRPr="003D290F" w:rsidRDefault="00070A5F" w:rsidP="00835358">
            <w:pPr>
              <w:rPr>
                <w:rFonts w:eastAsia="Times New Roman" w:cs="Segoe UI"/>
                <w:sz w:val="20"/>
                <w:szCs w:val="20"/>
              </w:rPr>
            </w:pPr>
            <w:r w:rsidRPr="003D290F">
              <w:rPr>
                <w:rFonts w:eastAsia="Times New Roman" w:cs="Segoe UI"/>
                <w:sz w:val="20"/>
                <w:szCs w:val="20"/>
              </w:rPr>
              <w:t>3.0%</w:t>
            </w:r>
          </w:p>
        </w:tc>
      </w:tr>
    </w:tbl>
    <w:p w14:paraId="4B1ECE12" w14:textId="77777777" w:rsidR="001872E8" w:rsidRPr="003D290F" w:rsidRDefault="00CA7654" w:rsidP="008F58AA">
      <w:pPr>
        <w:spacing w:before="200"/>
        <w:rPr>
          <w:rStyle w:val="ui-provider"/>
          <w:color w:val="FF0000"/>
        </w:rPr>
      </w:pPr>
      <w:r w:rsidRPr="003D290F">
        <w:rPr>
          <w:rStyle w:val="ui-provider"/>
        </w:rPr>
        <w:t>Table C.2. sets out assumptions that vary by policy option within the modelling.</w:t>
      </w:r>
    </w:p>
    <w:p w14:paraId="77D455DD" w14:textId="77777777" w:rsidR="00606DF3" w:rsidRPr="003D290F" w:rsidRDefault="00606DF3" w:rsidP="00606DF3">
      <w:pPr>
        <w:rPr>
          <w:rFonts w:eastAsia="Times New Roman" w:cs="Segoe UI"/>
          <w:b/>
          <w:sz w:val="24"/>
        </w:rPr>
      </w:pPr>
      <w:r w:rsidRPr="003D290F">
        <w:rPr>
          <w:rFonts w:eastAsia="Times New Roman" w:cs="Segoe UI"/>
          <w:b/>
          <w:sz w:val="24"/>
        </w:rPr>
        <w:t>TABLE C.</w:t>
      </w:r>
      <w:r w:rsidR="00CA7654" w:rsidRPr="003D290F">
        <w:rPr>
          <w:rFonts w:eastAsia="Times New Roman" w:cs="Segoe UI"/>
          <w:b/>
          <w:sz w:val="24"/>
        </w:rPr>
        <w:t>2</w:t>
      </w:r>
      <w:r w:rsidRPr="003D290F">
        <w:rPr>
          <w:rFonts w:eastAsia="Times New Roman" w:cs="Segoe UI"/>
          <w:b/>
          <w:sz w:val="24"/>
        </w:rPr>
        <w:t xml:space="preserve"> POLICY</w:t>
      </w:r>
      <w:r w:rsidR="00835358" w:rsidRPr="003D290F">
        <w:rPr>
          <w:rFonts w:eastAsia="Times New Roman" w:cs="Segoe UI"/>
          <w:b/>
          <w:sz w:val="24"/>
        </w:rPr>
        <w:t xml:space="preserve"> </w:t>
      </w:r>
      <w:r w:rsidRPr="003D290F">
        <w:rPr>
          <w:rFonts w:eastAsia="Times New Roman" w:cs="Segoe UI"/>
          <w:b/>
          <w:sz w:val="24"/>
        </w:rPr>
        <w:t>ASSUMPTIONS</w:t>
      </w:r>
    </w:p>
    <w:tbl>
      <w:tblPr>
        <w:tblStyle w:val="Custom1"/>
        <w:tblW w:w="0" w:type="auto"/>
        <w:tblInd w:w="5" w:type="dxa"/>
        <w:tblLook w:val="04A0" w:firstRow="1" w:lastRow="0" w:firstColumn="1" w:lastColumn="0" w:noHBand="0" w:noVBand="1"/>
      </w:tblPr>
      <w:tblGrid>
        <w:gridCol w:w="3025"/>
        <w:gridCol w:w="4834"/>
        <w:gridCol w:w="1170"/>
        <w:gridCol w:w="1170"/>
      </w:tblGrid>
      <w:tr w:rsidR="0013705D" w:rsidRPr="003D290F" w14:paraId="0CBEEFA3" w14:textId="77777777" w:rsidTr="00A63994">
        <w:trPr>
          <w:cnfStyle w:val="100000000000" w:firstRow="1" w:lastRow="0" w:firstColumn="0" w:lastColumn="0" w:oddVBand="0" w:evenVBand="0" w:oddHBand="0" w:evenHBand="0" w:firstRowFirstColumn="0" w:firstRowLastColumn="0" w:lastRowFirstColumn="0" w:lastRowLastColumn="0"/>
          <w:trHeight w:val="6"/>
          <w:tblHeader/>
        </w:trPr>
        <w:tc>
          <w:tcPr>
            <w:tcW w:w="0" w:type="auto"/>
          </w:tcPr>
          <w:p w14:paraId="27EEEA82" w14:textId="77777777" w:rsidR="00606DF3" w:rsidRPr="003D290F" w:rsidRDefault="00606DF3" w:rsidP="0059641D">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ASSUMPTION</w:t>
            </w:r>
          </w:p>
        </w:tc>
        <w:tc>
          <w:tcPr>
            <w:tcW w:w="0" w:type="auto"/>
          </w:tcPr>
          <w:p w14:paraId="13A7545F" w14:textId="77777777" w:rsidR="00606DF3" w:rsidRPr="003D290F" w:rsidRDefault="00606DF3" w:rsidP="0059641D">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JUSTIFICATION</w:t>
            </w:r>
          </w:p>
        </w:tc>
        <w:tc>
          <w:tcPr>
            <w:tcW w:w="0" w:type="auto"/>
          </w:tcPr>
          <w:p w14:paraId="155C7D82" w14:textId="77777777" w:rsidR="00606DF3" w:rsidRPr="003D290F" w:rsidRDefault="002B03B9" w:rsidP="0059641D">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OPTION 2</w:t>
            </w:r>
          </w:p>
        </w:tc>
        <w:tc>
          <w:tcPr>
            <w:tcW w:w="0" w:type="auto"/>
          </w:tcPr>
          <w:p w14:paraId="18479229" w14:textId="77777777" w:rsidR="00606DF3" w:rsidRPr="003D290F" w:rsidRDefault="002B03B9" w:rsidP="0059641D">
            <w:pPr>
              <w:spacing w:line="288" w:lineRule="auto"/>
              <w:jc w:val="center"/>
              <w:rPr>
                <w:rFonts w:eastAsia="Times New Roman" w:cs="Segoe UI"/>
                <w:color w:val="FFFFFF" w:themeColor="background1"/>
                <w:sz w:val="20"/>
                <w:szCs w:val="20"/>
              </w:rPr>
            </w:pPr>
            <w:r w:rsidRPr="003D290F">
              <w:rPr>
                <w:rFonts w:eastAsia="Times New Roman" w:cs="Segoe UI"/>
                <w:color w:val="FFFFFF" w:themeColor="background1"/>
                <w:sz w:val="20"/>
                <w:szCs w:val="20"/>
              </w:rPr>
              <w:t>OPTION 3</w:t>
            </w:r>
          </w:p>
        </w:tc>
      </w:tr>
      <w:tr w:rsidR="00606DF3" w:rsidRPr="003D290F" w14:paraId="4DD43F91" w14:textId="77777777" w:rsidTr="00A63994">
        <w:trPr>
          <w:cnfStyle w:val="000000100000" w:firstRow="0" w:lastRow="0" w:firstColumn="0" w:lastColumn="0" w:oddVBand="0" w:evenVBand="0" w:oddHBand="1" w:evenHBand="0" w:firstRowFirstColumn="0" w:firstRowLastColumn="0" w:lastRowFirstColumn="0" w:lastRowLastColumn="0"/>
          <w:trHeight w:val="6"/>
        </w:trPr>
        <w:tc>
          <w:tcPr>
            <w:tcW w:w="0" w:type="auto"/>
            <w:gridSpan w:val="2"/>
            <w:tcBorders>
              <w:bottom w:val="single" w:sz="4" w:space="0" w:color="1B375C" w:themeColor="accent1"/>
            </w:tcBorders>
            <w:shd w:val="clear" w:color="auto" w:fill="D9D9D9" w:themeFill="background1" w:themeFillShade="D9"/>
          </w:tcPr>
          <w:p w14:paraId="13FBF14C" w14:textId="77777777" w:rsidR="00606DF3" w:rsidRPr="003D290F" w:rsidRDefault="002B03B9" w:rsidP="0059641D">
            <w:pPr>
              <w:spacing w:line="288" w:lineRule="auto"/>
              <w:rPr>
                <w:rFonts w:asciiTheme="minorHAnsi" w:eastAsia="Times New Roman" w:hAnsiTheme="minorHAnsi" w:cstheme="minorHAnsi"/>
                <w:color w:val="000000"/>
                <w:lang w:eastAsia="en-AU"/>
              </w:rPr>
            </w:pPr>
            <w:r w:rsidRPr="003D290F">
              <w:rPr>
                <w:rFonts w:eastAsia="Times New Roman" w:cs="Segoe UI"/>
                <w:b/>
                <w:i/>
                <w:sz w:val="20"/>
                <w:szCs w:val="20"/>
              </w:rPr>
              <w:t>Early retirement packages</w:t>
            </w:r>
          </w:p>
        </w:tc>
        <w:tc>
          <w:tcPr>
            <w:tcW w:w="0" w:type="auto"/>
            <w:shd w:val="clear" w:color="auto" w:fill="D9D9D9" w:themeFill="background1" w:themeFillShade="D9"/>
          </w:tcPr>
          <w:p w14:paraId="4364A31C" w14:textId="77777777" w:rsidR="00606DF3" w:rsidRPr="003D290F" w:rsidRDefault="00606DF3" w:rsidP="0059641D">
            <w:pPr>
              <w:spacing w:line="288" w:lineRule="auto"/>
              <w:rPr>
                <w:rFonts w:eastAsia="Times New Roman" w:cs="Segoe UI"/>
                <w:sz w:val="20"/>
                <w:szCs w:val="20"/>
              </w:rPr>
            </w:pPr>
          </w:p>
        </w:tc>
        <w:tc>
          <w:tcPr>
            <w:tcW w:w="0" w:type="auto"/>
            <w:shd w:val="clear" w:color="auto" w:fill="D9D9D9" w:themeFill="background1" w:themeFillShade="D9"/>
          </w:tcPr>
          <w:p w14:paraId="06D25359" w14:textId="77777777" w:rsidR="00606DF3" w:rsidRPr="003D290F" w:rsidRDefault="00606DF3" w:rsidP="0059641D">
            <w:pPr>
              <w:spacing w:line="288" w:lineRule="auto"/>
              <w:rPr>
                <w:rFonts w:eastAsia="Times New Roman" w:cs="Segoe UI"/>
                <w:sz w:val="20"/>
                <w:szCs w:val="20"/>
              </w:rPr>
            </w:pPr>
          </w:p>
        </w:tc>
      </w:tr>
      <w:tr w:rsidR="0013705D" w:rsidRPr="003D290F" w14:paraId="310B8515" w14:textId="77777777" w:rsidTr="00A63994">
        <w:trPr>
          <w:trHeight w:val="6"/>
        </w:trPr>
        <w:tc>
          <w:tcPr>
            <w:tcW w:w="0" w:type="auto"/>
            <w:tcBorders>
              <w:bottom w:val="single" w:sz="4" w:space="0" w:color="1B375C" w:themeColor="accent1"/>
            </w:tcBorders>
          </w:tcPr>
          <w:p w14:paraId="62978D64" w14:textId="77777777" w:rsidR="00606DF3" w:rsidRPr="003D290F" w:rsidRDefault="002B03B9" w:rsidP="0059641D">
            <w:pPr>
              <w:spacing w:line="288" w:lineRule="auto"/>
              <w:rPr>
                <w:rFonts w:eastAsia="Times New Roman" w:cs="Segoe UI"/>
                <w:sz w:val="20"/>
                <w:szCs w:val="20"/>
              </w:rPr>
            </w:pPr>
            <w:r w:rsidRPr="003D290F">
              <w:rPr>
                <w:rFonts w:eastAsia="Times New Roman" w:cs="Segoe UI"/>
                <w:sz w:val="20"/>
                <w:szCs w:val="20"/>
              </w:rPr>
              <w:t xml:space="preserve">Average tenure, </w:t>
            </w:r>
            <w:r w:rsidR="002A500C">
              <w:rPr>
                <w:rFonts w:eastAsia="Times New Roman" w:cs="Segoe UI"/>
                <w:sz w:val="20"/>
                <w:szCs w:val="20"/>
              </w:rPr>
              <w:t>energy-</w:t>
            </w:r>
            <w:r w:rsidRPr="003D290F">
              <w:rPr>
                <w:rFonts w:eastAsia="Times New Roman" w:cs="Segoe UI"/>
                <w:sz w:val="20"/>
                <w:szCs w:val="20"/>
              </w:rPr>
              <w:t>related jobs</w:t>
            </w:r>
          </w:p>
        </w:tc>
        <w:tc>
          <w:tcPr>
            <w:tcW w:w="0" w:type="auto"/>
          </w:tcPr>
          <w:p w14:paraId="6B182EDC" w14:textId="77777777" w:rsidR="00606DF3" w:rsidRPr="003D290F" w:rsidRDefault="002B03B9" w:rsidP="0059641D">
            <w:pPr>
              <w:spacing w:line="288" w:lineRule="auto"/>
              <w:rPr>
                <w:rFonts w:eastAsia="Times New Roman" w:cs="Segoe UI"/>
                <w:b/>
                <w:sz w:val="20"/>
                <w:szCs w:val="20"/>
              </w:rPr>
            </w:pPr>
            <w:r w:rsidRPr="003D290F">
              <w:rPr>
                <w:rFonts w:eastAsia="Times New Roman" w:cs="Segoe UI"/>
                <w:sz w:val="20"/>
                <w:szCs w:val="20"/>
              </w:rPr>
              <w:t>Average tenure for 55-64 year olds in coal-related jobs, informed by Australian Bureau of Statistics, Job Mobility.</w:t>
            </w:r>
          </w:p>
        </w:tc>
        <w:tc>
          <w:tcPr>
            <w:tcW w:w="0" w:type="auto"/>
          </w:tcPr>
          <w:p w14:paraId="19CA9F97" w14:textId="77777777" w:rsidR="00606DF3" w:rsidRPr="003D290F" w:rsidRDefault="002B03B9" w:rsidP="0059641D">
            <w:pPr>
              <w:spacing w:line="288" w:lineRule="auto"/>
              <w:rPr>
                <w:rFonts w:eastAsia="Times New Roman" w:cs="Segoe UI"/>
                <w:sz w:val="20"/>
                <w:szCs w:val="20"/>
              </w:rPr>
            </w:pPr>
            <w:r w:rsidRPr="003D290F">
              <w:rPr>
                <w:rFonts w:eastAsia="Times New Roman" w:cs="Segoe UI"/>
                <w:sz w:val="20"/>
                <w:szCs w:val="20"/>
              </w:rPr>
              <w:t>14 years</w:t>
            </w:r>
          </w:p>
        </w:tc>
        <w:tc>
          <w:tcPr>
            <w:tcW w:w="0" w:type="auto"/>
          </w:tcPr>
          <w:p w14:paraId="0D592C77" w14:textId="77777777" w:rsidR="00606DF3" w:rsidRPr="003D290F" w:rsidRDefault="002B03B9" w:rsidP="0059641D">
            <w:pPr>
              <w:spacing w:line="288" w:lineRule="auto"/>
              <w:rPr>
                <w:rFonts w:eastAsia="Times New Roman" w:cs="Segoe UI"/>
                <w:sz w:val="20"/>
                <w:szCs w:val="20"/>
              </w:rPr>
            </w:pPr>
            <w:r w:rsidRPr="003D290F">
              <w:rPr>
                <w:rFonts w:eastAsia="Times New Roman" w:cs="Segoe UI"/>
                <w:sz w:val="20"/>
                <w:szCs w:val="20"/>
              </w:rPr>
              <w:t>14 years</w:t>
            </w:r>
          </w:p>
        </w:tc>
      </w:tr>
      <w:tr w:rsidR="0013705D" w:rsidRPr="003D290F" w14:paraId="4C800B1A" w14:textId="77777777" w:rsidTr="00A63994">
        <w:trPr>
          <w:cnfStyle w:val="000000100000" w:firstRow="0" w:lastRow="0" w:firstColumn="0" w:lastColumn="0" w:oddVBand="0" w:evenVBand="0" w:oddHBand="1" w:evenHBand="0" w:firstRowFirstColumn="0" w:firstRowLastColumn="0" w:lastRowFirstColumn="0" w:lastRowLastColumn="0"/>
          <w:trHeight w:val="6"/>
        </w:trPr>
        <w:tc>
          <w:tcPr>
            <w:tcW w:w="0" w:type="auto"/>
          </w:tcPr>
          <w:p w14:paraId="21FD44C8" w14:textId="77777777" w:rsidR="00606DF3" w:rsidRPr="003D290F" w:rsidRDefault="002B03B9" w:rsidP="0059641D">
            <w:pPr>
              <w:spacing w:line="288" w:lineRule="auto"/>
              <w:rPr>
                <w:rFonts w:eastAsia="Times New Roman" w:cs="Segoe UI"/>
                <w:sz w:val="20"/>
                <w:szCs w:val="20"/>
              </w:rPr>
            </w:pPr>
            <w:r w:rsidRPr="003D290F">
              <w:rPr>
                <w:rFonts w:eastAsia="Times New Roman" w:cs="Segoe UI"/>
                <w:sz w:val="20"/>
                <w:szCs w:val="20"/>
              </w:rPr>
              <w:t>Average tenure, all industries</w:t>
            </w:r>
          </w:p>
        </w:tc>
        <w:tc>
          <w:tcPr>
            <w:tcW w:w="0" w:type="auto"/>
          </w:tcPr>
          <w:p w14:paraId="0C447172" w14:textId="77777777" w:rsidR="00606DF3" w:rsidRPr="003D290F" w:rsidRDefault="002B03B9" w:rsidP="0059641D">
            <w:pPr>
              <w:spacing w:line="288" w:lineRule="auto"/>
              <w:rPr>
                <w:rFonts w:eastAsia="Times New Roman" w:cs="Segoe UI"/>
                <w:sz w:val="20"/>
                <w:szCs w:val="20"/>
              </w:rPr>
            </w:pPr>
            <w:r w:rsidRPr="003D290F">
              <w:rPr>
                <w:rFonts w:eastAsia="Times New Roman" w:cs="Segoe UI"/>
                <w:sz w:val="20"/>
                <w:szCs w:val="20"/>
              </w:rPr>
              <w:t>Average tenure for 55-64 year olds in all industries, informed by Australian Bureau of Statistics, Job Mobility.</w:t>
            </w:r>
          </w:p>
        </w:tc>
        <w:tc>
          <w:tcPr>
            <w:tcW w:w="0" w:type="auto"/>
          </w:tcPr>
          <w:p w14:paraId="38C0CC26" w14:textId="77777777" w:rsidR="00606DF3" w:rsidRPr="003D290F" w:rsidRDefault="002B03B9" w:rsidP="0059641D">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8 years</w:t>
            </w:r>
          </w:p>
        </w:tc>
        <w:tc>
          <w:tcPr>
            <w:tcW w:w="0" w:type="auto"/>
          </w:tcPr>
          <w:p w14:paraId="5764AE50" w14:textId="77777777" w:rsidR="00606DF3" w:rsidRPr="003D290F" w:rsidRDefault="002B03B9" w:rsidP="0059641D">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8 years</w:t>
            </w:r>
          </w:p>
        </w:tc>
      </w:tr>
      <w:tr w:rsidR="0013705D" w:rsidRPr="003D290F" w14:paraId="335B976F" w14:textId="77777777" w:rsidTr="00A63994">
        <w:trPr>
          <w:trHeight w:val="6"/>
        </w:trPr>
        <w:tc>
          <w:tcPr>
            <w:tcW w:w="0" w:type="auto"/>
            <w:shd w:val="clear" w:color="auto" w:fill="auto"/>
          </w:tcPr>
          <w:p w14:paraId="6736CEB1" w14:textId="77777777" w:rsidR="00606DF3" w:rsidRPr="003D290F" w:rsidRDefault="002B03B9" w:rsidP="0059641D">
            <w:pPr>
              <w:spacing w:line="288" w:lineRule="auto"/>
              <w:rPr>
                <w:rFonts w:eastAsia="Times New Roman" w:cs="Segoe UI"/>
                <w:sz w:val="20"/>
                <w:szCs w:val="20"/>
              </w:rPr>
            </w:pPr>
            <w:r w:rsidRPr="003D290F">
              <w:rPr>
                <w:rFonts w:eastAsia="Times New Roman" w:cs="Segoe UI"/>
                <w:sz w:val="20"/>
                <w:szCs w:val="20"/>
              </w:rPr>
              <w:t>Early retirement package benefit</w:t>
            </w:r>
          </w:p>
        </w:tc>
        <w:tc>
          <w:tcPr>
            <w:tcW w:w="0" w:type="auto"/>
          </w:tcPr>
          <w:p w14:paraId="3CA44BDF" w14:textId="77777777" w:rsidR="00606DF3" w:rsidRPr="003D290F" w:rsidRDefault="002A500C" w:rsidP="0059641D">
            <w:pPr>
              <w:spacing w:line="288" w:lineRule="auto"/>
              <w:rPr>
                <w:rFonts w:eastAsia="Times New Roman" w:cs="Segoe UI"/>
                <w:sz w:val="20"/>
                <w:szCs w:val="20"/>
              </w:rPr>
            </w:pPr>
            <w:r w:rsidRPr="002A500C">
              <w:rPr>
                <w:rFonts w:eastAsia="Times New Roman" w:cs="Segoe UI"/>
                <w:sz w:val="20"/>
                <w:szCs w:val="20"/>
              </w:rPr>
              <w:t>This package is common across the energy sector, including historical schemes for AGL Loy Yang, Engie Loy Yang, and Energy Australia Yallourn.</w:t>
            </w:r>
          </w:p>
        </w:tc>
        <w:tc>
          <w:tcPr>
            <w:tcW w:w="0" w:type="auto"/>
            <w:gridSpan w:val="2"/>
          </w:tcPr>
          <w:p w14:paraId="05FF6F40" w14:textId="77777777" w:rsidR="00606DF3" w:rsidRPr="003D290F" w:rsidRDefault="002B03B9" w:rsidP="0059641D">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3 weeks per year of service up to 52 weeks</w:t>
            </w:r>
          </w:p>
        </w:tc>
      </w:tr>
      <w:tr w:rsidR="0013705D" w:rsidRPr="003D290F" w14:paraId="5DDF9E0F" w14:textId="77777777" w:rsidTr="00A63994">
        <w:trPr>
          <w:cnfStyle w:val="000000100000" w:firstRow="0" w:lastRow="0" w:firstColumn="0" w:lastColumn="0" w:oddVBand="0" w:evenVBand="0" w:oddHBand="1" w:evenHBand="0" w:firstRowFirstColumn="0" w:firstRowLastColumn="0" w:lastRowFirstColumn="0" w:lastRowLastColumn="0"/>
          <w:trHeight w:val="6"/>
        </w:trPr>
        <w:tc>
          <w:tcPr>
            <w:tcW w:w="0" w:type="auto"/>
            <w:shd w:val="clear" w:color="auto" w:fill="D9D9D9" w:themeFill="background1" w:themeFillShade="D9"/>
          </w:tcPr>
          <w:p w14:paraId="5BCD451B" w14:textId="77777777" w:rsidR="00606DF3" w:rsidRPr="003D290F" w:rsidRDefault="00606DF3" w:rsidP="0059641D">
            <w:pPr>
              <w:spacing w:line="288" w:lineRule="auto"/>
              <w:rPr>
                <w:rFonts w:eastAsia="Times New Roman" w:cs="Segoe UI"/>
                <w:b/>
                <w:i/>
                <w:sz w:val="20"/>
                <w:szCs w:val="20"/>
              </w:rPr>
            </w:pPr>
            <w:r w:rsidRPr="003D290F">
              <w:rPr>
                <w:rFonts w:eastAsia="Times New Roman" w:cs="Segoe UI"/>
                <w:b/>
                <w:i/>
                <w:sz w:val="20"/>
                <w:szCs w:val="20"/>
              </w:rPr>
              <w:t>Community of interest</w:t>
            </w:r>
          </w:p>
        </w:tc>
        <w:tc>
          <w:tcPr>
            <w:tcW w:w="0" w:type="auto"/>
            <w:shd w:val="clear" w:color="auto" w:fill="D9D9D9" w:themeFill="background1" w:themeFillShade="D9"/>
          </w:tcPr>
          <w:p w14:paraId="6CE0F718" w14:textId="77777777" w:rsidR="00606DF3" w:rsidRPr="003D290F" w:rsidRDefault="00606DF3" w:rsidP="0059641D">
            <w:pPr>
              <w:spacing w:line="288" w:lineRule="auto"/>
              <w:rPr>
                <w:rFonts w:eastAsia="Times New Roman" w:cs="Segoe UI"/>
                <w:sz w:val="20"/>
                <w:szCs w:val="20"/>
              </w:rPr>
            </w:pPr>
          </w:p>
        </w:tc>
        <w:tc>
          <w:tcPr>
            <w:tcW w:w="0" w:type="auto"/>
            <w:shd w:val="clear" w:color="auto" w:fill="D9D9D9" w:themeFill="background1" w:themeFillShade="D9"/>
          </w:tcPr>
          <w:p w14:paraId="0D744F34" w14:textId="77777777" w:rsidR="00606DF3" w:rsidRPr="003D290F" w:rsidRDefault="00606DF3" w:rsidP="0059641D">
            <w:pPr>
              <w:spacing w:line="288" w:lineRule="auto"/>
              <w:rPr>
                <w:rFonts w:asciiTheme="minorHAnsi" w:eastAsia="Times New Roman" w:hAnsiTheme="minorHAnsi" w:cstheme="minorHAnsi"/>
                <w:color w:val="000000"/>
                <w:lang w:eastAsia="en-AU"/>
              </w:rPr>
            </w:pPr>
          </w:p>
        </w:tc>
        <w:tc>
          <w:tcPr>
            <w:tcW w:w="0" w:type="auto"/>
            <w:shd w:val="clear" w:color="auto" w:fill="D9D9D9" w:themeFill="background1" w:themeFillShade="D9"/>
          </w:tcPr>
          <w:p w14:paraId="420F3E8E" w14:textId="77777777" w:rsidR="00606DF3" w:rsidRPr="003D290F" w:rsidRDefault="00606DF3" w:rsidP="0059641D">
            <w:pPr>
              <w:spacing w:line="288" w:lineRule="auto"/>
              <w:rPr>
                <w:rFonts w:asciiTheme="minorHAnsi" w:eastAsia="Times New Roman" w:hAnsiTheme="minorHAnsi" w:cstheme="minorHAnsi"/>
                <w:color w:val="000000"/>
                <w:lang w:eastAsia="en-AU"/>
              </w:rPr>
            </w:pPr>
          </w:p>
        </w:tc>
      </w:tr>
      <w:tr w:rsidR="0013705D" w:rsidRPr="003D290F" w14:paraId="2385559D" w14:textId="77777777" w:rsidTr="00A63994">
        <w:trPr>
          <w:trHeight w:val="6"/>
        </w:trPr>
        <w:tc>
          <w:tcPr>
            <w:tcW w:w="0" w:type="auto"/>
            <w:shd w:val="clear" w:color="auto" w:fill="E0E8F2" w:themeFill="background2"/>
          </w:tcPr>
          <w:p w14:paraId="66BF826F" w14:textId="77777777" w:rsidR="00606DF3" w:rsidRPr="003D290F" w:rsidRDefault="00606DF3" w:rsidP="0059641D">
            <w:pPr>
              <w:spacing w:line="288" w:lineRule="auto"/>
              <w:rPr>
                <w:rFonts w:eastAsia="Times New Roman" w:cs="Segoe UI"/>
                <w:sz w:val="20"/>
                <w:szCs w:val="20"/>
              </w:rPr>
            </w:pPr>
            <w:r w:rsidRPr="003D290F">
              <w:rPr>
                <w:rFonts w:eastAsia="Times New Roman" w:cs="Segoe UI"/>
                <w:sz w:val="20"/>
                <w:szCs w:val="20"/>
              </w:rPr>
              <w:t>Number of receiving employers in community of interest</w:t>
            </w:r>
          </w:p>
        </w:tc>
        <w:tc>
          <w:tcPr>
            <w:tcW w:w="0" w:type="auto"/>
            <w:shd w:val="clear" w:color="auto" w:fill="E0E8F2" w:themeFill="background2"/>
          </w:tcPr>
          <w:p w14:paraId="5BFBC61F" w14:textId="77777777" w:rsidR="00606DF3" w:rsidRPr="003D290F" w:rsidRDefault="00AA1535">
            <w:pPr>
              <w:spacing w:line="288" w:lineRule="auto"/>
              <w:rPr>
                <w:rFonts w:eastAsia="Times New Roman" w:cs="Segoe UI"/>
                <w:sz w:val="20"/>
                <w:szCs w:val="20"/>
              </w:rPr>
            </w:pPr>
            <w:r w:rsidRPr="003D290F">
              <w:rPr>
                <w:rFonts w:eastAsia="Times New Roman" w:cs="Segoe UI"/>
                <w:sz w:val="20"/>
                <w:szCs w:val="20"/>
              </w:rPr>
              <w:t xml:space="preserve">Informed by </w:t>
            </w:r>
            <w:r w:rsidR="002A500C">
              <w:rPr>
                <w:rFonts w:eastAsia="Times New Roman" w:cs="Segoe UI"/>
                <w:sz w:val="20"/>
                <w:szCs w:val="20"/>
              </w:rPr>
              <w:t>Hazelwood power station closure,</w:t>
            </w:r>
            <w:r w:rsidR="00606DF3" w:rsidRPr="003D290F">
              <w:rPr>
                <w:rFonts w:eastAsia="Times New Roman" w:cs="Segoe UI"/>
                <w:sz w:val="20"/>
                <w:szCs w:val="20"/>
              </w:rPr>
              <w:t xml:space="preserve"> analysis of the number of medium to large enterprises in the </w:t>
            </w:r>
            <w:r w:rsidR="0013705D">
              <w:rPr>
                <w:rFonts w:eastAsia="Times New Roman" w:cs="Segoe UI"/>
                <w:sz w:val="20"/>
                <w:szCs w:val="20"/>
              </w:rPr>
              <w:t xml:space="preserve">relevant </w:t>
            </w:r>
            <w:r w:rsidR="00606DF3" w:rsidRPr="003D290F">
              <w:rPr>
                <w:rFonts w:eastAsia="Times New Roman" w:cs="Segoe UI"/>
                <w:sz w:val="20"/>
                <w:szCs w:val="20"/>
              </w:rPr>
              <w:t>region</w:t>
            </w:r>
            <w:r w:rsidR="0013705D">
              <w:rPr>
                <w:rFonts w:eastAsia="Times New Roman" w:cs="Segoe UI"/>
                <w:sz w:val="20"/>
                <w:szCs w:val="20"/>
              </w:rPr>
              <w:t>s,</w:t>
            </w:r>
            <w:r w:rsidR="002A500C">
              <w:rPr>
                <w:rFonts w:eastAsia="Times New Roman" w:cs="Segoe UI"/>
                <w:sz w:val="20"/>
                <w:szCs w:val="20"/>
              </w:rPr>
              <w:t xml:space="preserve"> and </w:t>
            </w:r>
            <w:r w:rsidR="0013705D">
              <w:rPr>
                <w:rFonts w:eastAsia="Times New Roman" w:cs="Segoe UI"/>
                <w:sz w:val="20"/>
                <w:szCs w:val="20"/>
              </w:rPr>
              <w:t xml:space="preserve">feedback from stakeholder </w:t>
            </w:r>
            <w:r w:rsidR="002A500C">
              <w:rPr>
                <w:rFonts w:eastAsia="Times New Roman" w:cs="Segoe UI"/>
                <w:sz w:val="20"/>
                <w:szCs w:val="20"/>
              </w:rPr>
              <w:t>consultation</w:t>
            </w:r>
            <w:r w:rsidR="0013705D">
              <w:rPr>
                <w:rFonts w:eastAsia="Times New Roman" w:cs="Segoe UI"/>
                <w:sz w:val="20"/>
                <w:szCs w:val="20"/>
              </w:rPr>
              <w:t>s</w:t>
            </w:r>
            <w:r w:rsidR="002A500C">
              <w:rPr>
                <w:rFonts w:eastAsia="Times New Roman" w:cs="Segoe UI"/>
                <w:sz w:val="20"/>
                <w:szCs w:val="20"/>
              </w:rPr>
              <w:t>.</w:t>
            </w:r>
          </w:p>
        </w:tc>
        <w:tc>
          <w:tcPr>
            <w:tcW w:w="0" w:type="auto"/>
            <w:shd w:val="clear" w:color="auto" w:fill="E0E8F2" w:themeFill="background2"/>
          </w:tcPr>
          <w:p w14:paraId="64EC7F62" w14:textId="77777777" w:rsidR="00606DF3" w:rsidRPr="003D290F" w:rsidRDefault="002A500C" w:rsidP="0059641D">
            <w:pPr>
              <w:spacing w:line="288" w:lineRule="auto"/>
              <w:rPr>
                <w:rFonts w:eastAsia="Times New Roman" w:cs="Segoe UI"/>
                <w:sz w:val="20"/>
                <w:szCs w:val="20"/>
              </w:rPr>
            </w:pPr>
            <w:r>
              <w:rPr>
                <w:rFonts w:eastAsia="Times New Roman" w:cs="Segoe UI"/>
                <w:sz w:val="20"/>
                <w:szCs w:val="20"/>
              </w:rPr>
              <w:t>5</w:t>
            </w:r>
          </w:p>
        </w:tc>
        <w:tc>
          <w:tcPr>
            <w:tcW w:w="0" w:type="auto"/>
            <w:shd w:val="clear" w:color="auto" w:fill="E0E8F2" w:themeFill="background2"/>
          </w:tcPr>
          <w:p w14:paraId="5FDFB08F" w14:textId="77777777" w:rsidR="00606DF3" w:rsidRPr="003D290F" w:rsidRDefault="002A500C" w:rsidP="0059641D">
            <w:pPr>
              <w:spacing w:line="288" w:lineRule="auto"/>
              <w:rPr>
                <w:rFonts w:eastAsia="Times New Roman" w:cs="Segoe UI"/>
                <w:sz w:val="20"/>
                <w:szCs w:val="20"/>
              </w:rPr>
            </w:pPr>
            <w:r>
              <w:rPr>
                <w:rFonts w:eastAsia="Times New Roman" w:cs="Segoe UI"/>
                <w:sz w:val="20"/>
                <w:szCs w:val="20"/>
              </w:rPr>
              <w:t>8</w:t>
            </w:r>
          </w:p>
        </w:tc>
      </w:tr>
      <w:tr w:rsidR="00187584" w:rsidRPr="003D290F" w14:paraId="55D7F579" w14:textId="77777777" w:rsidTr="00A63994">
        <w:trPr>
          <w:cnfStyle w:val="000000100000" w:firstRow="0" w:lastRow="0" w:firstColumn="0" w:lastColumn="0" w:oddVBand="0" w:evenVBand="0" w:oddHBand="1" w:evenHBand="0" w:firstRowFirstColumn="0" w:firstRowLastColumn="0" w:lastRowFirstColumn="0" w:lastRowLastColumn="0"/>
          <w:trHeight w:val="76"/>
        </w:trPr>
        <w:tc>
          <w:tcPr>
            <w:tcW w:w="0" w:type="auto"/>
            <w:gridSpan w:val="2"/>
            <w:shd w:val="clear" w:color="auto" w:fill="D9D9D9" w:themeFill="background1" w:themeFillShade="D9"/>
          </w:tcPr>
          <w:p w14:paraId="4D321E95" w14:textId="77777777" w:rsidR="00187584" w:rsidRPr="003D290F" w:rsidRDefault="00187584" w:rsidP="00C80C07">
            <w:pPr>
              <w:keepNext/>
              <w:spacing w:line="288" w:lineRule="auto"/>
              <w:rPr>
                <w:rFonts w:eastAsia="Times New Roman" w:cs="Segoe UI"/>
                <w:sz w:val="20"/>
                <w:szCs w:val="20"/>
              </w:rPr>
            </w:pPr>
            <w:r w:rsidRPr="003D290F">
              <w:rPr>
                <w:rFonts w:eastAsia="Times New Roman" w:cs="Segoe UI"/>
                <w:b/>
                <w:i/>
                <w:sz w:val="20"/>
                <w:szCs w:val="20"/>
              </w:rPr>
              <w:t>Closing employer employee transitions</w:t>
            </w:r>
          </w:p>
        </w:tc>
        <w:tc>
          <w:tcPr>
            <w:tcW w:w="0" w:type="auto"/>
            <w:shd w:val="clear" w:color="auto" w:fill="D9D9D9" w:themeFill="background1" w:themeFillShade="D9"/>
          </w:tcPr>
          <w:p w14:paraId="16CC1CF6" w14:textId="77777777" w:rsidR="00187584" w:rsidRPr="003D290F" w:rsidRDefault="00187584" w:rsidP="00C80C07">
            <w:pPr>
              <w:keepNext/>
              <w:spacing w:line="288" w:lineRule="auto"/>
              <w:rPr>
                <w:rFonts w:asciiTheme="minorHAnsi" w:eastAsia="Times New Roman" w:hAnsiTheme="minorHAnsi" w:cstheme="minorHAnsi"/>
                <w:color w:val="000000"/>
                <w:lang w:eastAsia="en-AU"/>
              </w:rPr>
            </w:pPr>
          </w:p>
        </w:tc>
        <w:tc>
          <w:tcPr>
            <w:tcW w:w="0" w:type="auto"/>
            <w:shd w:val="clear" w:color="auto" w:fill="D9D9D9" w:themeFill="background1" w:themeFillShade="D9"/>
          </w:tcPr>
          <w:p w14:paraId="2F7FD33F" w14:textId="77777777" w:rsidR="00187584" w:rsidRPr="003D290F" w:rsidRDefault="00187584" w:rsidP="00C80C07">
            <w:pPr>
              <w:keepNext/>
              <w:spacing w:line="288" w:lineRule="auto"/>
              <w:rPr>
                <w:rFonts w:asciiTheme="minorHAnsi" w:eastAsia="Times New Roman" w:hAnsiTheme="minorHAnsi" w:cstheme="minorHAnsi"/>
                <w:color w:val="000000"/>
                <w:lang w:eastAsia="en-AU"/>
              </w:rPr>
            </w:pPr>
          </w:p>
        </w:tc>
      </w:tr>
      <w:tr w:rsidR="0013705D" w:rsidRPr="003D290F" w14:paraId="16306786" w14:textId="77777777" w:rsidTr="00364B77">
        <w:trPr>
          <w:trHeight w:val="6"/>
        </w:trPr>
        <w:tc>
          <w:tcPr>
            <w:tcW w:w="0" w:type="auto"/>
            <w:shd w:val="clear" w:color="auto" w:fill="FFFFFF" w:themeFill="background1"/>
          </w:tcPr>
          <w:p w14:paraId="58F0F7C6" w14:textId="77777777" w:rsidR="00187584" w:rsidRPr="003D290F" w:rsidRDefault="00AD2E8D" w:rsidP="00ED7D02">
            <w:pPr>
              <w:rPr>
                <w:rFonts w:eastAsia="Times New Roman" w:cs="Segoe UI"/>
                <w:sz w:val="20"/>
                <w:szCs w:val="20"/>
              </w:rPr>
            </w:pPr>
            <w:r w:rsidRPr="00ED7D02">
              <w:rPr>
                <w:rFonts w:eastAsia="Times New Roman" w:cs="Segoe UI"/>
                <w:sz w:val="20"/>
                <w:szCs w:val="20"/>
              </w:rPr>
              <w:t>Worker participation rate</w:t>
            </w:r>
            <w:r w:rsidRPr="00AD2E8D" w:rsidDel="00AD2E8D">
              <w:rPr>
                <w:rFonts w:eastAsia="Times New Roman" w:cs="Segoe UI"/>
                <w:sz w:val="20"/>
                <w:szCs w:val="20"/>
              </w:rPr>
              <w:t xml:space="preserve"> </w:t>
            </w:r>
          </w:p>
        </w:tc>
        <w:tc>
          <w:tcPr>
            <w:tcW w:w="0" w:type="auto"/>
            <w:shd w:val="clear" w:color="auto" w:fill="FFFFFF" w:themeFill="background1"/>
          </w:tcPr>
          <w:p w14:paraId="2F5E5873" w14:textId="77777777" w:rsidR="00187584" w:rsidRPr="003D290F" w:rsidRDefault="00AD2E8D" w:rsidP="000924CA">
            <w:pPr>
              <w:spacing w:line="288" w:lineRule="auto"/>
              <w:rPr>
                <w:rFonts w:eastAsia="Times New Roman" w:cs="Segoe UI"/>
                <w:sz w:val="20"/>
                <w:szCs w:val="20"/>
              </w:rPr>
            </w:pPr>
            <w:r>
              <w:rPr>
                <w:rFonts w:eastAsia="Times New Roman" w:cs="Segoe UI"/>
                <w:sz w:val="20"/>
                <w:szCs w:val="20"/>
              </w:rPr>
              <w:t xml:space="preserve">Workers more likely to participate in scheme </w:t>
            </w:r>
            <w:r w:rsidR="008F435D">
              <w:rPr>
                <w:rFonts w:eastAsia="Times New Roman" w:cs="Segoe UI"/>
                <w:sz w:val="20"/>
                <w:szCs w:val="20"/>
              </w:rPr>
              <w:t>if obligations of closing employer is</w:t>
            </w:r>
            <w:r>
              <w:rPr>
                <w:rFonts w:eastAsia="Times New Roman" w:cs="Segoe UI"/>
                <w:sz w:val="20"/>
                <w:szCs w:val="20"/>
              </w:rPr>
              <w:t xml:space="preserve"> backed by legislation </w:t>
            </w:r>
          </w:p>
        </w:tc>
        <w:tc>
          <w:tcPr>
            <w:tcW w:w="0" w:type="auto"/>
            <w:shd w:val="clear" w:color="auto" w:fill="FFFFFF" w:themeFill="background1"/>
          </w:tcPr>
          <w:p w14:paraId="5173EE5F" w14:textId="77777777" w:rsidR="00187584" w:rsidRPr="003D290F" w:rsidRDefault="00AD2E8D" w:rsidP="002B03B9">
            <w:pPr>
              <w:spacing w:line="288" w:lineRule="auto"/>
              <w:rPr>
                <w:rFonts w:eastAsia="Times New Roman" w:cs="Segoe UI"/>
                <w:sz w:val="20"/>
                <w:szCs w:val="20"/>
              </w:rPr>
            </w:pPr>
            <w:r w:rsidRPr="000A174F">
              <w:t>51%</w:t>
            </w:r>
          </w:p>
        </w:tc>
        <w:tc>
          <w:tcPr>
            <w:tcW w:w="0" w:type="auto"/>
            <w:shd w:val="clear" w:color="auto" w:fill="FFFFFF" w:themeFill="background1"/>
          </w:tcPr>
          <w:p w14:paraId="678C8DFF" w14:textId="77777777" w:rsidR="00187584" w:rsidRPr="003D290F" w:rsidRDefault="00AD2E8D" w:rsidP="002B03B9">
            <w:pPr>
              <w:spacing w:line="288" w:lineRule="auto"/>
              <w:rPr>
                <w:rFonts w:eastAsia="Times New Roman" w:cs="Segoe UI"/>
                <w:sz w:val="20"/>
                <w:szCs w:val="20"/>
              </w:rPr>
            </w:pPr>
            <w:r w:rsidRPr="000A174F">
              <w:t>60%</w:t>
            </w:r>
          </w:p>
        </w:tc>
      </w:tr>
      <w:tr w:rsidR="00AD2E8D" w:rsidRPr="003D290F" w14:paraId="3120606F" w14:textId="77777777" w:rsidTr="00AD2E8D">
        <w:trPr>
          <w:cnfStyle w:val="000000100000" w:firstRow="0" w:lastRow="0" w:firstColumn="0" w:lastColumn="0" w:oddVBand="0" w:evenVBand="0" w:oddHBand="1" w:evenHBand="0" w:firstRowFirstColumn="0" w:firstRowLastColumn="0" w:lastRowFirstColumn="0" w:lastRowLastColumn="0"/>
          <w:trHeight w:val="6"/>
        </w:trPr>
        <w:tc>
          <w:tcPr>
            <w:tcW w:w="0" w:type="auto"/>
          </w:tcPr>
          <w:p w14:paraId="5A004B22" w14:textId="77777777" w:rsidR="00AD2E8D" w:rsidRPr="003D290F" w:rsidRDefault="00AD2E8D" w:rsidP="00AD2E8D">
            <w:pPr>
              <w:rPr>
                <w:rFonts w:eastAsia="Times New Roman" w:cs="Segoe UI"/>
                <w:sz w:val="20"/>
                <w:szCs w:val="20"/>
              </w:rPr>
            </w:pPr>
            <w:r w:rsidRPr="00AD2E8D">
              <w:rPr>
                <w:rFonts w:eastAsia="Times New Roman" w:cs="Segoe UI"/>
                <w:sz w:val="20"/>
                <w:szCs w:val="20"/>
              </w:rPr>
              <w:t>Participant success rate</w:t>
            </w:r>
          </w:p>
        </w:tc>
        <w:tc>
          <w:tcPr>
            <w:tcW w:w="0" w:type="auto"/>
          </w:tcPr>
          <w:p w14:paraId="584F2DD1" w14:textId="77777777" w:rsidR="00AD2E8D" w:rsidRDefault="008F435D" w:rsidP="00AD2E8D">
            <w:pPr>
              <w:rPr>
                <w:rFonts w:eastAsia="Times New Roman" w:cs="Segoe UI"/>
                <w:sz w:val="20"/>
                <w:szCs w:val="20"/>
              </w:rPr>
            </w:pPr>
            <w:r>
              <w:rPr>
                <w:rFonts w:eastAsia="Times New Roman" w:cs="Segoe UI"/>
                <w:sz w:val="20"/>
                <w:szCs w:val="20"/>
              </w:rPr>
              <w:t xml:space="preserve">Legislated obligations on closing employers </w:t>
            </w:r>
            <w:r w:rsidRPr="003D290F">
              <w:rPr>
                <w:rFonts w:eastAsia="Times New Roman" w:cs="Segoe UI"/>
                <w:sz w:val="20"/>
                <w:szCs w:val="20"/>
              </w:rPr>
              <w:t xml:space="preserve">support much stronger likelihood of </w:t>
            </w:r>
            <w:r>
              <w:rPr>
                <w:rFonts w:eastAsia="Times New Roman" w:cs="Segoe UI"/>
                <w:sz w:val="20"/>
                <w:szCs w:val="20"/>
              </w:rPr>
              <w:t>affected employees being transferred to</w:t>
            </w:r>
            <w:r w:rsidRPr="003D290F">
              <w:rPr>
                <w:rFonts w:eastAsia="Times New Roman" w:cs="Segoe UI"/>
                <w:sz w:val="20"/>
                <w:szCs w:val="20"/>
              </w:rPr>
              <w:t xml:space="preserve"> new employment.</w:t>
            </w:r>
          </w:p>
        </w:tc>
        <w:tc>
          <w:tcPr>
            <w:tcW w:w="0" w:type="auto"/>
          </w:tcPr>
          <w:p w14:paraId="709D9C4A" w14:textId="77777777" w:rsidR="00AD2E8D" w:rsidRDefault="00AD2E8D" w:rsidP="00AD2E8D">
            <w:pPr>
              <w:rPr>
                <w:rFonts w:eastAsia="Times New Roman" w:cs="Segoe UI"/>
                <w:sz w:val="20"/>
                <w:szCs w:val="20"/>
              </w:rPr>
            </w:pPr>
            <w:r w:rsidRPr="000A174F">
              <w:t>39%</w:t>
            </w:r>
          </w:p>
        </w:tc>
        <w:tc>
          <w:tcPr>
            <w:tcW w:w="0" w:type="auto"/>
          </w:tcPr>
          <w:p w14:paraId="6981BC44" w14:textId="77777777" w:rsidR="00AD2E8D" w:rsidRDefault="00AD2E8D" w:rsidP="00AD2E8D">
            <w:pPr>
              <w:rPr>
                <w:rFonts w:eastAsia="Times New Roman" w:cs="Segoe UI"/>
                <w:sz w:val="20"/>
                <w:szCs w:val="20"/>
              </w:rPr>
            </w:pPr>
            <w:r w:rsidRPr="000A174F">
              <w:t>85%</w:t>
            </w:r>
          </w:p>
        </w:tc>
      </w:tr>
      <w:tr w:rsidR="00AD2E8D" w:rsidRPr="003D290F" w14:paraId="0A0EA758" w14:textId="77777777" w:rsidTr="00364B77">
        <w:trPr>
          <w:trHeight w:val="6"/>
        </w:trPr>
        <w:tc>
          <w:tcPr>
            <w:tcW w:w="0" w:type="auto"/>
            <w:shd w:val="clear" w:color="auto" w:fill="FFFFFF" w:themeFill="background1"/>
          </w:tcPr>
          <w:p w14:paraId="42205319" w14:textId="77777777" w:rsidR="00AD2E8D" w:rsidRDefault="003B742A" w:rsidP="00AD2E8D">
            <w:pPr>
              <w:rPr>
                <w:rFonts w:eastAsia="Times New Roman" w:cs="Segoe UI"/>
                <w:sz w:val="20"/>
                <w:szCs w:val="20"/>
              </w:rPr>
            </w:pPr>
            <w:r w:rsidRPr="003B742A">
              <w:rPr>
                <w:rFonts w:eastAsia="Times New Roman" w:cs="Segoe UI"/>
                <w:sz w:val="20"/>
                <w:szCs w:val="20"/>
              </w:rPr>
              <w:t>Overall worker transfer rate</w:t>
            </w:r>
          </w:p>
        </w:tc>
        <w:tc>
          <w:tcPr>
            <w:tcW w:w="0" w:type="auto"/>
            <w:shd w:val="clear" w:color="auto" w:fill="FFFFFF" w:themeFill="background1"/>
          </w:tcPr>
          <w:p w14:paraId="6D20B893" w14:textId="77777777" w:rsidR="00AD2E8D" w:rsidRDefault="00AD2E8D" w:rsidP="00AD2E8D">
            <w:pPr>
              <w:rPr>
                <w:rFonts w:eastAsia="Times New Roman" w:cs="Segoe UI"/>
                <w:sz w:val="20"/>
                <w:szCs w:val="20"/>
              </w:rPr>
            </w:pPr>
            <w:r>
              <w:rPr>
                <w:rFonts w:eastAsia="Times New Roman" w:cs="Segoe UI"/>
                <w:sz w:val="20"/>
                <w:szCs w:val="20"/>
              </w:rPr>
              <w:t xml:space="preserve">Legislated obligations on closing employers </w:t>
            </w:r>
            <w:r w:rsidRPr="003D290F">
              <w:rPr>
                <w:rFonts w:eastAsia="Times New Roman" w:cs="Segoe UI"/>
                <w:sz w:val="20"/>
                <w:szCs w:val="20"/>
              </w:rPr>
              <w:t xml:space="preserve">support much stronger likelihood of </w:t>
            </w:r>
            <w:r>
              <w:rPr>
                <w:rFonts w:eastAsia="Times New Roman" w:cs="Segoe UI"/>
                <w:sz w:val="20"/>
                <w:szCs w:val="20"/>
              </w:rPr>
              <w:t>affected employees being transferred to</w:t>
            </w:r>
            <w:r w:rsidRPr="003D290F">
              <w:rPr>
                <w:rFonts w:eastAsia="Times New Roman" w:cs="Segoe UI"/>
                <w:sz w:val="20"/>
                <w:szCs w:val="20"/>
              </w:rPr>
              <w:t xml:space="preserve"> new employment.</w:t>
            </w:r>
          </w:p>
        </w:tc>
        <w:tc>
          <w:tcPr>
            <w:tcW w:w="0" w:type="auto"/>
            <w:shd w:val="clear" w:color="auto" w:fill="FFFFFF" w:themeFill="background1"/>
          </w:tcPr>
          <w:p w14:paraId="1B55DF15" w14:textId="77777777" w:rsidR="00AD2E8D" w:rsidRDefault="00AD2E8D" w:rsidP="00AD2E8D">
            <w:pPr>
              <w:rPr>
                <w:rFonts w:eastAsia="Times New Roman" w:cs="Segoe UI"/>
                <w:sz w:val="20"/>
                <w:szCs w:val="20"/>
              </w:rPr>
            </w:pPr>
            <w:r>
              <w:rPr>
                <w:rFonts w:eastAsia="Times New Roman" w:cs="Segoe UI"/>
                <w:sz w:val="20"/>
                <w:szCs w:val="20"/>
              </w:rPr>
              <w:t>20</w:t>
            </w:r>
            <w:r w:rsidRPr="003D290F">
              <w:rPr>
                <w:rFonts w:eastAsia="Times New Roman" w:cs="Segoe UI"/>
                <w:sz w:val="20"/>
                <w:szCs w:val="20"/>
              </w:rPr>
              <w:t>%</w:t>
            </w:r>
          </w:p>
        </w:tc>
        <w:tc>
          <w:tcPr>
            <w:tcW w:w="0" w:type="auto"/>
            <w:shd w:val="clear" w:color="auto" w:fill="FFFFFF" w:themeFill="background1"/>
          </w:tcPr>
          <w:p w14:paraId="485BEFE3" w14:textId="77777777" w:rsidR="00AD2E8D" w:rsidRDefault="00AD2E8D" w:rsidP="00AD2E8D">
            <w:pPr>
              <w:rPr>
                <w:rFonts w:eastAsia="Times New Roman" w:cs="Segoe UI"/>
                <w:sz w:val="20"/>
                <w:szCs w:val="20"/>
              </w:rPr>
            </w:pPr>
            <w:r>
              <w:rPr>
                <w:rFonts w:eastAsia="Times New Roman" w:cs="Segoe UI"/>
                <w:sz w:val="20"/>
                <w:szCs w:val="20"/>
              </w:rPr>
              <w:t>51</w:t>
            </w:r>
            <w:r w:rsidRPr="003D290F">
              <w:rPr>
                <w:rFonts w:eastAsia="Times New Roman" w:cs="Segoe UI"/>
                <w:sz w:val="20"/>
                <w:szCs w:val="20"/>
              </w:rPr>
              <w:t>%</w:t>
            </w:r>
          </w:p>
        </w:tc>
      </w:tr>
      <w:tr w:rsidR="0013705D" w:rsidRPr="003D290F" w14:paraId="2B0E9FA9" w14:textId="77777777" w:rsidTr="00376A4F">
        <w:trPr>
          <w:cnfStyle w:val="000000100000" w:firstRow="0" w:lastRow="0" w:firstColumn="0" w:lastColumn="0" w:oddVBand="0" w:evenVBand="0" w:oddHBand="1" w:evenHBand="0" w:firstRowFirstColumn="0" w:firstRowLastColumn="0" w:lastRowFirstColumn="0" w:lastRowLastColumn="0"/>
          <w:trHeight w:val="6"/>
        </w:trPr>
        <w:tc>
          <w:tcPr>
            <w:tcW w:w="0" w:type="auto"/>
            <w:vAlign w:val="center"/>
          </w:tcPr>
          <w:p w14:paraId="6F368035" w14:textId="77777777" w:rsidR="002A500C" w:rsidRPr="003D290F" w:rsidRDefault="002A500C" w:rsidP="001E79E2">
            <w:pPr>
              <w:spacing w:line="288" w:lineRule="auto"/>
              <w:rPr>
                <w:rFonts w:eastAsia="Times New Roman" w:cs="Segoe UI"/>
                <w:sz w:val="20"/>
                <w:szCs w:val="20"/>
              </w:rPr>
            </w:pPr>
            <w:r w:rsidRPr="001E79E2">
              <w:rPr>
                <w:rFonts w:eastAsia="Times New Roman" w:cs="Segoe UI"/>
                <w:sz w:val="20"/>
                <w:szCs w:val="20"/>
              </w:rPr>
              <w:t>Average no. of days of leave provided to workers to undertake transition leave</w:t>
            </w:r>
          </w:p>
        </w:tc>
        <w:tc>
          <w:tcPr>
            <w:tcW w:w="0" w:type="auto"/>
            <w:vAlign w:val="bottom"/>
          </w:tcPr>
          <w:p w14:paraId="18E155A9" w14:textId="77777777" w:rsidR="002A500C" w:rsidRDefault="00376A4F" w:rsidP="001E79E2">
            <w:pPr>
              <w:spacing w:line="288" w:lineRule="auto"/>
              <w:rPr>
                <w:rFonts w:eastAsia="Times New Roman" w:cs="Segoe UI"/>
                <w:sz w:val="20"/>
                <w:szCs w:val="20"/>
              </w:rPr>
            </w:pPr>
            <w:r>
              <w:rPr>
                <w:rFonts w:eastAsia="Times New Roman" w:cs="Segoe UI"/>
                <w:sz w:val="20"/>
                <w:szCs w:val="20"/>
              </w:rPr>
              <w:t>Government departments provide a max of 5-6 hours per week of study allowance. This equates to 7-8 days per year.</w:t>
            </w:r>
          </w:p>
        </w:tc>
        <w:tc>
          <w:tcPr>
            <w:tcW w:w="0" w:type="auto"/>
          </w:tcPr>
          <w:p w14:paraId="179FF729" w14:textId="77777777" w:rsidR="002A500C" w:rsidRPr="003D290F" w:rsidDel="00AA1535" w:rsidRDefault="002A500C" w:rsidP="001E79E2">
            <w:pPr>
              <w:spacing w:line="288" w:lineRule="auto"/>
              <w:rPr>
                <w:rFonts w:eastAsia="Times New Roman" w:cs="Segoe UI"/>
                <w:sz w:val="20"/>
                <w:szCs w:val="20"/>
              </w:rPr>
            </w:pPr>
            <w:r>
              <w:rPr>
                <w:rFonts w:eastAsia="Times New Roman" w:cs="Segoe UI"/>
                <w:sz w:val="20"/>
                <w:szCs w:val="20"/>
              </w:rPr>
              <w:t>N/A</w:t>
            </w:r>
          </w:p>
        </w:tc>
        <w:tc>
          <w:tcPr>
            <w:tcW w:w="0" w:type="auto"/>
          </w:tcPr>
          <w:p w14:paraId="6ED98D4C" w14:textId="77777777" w:rsidR="002A500C" w:rsidRPr="003D290F" w:rsidDel="00AA1535" w:rsidRDefault="002A500C" w:rsidP="001E79E2">
            <w:pPr>
              <w:spacing w:line="288" w:lineRule="auto"/>
              <w:rPr>
                <w:rFonts w:eastAsia="Times New Roman" w:cs="Segoe UI"/>
                <w:sz w:val="20"/>
                <w:szCs w:val="20"/>
              </w:rPr>
            </w:pPr>
            <w:r>
              <w:rPr>
                <w:rFonts w:eastAsia="Times New Roman" w:cs="Segoe UI"/>
                <w:sz w:val="20"/>
                <w:szCs w:val="20"/>
              </w:rPr>
              <w:t>10</w:t>
            </w:r>
          </w:p>
        </w:tc>
      </w:tr>
      <w:tr w:rsidR="0013705D" w:rsidRPr="003D290F" w14:paraId="203AA763" w14:textId="77777777" w:rsidTr="00ED7D02">
        <w:trPr>
          <w:trHeight w:val="6"/>
        </w:trPr>
        <w:tc>
          <w:tcPr>
            <w:tcW w:w="0" w:type="auto"/>
            <w:shd w:val="clear" w:color="auto" w:fill="FFFFFF" w:themeFill="background1"/>
            <w:vAlign w:val="center"/>
          </w:tcPr>
          <w:p w14:paraId="6B0FE465" w14:textId="77777777" w:rsidR="002A500C" w:rsidRDefault="002A500C" w:rsidP="001E79E2">
            <w:pPr>
              <w:spacing w:line="288" w:lineRule="auto"/>
              <w:rPr>
                <w:rFonts w:eastAsia="Times New Roman" w:cs="Segoe UI"/>
                <w:sz w:val="20"/>
                <w:szCs w:val="20"/>
              </w:rPr>
            </w:pPr>
            <w:r w:rsidRPr="001E79E2">
              <w:rPr>
                <w:rFonts w:eastAsia="Times New Roman" w:cs="Segoe UI"/>
                <w:sz w:val="20"/>
                <w:szCs w:val="20"/>
              </w:rPr>
              <w:lastRenderedPageBreak/>
              <w:t>Average proportion employer provides towards training</w:t>
            </w:r>
          </w:p>
        </w:tc>
        <w:tc>
          <w:tcPr>
            <w:tcW w:w="0" w:type="auto"/>
            <w:shd w:val="clear" w:color="auto" w:fill="FFFFFF" w:themeFill="background1"/>
            <w:vAlign w:val="center"/>
          </w:tcPr>
          <w:p w14:paraId="5BB9D3E7" w14:textId="77777777" w:rsidR="002A500C" w:rsidRDefault="0076581D" w:rsidP="0025650B">
            <w:pPr>
              <w:spacing w:line="288" w:lineRule="auto"/>
              <w:rPr>
                <w:rFonts w:eastAsia="Times New Roman" w:cs="Segoe UI"/>
                <w:sz w:val="20"/>
                <w:szCs w:val="20"/>
              </w:rPr>
            </w:pPr>
            <w:r>
              <w:rPr>
                <w:rFonts w:eastAsia="Times New Roman" w:cs="Segoe UI"/>
                <w:sz w:val="20"/>
                <w:szCs w:val="20"/>
              </w:rPr>
              <w:t>Feedback from stakeholder consultations (including data that</w:t>
            </w:r>
            <w:r w:rsidR="00283854">
              <w:rPr>
                <w:rFonts w:eastAsia="Times New Roman" w:cs="Segoe UI"/>
                <w:sz w:val="20"/>
                <w:szCs w:val="20"/>
              </w:rPr>
              <w:t xml:space="preserve"> one power station i</w:t>
            </w:r>
            <w:r w:rsidR="002A500C" w:rsidRPr="001E79E2">
              <w:rPr>
                <w:rFonts w:eastAsia="Times New Roman" w:cs="Segoe UI"/>
                <w:sz w:val="20"/>
                <w:szCs w:val="20"/>
              </w:rPr>
              <w:t>s</w:t>
            </w:r>
            <w:r>
              <w:rPr>
                <w:rFonts w:eastAsia="Times New Roman" w:cs="Segoe UI"/>
                <w:sz w:val="20"/>
                <w:szCs w:val="20"/>
              </w:rPr>
              <w:t xml:space="preserve"> currently</w:t>
            </w:r>
            <w:r w:rsidR="002A500C" w:rsidRPr="001E79E2">
              <w:rPr>
                <w:rFonts w:eastAsia="Times New Roman" w:cs="Segoe UI"/>
                <w:sz w:val="20"/>
                <w:szCs w:val="20"/>
              </w:rPr>
              <w:t xml:space="preserve"> providing $5000 per employer to cover training costs</w:t>
            </w:r>
            <w:r>
              <w:rPr>
                <w:rFonts w:eastAsia="Times New Roman" w:cs="Segoe UI"/>
                <w:sz w:val="20"/>
                <w:szCs w:val="20"/>
              </w:rPr>
              <w:t>)</w:t>
            </w:r>
            <w:r w:rsidR="00283854">
              <w:rPr>
                <w:rFonts w:eastAsia="Times New Roman" w:cs="Segoe UI"/>
                <w:sz w:val="20"/>
                <w:szCs w:val="20"/>
              </w:rPr>
              <w:t>.</w:t>
            </w:r>
          </w:p>
        </w:tc>
        <w:tc>
          <w:tcPr>
            <w:tcW w:w="0" w:type="auto"/>
            <w:shd w:val="clear" w:color="auto" w:fill="FFFFFF" w:themeFill="background1"/>
          </w:tcPr>
          <w:p w14:paraId="03031D43" w14:textId="77777777" w:rsidR="002A500C" w:rsidRPr="003D290F" w:rsidDel="00AA1535" w:rsidRDefault="002A500C" w:rsidP="001E79E2">
            <w:pPr>
              <w:spacing w:line="288" w:lineRule="auto"/>
              <w:rPr>
                <w:rFonts w:eastAsia="Times New Roman" w:cs="Segoe UI"/>
                <w:sz w:val="20"/>
                <w:szCs w:val="20"/>
              </w:rPr>
            </w:pPr>
            <w:r w:rsidRPr="0079041C">
              <w:rPr>
                <w:rFonts w:eastAsia="Times New Roman" w:cs="Segoe UI"/>
                <w:sz w:val="20"/>
                <w:szCs w:val="20"/>
              </w:rPr>
              <w:t>N/A</w:t>
            </w:r>
          </w:p>
        </w:tc>
        <w:tc>
          <w:tcPr>
            <w:tcW w:w="0" w:type="auto"/>
            <w:shd w:val="clear" w:color="auto" w:fill="FFFFFF" w:themeFill="background1"/>
          </w:tcPr>
          <w:p w14:paraId="29864CBD" w14:textId="77777777" w:rsidR="002A500C" w:rsidRDefault="002A500C" w:rsidP="001E79E2">
            <w:pPr>
              <w:spacing w:line="288" w:lineRule="auto"/>
              <w:rPr>
                <w:rFonts w:eastAsia="Times New Roman" w:cs="Segoe UI"/>
                <w:sz w:val="20"/>
                <w:szCs w:val="20"/>
              </w:rPr>
            </w:pPr>
            <w:r>
              <w:rPr>
                <w:rFonts w:eastAsia="Times New Roman" w:cs="Segoe UI"/>
                <w:sz w:val="20"/>
                <w:szCs w:val="20"/>
              </w:rPr>
              <w:t>50%</w:t>
            </w:r>
          </w:p>
        </w:tc>
      </w:tr>
      <w:tr w:rsidR="0013705D" w:rsidRPr="003D290F" w14:paraId="18585524" w14:textId="77777777" w:rsidTr="00376A4F">
        <w:trPr>
          <w:cnfStyle w:val="000000100000" w:firstRow="0" w:lastRow="0" w:firstColumn="0" w:lastColumn="0" w:oddVBand="0" w:evenVBand="0" w:oddHBand="1" w:evenHBand="0" w:firstRowFirstColumn="0" w:firstRowLastColumn="0" w:lastRowFirstColumn="0" w:lastRowLastColumn="0"/>
          <w:trHeight w:val="6"/>
        </w:trPr>
        <w:tc>
          <w:tcPr>
            <w:tcW w:w="0" w:type="auto"/>
            <w:vAlign w:val="center"/>
          </w:tcPr>
          <w:p w14:paraId="05343857" w14:textId="77777777" w:rsidR="002A500C" w:rsidRDefault="002A500C" w:rsidP="001E79E2">
            <w:pPr>
              <w:spacing w:line="288" w:lineRule="auto"/>
              <w:rPr>
                <w:rFonts w:eastAsia="Times New Roman" w:cs="Segoe UI"/>
                <w:sz w:val="20"/>
                <w:szCs w:val="20"/>
              </w:rPr>
            </w:pPr>
            <w:r w:rsidRPr="001E79E2">
              <w:rPr>
                <w:rFonts w:eastAsia="Times New Roman" w:cs="Segoe UI"/>
                <w:sz w:val="20"/>
                <w:szCs w:val="20"/>
              </w:rPr>
              <w:t>Average training cost</w:t>
            </w:r>
          </w:p>
        </w:tc>
        <w:tc>
          <w:tcPr>
            <w:tcW w:w="0" w:type="auto"/>
            <w:vAlign w:val="bottom"/>
          </w:tcPr>
          <w:p w14:paraId="3F621DFF" w14:textId="77777777" w:rsidR="002A500C" w:rsidRDefault="002A500C" w:rsidP="001E79E2">
            <w:pPr>
              <w:spacing w:line="288" w:lineRule="auto"/>
              <w:rPr>
                <w:rFonts w:eastAsia="Times New Roman" w:cs="Segoe UI"/>
                <w:sz w:val="20"/>
                <w:szCs w:val="20"/>
              </w:rPr>
            </w:pPr>
          </w:p>
        </w:tc>
        <w:tc>
          <w:tcPr>
            <w:tcW w:w="0" w:type="auto"/>
          </w:tcPr>
          <w:p w14:paraId="3225A8EA" w14:textId="77777777" w:rsidR="002A500C" w:rsidRPr="003D290F" w:rsidDel="00AA1535" w:rsidRDefault="002A500C" w:rsidP="001E79E2">
            <w:pPr>
              <w:spacing w:line="288" w:lineRule="auto"/>
              <w:rPr>
                <w:rFonts w:eastAsia="Times New Roman" w:cs="Segoe UI"/>
                <w:sz w:val="20"/>
                <w:szCs w:val="20"/>
              </w:rPr>
            </w:pPr>
            <w:r w:rsidRPr="0079041C">
              <w:rPr>
                <w:rFonts w:eastAsia="Times New Roman" w:cs="Segoe UI"/>
                <w:sz w:val="20"/>
                <w:szCs w:val="20"/>
              </w:rPr>
              <w:t>N/A</w:t>
            </w:r>
          </w:p>
        </w:tc>
        <w:tc>
          <w:tcPr>
            <w:tcW w:w="0" w:type="auto"/>
          </w:tcPr>
          <w:p w14:paraId="69CDD459" w14:textId="77777777" w:rsidR="002A500C" w:rsidRDefault="002A500C" w:rsidP="001E79E2">
            <w:pPr>
              <w:spacing w:line="288" w:lineRule="auto"/>
              <w:rPr>
                <w:rFonts w:eastAsia="Times New Roman" w:cs="Segoe UI"/>
                <w:sz w:val="20"/>
                <w:szCs w:val="20"/>
              </w:rPr>
            </w:pPr>
            <w:r>
              <w:rPr>
                <w:rFonts w:eastAsia="Times New Roman" w:cs="Segoe UI"/>
                <w:sz w:val="20"/>
                <w:szCs w:val="20"/>
              </w:rPr>
              <w:t>$10,000</w:t>
            </w:r>
          </w:p>
        </w:tc>
      </w:tr>
      <w:tr w:rsidR="00835358" w:rsidRPr="003D290F" w14:paraId="1D46C4FB" w14:textId="77777777" w:rsidTr="00A63994">
        <w:trPr>
          <w:trHeight w:val="6"/>
        </w:trPr>
        <w:tc>
          <w:tcPr>
            <w:tcW w:w="0" w:type="auto"/>
            <w:gridSpan w:val="2"/>
            <w:shd w:val="clear" w:color="auto" w:fill="D9D9D9" w:themeFill="background1" w:themeFillShade="D9"/>
          </w:tcPr>
          <w:p w14:paraId="0FC714C2" w14:textId="77777777" w:rsidR="00835358" w:rsidRPr="003D290F" w:rsidRDefault="00835358" w:rsidP="002B03B9">
            <w:pPr>
              <w:spacing w:line="288" w:lineRule="auto"/>
              <w:rPr>
                <w:rFonts w:eastAsia="Times New Roman" w:cs="Segoe UI"/>
                <w:sz w:val="20"/>
                <w:szCs w:val="20"/>
              </w:rPr>
            </w:pPr>
            <w:r w:rsidRPr="003D290F">
              <w:rPr>
                <w:rFonts w:eastAsia="Times New Roman" w:cs="Segoe UI"/>
                <w:b/>
                <w:i/>
                <w:sz w:val="20"/>
                <w:szCs w:val="20"/>
              </w:rPr>
              <w:t>Receiving employer employee decision-making</w:t>
            </w:r>
          </w:p>
        </w:tc>
        <w:tc>
          <w:tcPr>
            <w:tcW w:w="0" w:type="auto"/>
            <w:shd w:val="clear" w:color="auto" w:fill="D9D9D9" w:themeFill="background1" w:themeFillShade="D9"/>
          </w:tcPr>
          <w:p w14:paraId="6373FF50" w14:textId="77777777" w:rsidR="00835358" w:rsidRPr="003D290F" w:rsidRDefault="00835358" w:rsidP="002B03B9">
            <w:pPr>
              <w:spacing w:line="288" w:lineRule="auto"/>
              <w:rPr>
                <w:rFonts w:asciiTheme="minorHAnsi" w:eastAsia="Times New Roman" w:hAnsiTheme="minorHAnsi" w:cstheme="minorHAnsi"/>
                <w:color w:val="000000"/>
                <w:lang w:eastAsia="en-AU"/>
              </w:rPr>
            </w:pPr>
          </w:p>
        </w:tc>
        <w:tc>
          <w:tcPr>
            <w:tcW w:w="0" w:type="auto"/>
            <w:shd w:val="clear" w:color="auto" w:fill="D9D9D9" w:themeFill="background1" w:themeFillShade="D9"/>
          </w:tcPr>
          <w:p w14:paraId="741679AD" w14:textId="77777777" w:rsidR="00835358" w:rsidRPr="003D290F" w:rsidRDefault="00835358" w:rsidP="002B03B9">
            <w:pPr>
              <w:spacing w:line="288" w:lineRule="auto"/>
              <w:rPr>
                <w:rFonts w:asciiTheme="minorHAnsi" w:eastAsia="Times New Roman" w:hAnsiTheme="minorHAnsi" w:cstheme="minorHAnsi"/>
                <w:color w:val="000000"/>
                <w:lang w:eastAsia="en-AU"/>
              </w:rPr>
            </w:pPr>
          </w:p>
        </w:tc>
      </w:tr>
      <w:tr w:rsidR="0013705D" w:rsidRPr="003D290F" w14:paraId="43791695" w14:textId="77777777" w:rsidTr="00A63994">
        <w:trPr>
          <w:cnfStyle w:val="000000100000" w:firstRow="0" w:lastRow="0" w:firstColumn="0" w:lastColumn="0" w:oddVBand="0" w:evenVBand="0" w:oddHBand="1" w:evenHBand="0" w:firstRowFirstColumn="0" w:firstRowLastColumn="0" w:lastRowFirstColumn="0" w:lastRowLastColumn="0"/>
          <w:trHeight w:val="6"/>
        </w:trPr>
        <w:tc>
          <w:tcPr>
            <w:tcW w:w="0" w:type="auto"/>
            <w:shd w:val="clear" w:color="auto" w:fill="auto"/>
          </w:tcPr>
          <w:p w14:paraId="3EFF90A6" w14:textId="77777777" w:rsidR="002B03B9" w:rsidRPr="003D290F" w:rsidRDefault="00187584">
            <w:pPr>
              <w:spacing w:line="288" w:lineRule="auto"/>
              <w:rPr>
                <w:rFonts w:eastAsia="Times New Roman" w:cs="Segoe UI"/>
                <w:sz w:val="20"/>
                <w:szCs w:val="20"/>
              </w:rPr>
            </w:pPr>
            <w:r w:rsidRPr="003D290F">
              <w:rPr>
                <w:rFonts w:eastAsia="Times New Roman" w:cs="Segoe UI"/>
                <w:sz w:val="20"/>
                <w:szCs w:val="20"/>
              </w:rPr>
              <w:t>%</w:t>
            </w:r>
            <w:r w:rsidR="0090272B" w:rsidRPr="003D290F">
              <w:rPr>
                <w:rFonts w:eastAsia="Times New Roman" w:cs="Segoe UI"/>
                <w:sz w:val="20"/>
                <w:szCs w:val="20"/>
              </w:rPr>
              <w:t xml:space="preserve"> </w:t>
            </w:r>
            <w:r w:rsidRPr="003D290F">
              <w:rPr>
                <w:rFonts w:eastAsia="Times New Roman" w:cs="Segoe UI"/>
                <w:sz w:val="20"/>
                <w:szCs w:val="20"/>
              </w:rPr>
              <w:t>R</w:t>
            </w:r>
            <w:r w:rsidR="0090272B" w:rsidRPr="003D290F">
              <w:rPr>
                <w:rFonts w:eastAsia="Times New Roman" w:cs="Segoe UI"/>
                <w:sz w:val="20"/>
                <w:szCs w:val="20"/>
              </w:rPr>
              <w:t xml:space="preserve">etire in absence of </w:t>
            </w:r>
            <w:r w:rsidR="00F6294A" w:rsidRPr="003D290F">
              <w:rPr>
                <w:rFonts w:eastAsia="Times New Roman" w:cs="Segoe UI"/>
                <w:sz w:val="20"/>
                <w:szCs w:val="20"/>
              </w:rPr>
              <w:t>plan</w:t>
            </w:r>
          </w:p>
        </w:tc>
        <w:tc>
          <w:tcPr>
            <w:tcW w:w="0" w:type="auto"/>
            <w:shd w:val="clear" w:color="auto" w:fill="auto"/>
          </w:tcPr>
          <w:p w14:paraId="6D5D045F" w14:textId="77777777" w:rsidR="002B03B9" w:rsidRPr="003D290F" w:rsidRDefault="00A63939" w:rsidP="002B03B9">
            <w:pPr>
              <w:spacing w:line="288" w:lineRule="auto"/>
              <w:rPr>
                <w:rFonts w:eastAsia="Times New Roman" w:cs="Segoe UI"/>
                <w:sz w:val="20"/>
                <w:szCs w:val="20"/>
              </w:rPr>
            </w:pPr>
            <w:r w:rsidRPr="003D290F">
              <w:rPr>
                <w:rFonts w:eastAsia="Times New Roman" w:cs="Segoe UI"/>
                <w:sz w:val="20"/>
                <w:szCs w:val="20"/>
              </w:rPr>
              <w:t>Analysis of intention to retire from the labour force. ABS, Retirement and Retirement intentions, 2020-21</w:t>
            </w:r>
          </w:p>
        </w:tc>
        <w:tc>
          <w:tcPr>
            <w:tcW w:w="0" w:type="auto"/>
            <w:shd w:val="clear" w:color="auto" w:fill="auto"/>
          </w:tcPr>
          <w:p w14:paraId="247DA913" w14:textId="77777777" w:rsidR="002B03B9" w:rsidRPr="003D290F" w:rsidRDefault="00A63939" w:rsidP="002B03B9">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5</w:t>
            </w:r>
            <w:r w:rsidR="0090272B" w:rsidRPr="003D290F">
              <w:rPr>
                <w:rFonts w:eastAsia="Times New Roman" w:cs="Segoe UI"/>
                <w:sz w:val="20"/>
                <w:szCs w:val="20"/>
              </w:rPr>
              <w:t>%</w:t>
            </w:r>
          </w:p>
        </w:tc>
        <w:tc>
          <w:tcPr>
            <w:tcW w:w="0" w:type="auto"/>
            <w:shd w:val="clear" w:color="auto" w:fill="auto"/>
          </w:tcPr>
          <w:p w14:paraId="03CBFB6C" w14:textId="77777777" w:rsidR="002B03B9" w:rsidRPr="003D290F" w:rsidRDefault="00A63939" w:rsidP="002B03B9">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5</w:t>
            </w:r>
            <w:r w:rsidR="0090272B" w:rsidRPr="003D290F">
              <w:rPr>
                <w:rFonts w:eastAsia="Times New Roman" w:cs="Segoe UI"/>
                <w:sz w:val="20"/>
                <w:szCs w:val="20"/>
              </w:rPr>
              <w:t>%</w:t>
            </w:r>
          </w:p>
        </w:tc>
      </w:tr>
      <w:tr w:rsidR="0013705D" w:rsidRPr="003D290F" w14:paraId="5F20DF49" w14:textId="77777777" w:rsidTr="00A47364">
        <w:trPr>
          <w:trHeight w:val="6"/>
        </w:trPr>
        <w:tc>
          <w:tcPr>
            <w:tcW w:w="0" w:type="auto"/>
          </w:tcPr>
          <w:p w14:paraId="17641C63" w14:textId="77777777" w:rsidR="0075119D" w:rsidRPr="003D290F" w:rsidRDefault="00187584" w:rsidP="002B03B9">
            <w:pPr>
              <w:spacing w:line="288" w:lineRule="auto"/>
              <w:rPr>
                <w:rFonts w:eastAsia="Times New Roman" w:cs="Segoe UI"/>
                <w:sz w:val="20"/>
                <w:szCs w:val="20"/>
              </w:rPr>
            </w:pPr>
            <w:r w:rsidRPr="003D290F">
              <w:rPr>
                <w:rFonts w:eastAsia="Times New Roman" w:cs="Segoe UI"/>
                <w:sz w:val="20"/>
                <w:szCs w:val="20"/>
              </w:rPr>
              <w:t>% M</w:t>
            </w:r>
            <w:r w:rsidR="0090272B" w:rsidRPr="003D290F">
              <w:rPr>
                <w:rFonts w:eastAsia="Times New Roman" w:cs="Segoe UI"/>
                <w:sz w:val="20"/>
                <w:szCs w:val="20"/>
              </w:rPr>
              <w:t xml:space="preserve">ove jobs in absence of </w:t>
            </w:r>
            <w:r w:rsidR="00F6294A" w:rsidRPr="003D290F">
              <w:rPr>
                <w:rFonts w:eastAsia="Times New Roman" w:cs="Segoe UI"/>
                <w:sz w:val="20"/>
                <w:szCs w:val="20"/>
              </w:rPr>
              <w:t>plan</w:t>
            </w:r>
          </w:p>
        </w:tc>
        <w:tc>
          <w:tcPr>
            <w:tcW w:w="0" w:type="auto"/>
          </w:tcPr>
          <w:p w14:paraId="76A1B5AA" w14:textId="77777777" w:rsidR="0075119D" w:rsidRPr="003D290F" w:rsidRDefault="00A63939" w:rsidP="002B03B9">
            <w:pPr>
              <w:spacing w:line="288" w:lineRule="auto"/>
              <w:rPr>
                <w:rFonts w:eastAsia="Times New Roman" w:cs="Segoe UI"/>
                <w:sz w:val="20"/>
                <w:szCs w:val="20"/>
              </w:rPr>
            </w:pPr>
            <w:r w:rsidRPr="003D290F">
              <w:rPr>
                <w:rFonts w:eastAsia="Times New Roman" w:cs="Segoe UI"/>
                <w:sz w:val="20"/>
                <w:szCs w:val="20"/>
              </w:rPr>
              <w:t>Job mobility within last 12 months</w:t>
            </w:r>
            <w:r w:rsidR="0090272B" w:rsidRPr="003D290F">
              <w:rPr>
                <w:rFonts w:eastAsia="Times New Roman" w:cs="Segoe UI"/>
                <w:sz w:val="20"/>
                <w:szCs w:val="20"/>
              </w:rPr>
              <w:t xml:space="preserve"> per year </w:t>
            </w:r>
            <w:r w:rsidRPr="003D290F">
              <w:rPr>
                <w:rFonts w:eastAsia="Times New Roman" w:cs="Segoe UI"/>
                <w:sz w:val="20"/>
                <w:szCs w:val="20"/>
              </w:rPr>
              <w:t xml:space="preserve">for those aged 45 to 64, </w:t>
            </w:r>
            <w:r w:rsidR="0090272B" w:rsidRPr="003D290F">
              <w:rPr>
                <w:rFonts w:eastAsia="Times New Roman" w:cs="Segoe UI"/>
                <w:sz w:val="20"/>
                <w:szCs w:val="20"/>
              </w:rPr>
              <w:t xml:space="preserve">ABS </w:t>
            </w:r>
            <w:r w:rsidR="005B791C" w:rsidRPr="003D290F">
              <w:rPr>
                <w:rFonts w:eastAsia="Times New Roman" w:cs="Segoe UI"/>
                <w:sz w:val="20"/>
                <w:szCs w:val="20"/>
              </w:rPr>
              <w:t>Job M</w:t>
            </w:r>
            <w:r w:rsidR="0090272B" w:rsidRPr="003D290F">
              <w:rPr>
                <w:rFonts w:eastAsia="Times New Roman" w:cs="Segoe UI"/>
                <w:sz w:val="20"/>
                <w:szCs w:val="20"/>
              </w:rPr>
              <w:t xml:space="preserve">obility </w:t>
            </w:r>
          </w:p>
        </w:tc>
        <w:tc>
          <w:tcPr>
            <w:tcW w:w="0" w:type="auto"/>
          </w:tcPr>
          <w:p w14:paraId="34C32156" w14:textId="77777777" w:rsidR="0075119D" w:rsidRPr="003D290F" w:rsidRDefault="00A63939" w:rsidP="002B03B9">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5.9</w:t>
            </w:r>
            <w:r w:rsidR="0090272B" w:rsidRPr="003D290F">
              <w:rPr>
                <w:rFonts w:eastAsia="Times New Roman" w:cs="Segoe UI"/>
                <w:sz w:val="20"/>
                <w:szCs w:val="20"/>
              </w:rPr>
              <w:t>%</w:t>
            </w:r>
          </w:p>
        </w:tc>
        <w:tc>
          <w:tcPr>
            <w:tcW w:w="0" w:type="auto"/>
          </w:tcPr>
          <w:p w14:paraId="3CE2AD58" w14:textId="77777777" w:rsidR="0075119D" w:rsidRPr="003D290F" w:rsidRDefault="00A63939" w:rsidP="002B03B9">
            <w:pPr>
              <w:spacing w:line="288" w:lineRule="auto"/>
              <w:rPr>
                <w:rFonts w:asciiTheme="minorHAnsi" w:eastAsia="Times New Roman" w:hAnsiTheme="minorHAnsi" w:cstheme="minorHAnsi"/>
                <w:color w:val="000000"/>
                <w:lang w:eastAsia="en-AU"/>
              </w:rPr>
            </w:pPr>
            <w:r w:rsidRPr="003D290F">
              <w:rPr>
                <w:rFonts w:eastAsia="Times New Roman" w:cs="Segoe UI"/>
                <w:sz w:val="20"/>
                <w:szCs w:val="20"/>
              </w:rPr>
              <w:t>5.9</w:t>
            </w:r>
            <w:r w:rsidR="0090272B" w:rsidRPr="003D290F">
              <w:rPr>
                <w:rFonts w:eastAsia="Times New Roman" w:cs="Segoe UI"/>
                <w:sz w:val="20"/>
                <w:szCs w:val="20"/>
              </w:rPr>
              <w:t>%</w:t>
            </w:r>
          </w:p>
        </w:tc>
      </w:tr>
      <w:tr w:rsidR="0013705D" w:rsidRPr="003D290F" w14:paraId="0249AA0B" w14:textId="77777777" w:rsidTr="00A63994">
        <w:trPr>
          <w:cnfStyle w:val="000000100000" w:firstRow="0" w:lastRow="0" w:firstColumn="0" w:lastColumn="0" w:oddVBand="0" w:evenVBand="0" w:oddHBand="1" w:evenHBand="0" w:firstRowFirstColumn="0" w:firstRowLastColumn="0" w:lastRowFirstColumn="0" w:lastRowLastColumn="0"/>
          <w:trHeight w:val="6"/>
        </w:trPr>
        <w:tc>
          <w:tcPr>
            <w:tcW w:w="0" w:type="auto"/>
            <w:shd w:val="clear" w:color="auto" w:fill="auto"/>
          </w:tcPr>
          <w:p w14:paraId="0B22D6F4" w14:textId="77777777" w:rsidR="0090272B" w:rsidRPr="003D290F" w:rsidRDefault="00187584" w:rsidP="0090272B">
            <w:pPr>
              <w:spacing w:line="288" w:lineRule="auto"/>
              <w:rPr>
                <w:rFonts w:eastAsia="Times New Roman" w:cs="Segoe UI"/>
                <w:sz w:val="20"/>
                <w:szCs w:val="20"/>
              </w:rPr>
            </w:pPr>
            <w:r w:rsidRPr="003D290F">
              <w:rPr>
                <w:rFonts w:eastAsia="Times New Roman" w:cs="Segoe UI"/>
                <w:sz w:val="20"/>
                <w:szCs w:val="20"/>
              </w:rPr>
              <w:t>% A</w:t>
            </w:r>
            <w:r w:rsidR="0090272B" w:rsidRPr="003D290F">
              <w:rPr>
                <w:rFonts w:eastAsia="Times New Roman" w:cs="Segoe UI"/>
                <w:sz w:val="20"/>
                <w:szCs w:val="20"/>
              </w:rPr>
              <w:t xml:space="preserve">ccept package and retire 1-3 years earlier </w:t>
            </w:r>
          </w:p>
        </w:tc>
        <w:tc>
          <w:tcPr>
            <w:tcW w:w="0" w:type="auto"/>
            <w:shd w:val="clear" w:color="auto" w:fill="auto"/>
          </w:tcPr>
          <w:p w14:paraId="529D038A" w14:textId="77777777" w:rsidR="0090272B" w:rsidRPr="003D290F" w:rsidRDefault="00A63939" w:rsidP="0090272B">
            <w:pPr>
              <w:spacing w:line="288" w:lineRule="auto"/>
              <w:rPr>
                <w:rFonts w:eastAsia="Times New Roman" w:cs="Segoe UI"/>
                <w:sz w:val="20"/>
                <w:szCs w:val="20"/>
              </w:rPr>
            </w:pPr>
            <w:r w:rsidRPr="003D290F">
              <w:rPr>
                <w:rFonts w:eastAsia="Times New Roman" w:cs="Segoe UI"/>
                <w:sz w:val="20"/>
                <w:szCs w:val="20"/>
              </w:rPr>
              <w:t>Analysis of costs and benefits of accepting retirement package, the value of gained leisure time and cost of foregone earnings.</w:t>
            </w:r>
          </w:p>
        </w:tc>
        <w:tc>
          <w:tcPr>
            <w:tcW w:w="0" w:type="auto"/>
            <w:shd w:val="clear" w:color="auto" w:fill="auto"/>
          </w:tcPr>
          <w:p w14:paraId="6C9DA81C" w14:textId="77777777" w:rsidR="0090272B" w:rsidRPr="003D290F" w:rsidRDefault="00A63939" w:rsidP="0090272B">
            <w:pPr>
              <w:spacing w:line="288" w:lineRule="auto"/>
              <w:rPr>
                <w:rFonts w:eastAsia="Times New Roman" w:cs="Segoe UI"/>
                <w:sz w:val="20"/>
                <w:szCs w:val="20"/>
              </w:rPr>
            </w:pPr>
            <w:r w:rsidRPr="003D290F">
              <w:rPr>
                <w:rFonts w:eastAsia="Times New Roman" w:cs="Segoe UI"/>
                <w:sz w:val="20"/>
                <w:szCs w:val="20"/>
              </w:rPr>
              <w:t>43</w:t>
            </w:r>
            <w:r w:rsidR="0090272B" w:rsidRPr="003D290F">
              <w:rPr>
                <w:rFonts w:eastAsia="Times New Roman" w:cs="Segoe UI"/>
                <w:sz w:val="20"/>
                <w:szCs w:val="20"/>
              </w:rPr>
              <w:t>%</w:t>
            </w:r>
          </w:p>
        </w:tc>
        <w:tc>
          <w:tcPr>
            <w:tcW w:w="0" w:type="auto"/>
            <w:shd w:val="clear" w:color="auto" w:fill="auto"/>
          </w:tcPr>
          <w:p w14:paraId="77473859" w14:textId="77777777" w:rsidR="0090272B" w:rsidRPr="003D290F" w:rsidRDefault="00A63939" w:rsidP="0090272B">
            <w:pPr>
              <w:spacing w:line="288" w:lineRule="auto"/>
              <w:rPr>
                <w:rFonts w:eastAsia="Times New Roman" w:cs="Segoe UI"/>
                <w:sz w:val="20"/>
                <w:szCs w:val="20"/>
              </w:rPr>
            </w:pPr>
            <w:r w:rsidRPr="003D290F">
              <w:rPr>
                <w:rFonts w:eastAsia="Times New Roman" w:cs="Segoe UI"/>
                <w:sz w:val="20"/>
                <w:szCs w:val="20"/>
              </w:rPr>
              <w:t>43</w:t>
            </w:r>
            <w:r w:rsidR="0090272B" w:rsidRPr="003D290F">
              <w:rPr>
                <w:rFonts w:eastAsia="Times New Roman" w:cs="Segoe UI"/>
                <w:sz w:val="20"/>
                <w:szCs w:val="20"/>
              </w:rPr>
              <w:t>%</w:t>
            </w:r>
          </w:p>
        </w:tc>
      </w:tr>
      <w:tr w:rsidR="0013705D" w:rsidRPr="003D290F" w14:paraId="4EF74B41" w14:textId="77777777" w:rsidTr="00A47364">
        <w:trPr>
          <w:trHeight w:val="6"/>
        </w:trPr>
        <w:tc>
          <w:tcPr>
            <w:tcW w:w="0" w:type="auto"/>
          </w:tcPr>
          <w:p w14:paraId="5F0D1746" w14:textId="77777777" w:rsidR="0090272B" w:rsidRPr="003D290F" w:rsidRDefault="00187584">
            <w:pPr>
              <w:spacing w:line="288" w:lineRule="auto"/>
              <w:rPr>
                <w:rFonts w:eastAsia="Times New Roman" w:cs="Segoe UI"/>
                <w:sz w:val="20"/>
                <w:szCs w:val="20"/>
              </w:rPr>
            </w:pPr>
            <w:r w:rsidRPr="003D290F">
              <w:rPr>
                <w:rFonts w:eastAsia="Times New Roman" w:cs="Segoe UI"/>
                <w:sz w:val="20"/>
                <w:szCs w:val="20"/>
              </w:rPr>
              <w:t>% A</w:t>
            </w:r>
            <w:r w:rsidR="0090272B" w:rsidRPr="003D290F">
              <w:rPr>
                <w:rFonts w:eastAsia="Times New Roman" w:cs="Segoe UI"/>
                <w:sz w:val="20"/>
                <w:szCs w:val="20"/>
              </w:rPr>
              <w:t>ccept package and subsequently find alternate employment</w:t>
            </w:r>
          </w:p>
        </w:tc>
        <w:tc>
          <w:tcPr>
            <w:tcW w:w="0" w:type="auto"/>
          </w:tcPr>
          <w:p w14:paraId="1442C9E0" w14:textId="77777777" w:rsidR="0090272B" w:rsidRPr="003D290F" w:rsidRDefault="00A63939" w:rsidP="0090272B">
            <w:pPr>
              <w:spacing w:line="288" w:lineRule="auto"/>
              <w:rPr>
                <w:rFonts w:eastAsia="Times New Roman" w:cs="Segoe UI"/>
                <w:sz w:val="20"/>
                <w:szCs w:val="20"/>
              </w:rPr>
            </w:pPr>
            <w:r w:rsidRPr="003D290F">
              <w:rPr>
                <w:rFonts w:eastAsia="Times New Roman" w:cs="Segoe UI"/>
                <w:sz w:val="20"/>
                <w:szCs w:val="20"/>
              </w:rPr>
              <w:t>Analysis of relative benefits between retirement and finding alternate employment subsequent to accepting retirement package.</w:t>
            </w:r>
          </w:p>
        </w:tc>
        <w:tc>
          <w:tcPr>
            <w:tcW w:w="0" w:type="auto"/>
          </w:tcPr>
          <w:p w14:paraId="61476100" w14:textId="77777777" w:rsidR="0090272B" w:rsidRPr="003D290F" w:rsidRDefault="00A63939" w:rsidP="0090272B">
            <w:pPr>
              <w:spacing w:line="288" w:lineRule="auto"/>
              <w:rPr>
                <w:rFonts w:eastAsia="Times New Roman" w:cs="Segoe UI"/>
                <w:sz w:val="20"/>
                <w:szCs w:val="20"/>
              </w:rPr>
            </w:pPr>
            <w:r w:rsidRPr="003D290F">
              <w:rPr>
                <w:rFonts w:eastAsia="Times New Roman" w:cs="Segoe UI"/>
                <w:sz w:val="20"/>
                <w:szCs w:val="20"/>
              </w:rPr>
              <w:t>45</w:t>
            </w:r>
            <w:r w:rsidR="0090272B" w:rsidRPr="003D290F">
              <w:rPr>
                <w:rFonts w:eastAsia="Times New Roman" w:cs="Segoe UI"/>
                <w:sz w:val="20"/>
                <w:szCs w:val="20"/>
              </w:rPr>
              <w:t>%</w:t>
            </w:r>
          </w:p>
        </w:tc>
        <w:tc>
          <w:tcPr>
            <w:tcW w:w="0" w:type="auto"/>
          </w:tcPr>
          <w:p w14:paraId="0A6139E9" w14:textId="77777777" w:rsidR="0090272B" w:rsidRPr="003D290F" w:rsidRDefault="00A63939" w:rsidP="0090272B">
            <w:pPr>
              <w:spacing w:line="288" w:lineRule="auto"/>
              <w:rPr>
                <w:rFonts w:eastAsia="Times New Roman" w:cs="Segoe UI"/>
                <w:sz w:val="20"/>
                <w:szCs w:val="20"/>
              </w:rPr>
            </w:pPr>
            <w:r w:rsidRPr="003D290F">
              <w:rPr>
                <w:rFonts w:eastAsia="Times New Roman" w:cs="Segoe UI"/>
                <w:sz w:val="20"/>
                <w:szCs w:val="20"/>
              </w:rPr>
              <w:t>45</w:t>
            </w:r>
            <w:r w:rsidR="0090272B" w:rsidRPr="003D290F">
              <w:rPr>
                <w:rFonts w:eastAsia="Times New Roman" w:cs="Segoe UI"/>
                <w:sz w:val="20"/>
                <w:szCs w:val="20"/>
              </w:rPr>
              <w:t>%</w:t>
            </w:r>
          </w:p>
        </w:tc>
      </w:tr>
      <w:tr w:rsidR="0013705D" w:rsidRPr="009B4DBE" w14:paraId="478A63FD" w14:textId="77777777" w:rsidTr="00A63994">
        <w:trPr>
          <w:cnfStyle w:val="000000100000" w:firstRow="0" w:lastRow="0" w:firstColumn="0" w:lastColumn="0" w:oddVBand="0" w:evenVBand="0" w:oddHBand="1" w:evenHBand="0" w:firstRowFirstColumn="0" w:firstRowLastColumn="0" w:lastRowFirstColumn="0" w:lastRowLastColumn="0"/>
          <w:trHeight w:val="6"/>
        </w:trPr>
        <w:tc>
          <w:tcPr>
            <w:tcW w:w="0" w:type="auto"/>
            <w:shd w:val="clear" w:color="auto" w:fill="auto"/>
          </w:tcPr>
          <w:p w14:paraId="000ECB84" w14:textId="77777777" w:rsidR="00187584" w:rsidRPr="003D290F" w:rsidRDefault="00187584" w:rsidP="00187584">
            <w:pPr>
              <w:spacing w:line="288" w:lineRule="auto"/>
              <w:rPr>
                <w:rFonts w:eastAsia="Times New Roman" w:cs="Segoe UI"/>
                <w:sz w:val="20"/>
                <w:szCs w:val="20"/>
              </w:rPr>
            </w:pPr>
            <w:r w:rsidRPr="003D290F">
              <w:rPr>
                <w:rFonts w:eastAsia="Times New Roman" w:cs="Segoe UI"/>
                <w:sz w:val="20"/>
                <w:szCs w:val="20"/>
              </w:rPr>
              <w:t>% Accept package to leave labour force, subsequently become a job-seeker and unemployed for &lt;1 year</w:t>
            </w:r>
          </w:p>
        </w:tc>
        <w:tc>
          <w:tcPr>
            <w:tcW w:w="0" w:type="auto"/>
            <w:shd w:val="clear" w:color="auto" w:fill="auto"/>
          </w:tcPr>
          <w:p w14:paraId="52A244B1" w14:textId="77777777" w:rsidR="00187584" w:rsidRPr="003D290F" w:rsidDel="00A63939" w:rsidRDefault="00187584" w:rsidP="00070A5F">
            <w:pPr>
              <w:spacing w:line="288" w:lineRule="auto"/>
              <w:rPr>
                <w:rFonts w:eastAsia="Times New Roman" w:cs="Segoe UI"/>
                <w:sz w:val="20"/>
                <w:szCs w:val="20"/>
              </w:rPr>
            </w:pPr>
            <w:r w:rsidRPr="003D290F">
              <w:rPr>
                <w:rFonts w:eastAsia="Times New Roman" w:cs="Segoe UI"/>
                <w:sz w:val="20"/>
                <w:szCs w:val="20"/>
              </w:rPr>
              <w:t xml:space="preserve">Analysis of benefits of genuine early retirement package (with favourable tax treatment) to workers, relative to no income. A small number of employees may subsequently choose to re-enter the labour force. </w:t>
            </w:r>
          </w:p>
        </w:tc>
        <w:tc>
          <w:tcPr>
            <w:tcW w:w="0" w:type="auto"/>
            <w:shd w:val="clear" w:color="auto" w:fill="auto"/>
          </w:tcPr>
          <w:p w14:paraId="36322DEB" w14:textId="77777777" w:rsidR="00187584" w:rsidRPr="003D290F" w:rsidDel="00A63939" w:rsidRDefault="00187584" w:rsidP="00187584">
            <w:pPr>
              <w:spacing w:line="288" w:lineRule="auto"/>
              <w:rPr>
                <w:rFonts w:eastAsia="Times New Roman" w:cs="Segoe UI"/>
                <w:sz w:val="20"/>
                <w:szCs w:val="20"/>
              </w:rPr>
            </w:pPr>
            <w:r w:rsidRPr="003D290F">
              <w:rPr>
                <w:rFonts w:eastAsia="Times New Roman" w:cs="Segoe UI"/>
                <w:sz w:val="20"/>
                <w:szCs w:val="20"/>
              </w:rPr>
              <w:t>2%</w:t>
            </w:r>
          </w:p>
        </w:tc>
        <w:tc>
          <w:tcPr>
            <w:tcW w:w="0" w:type="auto"/>
            <w:shd w:val="clear" w:color="auto" w:fill="auto"/>
          </w:tcPr>
          <w:p w14:paraId="3E185BE6" w14:textId="77777777" w:rsidR="00187584" w:rsidRPr="00070A5F" w:rsidDel="00A63939" w:rsidRDefault="00187584" w:rsidP="00187584">
            <w:pPr>
              <w:spacing w:line="288" w:lineRule="auto"/>
              <w:rPr>
                <w:rFonts w:eastAsia="Times New Roman" w:cs="Segoe UI"/>
                <w:sz w:val="20"/>
                <w:szCs w:val="20"/>
              </w:rPr>
            </w:pPr>
            <w:r w:rsidRPr="003D290F">
              <w:rPr>
                <w:rFonts w:eastAsia="Times New Roman" w:cs="Segoe UI"/>
                <w:sz w:val="20"/>
                <w:szCs w:val="20"/>
              </w:rPr>
              <w:t>2%</w:t>
            </w:r>
          </w:p>
        </w:tc>
      </w:tr>
    </w:tbl>
    <w:p w14:paraId="232ACE28" w14:textId="77777777" w:rsidR="0013116E" w:rsidRPr="003404D9" w:rsidRDefault="0013116E" w:rsidP="00896265">
      <w:pPr>
        <w:spacing w:after="0"/>
        <w:rPr>
          <w:rFonts w:asciiTheme="minorHAnsi" w:hAnsiTheme="minorHAnsi" w:cstheme="minorHAnsi"/>
        </w:rPr>
      </w:pPr>
      <w:bookmarkStart w:id="450" w:name="_GoBack"/>
      <w:bookmarkEnd w:id="450"/>
    </w:p>
    <w:sectPr w:rsidR="0013116E" w:rsidRPr="003404D9" w:rsidSect="00F92D0C">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8C369" w14:textId="77777777" w:rsidR="00A0422C" w:rsidRDefault="00A0422C" w:rsidP="00F957C6">
      <w:pPr>
        <w:spacing w:after="0" w:line="240" w:lineRule="auto"/>
      </w:pPr>
      <w:r>
        <w:separator/>
      </w:r>
    </w:p>
    <w:p w14:paraId="53FD9B97" w14:textId="77777777" w:rsidR="00A0422C" w:rsidRDefault="00A0422C"/>
  </w:endnote>
  <w:endnote w:type="continuationSeparator" w:id="0">
    <w:p w14:paraId="4346C0DA" w14:textId="77777777" w:rsidR="00A0422C" w:rsidRDefault="00A0422C" w:rsidP="00F957C6">
      <w:pPr>
        <w:spacing w:after="0" w:line="240" w:lineRule="auto"/>
      </w:pPr>
      <w:r>
        <w:continuationSeparator/>
      </w:r>
    </w:p>
    <w:p w14:paraId="0C61529A" w14:textId="77777777" w:rsidR="00A0422C" w:rsidRDefault="00A0422C"/>
  </w:endnote>
  <w:endnote w:type="continuationNotice" w:id="1">
    <w:p w14:paraId="3962517A" w14:textId="77777777" w:rsidR="00A0422C" w:rsidRDefault="00A0422C">
      <w:pPr>
        <w:spacing w:after="0" w:line="240" w:lineRule="auto"/>
      </w:pPr>
    </w:p>
    <w:p w14:paraId="0BDC8FD6" w14:textId="77777777" w:rsidR="00A0422C" w:rsidRDefault="00A042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64D81" w14:textId="77777777" w:rsidR="00C269CD" w:rsidRDefault="00C26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1974B" w14:textId="77777777" w:rsidR="00723EF8" w:rsidRPr="000231DC" w:rsidRDefault="00723EF8" w:rsidP="000231DC">
    <w:pPr>
      <w:pStyle w:val="Footer"/>
      <w:spacing w:before="120"/>
      <w:rPr>
        <w:rFonts w:cs="Segoe UI"/>
        <w:sz w:val="18"/>
        <w:szCs w:val="18"/>
      </w:rPr>
    </w:pPr>
    <w:r w:rsidRPr="000231DC">
      <w:rPr>
        <w:rFonts w:cs="Segoe UI"/>
        <w:color w:val="6E6E6E"/>
        <w:sz w:val="18"/>
        <w:szCs w:val="18"/>
      </w:rPr>
      <w:t xml:space="preserve">Net Zero Economy Agency | Impact Analysis – </w:t>
    </w:r>
    <w:r>
      <w:rPr>
        <w:rFonts w:cs="Segoe UI"/>
        <w:color w:val="6E6E6E"/>
        <w:sz w:val="18"/>
        <w:szCs w:val="18"/>
      </w:rPr>
      <w:t>S</w:t>
    </w:r>
    <w:r w:rsidRPr="000231DC">
      <w:rPr>
        <w:rFonts w:cs="Segoe UI"/>
        <w:color w:val="6E6E6E"/>
        <w:sz w:val="18"/>
        <w:szCs w:val="18"/>
      </w:rPr>
      <w:t>uppor</w:t>
    </w:r>
    <w:r>
      <w:rPr>
        <w:rFonts w:cs="Segoe UI"/>
        <w:color w:val="6E6E6E"/>
        <w:sz w:val="18"/>
        <w:szCs w:val="18"/>
      </w:rPr>
      <w:t>t for</w:t>
    </w:r>
    <w:r w:rsidRPr="000231DC">
      <w:rPr>
        <w:rFonts w:cs="Segoe UI"/>
        <w:color w:val="6E6E6E"/>
        <w:sz w:val="18"/>
        <w:szCs w:val="18"/>
      </w:rPr>
      <w:t xml:space="preserve"> workers </w:t>
    </w:r>
    <w:r>
      <w:rPr>
        <w:rFonts w:cs="Segoe UI"/>
        <w:color w:val="6E6E6E"/>
        <w:sz w:val="18"/>
        <w:szCs w:val="18"/>
      </w:rPr>
      <w:t>during</w:t>
    </w:r>
    <w:r w:rsidRPr="000231DC">
      <w:rPr>
        <w:rFonts w:cs="Segoe UI"/>
        <w:color w:val="6E6E6E"/>
        <w:sz w:val="18"/>
        <w:szCs w:val="18"/>
      </w:rPr>
      <w:t xml:space="preserve"> </w:t>
    </w:r>
    <w:r>
      <w:rPr>
        <w:rFonts w:cs="Segoe UI"/>
        <w:color w:val="6E6E6E"/>
        <w:sz w:val="18"/>
        <w:szCs w:val="18"/>
      </w:rPr>
      <w:t xml:space="preserve">the net zero transition </w:t>
    </w:r>
  </w:p>
  <w:p w14:paraId="3AE5D743" w14:textId="0879E518" w:rsidR="00723EF8" w:rsidRPr="00913EB6" w:rsidRDefault="00E32F9D" w:rsidP="00913EB6">
    <w:pPr>
      <w:pStyle w:val="Footer"/>
      <w:jc w:val="right"/>
      <w:rPr>
        <w:rFonts w:cs="Segoe UI"/>
        <w:sz w:val="18"/>
        <w:szCs w:val="18"/>
      </w:rPr>
    </w:pPr>
    <w:sdt>
      <w:sdtPr>
        <w:rPr>
          <w:rFonts w:cs="Segoe UI"/>
          <w:sz w:val="18"/>
          <w:szCs w:val="18"/>
        </w:rPr>
        <w:id w:val="-1209879136"/>
        <w:docPartObj>
          <w:docPartGallery w:val="Page Numbers (Bottom of Page)"/>
          <w:docPartUnique/>
        </w:docPartObj>
      </w:sdtPr>
      <w:sdtEndPr/>
      <w:sdtContent>
        <w:sdt>
          <w:sdtPr>
            <w:rPr>
              <w:rFonts w:cs="Segoe UI"/>
              <w:sz w:val="18"/>
              <w:szCs w:val="18"/>
            </w:rPr>
            <w:id w:val="-1769616900"/>
            <w:docPartObj>
              <w:docPartGallery w:val="Page Numbers (Top of Page)"/>
              <w:docPartUnique/>
            </w:docPartObj>
          </w:sdtPr>
          <w:sdtEndPr/>
          <w:sdtContent>
            <w:r w:rsidR="00723EF8" w:rsidRPr="000231DC">
              <w:rPr>
                <w:rFonts w:cs="Segoe UI"/>
                <w:sz w:val="18"/>
                <w:szCs w:val="18"/>
              </w:rPr>
              <w:t xml:space="preserve">Page </w:t>
            </w:r>
            <w:r w:rsidR="00723EF8" w:rsidRPr="000231DC">
              <w:rPr>
                <w:rFonts w:cs="Segoe UI"/>
                <w:b/>
                <w:bCs/>
                <w:sz w:val="18"/>
                <w:szCs w:val="18"/>
              </w:rPr>
              <w:fldChar w:fldCharType="begin"/>
            </w:r>
            <w:r w:rsidR="00723EF8" w:rsidRPr="000231DC">
              <w:rPr>
                <w:rFonts w:cs="Segoe UI"/>
                <w:b/>
                <w:bCs/>
                <w:sz w:val="18"/>
                <w:szCs w:val="18"/>
              </w:rPr>
              <w:instrText xml:space="preserve"> PAGE </w:instrText>
            </w:r>
            <w:r w:rsidR="00723EF8" w:rsidRPr="000231DC">
              <w:rPr>
                <w:rFonts w:cs="Segoe UI"/>
                <w:b/>
                <w:bCs/>
                <w:sz w:val="18"/>
                <w:szCs w:val="18"/>
              </w:rPr>
              <w:fldChar w:fldCharType="separate"/>
            </w:r>
            <w:r>
              <w:rPr>
                <w:rFonts w:cs="Segoe UI"/>
                <w:b/>
                <w:bCs/>
                <w:noProof/>
                <w:sz w:val="18"/>
                <w:szCs w:val="18"/>
              </w:rPr>
              <w:t>83</w:t>
            </w:r>
            <w:r w:rsidR="00723EF8" w:rsidRPr="000231DC">
              <w:rPr>
                <w:rFonts w:cs="Segoe UI"/>
                <w:b/>
                <w:bCs/>
                <w:sz w:val="18"/>
                <w:szCs w:val="18"/>
              </w:rPr>
              <w:fldChar w:fldCharType="end"/>
            </w:r>
            <w:r w:rsidR="00723EF8" w:rsidRPr="000231DC">
              <w:rPr>
                <w:rFonts w:cs="Segoe UI"/>
                <w:sz w:val="18"/>
                <w:szCs w:val="18"/>
              </w:rPr>
              <w:t xml:space="preserve"> of </w:t>
            </w:r>
            <w:r w:rsidR="00723EF8" w:rsidRPr="000231DC">
              <w:rPr>
                <w:rFonts w:cs="Segoe UI"/>
                <w:b/>
                <w:bCs/>
                <w:sz w:val="18"/>
                <w:szCs w:val="18"/>
              </w:rPr>
              <w:fldChar w:fldCharType="begin"/>
            </w:r>
            <w:r w:rsidR="00723EF8" w:rsidRPr="000231DC">
              <w:rPr>
                <w:rFonts w:cs="Segoe UI"/>
                <w:b/>
                <w:bCs/>
                <w:sz w:val="18"/>
                <w:szCs w:val="18"/>
              </w:rPr>
              <w:instrText xml:space="preserve"> NUMPAGES  </w:instrText>
            </w:r>
            <w:r w:rsidR="00723EF8" w:rsidRPr="000231DC">
              <w:rPr>
                <w:rFonts w:cs="Segoe UI"/>
                <w:b/>
                <w:bCs/>
                <w:sz w:val="18"/>
                <w:szCs w:val="18"/>
              </w:rPr>
              <w:fldChar w:fldCharType="separate"/>
            </w:r>
            <w:r>
              <w:rPr>
                <w:rFonts w:cs="Segoe UI"/>
                <w:b/>
                <w:bCs/>
                <w:noProof/>
                <w:sz w:val="18"/>
                <w:szCs w:val="18"/>
              </w:rPr>
              <w:t>83</w:t>
            </w:r>
            <w:r w:rsidR="00723EF8" w:rsidRPr="000231DC">
              <w:rPr>
                <w:rFonts w:cs="Segoe UI"/>
                <w:b/>
                <w:bCs/>
                <w:sz w:val="18"/>
                <w:szCs w:val="18"/>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7B5A" w14:textId="77777777" w:rsidR="00723EF8" w:rsidRDefault="00723EF8" w:rsidP="00464D89">
    <w:pPr>
      <w:pStyle w:val="Header"/>
      <w:jc w:val="center"/>
    </w:pPr>
  </w:p>
  <w:p w14:paraId="18C11BB7" w14:textId="77777777" w:rsidR="00723EF8" w:rsidRPr="00BB1526" w:rsidRDefault="00723EF8" w:rsidP="00BB1526">
    <w:pPr>
      <w:pStyle w:val="Header"/>
      <w:rPr>
        <w:rFonts w:cs="Segoe UI"/>
        <w:color w:val="6E6E6E"/>
        <w:sz w:val="18"/>
      </w:rPr>
    </w:pPr>
    <w:r>
      <w:rPr>
        <w:color w:val="6E6E6E"/>
        <w:sz w:val="18"/>
        <w:szCs w:val="18"/>
      </w:rPr>
      <w:t xml:space="preserve">Net Zero Economy Agency </w:t>
    </w:r>
    <w:r w:rsidRPr="00852F35">
      <w:rPr>
        <w:color w:val="6E6E6E"/>
        <w:sz w:val="18"/>
        <w:szCs w:val="18"/>
      </w:rPr>
      <w:t xml:space="preserve">| </w:t>
    </w:r>
    <w:r>
      <w:rPr>
        <w:color w:val="6E6E6E"/>
        <w:sz w:val="18"/>
        <w:szCs w:val="18"/>
      </w:rPr>
      <w:t>Impact Analysis</w:t>
    </w:r>
    <w:r w:rsidRPr="00852F35">
      <w:rPr>
        <w:color w:val="6E6E6E"/>
      </w:rPr>
      <w:ptab w:relativeTo="margin" w:alignment="right" w:leader="none"/>
    </w:r>
    <w:r w:rsidRPr="00852F35">
      <w:rPr>
        <w:rFonts w:cs="Segoe UI"/>
        <w:color w:val="6E6E6E"/>
        <w:sz w:val="18"/>
      </w:rPr>
      <w:fldChar w:fldCharType="begin"/>
    </w:r>
    <w:r w:rsidRPr="00852F35">
      <w:rPr>
        <w:rFonts w:cs="Segoe UI"/>
        <w:color w:val="6E6E6E"/>
        <w:sz w:val="18"/>
      </w:rPr>
      <w:instrText xml:space="preserve"> PAGE   \* MERGEFORMAT </w:instrText>
    </w:r>
    <w:r w:rsidRPr="00852F35">
      <w:rPr>
        <w:rFonts w:cs="Segoe UI"/>
        <w:color w:val="6E6E6E"/>
        <w:sz w:val="18"/>
      </w:rPr>
      <w:fldChar w:fldCharType="separate"/>
    </w:r>
    <w:r>
      <w:rPr>
        <w:rFonts w:cs="Segoe UI"/>
        <w:noProof/>
        <w:color w:val="6E6E6E"/>
        <w:sz w:val="18"/>
      </w:rPr>
      <w:t>1</w:t>
    </w:r>
    <w:r w:rsidRPr="00852F35">
      <w:rPr>
        <w:rFonts w:cs="Segoe UI"/>
        <w:noProof/>
        <w:color w:val="6E6E6E"/>
        <w:sz w:val="18"/>
      </w:rPr>
      <w:fldChar w:fldCharType="end"/>
    </w:r>
  </w:p>
  <w:p w14:paraId="4351043C" w14:textId="77777777" w:rsidR="00723EF8" w:rsidRDefault="00723EF8"/>
  <w:p w14:paraId="161C59F3" w14:textId="77777777" w:rsidR="00723EF8" w:rsidRDefault="00723EF8"/>
  <w:p w14:paraId="58B3852F" w14:textId="77777777" w:rsidR="00723EF8" w:rsidRDefault="00723E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3A7ED" w14:textId="77777777" w:rsidR="00A0422C" w:rsidRPr="00896265" w:rsidRDefault="00A0422C" w:rsidP="00896265">
      <w:pPr>
        <w:pStyle w:val="Footer"/>
      </w:pPr>
      <w:r>
        <w:separator/>
      </w:r>
    </w:p>
  </w:footnote>
  <w:footnote w:type="continuationSeparator" w:id="0">
    <w:p w14:paraId="24BE0F4F" w14:textId="77777777" w:rsidR="00A0422C" w:rsidRDefault="00A0422C" w:rsidP="00F957C6">
      <w:pPr>
        <w:spacing w:after="0" w:line="240" w:lineRule="auto"/>
      </w:pPr>
      <w:r>
        <w:continuationSeparator/>
      </w:r>
    </w:p>
    <w:p w14:paraId="2A5E05DE" w14:textId="77777777" w:rsidR="00A0422C" w:rsidRDefault="00A0422C"/>
  </w:footnote>
  <w:footnote w:type="continuationNotice" w:id="1">
    <w:p w14:paraId="5E79AD13" w14:textId="77777777" w:rsidR="00A0422C" w:rsidRDefault="00A0422C">
      <w:pPr>
        <w:spacing w:after="0" w:line="240" w:lineRule="auto"/>
      </w:pPr>
    </w:p>
    <w:p w14:paraId="7CF1921B" w14:textId="77777777" w:rsidR="00A0422C" w:rsidRDefault="00A0422C"/>
  </w:footnote>
  <w:footnote w:id="2">
    <w:p w14:paraId="5A7F1EB4" w14:textId="77777777" w:rsidR="00723EF8" w:rsidRDefault="00723EF8" w:rsidP="00223EA5">
      <w:pPr>
        <w:pStyle w:val="FootnoteText"/>
      </w:pPr>
      <w:r w:rsidRPr="00600D23">
        <w:rPr>
          <w:rStyle w:val="FootnoteReference"/>
          <w:sz w:val="16"/>
          <w:szCs w:val="16"/>
        </w:rPr>
        <w:footnoteRef/>
      </w:r>
      <w:r>
        <w:t xml:space="preserve"> </w:t>
      </w:r>
      <w:r w:rsidRPr="00B269B9">
        <w:rPr>
          <w:rFonts w:eastAsia="Times New Roman" w:cs="Segoe UI"/>
          <w:b/>
          <w:color w:val="1B375C"/>
          <w:sz w:val="16"/>
          <w:szCs w:val="22"/>
        </w:rPr>
        <w:t>Chapter 4</w:t>
      </w:r>
      <w:r w:rsidRPr="00B269B9">
        <w:rPr>
          <w:sz w:val="10"/>
          <w:szCs w:val="16"/>
        </w:rPr>
        <w:t xml:space="preserve"> </w:t>
      </w:r>
      <w:r>
        <w:rPr>
          <w:sz w:val="16"/>
          <w:szCs w:val="16"/>
        </w:rPr>
        <w:t xml:space="preserve">outlines in further detail </w:t>
      </w:r>
      <w:r w:rsidRPr="00600D23">
        <w:rPr>
          <w:sz w:val="16"/>
          <w:szCs w:val="16"/>
        </w:rPr>
        <w:t xml:space="preserve">which power stations are assumed to be ‘in scope’ </w:t>
      </w:r>
      <w:r>
        <w:rPr>
          <w:sz w:val="16"/>
          <w:szCs w:val="16"/>
        </w:rPr>
        <w:t>for the purpose of this analysis for Options 2 and 3.</w:t>
      </w:r>
    </w:p>
  </w:footnote>
  <w:footnote w:id="3">
    <w:p w14:paraId="59C9B3D5" w14:textId="77777777" w:rsidR="00723EF8" w:rsidRPr="00CA3123" w:rsidRDefault="00723EF8" w:rsidP="0082582D">
      <w:pPr>
        <w:pStyle w:val="FootnoteText"/>
        <w:rPr>
          <w:sz w:val="16"/>
          <w:szCs w:val="16"/>
        </w:rPr>
      </w:pPr>
      <w:r w:rsidRPr="00CA3123">
        <w:rPr>
          <w:rStyle w:val="FootnoteReference"/>
          <w:sz w:val="16"/>
          <w:szCs w:val="16"/>
        </w:rPr>
        <w:footnoteRef/>
      </w:r>
      <w:r w:rsidRPr="00CA3123">
        <w:rPr>
          <w:sz w:val="16"/>
          <w:szCs w:val="16"/>
        </w:rPr>
        <w:t xml:space="preserve"> These rates are inputs into the model that illustrate the </w:t>
      </w:r>
      <w:r>
        <w:rPr>
          <w:sz w:val="16"/>
          <w:szCs w:val="16"/>
        </w:rPr>
        <w:t xml:space="preserve">expected </w:t>
      </w:r>
      <w:r w:rsidRPr="00CA3123">
        <w:rPr>
          <w:sz w:val="16"/>
          <w:szCs w:val="16"/>
        </w:rPr>
        <w:t>scale of the unquantified benefits under Option 2 and Option 3.</w:t>
      </w:r>
    </w:p>
  </w:footnote>
  <w:footnote w:id="4">
    <w:p w14:paraId="2A04E76B" w14:textId="77777777" w:rsidR="00723EF8" w:rsidRPr="001D3280" w:rsidRDefault="00723EF8">
      <w:pPr>
        <w:pStyle w:val="FootnoteText"/>
        <w:rPr>
          <w:sz w:val="16"/>
          <w:szCs w:val="16"/>
        </w:rPr>
      </w:pPr>
      <w:r w:rsidRPr="001D3280">
        <w:rPr>
          <w:rStyle w:val="FootnoteReference"/>
          <w:sz w:val="16"/>
          <w:szCs w:val="16"/>
        </w:rPr>
        <w:footnoteRef/>
      </w:r>
      <w:r w:rsidRPr="001D3280">
        <w:rPr>
          <w:sz w:val="16"/>
          <w:szCs w:val="16"/>
        </w:rPr>
        <w:t xml:space="preserve"> Australian Energy Market Operator</w:t>
      </w:r>
      <w:r>
        <w:rPr>
          <w:sz w:val="16"/>
          <w:szCs w:val="16"/>
        </w:rPr>
        <w:t>,</w:t>
      </w:r>
      <w:r w:rsidRPr="001D3280">
        <w:rPr>
          <w:sz w:val="16"/>
          <w:szCs w:val="16"/>
        </w:rPr>
        <w:t xml:space="preserve"> (Feb. 2024), </w:t>
      </w:r>
      <w:hyperlink r:id="rId1" w:history="1">
        <w:r>
          <w:rPr>
            <w:rStyle w:val="Hyperlink"/>
            <w:sz w:val="16"/>
            <w:szCs w:val="16"/>
          </w:rPr>
          <w:t>National Electricity Market Fact Sheet</w:t>
        </w:r>
      </w:hyperlink>
    </w:p>
  </w:footnote>
  <w:footnote w:id="5">
    <w:p w14:paraId="192EC313"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 Australia, (Sep. 2023), </w:t>
      </w:r>
      <w:hyperlink r:id="rId2" w:history="1">
        <w:r w:rsidRPr="009E02E2">
          <w:rPr>
            <w:rStyle w:val="Hyperlink"/>
            <w:sz w:val="16"/>
            <w:szCs w:val="16"/>
          </w:rPr>
          <w:t>Working Future: The Australian Government’s White Paper on Jobs and Opportunities</w:t>
        </w:r>
      </w:hyperlink>
    </w:p>
  </w:footnote>
  <w:footnote w:id="6">
    <w:p w14:paraId="31FE6328"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Australian Energy Market Operator, (Jul. 2023), </w:t>
      </w:r>
      <w:hyperlink r:id="rId3" w:history="1">
        <w:r w:rsidRPr="009E02E2">
          <w:rPr>
            <w:rStyle w:val="Hyperlink"/>
            <w:rFonts w:cs="Segoe UI"/>
            <w:sz w:val="16"/>
            <w:szCs w:val="16"/>
          </w:rPr>
          <w:t>Generation information</w:t>
        </w:r>
      </w:hyperlink>
      <w:r w:rsidRPr="009E02E2">
        <w:rPr>
          <w:rStyle w:val="Hyperlink"/>
          <w:rFonts w:cs="Segoe UI"/>
          <w:color w:val="auto"/>
          <w:sz w:val="16"/>
          <w:szCs w:val="16"/>
          <w:u w:val="none"/>
        </w:rPr>
        <w:t>;</w:t>
      </w:r>
      <w:r w:rsidRPr="009E02E2">
        <w:rPr>
          <w:rFonts w:cs="Segoe UI"/>
          <w:sz w:val="16"/>
          <w:szCs w:val="16"/>
        </w:rPr>
        <w:t xml:space="preserve"> Government of Western Australia (2023), </w:t>
      </w:r>
      <w:hyperlink r:id="rId4" w:history="1">
        <w:r w:rsidRPr="009E02E2">
          <w:rPr>
            <w:rStyle w:val="Hyperlink"/>
            <w:rFonts w:cs="Segoe UI"/>
            <w:sz w:val="16"/>
            <w:szCs w:val="16"/>
          </w:rPr>
          <w:t>Collie Community Fact Sheet</w:t>
        </w:r>
      </w:hyperlink>
    </w:p>
  </w:footnote>
  <w:footnote w:id="7">
    <w:p w14:paraId="072EB24D"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w:t>
      </w:r>
      <w:r w:rsidRPr="009E02E2">
        <w:rPr>
          <w:rFonts w:cs="Segoe UI"/>
          <w:sz w:val="16"/>
          <w:szCs w:val="16"/>
        </w:rPr>
        <w:t>Parliament of Australia</w:t>
      </w:r>
      <w:r w:rsidRPr="009E02E2">
        <w:rPr>
          <w:sz w:val="16"/>
          <w:szCs w:val="16"/>
        </w:rPr>
        <w:t xml:space="preserve">, (Jan. 2023), </w:t>
      </w:r>
      <w:hyperlink r:id="rId5" w:history="1">
        <w:r w:rsidRPr="009E02E2">
          <w:rPr>
            <w:rStyle w:val="Hyperlink"/>
            <w:sz w:val="16"/>
            <w:szCs w:val="16"/>
          </w:rPr>
          <w:t>Employment trends in coal mining and the renewable energy sector</w:t>
        </w:r>
      </w:hyperlink>
    </w:p>
  </w:footnote>
  <w:footnote w:id="8">
    <w:p w14:paraId="257AF35D"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Victorian Department of Jobs, Precincts and Regions, </w:t>
      </w:r>
      <w:hyperlink r:id="rId6" w:history="1">
        <w:r w:rsidRPr="009E02E2">
          <w:rPr>
            <w:rStyle w:val="Hyperlink"/>
            <w:rFonts w:cs="Segoe UI"/>
            <w:color w:val="000000"/>
            <w:sz w:val="16"/>
            <w:szCs w:val="16"/>
            <w:u w:val="none"/>
          </w:rPr>
          <w:t>(Dec. 2021),</w:t>
        </w:r>
      </w:hyperlink>
      <w:r w:rsidRPr="009E02E2">
        <w:rPr>
          <w:rStyle w:val="Hyperlink"/>
          <w:rFonts w:cs="Segoe UI"/>
          <w:color w:val="000000"/>
          <w:sz w:val="16"/>
          <w:szCs w:val="16"/>
          <w:u w:val="none"/>
        </w:rPr>
        <w:t xml:space="preserve"> </w:t>
      </w:r>
      <w:hyperlink r:id="rId7" w:history="1">
        <w:r w:rsidRPr="009E02E2">
          <w:rPr>
            <w:rStyle w:val="Hyperlink"/>
            <w:rFonts w:cs="Segoe UI"/>
            <w:color w:val="0563C6"/>
            <w:sz w:val="16"/>
            <w:szCs w:val="16"/>
          </w:rPr>
          <w:t>Submission to the Victorian Parliamentary Inquiry into the Closure of the Hazelwood and Yallourn Power Stations</w:t>
        </w:r>
      </w:hyperlink>
    </w:p>
  </w:footnote>
  <w:footnote w:id="9">
    <w:p w14:paraId="78D703E2"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Public Utilities Fortnightly, (Jun. 2020), </w:t>
      </w:r>
      <w:hyperlink r:id="rId8" w:history="1">
        <w:r w:rsidRPr="009E02E2">
          <w:rPr>
            <w:rStyle w:val="Hyperlink"/>
            <w:sz w:val="16"/>
            <w:szCs w:val="16"/>
          </w:rPr>
          <w:t>How Many Coal-Dependent Jobs Are There and How Important Are They?</w:t>
        </w:r>
      </w:hyperlink>
      <w:r w:rsidRPr="009E02E2">
        <w:rPr>
          <w:sz w:val="16"/>
          <w:szCs w:val="16"/>
        </w:rPr>
        <w:t xml:space="preserve"> </w:t>
      </w:r>
    </w:p>
  </w:footnote>
  <w:footnote w:id="10">
    <w:p w14:paraId="6BBCF1C8"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e61</w:t>
      </w:r>
      <w:r>
        <w:rPr>
          <w:sz w:val="16"/>
          <w:szCs w:val="16"/>
        </w:rPr>
        <w:t>,</w:t>
      </w:r>
      <w:r w:rsidRPr="009E02E2">
        <w:rPr>
          <w:sz w:val="16"/>
          <w:szCs w:val="16"/>
        </w:rPr>
        <w:t xml:space="preserve"> (Oct. 2023), </w:t>
      </w:r>
      <w:hyperlink r:id="rId9" w:history="1">
        <w:r w:rsidRPr="009E02E2">
          <w:rPr>
            <w:rStyle w:val="Hyperlink"/>
            <w:sz w:val="16"/>
            <w:szCs w:val="16"/>
          </w:rPr>
          <w:t>At the coalface: what happens to workers displaced by decarbonisation?</w:t>
        </w:r>
      </w:hyperlink>
    </w:p>
  </w:footnote>
  <w:footnote w:id="11">
    <w:p w14:paraId="4A946916"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See the Port Augusta case study in Environment Victoria, (Oct. 2021), </w:t>
      </w:r>
      <w:hyperlink r:id="rId10" w:history="1">
        <w:r w:rsidRPr="009E02E2">
          <w:rPr>
            <w:rStyle w:val="Hyperlink"/>
            <w:color w:val="0563C6"/>
            <w:sz w:val="16"/>
            <w:szCs w:val="16"/>
          </w:rPr>
          <w:t>Submission to the Victorian Parliamentary Inquiry into the Closure of the Hazelwood and Yallourn Power Stations</w:t>
        </w:r>
      </w:hyperlink>
      <w:r w:rsidRPr="009E02E2">
        <w:rPr>
          <w:sz w:val="16"/>
          <w:szCs w:val="16"/>
        </w:rPr>
        <w:t xml:space="preserve"> and the Mitsubishi case study in Browne-Yung et al</w:t>
      </w:r>
      <w:r>
        <w:rPr>
          <w:sz w:val="16"/>
          <w:szCs w:val="16"/>
        </w:rPr>
        <w:t>.</w:t>
      </w:r>
      <w:r w:rsidRPr="009E02E2">
        <w:rPr>
          <w:sz w:val="16"/>
          <w:szCs w:val="16"/>
        </w:rPr>
        <w:t xml:space="preserve">, (Jun. 2019), </w:t>
      </w:r>
      <w:hyperlink r:id="rId11" w:history="1">
        <w:r w:rsidRPr="009E02E2">
          <w:rPr>
            <w:rStyle w:val="Hyperlink"/>
            <w:rFonts w:cs="Segoe UI"/>
            <w:sz w:val="16"/>
            <w:szCs w:val="16"/>
          </w:rPr>
          <w:t>General Motor Holden’s closure in Playford, South Australia: Analysis of the policy response and its implications for health</w:t>
        </w:r>
      </w:hyperlink>
    </w:p>
  </w:footnote>
  <w:footnote w:id="12">
    <w:p w14:paraId="3A904C55"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Burke et al, (2019), </w:t>
      </w:r>
      <w:hyperlink r:id="rId12" w:history="1">
        <w:r w:rsidRPr="009E02E2">
          <w:rPr>
            <w:rStyle w:val="Hyperlink"/>
            <w:sz w:val="16"/>
            <w:szCs w:val="16"/>
          </w:rPr>
          <w:t>Closures of coal-fired power stations in Australia: local unemployment effects</w:t>
        </w:r>
      </w:hyperlink>
      <w:r w:rsidRPr="009E02E2">
        <w:rPr>
          <w:sz w:val="16"/>
          <w:szCs w:val="16"/>
        </w:rPr>
        <w:t xml:space="preserve">; and Green F &amp; Gambhir A. </w:t>
      </w:r>
      <w:hyperlink r:id="rId13" w:history="1">
        <w:r w:rsidRPr="009E02E2">
          <w:rPr>
            <w:rStyle w:val="Hyperlink"/>
            <w:sz w:val="16"/>
            <w:szCs w:val="16"/>
          </w:rPr>
          <w:t>Transitional assistance policies for just, equitable and smooth low-carbon transitions: who, what and how?</w:t>
        </w:r>
      </w:hyperlink>
    </w:p>
  </w:footnote>
  <w:footnote w:id="13">
    <w:p w14:paraId="4CCD1C77"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Jobs and </w:t>
      </w:r>
      <w:r w:rsidRPr="009E02E2">
        <w:rPr>
          <w:rFonts w:cs="Segoe UI"/>
          <w:sz w:val="16"/>
          <w:szCs w:val="16"/>
        </w:rPr>
        <w:t>Skills Australia</w:t>
      </w:r>
      <w:r>
        <w:rPr>
          <w:rFonts w:cs="Segoe UI"/>
          <w:sz w:val="16"/>
          <w:szCs w:val="16"/>
        </w:rPr>
        <w:t>,</w:t>
      </w:r>
      <w:r w:rsidRPr="009E02E2">
        <w:rPr>
          <w:rFonts w:cs="Segoe UI"/>
          <w:sz w:val="16"/>
          <w:szCs w:val="16"/>
        </w:rPr>
        <w:t xml:space="preserve"> (Dec. 2021), </w:t>
      </w:r>
      <w:hyperlink r:id="rId14" w:history="1">
        <w:r w:rsidRPr="009E02E2">
          <w:rPr>
            <w:rStyle w:val="Hyperlink"/>
            <w:rFonts w:cs="Segoe UI"/>
            <w:sz w:val="16"/>
            <w:szCs w:val="16"/>
          </w:rPr>
          <w:t>State of Australia’s Skills 2021: now and into the future</w:t>
        </w:r>
      </w:hyperlink>
    </w:p>
  </w:footnote>
  <w:footnote w:id="14">
    <w:p w14:paraId="73C9D4EC" w14:textId="77777777" w:rsidR="00723EF8" w:rsidRPr="008F0EAA" w:rsidRDefault="00723EF8" w:rsidP="00A41BA4">
      <w:pPr>
        <w:pStyle w:val="FootnoteText"/>
        <w:rPr>
          <w:sz w:val="16"/>
          <w:szCs w:val="16"/>
        </w:rPr>
      </w:pPr>
      <w:r w:rsidRPr="008F0EAA">
        <w:rPr>
          <w:rStyle w:val="FootnoteReference"/>
          <w:sz w:val="16"/>
          <w:szCs w:val="16"/>
        </w:rPr>
        <w:footnoteRef/>
      </w:r>
      <w:r w:rsidRPr="008F0EAA">
        <w:rPr>
          <w:sz w:val="16"/>
          <w:szCs w:val="16"/>
        </w:rPr>
        <w:t xml:space="preserve"> Australian Energy Market Operator</w:t>
      </w:r>
      <w:r>
        <w:rPr>
          <w:sz w:val="16"/>
          <w:szCs w:val="16"/>
        </w:rPr>
        <w:t>,</w:t>
      </w:r>
      <w:r w:rsidRPr="008F0EAA">
        <w:rPr>
          <w:sz w:val="16"/>
          <w:szCs w:val="16"/>
        </w:rPr>
        <w:t xml:space="preserve"> (Feb. 2024), </w:t>
      </w:r>
      <w:hyperlink r:id="rId15" w:history="1">
        <w:r w:rsidRPr="008F0EAA">
          <w:rPr>
            <w:rStyle w:val="Hyperlink"/>
            <w:sz w:val="16"/>
            <w:szCs w:val="16"/>
          </w:rPr>
          <w:t>National Electricity Market Fact Sheet</w:t>
        </w:r>
      </w:hyperlink>
    </w:p>
  </w:footnote>
  <w:footnote w:id="15">
    <w:p w14:paraId="20FA5DD1" w14:textId="77777777" w:rsidR="00723EF8" w:rsidRPr="008F0EAA" w:rsidRDefault="00723EF8" w:rsidP="00A41BA4">
      <w:pPr>
        <w:pStyle w:val="FootnoteText"/>
        <w:rPr>
          <w:sz w:val="16"/>
          <w:szCs w:val="16"/>
        </w:rPr>
      </w:pPr>
      <w:r w:rsidRPr="008F0EAA">
        <w:rPr>
          <w:rStyle w:val="FootnoteReference"/>
          <w:sz w:val="16"/>
          <w:szCs w:val="16"/>
        </w:rPr>
        <w:footnoteRef/>
      </w:r>
      <w:r w:rsidRPr="008F0EAA">
        <w:rPr>
          <w:sz w:val="16"/>
          <w:szCs w:val="16"/>
        </w:rPr>
        <w:t xml:space="preserve"> </w:t>
      </w:r>
      <w:r w:rsidRPr="009E02E2">
        <w:rPr>
          <w:sz w:val="16"/>
          <w:szCs w:val="16"/>
        </w:rPr>
        <w:t xml:space="preserve">Australian Energy Market Operator, (Jul. 2023), </w:t>
      </w:r>
      <w:hyperlink r:id="rId16" w:history="1">
        <w:r w:rsidRPr="009E02E2">
          <w:rPr>
            <w:rStyle w:val="Hyperlink"/>
            <w:rFonts w:cs="Segoe UI"/>
            <w:sz w:val="16"/>
            <w:szCs w:val="16"/>
          </w:rPr>
          <w:t>Generation information</w:t>
        </w:r>
      </w:hyperlink>
      <w:r w:rsidRPr="009E02E2">
        <w:rPr>
          <w:rStyle w:val="Hyperlink"/>
          <w:rFonts w:cs="Segoe UI"/>
          <w:color w:val="auto"/>
          <w:sz w:val="16"/>
          <w:szCs w:val="16"/>
          <w:u w:val="none"/>
        </w:rPr>
        <w:t>;</w:t>
      </w:r>
      <w:r w:rsidRPr="009E02E2">
        <w:rPr>
          <w:rFonts w:cs="Segoe UI"/>
          <w:sz w:val="16"/>
          <w:szCs w:val="16"/>
        </w:rPr>
        <w:t xml:space="preserve"> Government of Western Australia (2023), </w:t>
      </w:r>
      <w:hyperlink r:id="rId17" w:history="1">
        <w:r w:rsidRPr="009E02E2">
          <w:rPr>
            <w:rStyle w:val="Hyperlink"/>
            <w:rFonts w:cs="Segoe UI"/>
            <w:sz w:val="16"/>
            <w:szCs w:val="16"/>
          </w:rPr>
          <w:t>Collie Community Fact Sheet</w:t>
        </w:r>
      </w:hyperlink>
    </w:p>
  </w:footnote>
  <w:footnote w:id="16">
    <w:p w14:paraId="3FEDECF9" w14:textId="77777777" w:rsidR="00723EF8" w:rsidRPr="008F0EAA" w:rsidRDefault="00723EF8" w:rsidP="00A41BA4">
      <w:pPr>
        <w:pStyle w:val="FootnoteText"/>
        <w:rPr>
          <w:sz w:val="16"/>
          <w:szCs w:val="16"/>
        </w:rPr>
      </w:pPr>
      <w:r w:rsidRPr="008F0EAA">
        <w:rPr>
          <w:rStyle w:val="FootnoteReference"/>
          <w:sz w:val="16"/>
          <w:szCs w:val="16"/>
        </w:rPr>
        <w:footnoteRef/>
      </w:r>
      <w:r w:rsidRPr="008F0EAA">
        <w:rPr>
          <w:sz w:val="16"/>
          <w:szCs w:val="16"/>
        </w:rPr>
        <w:t xml:space="preserve"> Australian Energy Market Operator</w:t>
      </w:r>
      <w:r>
        <w:rPr>
          <w:sz w:val="16"/>
          <w:szCs w:val="16"/>
        </w:rPr>
        <w:t>,</w:t>
      </w:r>
      <w:r w:rsidRPr="008F0EAA">
        <w:rPr>
          <w:sz w:val="16"/>
          <w:szCs w:val="16"/>
        </w:rPr>
        <w:t xml:space="preserve"> (Feb. 2024), </w:t>
      </w:r>
      <w:hyperlink r:id="rId18" w:history="1">
        <w:r w:rsidRPr="008F0EAA">
          <w:rPr>
            <w:rStyle w:val="Hyperlink"/>
            <w:sz w:val="16"/>
            <w:szCs w:val="16"/>
          </w:rPr>
          <w:t>National Electricity Market Fact Sheet</w:t>
        </w:r>
      </w:hyperlink>
    </w:p>
  </w:footnote>
  <w:footnote w:id="17">
    <w:p w14:paraId="25A8E254" w14:textId="77777777" w:rsidR="00723EF8" w:rsidRPr="00B53F42" w:rsidRDefault="00723EF8">
      <w:pPr>
        <w:pStyle w:val="FootnoteText"/>
        <w:rPr>
          <w:sz w:val="16"/>
          <w:szCs w:val="16"/>
        </w:rPr>
      </w:pPr>
      <w:r w:rsidRPr="00B53F42">
        <w:rPr>
          <w:rStyle w:val="FootnoteReference"/>
          <w:sz w:val="16"/>
          <w:szCs w:val="16"/>
        </w:rPr>
        <w:footnoteRef/>
      </w:r>
      <w:r w:rsidRPr="00B53F42">
        <w:rPr>
          <w:sz w:val="16"/>
          <w:szCs w:val="16"/>
        </w:rPr>
        <w:t xml:space="preserve"> Australian Energy Market Operator</w:t>
      </w:r>
      <w:r>
        <w:rPr>
          <w:sz w:val="16"/>
          <w:szCs w:val="16"/>
        </w:rPr>
        <w:t>,</w:t>
      </w:r>
      <w:r w:rsidRPr="00B53F42">
        <w:rPr>
          <w:sz w:val="16"/>
          <w:szCs w:val="16"/>
        </w:rPr>
        <w:t xml:space="preserve"> (Jun. 2022), </w:t>
      </w:r>
      <w:hyperlink r:id="rId19" w:history="1">
        <w:r w:rsidRPr="00B53F42">
          <w:rPr>
            <w:rStyle w:val="Hyperlink"/>
            <w:sz w:val="16"/>
            <w:szCs w:val="16"/>
          </w:rPr>
          <w:t>2022 Integrated System Plan</w:t>
        </w:r>
      </w:hyperlink>
      <w:r w:rsidRPr="00B53F42">
        <w:rPr>
          <w:sz w:val="16"/>
          <w:szCs w:val="16"/>
        </w:rPr>
        <w:t xml:space="preserve"> </w:t>
      </w:r>
    </w:p>
  </w:footnote>
  <w:footnote w:id="18">
    <w:p w14:paraId="5AFF6A22" w14:textId="77777777" w:rsidR="00723EF8" w:rsidRPr="00A41BA4" w:rsidRDefault="00723EF8">
      <w:pPr>
        <w:pStyle w:val="FootnoteText"/>
        <w:rPr>
          <w:sz w:val="16"/>
          <w:szCs w:val="16"/>
        </w:rPr>
      </w:pPr>
      <w:r w:rsidRPr="00A41BA4">
        <w:rPr>
          <w:rStyle w:val="FootnoteReference"/>
          <w:sz w:val="16"/>
          <w:szCs w:val="16"/>
        </w:rPr>
        <w:footnoteRef/>
      </w:r>
      <w:r w:rsidRPr="00A41BA4">
        <w:rPr>
          <w:sz w:val="16"/>
          <w:szCs w:val="16"/>
        </w:rPr>
        <w:t xml:space="preserve"> </w:t>
      </w:r>
      <w:r w:rsidRPr="00A41BA4">
        <w:rPr>
          <w:rFonts w:cs="Segoe UI"/>
          <w:sz w:val="16"/>
          <w:szCs w:val="16"/>
        </w:rPr>
        <w:t xml:space="preserve">Department of Climate Change, Energy, the Environment and Water (FY21-22), </w:t>
      </w:r>
      <w:hyperlink r:id="rId20" w:history="1">
        <w:r w:rsidRPr="00A41BA4">
          <w:rPr>
            <w:rStyle w:val="Hyperlink"/>
            <w:rFonts w:cs="Segoe UI"/>
            <w:sz w:val="16"/>
            <w:szCs w:val="16"/>
          </w:rPr>
          <w:t>National Pollutant Inventory</w:t>
        </w:r>
      </w:hyperlink>
    </w:p>
  </w:footnote>
  <w:footnote w:id="19">
    <w:p w14:paraId="13978E58"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Burke et al</w:t>
      </w:r>
      <w:r>
        <w:rPr>
          <w:sz w:val="16"/>
          <w:szCs w:val="16"/>
        </w:rPr>
        <w:t>.</w:t>
      </w:r>
      <w:r w:rsidRPr="009E02E2">
        <w:rPr>
          <w:sz w:val="16"/>
          <w:szCs w:val="16"/>
        </w:rPr>
        <w:t xml:space="preserve">, (2019), </w:t>
      </w:r>
      <w:hyperlink r:id="rId21" w:history="1">
        <w:r w:rsidRPr="009E02E2">
          <w:rPr>
            <w:rStyle w:val="Hyperlink"/>
            <w:sz w:val="16"/>
            <w:szCs w:val="16"/>
          </w:rPr>
          <w:t>Closures of coal-fired power stations in Australia: local unemployment effects</w:t>
        </w:r>
      </w:hyperlink>
      <w:r w:rsidRPr="009E02E2">
        <w:rPr>
          <w:sz w:val="16"/>
          <w:szCs w:val="16"/>
        </w:rPr>
        <w:t xml:space="preserve">; and Green F &amp; Gambhir A. </w:t>
      </w:r>
      <w:hyperlink r:id="rId22" w:history="1">
        <w:r w:rsidRPr="009E02E2">
          <w:rPr>
            <w:rStyle w:val="Hyperlink"/>
            <w:sz w:val="16"/>
            <w:szCs w:val="16"/>
          </w:rPr>
          <w:t>Transitional assistance policies for just, equitable and smooth low-carbon transitions: who, what and how?</w:t>
        </w:r>
      </w:hyperlink>
      <w:hyperlink r:id="rId23" w:history="1"/>
      <w:r w:rsidRPr="009E02E2">
        <w:rPr>
          <w:sz w:val="16"/>
          <w:szCs w:val="16"/>
        </w:rPr>
        <w:t xml:space="preserve"> </w:t>
      </w:r>
    </w:p>
  </w:footnote>
  <w:footnote w:id="20">
    <w:p w14:paraId="383C8057"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w:t>
      </w:r>
      <w:r>
        <w:rPr>
          <w:sz w:val="16"/>
          <w:szCs w:val="16"/>
        </w:rPr>
        <w:t>‘</w:t>
      </w:r>
      <w:r w:rsidRPr="009E02E2">
        <w:rPr>
          <w:sz w:val="16"/>
          <w:szCs w:val="16"/>
        </w:rPr>
        <w:t>Low</w:t>
      </w:r>
      <w:r>
        <w:rPr>
          <w:sz w:val="16"/>
          <w:szCs w:val="16"/>
        </w:rPr>
        <w:t xml:space="preserve"> &amp; semi-</w:t>
      </w:r>
      <w:r w:rsidRPr="009E02E2">
        <w:rPr>
          <w:sz w:val="16"/>
          <w:szCs w:val="16"/>
        </w:rPr>
        <w:t>skilled</w:t>
      </w:r>
      <w:r>
        <w:rPr>
          <w:sz w:val="16"/>
          <w:szCs w:val="16"/>
        </w:rPr>
        <w:t>’</w:t>
      </w:r>
      <w:r w:rsidRPr="009E02E2">
        <w:rPr>
          <w:sz w:val="16"/>
          <w:szCs w:val="16"/>
        </w:rPr>
        <w:t xml:space="preserve"> </w:t>
      </w:r>
      <w:r>
        <w:rPr>
          <w:sz w:val="16"/>
          <w:szCs w:val="16"/>
        </w:rPr>
        <w:t>includes all occupations classified as levels 3 to 5 in the</w:t>
      </w:r>
      <w:r w:rsidRPr="009E02E2">
        <w:rPr>
          <w:sz w:val="16"/>
          <w:szCs w:val="16"/>
        </w:rPr>
        <w:t xml:space="preserve"> </w:t>
      </w:r>
      <w:hyperlink r:id="rId24" w:history="1">
        <w:r>
          <w:rPr>
            <w:rStyle w:val="Hyperlink"/>
            <w:sz w:val="16"/>
            <w:szCs w:val="16"/>
          </w:rPr>
          <w:t>Australian &amp; New Zealand Standard Classification of Occupations</w:t>
        </w:r>
      </w:hyperlink>
    </w:p>
  </w:footnote>
  <w:footnote w:id="21">
    <w:p w14:paraId="04145031" w14:textId="77777777" w:rsidR="00723EF8" w:rsidRPr="009E02E2" w:rsidRDefault="00723EF8" w:rsidP="00825212">
      <w:pPr>
        <w:pStyle w:val="FootnoteText"/>
        <w:suppressLineNumbers/>
        <w:ind w:left="113" w:hanging="113"/>
        <w:contextualSpacing/>
        <w:rPr>
          <w:sz w:val="16"/>
          <w:szCs w:val="16"/>
        </w:rPr>
      </w:pPr>
      <w:r w:rsidRPr="009E02E2">
        <w:rPr>
          <w:rStyle w:val="FootnoteReference"/>
          <w:sz w:val="16"/>
          <w:szCs w:val="16"/>
        </w:rPr>
        <w:footnoteRef/>
      </w:r>
      <w:r w:rsidRPr="009E02E2">
        <w:rPr>
          <w:sz w:val="16"/>
          <w:szCs w:val="16"/>
        </w:rPr>
        <w:t xml:space="preserve"> Burke et al</w:t>
      </w:r>
      <w:r>
        <w:rPr>
          <w:sz w:val="16"/>
          <w:szCs w:val="16"/>
        </w:rPr>
        <w:t>.</w:t>
      </w:r>
      <w:r w:rsidRPr="009E02E2">
        <w:rPr>
          <w:sz w:val="16"/>
          <w:szCs w:val="16"/>
        </w:rPr>
        <w:t xml:space="preserve">, (2019), </w:t>
      </w:r>
      <w:hyperlink r:id="rId25" w:history="1">
        <w:r w:rsidRPr="009E02E2">
          <w:rPr>
            <w:rStyle w:val="Hyperlink"/>
            <w:sz w:val="16"/>
            <w:szCs w:val="16"/>
          </w:rPr>
          <w:t>Closures of coal-fired power stations in Australia: local unemployment effects</w:t>
        </w:r>
      </w:hyperlink>
    </w:p>
  </w:footnote>
  <w:footnote w:id="22">
    <w:p w14:paraId="1A551F53" w14:textId="77777777" w:rsidR="00723EF8" w:rsidRPr="00C8505B" w:rsidRDefault="00723EF8" w:rsidP="00825212">
      <w:pPr>
        <w:pStyle w:val="FootnoteText"/>
        <w:ind w:left="113" w:hanging="113"/>
        <w:rPr>
          <w:sz w:val="16"/>
          <w:szCs w:val="16"/>
        </w:rPr>
      </w:pPr>
      <w:r w:rsidRPr="00C8505B">
        <w:rPr>
          <w:rStyle w:val="FootnoteReference"/>
          <w:sz w:val="16"/>
          <w:szCs w:val="16"/>
        </w:rPr>
        <w:footnoteRef/>
      </w:r>
      <w:r w:rsidRPr="00C8505B">
        <w:rPr>
          <w:sz w:val="16"/>
          <w:szCs w:val="16"/>
        </w:rPr>
        <w:t xml:space="preserve"> Ibid</w:t>
      </w:r>
      <w:r>
        <w:rPr>
          <w:sz w:val="16"/>
          <w:szCs w:val="16"/>
        </w:rPr>
        <w:t>.</w:t>
      </w:r>
    </w:p>
  </w:footnote>
  <w:footnote w:id="23">
    <w:p w14:paraId="4E9F7D7B"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Green, F &amp; Gambhir, A, (Aug. 2019), </w:t>
      </w:r>
      <w:hyperlink r:id="rId26" w:history="1">
        <w:r w:rsidRPr="009E02E2">
          <w:rPr>
            <w:rStyle w:val="Hyperlink"/>
            <w:sz w:val="16"/>
            <w:szCs w:val="16"/>
          </w:rPr>
          <w:t>Transitional assistance policies for just, equitable and smooth low-carbon transitions: who, what and how?</w:t>
        </w:r>
      </w:hyperlink>
      <w:r w:rsidRPr="009E02E2">
        <w:rPr>
          <w:sz w:val="16"/>
          <w:szCs w:val="16"/>
        </w:rPr>
        <w:t xml:space="preserve"> </w:t>
      </w:r>
    </w:p>
  </w:footnote>
  <w:footnote w:id="24">
    <w:p w14:paraId="579DB8B7"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Morris AC et al</w:t>
      </w:r>
      <w:r>
        <w:rPr>
          <w:sz w:val="16"/>
          <w:szCs w:val="16"/>
        </w:rPr>
        <w:t>.</w:t>
      </w:r>
      <w:r w:rsidRPr="009E02E2">
        <w:rPr>
          <w:sz w:val="16"/>
          <w:szCs w:val="16"/>
        </w:rPr>
        <w:t xml:space="preserve">, (Jul. 2019), </w:t>
      </w:r>
      <w:hyperlink r:id="rId27" w:history="1">
        <w:r w:rsidRPr="009E02E2">
          <w:rPr>
            <w:rStyle w:val="Hyperlink"/>
            <w:sz w:val="16"/>
            <w:szCs w:val="16"/>
          </w:rPr>
          <w:t>The Risk of Fiscal Collapse in Coal-Reliant Communities</w:t>
        </w:r>
      </w:hyperlink>
    </w:p>
    <w:p w14:paraId="58C426EF" w14:textId="77777777" w:rsidR="00723EF8" w:rsidRPr="009E02E2" w:rsidRDefault="00723EF8" w:rsidP="00825212">
      <w:pPr>
        <w:pStyle w:val="FootnoteText"/>
        <w:ind w:left="113" w:hanging="113"/>
        <w:rPr>
          <w:sz w:val="16"/>
          <w:szCs w:val="16"/>
        </w:rPr>
      </w:pPr>
      <w:r w:rsidRPr="009E02E2">
        <w:rPr>
          <w:sz w:val="16"/>
          <w:szCs w:val="16"/>
        </w:rPr>
        <w:t xml:space="preserve">These broader community impacts are largely outside the scope of this analysis, which focuses primarily on direct employment impacts associated with power station closures. The analytical methodology is described further in </w:t>
      </w:r>
      <w:r w:rsidRPr="00B269B9">
        <w:rPr>
          <w:rFonts w:eastAsia="Times New Roman" w:cs="Segoe UI"/>
          <w:b/>
          <w:color w:val="1B375C"/>
          <w:sz w:val="16"/>
          <w:szCs w:val="22"/>
        </w:rPr>
        <w:t>Chapter 4</w:t>
      </w:r>
      <w:r w:rsidRPr="009E02E2">
        <w:rPr>
          <w:sz w:val="16"/>
          <w:szCs w:val="16"/>
        </w:rPr>
        <w:t xml:space="preserve">.  </w:t>
      </w:r>
    </w:p>
  </w:footnote>
  <w:footnote w:id="25">
    <w:p w14:paraId="78169296"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When considering whether to grant an exemption, the AER may consider factors including: the reliability and security impact of the generator's early exit; plans for replacing the capacity being retired, if any; and whether the application for exemption is necessitated by urgent and unforeseen circumstances. See: </w:t>
      </w:r>
      <w:hyperlink r:id="rId28" w:history="1">
        <w:r w:rsidRPr="009E02E2">
          <w:rPr>
            <w:rStyle w:val="Hyperlink"/>
            <w:sz w:val="16"/>
            <w:szCs w:val="16"/>
          </w:rPr>
          <w:t>AER Generator notice of closure exemption guideline</w:t>
        </w:r>
      </w:hyperlink>
      <w:r w:rsidRPr="009E02E2">
        <w:rPr>
          <w:sz w:val="16"/>
          <w:szCs w:val="16"/>
        </w:rPr>
        <w:t>.</w:t>
      </w:r>
    </w:p>
  </w:footnote>
  <w:footnote w:id="26">
    <w:p w14:paraId="150276B0"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AGL, (Apr. 2023), </w:t>
      </w:r>
      <w:hyperlink r:id="rId29" w:history="1">
        <w:r w:rsidRPr="009E02E2">
          <w:rPr>
            <w:rStyle w:val="Hyperlink"/>
            <w:sz w:val="16"/>
            <w:szCs w:val="16"/>
          </w:rPr>
          <w:t>AGL’s Liddell Power Station closes after 52 years of operation</w:t>
        </w:r>
      </w:hyperlink>
    </w:p>
  </w:footnote>
  <w:footnote w:id="27">
    <w:p w14:paraId="1A8FEA86"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EnergyAustralia, (Nov. 2022), </w:t>
      </w:r>
      <w:hyperlink r:id="rId30" w:history="1">
        <w:r w:rsidRPr="009E02E2">
          <w:rPr>
            <w:rStyle w:val="Hyperlink"/>
            <w:sz w:val="16"/>
            <w:szCs w:val="16"/>
          </w:rPr>
          <w:t xml:space="preserve">EnergyAustralia helps Yallourn workers prepare for life after coal </w:t>
        </w:r>
      </w:hyperlink>
    </w:p>
  </w:footnote>
  <w:footnote w:id="28">
    <w:p w14:paraId="1E24CD14"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EnergyAustralia, (Oct. 2023), </w:t>
      </w:r>
      <w:hyperlink r:id="rId31" w:history="1">
        <w:r w:rsidRPr="009E02E2">
          <w:rPr>
            <w:rStyle w:val="Hyperlink"/>
            <w:sz w:val="16"/>
            <w:szCs w:val="16"/>
          </w:rPr>
          <w:t>EnergyAustralia and Elanora Offshore partner to secure jobs and training for Yallourn workers in offshore wind</w:t>
        </w:r>
      </w:hyperlink>
      <w:r w:rsidRPr="009E02E2">
        <w:rPr>
          <w:sz w:val="16"/>
          <w:szCs w:val="16"/>
        </w:rPr>
        <w:t xml:space="preserve"> </w:t>
      </w:r>
    </w:p>
  </w:footnote>
  <w:footnote w:id="29">
    <w:p w14:paraId="04DC4D2A" w14:textId="77777777" w:rsidR="00723EF8" w:rsidRDefault="00723EF8">
      <w:pPr>
        <w:pStyle w:val="FootnoteText"/>
      </w:pPr>
      <w:r w:rsidRPr="006C4509">
        <w:rPr>
          <w:rStyle w:val="FootnoteReference"/>
          <w:sz w:val="16"/>
          <w:szCs w:val="16"/>
        </w:rPr>
        <w:footnoteRef/>
      </w:r>
      <w:r w:rsidRPr="006C4509">
        <w:rPr>
          <w:rStyle w:val="FootnoteReference"/>
        </w:rPr>
        <w:t xml:space="preserve"> </w:t>
      </w:r>
      <w:r w:rsidRPr="00B52851">
        <w:rPr>
          <w:sz w:val="16"/>
          <w:szCs w:val="16"/>
        </w:rPr>
        <w:t>For</w:t>
      </w:r>
      <w:r>
        <w:t xml:space="preserve"> </w:t>
      </w:r>
      <w:r w:rsidRPr="00B52851">
        <w:rPr>
          <w:sz w:val="16"/>
          <w:szCs w:val="16"/>
        </w:rPr>
        <w:t>examp</w:t>
      </w:r>
      <w:r>
        <w:rPr>
          <w:sz w:val="16"/>
          <w:szCs w:val="16"/>
        </w:rPr>
        <w:t xml:space="preserve">le, in the Latrobe Valley, Yallourn is operated by Energy Australia, AGL operates Loy Yang A and Alinta operates Loy Yang B. </w:t>
      </w:r>
    </w:p>
  </w:footnote>
  <w:footnote w:id="30">
    <w:p w14:paraId="1288F005"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Wiseman, J et al</w:t>
      </w:r>
      <w:r>
        <w:rPr>
          <w:sz w:val="16"/>
          <w:szCs w:val="16"/>
        </w:rPr>
        <w:t>.</w:t>
      </w:r>
      <w:r w:rsidRPr="009E02E2">
        <w:rPr>
          <w:sz w:val="16"/>
          <w:szCs w:val="16"/>
        </w:rPr>
        <w:t xml:space="preserve">, (Nov. 2020), </w:t>
      </w:r>
      <w:hyperlink r:id="rId32" w:history="1">
        <w:r w:rsidRPr="009E02E2">
          <w:rPr>
            <w:rStyle w:val="Hyperlink"/>
            <w:sz w:val="16"/>
            <w:szCs w:val="16"/>
          </w:rPr>
          <w:t>After the Hazelwood coal fired power station closure: Latrobe Valley regional transition policies and outcomes 2017-2020</w:t>
        </w:r>
      </w:hyperlink>
    </w:p>
  </w:footnote>
  <w:footnote w:id="31">
    <w:p w14:paraId="2A6CA64A" w14:textId="77777777" w:rsidR="00723EF8" w:rsidRPr="00473A68"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Premier of Victoria, (Aug. 2023), </w:t>
      </w:r>
      <w:hyperlink r:id="rId33" w:history="1">
        <w:r w:rsidRPr="009E02E2">
          <w:rPr>
            <w:rStyle w:val="Hyperlink"/>
            <w:sz w:val="16"/>
            <w:szCs w:val="16"/>
          </w:rPr>
          <w:t xml:space="preserve">Agreement Secures Transition For Loy Yang A </w:t>
        </w:r>
      </w:hyperlink>
      <w:r w:rsidRPr="002C2921">
        <w:rPr>
          <w:rStyle w:val="Hyperlink"/>
          <w:color w:val="auto"/>
          <w:sz w:val="16"/>
          <w:szCs w:val="16"/>
          <w:u w:val="none"/>
        </w:rPr>
        <w:t>and</w:t>
      </w:r>
      <w:r>
        <w:rPr>
          <w:rStyle w:val="Hyperlink"/>
          <w:color w:val="auto"/>
          <w:sz w:val="16"/>
          <w:szCs w:val="16"/>
          <w:u w:val="none"/>
        </w:rPr>
        <w:t xml:space="preserve"> Energy Australia (Mar. 2021)</w:t>
      </w:r>
      <w:r w:rsidRPr="002C2921">
        <w:rPr>
          <w:rStyle w:val="Hyperlink"/>
          <w:color w:val="auto"/>
          <w:sz w:val="16"/>
          <w:szCs w:val="16"/>
          <w:u w:val="none"/>
        </w:rPr>
        <w:t xml:space="preserve"> </w:t>
      </w:r>
      <w:hyperlink r:id="rId34" w:history="1">
        <w:r w:rsidRPr="00473A68">
          <w:rPr>
            <w:rStyle w:val="Hyperlink"/>
            <w:sz w:val="16"/>
            <w:szCs w:val="16"/>
          </w:rPr>
          <w:t>Energy Australia powers ahead with energy transition</w:t>
        </w:r>
      </w:hyperlink>
    </w:p>
  </w:footnote>
  <w:footnote w:id="32">
    <w:p w14:paraId="253440BF"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Queensland Government Department of Energy and Public Works, (Oct. 2023), </w:t>
      </w:r>
      <w:hyperlink r:id="rId35" w:history="1">
        <w:r w:rsidRPr="009E02E2">
          <w:rPr>
            <w:rStyle w:val="Hyperlink"/>
            <w:sz w:val="16"/>
            <w:szCs w:val="16"/>
          </w:rPr>
          <w:t>Queensland Energy and Jobs Plan: Workers</w:t>
        </w:r>
      </w:hyperlink>
    </w:p>
  </w:footnote>
  <w:footnote w:id="33">
    <w:p w14:paraId="60A4AD63"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Synergy, (2023), </w:t>
      </w:r>
      <w:hyperlink r:id="rId36" w:history="1">
        <w:r w:rsidRPr="009E02E2">
          <w:rPr>
            <w:rStyle w:val="Hyperlink"/>
            <w:sz w:val="16"/>
            <w:szCs w:val="16"/>
          </w:rPr>
          <w:t>Muja Power Station Workforce Transition Program</w:t>
        </w:r>
      </w:hyperlink>
    </w:p>
  </w:footnote>
  <w:footnote w:id="34">
    <w:p w14:paraId="289C8C2D"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 Australia, (Sep. 2023), p.3, </w:t>
      </w:r>
      <w:hyperlink r:id="rId37" w:history="1">
        <w:r w:rsidRPr="009E02E2">
          <w:rPr>
            <w:rStyle w:val="Hyperlink"/>
            <w:sz w:val="16"/>
            <w:szCs w:val="16"/>
          </w:rPr>
          <w:t>Working Future: The Australian Government’s White Paper on Jobs and Opportunities</w:t>
        </w:r>
      </w:hyperlink>
    </w:p>
  </w:footnote>
  <w:footnote w:id="35">
    <w:p w14:paraId="18BA72B1" w14:textId="77777777" w:rsidR="00723EF8" w:rsidRPr="009E02E2" w:rsidRDefault="00723EF8" w:rsidP="00825212">
      <w:pPr>
        <w:pStyle w:val="FootnoteText"/>
        <w:ind w:left="113" w:hanging="113"/>
        <w:contextualSpacing/>
        <w:rPr>
          <w:sz w:val="16"/>
          <w:szCs w:val="16"/>
        </w:rPr>
      </w:pPr>
      <w:r w:rsidRPr="009E02E2">
        <w:rPr>
          <w:rStyle w:val="FootnoteReference"/>
          <w:sz w:val="16"/>
          <w:szCs w:val="16"/>
        </w:rPr>
        <w:footnoteRef/>
      </w:r>
      <w:r w:rsidRPr="009E02E2">
        <w:rPr>
          <w:sz w:val="16"/>
          <w:szCs w:val="16"/>
        </w:rPr>
        <w:t xml:space="preserve"> Jobs and Skills Australia, (Oct. 2023), p.156, </w:t>
      </w:r>
      <w:hyperlink r:id="rId38" w:history="1">
        <w:r w:rsidRPr="009E02E2">
          <w:rPr>
            <w:rStyle w:val="Hyperlink"/>
            <w:sz w:val="16"/>
            <w:szCs w:val="16"/>
          </w:rPr>
          <w:t>The Clean Energy Generation: Workforce needs for a net zero economy</w:t>
        </w:r>
      </w:hyperlink>
    </w:p>
  </w:footnote>
  <w:footnote w:id="36">
    <w:p w14:paraId="43CEA9B2"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 Australia, (Sep. 2023), p.114, </w:t>
      </w:r>
      <w:hyperlink r:id="rId39" w:history="1">
        <w:r w:rsidRPr="009E02E2">
          <w:rPr>
            <w:rStyle w:val="Hyperlink"/>
            <w:sz w:val="16"/>
            <w:szCs w:val="16"/>
          </w:rPr>
          <w:t>Working Future: The Australian Government’s White Paper on Jobs and Opportunities</w:t>
        </w:r>
      </w:hyperlink>
      <w:r w:rsidRPr="009E02E2">
        <w:rPr>
          <w:i/>
          <w:sz w:val="16"/>
          <w:szCs w:val="16"/>
        </w:rPr>
        <w:t xml:space="preserve"> </w:t>
      </w:r>
    </w:p>
  </w:footnote>
  <w:footnote w:id="37">
    <w:p w14:paraId="6A50F0BF"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Jobs and Skills Australia, (Oct. 2023), p.13, </w:t>
      </w:r>
      <w:hyperlink r:id="rId40" w:history="1">
        <w:r w:rsidRPr="009E02E2">
          <w:rPr>
            <w:rStyle w:val="Hyperlink"/>
            <w:sz w:val="16"/>
            <w:szCs w:val="16"/>
          </w:rPr>
          <w:t>The Clean Energy Generation: Workforce needs for a net zero economy</w:t>
        </w:r>
      </w:hyperlink>
    </w:p>
  </w:footnote>
  <w:footnote w:id="38">
    <w:p w14:paraId="3E30BC7C"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Jobs and Skills Australia, (Oct. 2023), p.13 and 143-147, </w:t>
      </w:r>
      <w:hyperlink r:id="rId41" w:history="1">
        <w:r w:rsidRPr="009E02E2">
          <w:rPr>
            <w:rStyle w:val="Hyperlink"/>
            <w:sz w:val="16"/>
            <w:szCs w:val="16"/>
          </w:rPr>
          <w:t>The Clean Energy Generation: Workforce needs for a net zero economy</w:t>
        </w:r>
      </w:hyperlink>
    </w:p>
  </w:footnote>
  <w:footnote w:id="39">
    <w:p w14:paraId="6EBBA681"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Jobs and Skills Australia, (Oct. 2023), p.13, </w:t>
      </w:r>
      <w:hyperlink r:id="rId42" w:history="1">
        <w:r w:rsidRPr="009E02E2">
          <w:rPr>
            <w:rStyle w:val="Hyperlink"/>
            <w:sz w:val="16"/>
            <w:szCs w:val="16"/>
          </w:rPr>
          <w:t>The Clean Energy Generation: Workforce needs for a net zero economy</w:t>
        </w:r>
      </w:hyperlink>
    </w:p>
  </w:footnote>
  <w:footnote w:id="40">
    <w:p w14:paraId="2FEF8B51"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Victorian Department of Jobs, Precincts and Regions, </w:t>
      </w:r>
      <w:hyperlink r:id="rId43" w:history="1">
        <w:r w:rsidRPr="009E02E2">
          <w:rPr>
            <w:rStyle w:val="Hyperlink"/>
            <w:rFonts w:cs="Segoe UI"/>
            <w:color w:val="000000"/>
            <w:sz w:val="16"/>
            <w:szCs w:val="16"/>
            <w:u w:val="none"/>
          </w:rPr>
          <w:t>(Dec. 2021),</w:t>
        </w:r>
      </w:hyperlink>
      <w:r w:rsidRPr="009E02E2">
        <w:rPr>
          <w:rStyle w:val="Hyperlink"/>
          <w:rFonts w:cs="Segoe UI"/>
          <w:color w:val="000000"/>
          <w:sz w:val="16"/>
          <w:szCs w:val="16"/>
          <w:u w:val="none"/>
        </w:rPr>
        <w:t xml:space="preserve"> </w:t>
      </w:r>
      <w:hyperlink r:id="rId44" w:history="1">
        <w:r w:rsidRPr="009E02E2">
          <w:rPr>
            <w:rStyle w:val="Hyperlink"/>
            <w:rFonts w:cs="Segoe UI"/>
            <w:color w:val="0563C6"/>
            <w:sz w:val="16"/>
            <w:szCs w:val="16"/>
          </w:rPr>
          <w:t>Submission to the Victorian Parliamentary Inquiry into the Closure of the Hazelwood and Yallourn Power Stations</w:t>
        </w:r>
      </w:hyperlink>
      <w:r w:rsidRPr="009E02E2">
        <w:rPr>
          <w:sz w:val="16"/>
          <w:szCs w:val="16"/>
        </w:rPr>
        <w:t xml:space="preserve"> </w:t>
      </w:r>
    </w:p>
  </w:footnote>
  <w:footnote w:id="41">
    <w:p w14:paraId="13C05DFF"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sidDel="00292C55">
        <w:rPr>
          <w:sz w:val="16"/>
          <w:szCs w:val="16"/>
        </w:rPr>
        <w:t xml:space="preserve"> </w:t>
      </w:r>
      <w:r w:rsidRPr="009E02E2">
        <w:rPr>
          <w:color w:val="000000"/>
          <w:sz w:val="16"/>
          <w:szCs w:val="16"/>
        </w:rPr>
        <w:t xml:space="preserve">Commonwealth Senate Inquiry, (Mar. 2017), </w:t>
      </w:r>
      <w:hyperlink r:id="rId45" w:history="1">
        <w:r w:rsidRPr="009E02E2">
          <w:rPr>
            <w:rStyle w:val="Hyperlink"/>
            <w:sz w:val="16"/>
            <w:szCs w:val="16"/>
          </w:rPr>
          <w:t>Submissions to the inquiry into the retirement of coal fired power stations</w:t>
        </w:r>
      </w:hyperlink>
      <w:r w:rsidRPr="009E02E2">
        <w:rPr>
          <w:sz w:val="16"/>
          <w:szCs w:val="16"/>
        </w:rPr>
        <w:t xml:space="preserve"> </w:t>
      </w:r>
      <w:r w:rsidRPr="009E02E2">
        <w:rPr>
          <w:color w:val="000000"/>
          <w:sz w:val="16"/>
          <w:szCs w:val="16"/>
        </w:rPr>
        <w:t xml:space="preserve">Commonwealth Senate inquiry, (Mar. 2017), </w:t>
      </w:r>
      <w:hyperlink r:id="rId46" w:history="1">
        <w:r w:rsidRPr="009E02E2">
          <w:rPr>
            <w:rStyle w:val="Hyperlink"/>
            <w:sz w:val="16"/>
            <w:szCs w:val="16"/>
          </w:rPr>
          <w:t>Submissions to the inquiry into the retirement of coal fired power stations</w:t>
        </w:r>
      </w:hyperlink>
    </w:p>
  </w:footnote>
  <w:footnote w:id="42">
    <w:p w14:paraId="55E2C29F"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Department of Climate Change, Energy, the Environment and Water, (2023), </w:t>
      </w:r>
      <w:hyperlink r:id="rId47" w:history="1">
        <w:r w:rsidRPr="009E02E2">
          <w:rPr>
            <w:rStyle w:val="Hyperlink"/>
            <w:sz w:val="16"/>
            <w:szCs w:val="16"/>
          </w:rPr>
          <w:t>National Pollutant Inventory</w:t>
        </w:r>
      </w:hyperlink>
    </w:p>
  </w:footnote>
  <w:footnote w:id="43">
    <w:p w14:paraId="7751366F"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Australian Energy Market Operator</w:t>
      </w:r>
      <w:r>
        <w:rPr>
          <w:sz w:val="16"/>
          <w:szCs w:val="16"/>
        </w:rPr>
        <w:t>,</w:t>
      </w:r>
      <w:r w:rsidRPr="009E02E2">
        <w:rPr>
          <w:sz w:val="16"/>
          <w:szCs w:val="16"/>
        </w:rPr>
        <w:t xml:space="preserve"> (Sep. 2023), </w:t>
      </w:r>
      <w:hyperlink r:id="rId48" w:history="1">
        <w:r w:rsidRPr="009E02E2">
          <w:rPr>
            <w:rStyle w:val="Hyperlink"/>
            <w:sz w:val="16"/>
            <w:szCs w:val="16"/>
          </w:rPr>
          <w:t>NEM Generation information</w:t>
        </w:r>
      </w:hyperlink>
    </w:p>
  </w:footnote>
  <w:footnote w:id="44">
    <w:p w14:paraId="01A23704"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Geoscience Australia, (2022), </w:t>
      </w:r>
      <w:hyperlink r:id="rId49" w:anchor="/metadata/147694" w:history="1">
        <w:r w:rsidRPr="009E02E2">
          <w:rPr>
            <w:rStyle w:val="Hyperlink"/>
            <w:rFonts w:eastAsia="Times New Roman" w:cs="Segoe UI"/>
            <w:sz w:val="16"/>
            <w:szCs w:val="16"/>
          </w:rPr>
          <w:t>Australian Operating Mines Map 2022</w:t>
        </w:r>
      </w:hyperlink>
    </w:p>
  </w:footnote>
  <w:footnote w:id="45">
    <w:p w14:paraId="47253D24"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Australian Bureau of Statistics, (2021), </w:t>
      </w:r>
      <w:hyperlink r:id="rId50" w:history="1">
        <w:r w:rsidRPr="009E02E2">
          <w:rPr>
            <w:rStyle w:val="Hyperlink"/>
            <w:sz w:val="16"/>
            <w:szCs w:val="16"/>
          </w:rPr>
          <w:t>2021 Population and Housing Census</w:t>
        </w:r>
      </w:hyperlink>
    </w:p>
  </w:footnote>
  <w:footnote w:id="46">
    <w:p w14:paraId="7AA759C1"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Australian Bureau of Statistics, (Aug. 2023), </w:t>
      </w:r>
      <w:hyperlink r:id="rId51" w:history="1">
        <w:r w:rsidRPr="009E02E2">
          <w:rPr>
            <w:rStyle w:val="Hyperlink"/>
            <w:sz w:val="16"/>
            <w:szCs w:val="16"/>
          </w:rPr>
          <w:t>Counts of Australian Businesses</w:t>
        </w:r>
      </w:hyperlink>
    </w:p>
  </w:footnote>
  <w:footnote w:id="47">
    <w:p w14:paraId="012B37F4"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Jobs and Skills Australia, (Nov. 2022), </w:t>
      </w:r>
      <w:hyperlink r:id="rId52" w:history="1">
        <w:r w:rsidRPr="009E02E2">
          <w:rPr>
            <w:rStyle w:val="Hyperlink"/>
            <w:sz w:val="16"/>
            <w:szCs w:val="16"/>
          </w:rPr>
          <w:t>Small Area Labour Markets</w:t>
        </w:r>
      </w:hyperlink>
    </w:p>
  </w:footnote>
  <w:footnote w:id="48">
    <w:p w14:paraId="720E4269"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 Australia, (Sep. 2023), p.42, </w:t>
      </w:r>
      <w:hyperlink r:id="rId53" w:history="1">
        <w:r w:rsidRPr="009E02E2">
          <w:rPr>
            <w:rStyle w:val="Hyperlink"/>
            <w:sz w:val="16"/>
            <w:szCs w:val="16"/>
          </w:rPr>
          <w:t>Working Future: The Australian Government’s White Paper on Jobs and Opportunities</w:t>
        </w:r>
      </w:hyperlink>
    </w:p>
  </w:footnote>
  <w:footnote w:id="49">
    <w:p w14:paraId="2816ADE2"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 Australia, (Sep. 2023), p.43, </w:t>
      </w:r>
      <w:hyperlink r:id="rId54" w:history="1">
        <w:r w:rsidRPr="009E02E2">
          <w:rPr>
            <w:rStyle w:val="Hyperlink"/>
            <w:sz w:val="16"/>
            <w:szCs w:val="16"/>
          </w:rPr>
          <w:t>Working Future: The Australian Government’s White Paper on Jobs and Opportunities</w:t>
        </w:r>
      </w:hyperlink>
      <w:r w:rsidRPr="009E02E2">
        <w:rPr>
          <w:sz w:val="16"/>
          <w:szCs w:val="16"/>
        </w:rPr>
        <w:t xml:space="preserve"> </w:t>
      </w:r>
    </w:p>
  </w:footnote>
  <w:footnote w:id="50">
    <w:p w14:paraId="09198029"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Department of Climate Change, Energy, the Environment and Water, (Aug. 2023), </w:t>
      </w:r>
      <w:hyperlink r:id="rId55" w:history="1">
        <w:r w:rsidRPr="009E02E2">
          <w:rPr>
            <w:rStyle w:val="Hyperlink"/>
            <w:sz w:val="16"/>
            <w:szCs w:val="16"/>
          </w:rPr>
          <w:t>Net Zero</w:t>
        </w:r>
      </w:hyperlink>
    </w:p>
  </w:footnote>
  <w:footnote w:id="51">
    <w:p w14:paraId="32565C31" w14:textId="77777777" w:rsidR="00723EF8" w:rsidRPr="00B82622" w:rsidRDefault="00723EF8">
      <w:pPr>
        <w:pStyle w:val="FootnoteText"/>
        <w:rPr>
          <w:sz w:val="16"/>
          <w:szCs w:val="16"/>
        </w:rPr>
      </w:pPr>
      <w:r>
        <w:rPr>
          <w:rStyle w:val="FootnoteReference"/>
        </w:rPr>
        <w:footnoteRef/>
      </w:r>
      <w:r>
        <w:t xml:space="preserve"> </w:t>
      </w:r>
      <w:r w:rsidRPr="00131E79">
        <w:rPr>
          <w:sz w:val="16"/>
          <w:szCs w:val="16"/>
        </w:rPr>
        <w:t>Department of Climate Change, Energy, the Environment and Water</w:t>
      </w:r>
      <w:r>
        <w:rPr>
          <w:sz w:val="16"/>
          <w:szCs w:val="16"/>
        </w:rPr>
        <w:t>,</w:t>
      </w:r>
      <w:r w:rsidRPr="00B82622">
        <w:rPr>
          <w:sz w:val="16"/>
          <w:szCs w:val="16"/>
        </w:rPr>
        <w:t xml:space="preserve"> (Nov, 2023)</w:t>
      </w:r>
      <w:r>
        <w:rPr>
          <w:sz w:val="16"/>
          <w:szCs w:val="16"/>
        </w:rPr>
        <w:t>,</w:t>
      </w:r>
      <w:r w:rsidRPr="00B82622">
        <w:rPr>
          <w:sz w:val="16"/>
          <w:szCs w:val="16"/>
        </w:rPr>
        <w:t xml:space="preserve"> </w:t>
      </w:r>
      <w:hyperlink r:id="rId56" w:history="1">
        <w:r w:rsidRPr="00B82622">
          <w:rPr>
            <w:rStyle w:val="Hyperlink"/>
            <w:sz w:val="16"/>
            <w:szCs w:val="16"/>
          </w:rPr>
          <w:t>International climate action</w:t>
        </w:r>
      </w:hyperlink>
    </w:p>
  </w:footnote>
  <w:footnote w:id="52">
    <w:p w14:paraId="361B9F97" w14:textId="77777777" w:rsidR="00723EF8" w:rsidRDefault="00723EF8">
      <w:pPr>
        <w:pStyle w:val="FootnoteText"/>
      </w:pPr>
      <w:r>
        <w:rPr>
          <w:rStyle w:val="FootnoteReference"/>
        </w:rPr>
        <w:footnoteRef/>
      </w:r>
      <w:r>
        <w:t xml:space="preserve"> </w:t>
      </w:r>
      <w:r w:rsidRPr="00B82622">
        <w:rPr>
          <w:sz w:val="16"/>
          <w:szCs w:val="16"/>
        </w:rPr>
        <w:t xml:space="preserve">United Nations Framework Convention on Climate Change, (Dec 2025), </w:t>
      </w:r>
      <w:hyperlink r:id="rId57" w:history="1">
        <w:r w:rsidRPr="00B82622">
          <w:rPr>
            <w:rStyle w:val="Hyperlink"/>
            <w:sz w:val="16"/>
            <w:szCs w:val="16"/>
          </w:rPr>
          <w:t>Paris Agreement</w:t>
        </w:r>
      </w:hyperlink>
    </w:p>
  </w:footnote>
  <w:footnote w:id="53">
    <w:p w14:paraId="5CC62AE3"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Pr>
          <w:sz w:val="16"/>
          <w:szCs w:val="16"/>
        </w:rPr>
        <w:t xml:space="preserve"> Green F, Gambhir A,</w:t>
      </w:r>
      <w:r w:rsidRPr="009E02E2">
        <w:rPr>
          <w:sz w:val="16"/>
          <w:szCs w:val="16"/>
        </w:rPr>
        <w:t xml:space="preserve"> </w:t>
      </w:r>
      <w:hyperlink r:id="rId58" w:history="1">
        <w:r w:rsidRPr="009E02E2">
          <w:rPr>
            <w:rStyle w:val="Hyperlink"/>
            <w:sz w:val="16"/>
            <w:szCs w:val="16"/>
          </w:rPr>
          <w:t>Transitional assistance policies for just, equitable and smooth low-carbon transitions: who, what and how</w:t>
        </w:r>
      </w:hyperlink>
      <w:r w:rsidRPr="009E02E2">
        <w:rPr>
          <w:sz w:val="16"/>
          <w:szCs w:val="16"/>
        </w:rPr>
        <w:t xml:space="preserve">? </w:t>
      </w:r>
    </w:p>
  </w:footnote>
  <w:footnote w:id="54">
    <w:p w14:paraId="396827CC"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Ben Caldecott et al</w:t>
      </w:r>
      <w:r>
        <w:rPr>
          <w:sz w:val="16"/>
          <w:szCs w:val="16"/>
        </w:rPr>
        <w:t>.</w:t>
      </w:r>
      <w:r w:rsidRPr="009E02E2">
        <w:rPr>
          <w:sz w:val="16"/>
          <w:szCs w:val="16"/>
        </w:rPr>
        <w:t>,</w:t>
      </w:r>
      <w:r w:rsidRPr="009E02E2" w:rsidDel="005F1C6B">
        <w:rPr>
          <w:sz w:val="16"/>
          <w:szCs w:val="16"/>
        </w:rPr>
        <w:t xml:space="preserve"> </w:t>
      </w:r>
      <w:r w:rsidRPr="009E02E2">
        <w:rPr>
          <w:sz w:val="16"/>
          <w:szCs w:val="16"/>
        </w:rPr>
        <w:t xml:space="preserve">(2017), </w:t>
      </w:r>
      <w:hyperlink r:id="rId59" w:history="1">
        <w:r w:rsidRPr="009E02E2">
          <w:rPr>
            <w:rStyle w:val="Hyperlink"/>
            <w:sz w:val="16"/>
            <w:szCs w:val="16"/>
          </w:rPr>
          <w:t>Lessons from previous ‘Coal Transitions’ High-level Summary for Decision-makers</w:t>
        </w:r>
      </w:hyperlink>
    </w:p>
  </w:footnote>
  <w:footnote w:id="55">
    <w:p w14:paraId="6BCB9513" w14:textId="77777777" w:rsidR="00723EF8" w:rsidRDefault="00723EF8">
      <w:pPr>
        <w:pStyle w:val="FootnoteText"/>
      </w:pPr>
      <w:r w:rsidRPr="00095CC6">
        <w:rPr>
          <w:rStyle w:val="FootnoteReference"/>
        </w:rPr>
        <w:footnoteRef/>
      </w:r>
      <w:r w:rsidRPr="00095CC6">
        <w:t xml:space="preserve"> </w:t>
      </w:r>
      <w:r w:rsidRPr="001E79E2">
        <w:rPr>
          <w:sz w:val="16"/>
          <w:szCs w:val="16"/>
        </w:rPr>
        <w:t>Note on terminology: the term ‘closing employer’ is used in this analysis to describe the operator of power station that will close, even if the facility owner or parent company will continue undertaking other business activities.</w:t>
      </w:r>
    </w:p>
  </w:footnote>
  <w:footnote w:id="56">
    <w:p w14:paraId="7C22DD2E" w14:textId="77777777" w:rsidR="00723EF8" w:rsidRPr="0063463F" w:rsidRDefault="00723EF8" w:rsidP="004F7FBB">
      <w:pPr>
        <w:pStyle w:val="FootnoteText"/>
        <w:rPr>
          <w:sz w:val="16"/>
          <w:szCs w:val="16"/>
        </w:rPr>
      </w:pPr>
      <w:r>
        <w:rPr>
          <w:rStyle w:val="FootnoteReference"/>
        </w:rPr>
        <w:footnoteRef/>
      </w:r>
      <w:r>
        <w:t xml:space="preserve"> </w:t>
      </w:r>
      <w:r w:rsidRPr="0063463F">
        <w:rPr>
          <w:sz w:val="16"/>
          <w:szCs w:val="16"/>
        </w:rPr>
        <w:t>For facilities with upcoming closures announced within the next two years (for example, Eraring Power Station which has a scheduled closure date in 2025), work on a pooled redeployment initiative would commence with the establishment of the Net Zero Economy Authority.</w:t>
      </w:r>
    </w:p>
  </w:footnote>
  <w:footnote w:id="57">
    <w:p w14:paraId="608C2179" w14:textId="77777777" w:rsidR="00723EF8" w:rsidRPr="00ED7D02" w:rsidRDefault="00723EF8">
      <w:pPr>
        <w:pStyle w:val="FootnoteText"/>
        <w:rPr>
          <w:sz w:val="16"/>
          <w:szCs w:val="16"/>
        </w:rPr>
      </w:pPr>
      <w:r w:rsidRPr="00ED7D02">
        <w:rPr>
          <w:rStyle w:val="FootnoteReference"/>
          <w:sz w:val="16"/>
          <w:szCs w:val="16"/>
        </w:rPr>
        <w:footnoteRef/>
      </w:r>
      <w:r w:rsidRPr="00ED7D02">
        <w:rPr>
          <w:sz w:val="16"/>
          <w:szCs w:val="16"/>
        </w:rPr>
        <w:t xml:space="preserve"> </w:t>
      </w:r>
      <w:r w:rsidRPr="007913AB">
        <w:rPr>
          <w:sz w:val="16"/>
          <w:szCs w:val="16"/>
        </w:rPr>
        <w:t>Of the 40-49</w:t>
      </w:r>
      <w:r>
        <w:rPr>
          <w:sz w:val="16"/>
          <w:szCs w:val="16"/>
        </w:rPr>
        <w:t xml:space="preserve"> per cent</w:t>
      </w:r>
      <w:r w:rsidRPr="007913AB">
        <w:rPr>
          <w:sz w:val="16"/>
          <w:szCs w:val="16"/>
        </w:rPr>
        <w:t xml:space="preserve"> who do not participate, most will be in a position to retire when the</w:t>
      </w:r>
      <w:r>
        <w:rPr>
          <w:sz w:val="16"/>
          <w:szCs w:val="16"/>
        </w:rPr>
        <w:t>ir</w:t>
      </w:r>
      <w:r w:rsidRPr="007913AB">
        <w:rPr>
          <w:sz w:val="16"/>
          <w:szCs w:val="16"/>
        </w:rPr>
        <w:t xml:space="preserve"> facility closes and some will independently find alternative employment</w:t>
      </w:r>
      <w:r>
        <w:rPr>
          <w:sz w:val="16"/>
          <w:szCs w:val="16"/>
        </w:rPr>
        <w:t>.</w:t>
      </w:r>
    </w:p>
  </w:footnote>
  <w:footnote w:id="58">
    <w:p w14:paraId="7AED1138" w14:textId="77777777" w:rsidR="00723EF8" w:rsidRDefault="00723EF8">
      <w:pPr>
        <w:pStyle w:val="FootnoteText"/>
      </w:pPr>
      <w:r w:rsidRPr="00ED7D02">
        <w:rPr>
          <w:rStyle w:val="FootnoteReference"/>
          <w:sz w:val="16"/>
          <w:szCs w:val="16"/>
        </w:rPr>
        <w:footnoteRef/>
      </w:r>
      <w:r w:rsidRPr="00ED7D02">
        <w:rPr>
          <w:sz w:val="16"/>
          <w:szCs w:val="16"/>
        </w:rPr>
        <w:t xml:space="preserve"> This is the product of the</w:t>
      </w:r>
      <w:r w:rsidRPr="00ED7D02">
        <w:rPr>
          <w:sz w:val="16"/>
        </w:rPr>
        <w:t xml:space="preserve"> worker participation rate and participant success rate. </w:t>
      </w:r>
      <w:r>
        <w:rPr>
          <w:sz w:val="16"/>
        </w:rPr>
        <w:t>T</w:t>
      </w:r>
      <w:r w:rsidRPr="00ED7D02">
        <w:rPr>
          <w:sz w:val="16"/>
        </w:rPr>
        <w:t xml:space="preserve">he </w:t>
      </w:r>
      <w:r>
        <w:rPr>
          <w:sz w:val="16"/>
        </w:rPr>
        <w:t xml:space="preserve">higher </w:t>
      </w:r>
      <w:r w:rsidRPr="00ED7D02">
        <w:rPr>
          <w:sz w:val="16"/>
        </w:rPr>
        <w:t>overall worker transfer rate under Option</w:t>
      </w:r>
      <w:r>
        <w:rPr>
          <w:sz w:val="16"/>
        </w:rPr>
        <w:t xml:space="preserve"> 3</w:t>
      </w:r>
      <w:r w:rsidRPr="00ED7D02">
        <w:rPr>
          <w:sz w:val="16"/>
        </w:rPr>
        <w:t xml:space="preserve"> is driven by </w:t>
      </w:r>
      <w:r>
        <w:rPr>
          <w:sz w:val="16"/>
        </w:rPr>
        <w:t xml:space="preserve">the </w:t>
      </w:r>
      <w:r w:rsidRPr="00ED7D02">
        <w:rPr>
          <w:sz w:val="16"/>
        </w:rPr>
        <w:t>higher participant success rate</w:t>
      </w:r>
      <w:r>
        <w:rPr>
          <w:sz w:val="16"/>
        </w:rPr>
        <w:t xml:space="preserve">. </w:t>
      </w:r>
    </w:p>
  </w:footnote>
  <w:footnote w:id="59">
    <w:p w14:paraId="73BA919E" w14:textId="77777777" w:rsidR="00723EF8" w:rsidRDefault="00723EF8">
      <w:pPr>
        <w:pStyle w:val="FootnoteText"/>
      </w:pPr>
      <w:r w:rsidRPr="00ED7D02">
        <w:rPr>
          <w:rStyle w:val="FootnoteReference"/>
          <w:sz w:val="16"/>
        </w:rPr>
        <w:footnoteRef/>
      </w:r>
      <w:r>
        <w:rPr>
          <w:sz w:val="16"/>
        </w:rPr>
        <w:t xml:space="preserve"> </w:t>
      </w:r>
      <w:r w:rsidRPr="00ED7D02">
        <w:rPr>
          <w:sz w:val="16"/>
        </w:rPr>
        <w:t xml:space="preserve">If </w:t>
      </w:r>
      <w:r>
        <w:rPr>
          <w:sz w:val="16"/>
        </w:rPr>
        <w:t>the successful transfer rate of Option 3 was to be achieved through an unlegislated plan, the cost to government and employers would be much greater than those estimated under Option 2.</w:t>
      </w:r>
    </w:p>
  </w:footnote>
  <w:footnote w:id="60">
    <w:p w14:paraId="57715967" w14:textId="77777777" w:rsidR="00723EF8" w:rsidRDefault="00723EF8">
      <w:pPr>
        <w:pStyle w:val="FootnoteText"/>
      </w:pPr>
      <w:r w:rsidRPr="00ED7D02">
        <w:rPr>
          <w:rStyle w:val="FootnoteReference"/>
          <w:sz w:val="16"/>
          <w:szCs w:val="16"/>
        </w:rPr>
        <w:footnoteRef/>
      </w:r>
      <w:r w:rsidRPr="00ED7D02">
        <w:rPr>
          <w:sz w:val="16"/>
          <w:szCs w:val="16"/>
        </w:rPr>
        <w:t xml:space="preserve"> </w:t>
      </w:r>
      <w:r w:rsidRPr="00976B8D">
        <w:rPr>
          <w:sz w:val="16"/>
          <w:szCs w:val="16"/>
        </w:rPr>
        <w:t>The participant success rate is an input into the model that illustrates the scale of the unquantified benefits under Option 2 and Option 3</w:t>
      </w:r>
      <w:r>
        <w:rPr>
          <w:sz w:val="16"/>
        </w:rPr>
        <w:t>.</w:t>
      </w:r>
    </w:p>
  </w:footnote>
  <w:footnote w:id="61">
    <w:p w14:paraId="327F99C3"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Office of Impact Analysis, (Jul. 2023), </w:t>
      </w:r>
      <w:hyperlink r:id="rId60" w:history="1">
        <w:r w:rsidRPr="009E02E2">
          <w:rPr>
            <w:rStyle w:val="Hyperlink"/>
            <w:sz w:val="16"/>
            <w:szCs w:val="16"/>
          </w:rPr>
          <w:t>Regulatory Burden Measurement Framework</w:t>
        </w:r>
      </w:hyperlink>
    </w:p>
  </w:footnote>
  <w:footnote w:id="62">
    <w:p w14:paraId="643AA368" w14:textId="77777777" w:rsidR="00723EF8" w:rsidRDefault="00723EF8">
      <w:pPr>
        <w:pStyle w:val="FootnoteText"/>
      </w:pPr>
      <w:r w:rsidRPr="00ED7D02">
        <w:rPr>
          <w:rStyle w:val="FootnoteReference"/>
          <w:sz w:val="16"/>
        </w:rPr>
        <w:footnoteRef/>
      </w:r>
      <w:r w:rsidRPr="00ED7D02">
        <w:rPr>
          <w:sz w:val="16"/>
        </w:rPr>
        <w:t xml:space="preserve"> </w:t>
      </w:r>
      <w:r>
        <w:rPr>
          <w:sz w:val="16"/>
        </w:rPr>
        <w:t xml:space="preserve">Under Option 2 and Option 3 there are dozens of employers impacted every year. </w:t>
      </w:r>
      <w:r w:rsidRPr="00ED7D02">
        <w:rPr>
          <w:sz w:val="16"/>
        </w:rPr>
        <w:t xml:space="preserve">The </w:t>
      </w:r>
      <w:r>
        <w:rPr>
          <w:sz w:val="16"/>
        </w:rPr>
        <w:t>annual regulatory burden for each individual c</w:t>
      </w:r>
      <w:r w:rsidRPr="0041131D">
        <w:rPr>
          <w:sz w:val="16"/>
        </w:rPr>
        <w:t xml:space="preserve">losing and receiving </w:t>
      </w:r>
      <w:r>
        <w:rPr>
          <w:sz w:val="16"/>
        </w:rPr>
        <w:t>employer is much lower than that stated here.</w:t>
      </w:r>
    </w:p>
  </w:footnote>
  <w:footnote w:id="63">
    <w:p w14:paraId="389BB741" w14:textId="77777777" w:rsidR="00723EF8" w:rsidRDefault="00723EF8">
      <w:pPr>
        <w:pStyle w:val="FootnoteText"/>
      </w:pPr>
      <w:r w:rsidRPr="00DC1394">
        <w:rPr>
          <w:rStyle w:val="FootnoteReference"/>
          <w:sz w:val="16"/>
        </w:rPr>
        <w:footnoteRef/>
      </w:r>
      <w:r w:rsidRPr="00DC1394">
        <w:rPr>
          <w:sz w:val="16"/>
        </w:rPr>
        <w:t xml:space="preserve"> </w:t>
      </w:r>
      <w:r>
        <w:rPr>
          <w:sz w:val="16"/>
        </w:rPr>
        <w:t>The regulatory costs f</w:t>
      </w:r>
      <w:r w:rsidRPr="00DC1394">
        <w:rPr>
          <w:sz w:val="16"/>
        </w:rPr>
        <w:t xml:space="preserve">or </w:t>
      </w:r>
      <w:r>
        <w:rPr>
          <w:sz w:val="16"/>
        </w:rPr>
        <w:t xml:space="preserve">closing and receiving employers under Option 2 and for </w:t>
      </w:r>
      <w:r w:rsidRPr="00DC1394">
        <w:rPr>
          <w:sz w:val="16"/>
        </w:rPr>
        <w:t xml:space="preserve">receiving employers </w:t>
      </w:r>
      <w:r>
        <w:rPr>
          <w:sz w:val="16"/>
        </w:rPr>
        <w:t xml:space="preserve">under Option 3 are outweighed by their unquantified benefits. The </w:t>
      </w:r>
      <w:r w:rsidRPr="00DC1394">
        <w:rPr>
          <w:sz w:val="16"/>
        </w:rPr>
        <w:t xml:space="preserve">overall impacts </w:t>
      </w:r>
      <w:r>
        <w:rPr>
          <w:sz w:val="16"/>
        </w:rPr>
        <w:t>are</w:t>
      </w:r>
      <w:r w:rsidRPr="00DC1394">
        <w:rPr>
          <w:sz w:val="16"/>
        </w:rPr>
        <w:t xml:space="preserve"> net </w:t>
      </w:r>
      <w:r>
        <w:rPr>
          <w:sz w:val="16"/>
        </w:rPr>
        <w:t>positive</w:t>
      </w:r>
      <w:r w:rsidRPr="00DC1394">
        <w:rPr>
          <w:sz w:val="16"/>
        </w:rPr>
        <w:t xml:space="preserve"> for them to voluntarily participate</w:t>
      </w:r>
      <w:r>
        <w:rPr>
          <w:sz w:val="16"/>
        </w:rPr>
        <w:t>.</w:t>
      </w:r>
    </w:p>
  </w:footnote>
  <w:footnote w:id="64">
    <w:p w14:paraId="48D216B9" w14:textId="77777777" w:rsidR="00723EF8" w:rsidRPr="009E02E2" w:rsidRDefault="00723EF8" w:rsidP="00825212">
      <w:pPr>
        <w:pStyle w:val="FootnoteText"/>
        <w:ind w:left="113" w:hanging="113"/>
        <w:rPr>
          <w:rFonts w:cs="Segoe UI"/>
          <w:sz w:val="16"/>
          <w:szCs w:val="16"/>
        </w:rPr>
      </w:pPr>
      <w:r w:rsidRPr="009E02E2">
        <w:rPr>
          <w:rStyle w:val="FootnoteReference"/>
          <w:rFonts w:cs="Segoe UI"/>
          <w:sz w:val="16"/>
          <w:szCs w:val="16"/>
        </w:rPr>
        <w:footnoteRef/>
      </w:r>
      <w:r w:rsidRPr="009E02E2">
        <w:rPr>
          <w:rFonts w:cs="Segoe UI"/>
          <w:sz w:val="16"/>
          <w:szCs w:val="16"/>
        </w:rPr>
        <w:t xml:space="preserve"> Total employees for in-scope facilities (DCCEEW, FY21-22, </w:t>
      </w:r>
      <w:hyperlink r:id="rId61" w:history="1">
        <w:r w:rsidRPr="009E02E2">
          <w:rPr>
            <w:rStyle w:val="Hyperlink"/>
            <w:sz w:val="16"/>
            <w:szCs w:val="16"/>
          </w:rPr>
          <w:t>National Pollutant Inventory</w:t>
        </w:r>
      </w:hyperlink>
      <w:r w:rsidRPr="009E02E2">
        <w:rPr>
          <w:rFonts w:cs="Segoe UI"/>
          <w:sz w:val="16"/>
          <w:szCs w:val="16"/>
        </w:rPr>
        <w:t xml:space="preserve">), as a proportion of the Australian labour force as at June 2022 (Australian Bureau of Statistics, </w:t>
      </w:r>
      <w:hyperlink r:id="rId62" w:history="1">
        <w:r w:rsidRPr="009E02E2">
          <w:rPr>
            <w:rStyle w:val="Hyperlink"/>
            <w:color w:val="0563C6"/>
            <w:sz w:val="16"/>
            <w:szCs w:val="16"/>
          </w:rPr>
          <w:t>Labour Force, Australia</w:t>
        </w:r>
      </w:hyperlink>
      <w:r w:rsidRPr="009E02E2">
        <w:rPr>
          <w:rFonts w:cs="Segoe UI"/>
          <w:sz w:val="16"/>
          <w:szCs w:val="16"/>
        </w:rPr>
        <w:t>).</w:t>
      </w:r>
    </w:p>
  </w:footnote>
  <w:footnote w:id="65">
    <w:p w14:paraId="3EBE9671"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Office for Impact Analysis, (Jul. 2023), </w:t>
      </w:r>
      <w:hyperlink r:id="rId63" w:history="1">
        <w:r w:rsidRPr="009E02E2">
          <w:rPr>
            <w:rStyle w:val="Hyperlink"/>
            <w:sz w:val="16"/>
            <w:szCs w:val="16"/>
          </w:rPr>
          <w:t>Cost Benefit Analysis guidance note</w:t>
        </w:r>
      </w:hyperlink>
    </w:p>
  </w:footnote>
  <w:footnote w:id="66">
    <w:p w14:paraId="309E41B9" w14:textId="77777777" w:rsidR="00723EF8" w:rsidRDefault="00723EF8">
      <w:pPr>
        <w:pStyle w:val="FootnoteText"/>
      </w:pPr>
      <w:r w:rsidRPr="001E79E2">
        <w:rPr>
          <w:rStyle w:val="FootnoteReference"/>
          <w:sz w:val="16"/>
        </w:rPr>
        <w:footnoteRef/>
      </w:r>
      <w:r w:rsidRPr="001E79E2">
        <w:rPr>
          <w:rStyle w:val="FootnoteReference"/>
          <w:sz w:val="16"/>
        </w:rPr>
        <w:t xml:space="preserve"> </w:t>
      </w:r>
      <w:r w:rsidRPr="00B12A92">
        <w:rPr>
          <w:sz w:val="16"/>
        </w:rPr>
        <w:t xml:space="preserve">This category includes the kinds of </w:t>
      </w:r>
      <w:r>
        <w:rPr>
          <w:sz w:val="16"/>
        </w:rPr>
        <w:t xml:space="preserve">dependent </w:t>
      </w:r>
      <w:r w:rsidRPr="00B12A92">
        <w:rPr>
          <w:sz w:val="16"/>
        </w:rPr>
        <w:t xml:space="preserve">employers described at </w:t>
      </w:r>
      <w:r w:rsidRPr="00B269B9">
        <w:rPr>
          <w:rFonts w:eastAsia="Times New Roman" w:cs="Segoe UI"/>
          <w:b/>
          <w:color w:val="1B375C"/>
          <w:sz w:val="16"/>
          <w:szCs w:val="21"/>
        </w:rPr>
        <w:t>Section 3.4.2</w:t>
      </w:r>
      <w:r>
        <w:rPr>
          <w:sz w:val="16"/>
        </w:rPr>
        <w:t>.</w:t>
      </w:r>
    </w:p>
  </w:footnote>
  <w:footnote w:id="67">
    <w:p w14:paraId="424C136C" w14:textId="77777777" w:rsidR="00723EF8" w:rsidRDefault="00723EF8" w:rsidP="00FB10DD">
      <w:pPr>
        <w:pStyle w:val="FootnoteText"/>
      </w:pPr>
      <w:r w:rsidRPr="00ED7D02">
        <w:rPr>
          <w:rStyle w:val="FootnoteReference"/>
          <w:sz w:val="16"/>
          <w:szCs w:val="16"/>
        </w:rPr>
        <w:footnoteRef/>
      </w:r>
      <w:r w:rsidRPr="00ED7D02">
        <w:rPr>
          <w:rStyle w:val="FootnoteReference"/>
          <w:sz w:val="16"/>
          <w:szCs w:val="16"/>
        </w:rPr>
        <w:t xml:space="preserve"> </w:t>
      </w:r>
      <w:r>
        <w:t xml:space="preserve"> </w:t>
      </w:r>
      <w:r>
        <w:rPr>
          <w:sz w:val="16"/>
        </w:rPr>
        <w:t xml:space="preserve">As noted in </w:t>
      </w:r>
      <w:r w:rsidRPr="00E77931">
        <w:rPr>
          <w:b/>
          <w:color w:val="1B375C" w:themeColor="accent1"/>
          <w:sz w:val="16"/>
          <w:szCs w:val="21"/>
        </w:rPr>
        <w:t>Chapter 3</w:t>
      </w:r>
      <w:r>
        <w:rPr>
          <w:sz w:val="16"/>
        </w:rPr>
        <w:t>, t</w:t>
      </w:r>
      <w:r w:rsidRPr="00ED7D02">
        <w:rPr>
          <w:sz w:val="16"/>
        </w:rPr>
        <w:t xml:space="preserve">he </w:t>
      </w:r>
      <w:r>
        <w:rPr>
          <w:sz w:val="16"/>
        </w:rPr>
        <w:t xml:space="preserve">factors that the </w:t>
      </w:r>
      <w:r w:rsidRPr="00ED7D02">
        <w:rPr>
          <w:sz w:val="16"/>
        </w:rPr>
        <w:t>Authority would have regard to</w:t>
      </w:r>
      <w:r>
        <w:rPr>
          <w:sz w:val="16"/>
        </w:rPr>
        <w:t xml:space="preserve"> </w:t>
      </w:r>
      <w:r w:rsidRPr="00ED7D02">
        <w:rPr>
          <w:sz w:val="16"/>
        </w:rPr>
        <w:t>when considering whether to establish a pooled redeployment scheme</w:t>
      </w:r>
      <w:r>
        <w:rPr>
          <w:sz w:val="16"/>
        </w:rPr>
        <w:t xml:space="preserve"> are</w:t>
      </w:r>
      <w:r w:rsidRPr="00ED7D02">
        <w:rPr>
          <w:sz w:val="16"/>
        </w:rPr>
        <w:t>:</w:t>
      </w:r>
      <w:r>
        <w:rPr>
          <w:sz w:val="16"/>
        </w:rPr>
        <w:t xml:space="preserve"> </w:t>
      </w:r>
      <w:r w:rsidRPr="00ED7D02">
        <w:rPr>
          <w:sz w:val="16"/>
        </w:rPr>
        <w:t>the existing supports that are available to assist employees to find other employment (including through programs run by their employers and any state government programs)</w:t>
      </w:r>
      <w:r>
        <w:rPr>
          <w:sz w:val="16"/>
        </w:rPr>
        <w:t xml:space="preserve">; </w:t>
      </w:r>
      <w:r w:rsidRPr="00ED7D02">
        <w:rPr>
          <w:sz w:val="16"/>
        </w:rPr>
        <w:t>the number of employees involved</w:t>
      </w:r>
      <w:r>
        <w:rPr>
          <w:sz w:val="16"/>
        </w:rPr>
        <w:t xml:space="preserve">; </w:t>
      </w:r>
      <w:r w:rsidRPr="00ED7D02">
        <w:rPr>
          <w:sz w:val="16"/>
        </w:rPr>
        <w:t>the capacity of closing employers to redeploy their employees in other business operations, and</w:t>
      </w:r>
      <w:r>
        <w:rPr>
          <w:sz w:val="16"/>
        </w:rPr>
        <w:t xml:space="preserve"> </w:t>
      </w:r>
      <w:r w:rsidRPr="00ED7D02">
        <w:rPr>
          <w:sz w:val="16"/>
        </w:rPr>
        <w:t>the capacity of the local labour market to absorb those workers in the absence of a pooled redeployment plan</w:t>
      </w:r>
      <w:r>
        <w:rPr>
          <w:sz w:val="16"/>
        </w:rPr>
        <w:t>. Under Option 3, the FWC would also have regard to these factors when considering whether to formally include a closing or dependent employer in a community of interest determination.</w:t>
      </w:r>
    </w:p>
  </w:footnote>
  <w:footnote w:id="68">
    <w:p w14:paraId="7B91FF6E" w14:textId="77777777" w:rsidR="00723EF8" w:rsidRDefault="00723EF8">
      <w:pPr>
        <w:pStyle w:val="FootnoteText"/>
      </w:pPr>
      <w:r w:rsidRPr="00ED7D02">
        <w:rPr>
          <w:rStyle w:val="FootnoteReference"/>
          <w:sz w:val="16"/>
        </w:rPr>
        <w:footnoteRef/>
      </w:r>
      <w:r w:rsidRPr="00ED7D02">
        <w:rPr>
          <w:sz w:val="16"/>
        </w:rPr>
        <w:t xml:space="preserve"> </w:t>
      </w:r>
      <w:r>
        <w:rPr>
          <w:sz w:val="16"/>
        </w:rPr>
        <w:t>It is assumed that each power station will participate in the plan under Option 2 and Option 3. There is a risk that some coal power stations do not participate under Option 2’s unlegislated plan. If this risk eventuated, the overall benefit of Option 2 would be lower than estimated.</w:t>
      </w:r>
    </w:p>
  </w:footnote>
  <w:footnote w:id="69">
    <w:p w14:paraId="2B012010" w14:textId="77777777" w:rsidR="00723EF8" w:rsidRDefault="00723EF8">
      <w:pPr>
        <w:pStyle w:val="FootnoteText"/>
      </w:pPr>
      <w:r w:rsidRPr="00ED7D02">
        <w:rPr>
          <w:rStyle w:val="FootnoteReference"/>
          <w:sz w:val="16"/>
        </w:rPr>
        <w:footnoteRef/>
      </w:r>
      <w:r w:rsidRPr="00ED7D02">
        <w:rPr>
          <w:sz w:val="16"/>
        </w:rPr>
        <w:t xml:space="preserve"> </w:t>
      </w:r>
      <w:r>
        <w:rPr>
          <w:sz w:val="16"/>
        </w:rPr>
        <w:t>Australian Bureau of Statistics</w:t>
      </w:r>
      <w:r w:rsidRPr="00ED7D02">
        <w:rPr>
          <w:sz w:val="16"/>
        </w:rPr>
        <w:t>,</w:t>
      </w:r>
      <w:r>
        <w:rPr>
          <w:sz w:val="16"/>
        </w:rPr>
        <w:t xml:space="preserve"> average weekly earnings, November 2023.</w:t>
      </w:r>
    </w:p>
  </w:footnote>
  <w:footnote w:id="70">
    <w:p w14:paraId="6537DE73" w14:textId="77777777" w:rsidR="00723EF8" w:rsidRPr="005C1EDF" w:rsidRDefault="00723EF8">
      <w:pPr>
        <w:pStyle w:val="FootnoteText"/>
        <w:rPr>
          <w:sz w:val="16"/>
          <w:szCs w:val="16"/>
        </w:rPr>
      </w:pPr>
      <w:r w:rsidRPr="005C1EDF">
        <w:rPr>
          <w:rStyle w:val="FootnoteReference"/>
          <w:sz w:val="16"/>
          <w:szCs w:val="16"/>
        </w:rPr>
        <w:footnoteRef/>
      </w:r>
      <w:r w:rsidRPr="005C1EDF">
        <w:rPr>
          <w:sz w:val="16"/>
          <w:szCs w:val="16"/>
        </w:rPr>
        <w:t xml:space="preserve"> </w:t>
      </w:r>
      <w:r w:rsidRPr="00591052">
        <w:rPr>
          <w:sz w:val="16"/>
          <w:szCs w:val="16"/>
        </w:rPr>
        <w:t xml:space="preserve">The impact of supports in </w:t>
      </w:r>
      <w:r w:rsidRPr="00B269B9">
        <w:rPr>
          <w:rFonts w:eastAsia="Times New Roman" w:cs="Segoe UI"/>
          <w:b/>
          <w:color w:val="1B375C"/>
          <w:sz w:val="16"/>
          <w:szCs w:val="21"/>
        </w:rPr>
        <w:t>Section 1.3</w:t>
      </w:r>
      <w:r w:rsidRPr="00B269B9">
        <w:rPr>
          <w:sz w:val="10"/>
          <w:szCs w:val="16"/>
        </w:rPr>
        <w:t xml:space="preserve"> </w:t>
      </w:r>
      <w:r w:rsidRPr="00591052">
        <w:rPr>
          <w:sz w:val="16"/>
          <w:szCs w:val="16"/>
        </w:rPr>
        <w:t xml:space="preserve">have not </w:t>
      </w:r>
      <w:r>
        <w:rPr>
          <w:sz w:val="16"/>
          <w:szCs w:val="16"/>
        </w:rPr>
        <w:t>been assessed in this analysis as they are assumed to be present and have a net zero impact on the relevant stakeholders i.e. government supports are assumed to have the same impact under the status quo, unlegislated plan and legislated plan.</w:t>
      </w:r>
    </w:p>
  </w:footnote>
  <w:footnote w:id="71">
    <w:p w14:paraId="2B5DDD69" w14:textId="77777777" w:rsidR="00723EF8" w:rsidRPr="00CF0697" w:rsidRDefault="00723EF8">
      <w:pPr>
        <w:pStyle w:val="FootnoteText"/>
        <w:rPr>
          <w:sz w:val="16"/>
          <w:szCs w:val="16"/>
        </w:rPr>
      </w:pPr>
      <w:r w:rsidRPr="00CF0697">
        <w:rPr>
          <w:rStyle w:val="FootnoteReference"/>
          <w:sz w:val="16"/>
          <w:szCs w:val="16"/>
        </w:rPr>
        <w:footnoteRef/>
      </w:r>
      <w:r w:rsidRPr="00CF0697">
        <w:rPr>
          <w:sz w:val="16"/>
          <w:szCs w:val="16"/>
        </w:rPr>
        <w:t xml:space="preserve"> Burke et al, (2019), </w:t>
      </w:r>
      <w:hyperlink r:id="rId64" w:history="1">
        <w:r w:rsidRPr="00CF0697">
          <w:rPr>
            <w:rStyle w:val="Hyperlink"/>
            <w:sz w:val="16"/>
            <w:szCs w:val="16"/>
          </w:rPr>
          <w:t>Closures of coal-fired power stations in Australia: local unemployment effects</w:t>
        </w:r>
      </w:hyperlink>
    </w:p>
  </w:footnote>
  <w:footnote w:id="72">
    <w:p w14:paraId="4B03D3BE"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DEWR, (May 2020), </w:t>
      </w:r>
      <w:hyperlink r:id="rId65" w:history="1">
        <w:r w:rsidRPr="009E02E2">
          <w:rPr>
            <w:rStyle w:val="Hyperlink"/>
            <w:color w:val="0563C6"/>
            <w:sz w:val="16"/>
            <w:szCs w:val="16"/>
          </w:rPr>
          <w:t>The Transition of the Australian Car Manufacturing Sector</w:t>
        </w:r>
      </w:hyperlink>
    </w:p>
  </w:footnote>
  <w:footnote w:id="73">
    <w:p w14:paraId="6CDF0E9D"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Government of South Australia, (Nov. 2016), </w:t>
      </w:r>
      <w:hyperlink r:id="rId66" w:history="1">
        <w:r w:rsidRPr="009E02E2">
          <w:rPr>
            <w:rStyle w:val="Hyperlink"/>
            <w:sz w:val="16"/>
            <w:szCs w:val="16"/>
          </w:rPr>
          <w:t>Submission to the Federal Senate Inquiry into the Retirement of Coal Fired Power Stations (Attachment 3)</w:t>
        </w:r>
      </w:hyperlink>
    </w:p>
  </w:footnote>
  <w:footnote w:id="74">
    <w:p w14:paraId="4440A122"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w:t>
      </w:r>
      <w:hyperlink r:id="rId67" w:history="1">
        <w:r w:rsidRPr="009E02E2">
          <w:rPr>
            <w:sz w:val="16"/>
            <w:szCs w:val="16"/>
          </w:rPr>
          <w:t>Environment Victoria, (Oct. 2021),</w:t>
        </w:r>
      </w:hyperlink>
      <w:r w:rsidRPr="009E02E2">
        <w:rPr>
          <w:sz w:val="16"/>
          <w:szCs w:val="16"/>
        </w:rPr>
        <w:t xml:space="preserve"> </w:t>
      </w:r>
      <w:hyperlink r:id="rId68" w:history="1">
        <w:r w:rsidRPr="009E02E2">
          <w:rPr>
            <w:rStyle w:val="Hyperlink"/>
            <w:color w:val="0563C6"/>
            <w:sz w:val="16"/>
            <w:szCs w:val="16"/>
          </w:rPr>
          <w:t>Submission to the Victorian Parliamentary Inquiry into the Closure of the Hazelwood and Yallourn Power Stations</w:t>
        </w:r>
      </w:hyperlink>
    </w:p>
  </w:footnote>
  <w:footnote w:id="75">
    <w:p w14:paraId="7E72782E"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Alinta Energy, (Nov. 2016), </w:t>
      </w:r>
      <w:hyperlink r:id="rId69" w:history="1">
        <w:r w:rsidRPr="009E02E2">
          <w:rPr>
            <w:rStyle w:val="Hyperlink"/>
            <w:color w:val="0563C6"/>
            <w:sz w:val="16"/>
            <w:szCs w:val="16"/>
          </w:rPr>
          <w:t>Submission to the Federal Senate Inquiry into the Retirement of Coal Fired Power Stations</w:t>
        </w:r>
      </w:hyperlink>
    </w:p>
  </w:footnote>
  <w:footnote w:id="76">
    <w:p w14:paraId="08796CF5" w14:textId="77777777" w:rsidR="00723EF8" w:rsidRPr="009E02E2" w:rsidRDefault="00723EF8" w:rsidP="00825212">
      <w:pPr>
        <w:pStyle w:val="FootnoteText"/>
        <w:ind w:left="113" w:hanging="113"/>
        <w:rPr>
          <w:rFonts w:cs="Segoe UI"/>
          <w:sz w:val="16"/>
          <w:szCs w:val="16"/>
        </w:rPr>
      </w:pPr>
      <w:r w:rsidRPr="009E02E2">
        <w:rPr>
          <w:rStyle w:val="FootnoteReference"/>
          <w:rFonts w:cs="Segoe UI"/>
          <w:sz w:val="16"/>
          <w:szCs w:val="16"/>
        </w:rPr>
        <w:footnoteRef/>
      </w:r>
      <w:r w:rsidRPr="009E02E2">
        <w:rPr>
          <w:rFonts w:cs="Segoe UI"/>
          <w:sz w:val="16"/>
          <w:szCs w:val="16"/>
        </w:rPr>
        <w:t xml:space="preserve"> Browne-Yung et al</w:t>
      </w:r>
      <w:r>
        <w:rPr>
          <w:rFonts w:cs="Segoe UI"/>
          <w:sz w:val="16"/>
          <w:szCs w:val="16"/>
        </w:rPr>
        <w:t>.</w:t>
      </w:r>
      <w:r w:rsidRPr="009E02E2">
        <w:rPr>
          <w:rFonts w:cs="Segoe UI"/>
          <w:sz w:val="16"/>
          <w:szCs w:val="16"/>
        </w:rPr>
        <w:t xml:space="preserve">, (Jun. 2019), </w:t>
      </w:r>
      <w:hyperlink r:id="rId70" w:history="1">
        <w:r w:rsidRPr="009E02E2">
          <w:rPr>
            <w:rStyle w:val="Hyperlink"/>
            <w:rFonts w:cs="Segoe UI"/>
            <w:sz w:val="16"/>
            <w:szCs w:val="16"/>
          </w:rPr>
          <w:t>General Motor Holden’s closure in Playford, South Australia: Analysis of the policy response and its implications for health</w:t>
        </w:r>
      </w:hyperlink>
    </w:p>
  </w:footnote>
  <w:footnote w:id="77">
    <w:p w14:paraId="3555AA60"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e61</w:t>
      </w:r>
      <w:r>
        <w:rPr>
          <w:sz w:val="16"/>
          <w:szCs w:val="16"/>
        </w:rPr>
        <w:t>,</w:t>
      </w:r>
      <w:r w:rsidRPr="009E02E2">
        <w:rPr>
          <w:sz w:val="16"/>
          <w:szCs w:val="16"/>
        </w:rPr>
        <w:t xml:space="preserve"> (Oct. 2023), </w:t>
      </w:r>
      <w:hyperlink r:id="rId71" w:history="1">
        <w:r w:rsidRPr="009E02E2">
          <w:rPr>
            <w:rStyle w:val="Hyperlink"/>
            <w:sz w:val="16"/>
            <w:szCs w:val="16"/>
          </w:rPr>
          <w:t>At the coalface: what happens to workers displaced by decarbonisation?</w:t>
        </w:r>
      </w:hyperlink>
    </w:p>
  </w:footnote>
  <w:footnote w:id="78">
    <w:p w14:paraId="327607A2" w14:textId="77777777" w:rsidR="00723EF8" w:rsidRPr="009E02E2" w:rsidRDefault="00723EF8" w:rsidP="00825212">
      <w:pPr>
        <w:pStyle w:val="FootnoteText"/>
        <w:ind w:left="113" w:hanging="113"/>
        <w:rPr>
          <w:rFonts w:cs="Segoe UI"/>
          <w:sz w:val="16"/>
          <w:szCs w:val="16"/>
        </w:rPr>
      </w:pPr>
      <w:r w:rsidRPr="009E02E2">
        <w:rPr>
          <w:rStyle w:val="FootnoteReference"/>
          <w:rFonts w:cs="Segoe UI"/>
          <w:sz w:val="16"/>
          <w:szCs w:val="16"/>
        </w:rPr>
        <w:footnoteRef/>
      </w:r>
      <w:r w:rsidRPr="009E02E2">
        <w:rPr>
          <w:rFonts w:cs="Segoe UI"/>
          <w:sz w:val="16"/>
          <w:szCs w:val="16"/>
        </w:rPr>
        <w:t xml:space="preserve"> Burke, P et al</w:t>
      </w:r>
      <w:r>
        <w:rPr>
          <w:rFonts w:cs="Segoe UI"/>
          <w:sz w:val="16"/>
          <w:szCs w:val="16"/>
        </w:rPr>
        <w:t>.</w:t>
      </w:r>
      <w:r w:rsidRPr="009E02E2">
        <w:rPr>
          <w:rFonts w:cs="Segoe UI"/>
          <w:sz w:val="16"/>
          <w:szCs w:val="16"/>
        </w:rPr>
        <w:t xml:space="preserve">, (Jan. 2019), </w:t>
      </w:r>
      <w:hyperlink r:id="rId72" w:history="1">
        <w:r w:rsidRPr="009E02E2">
          <w:rPr>
            <w:rStyle w:val="Hyperlink"/>
            <w:sz w:val="16"/>
            <w:szCs w:val="16"/>
          </w:rPr>
          <w:t>Closures of coal-fired power stations in Australia: local unemployment effects</w:t>
        </w:r>
      </w:hyperlink>
    </w:p>
  </w:footnote>
  <w:footnote w:id="79">
    <w:p w14:paraId="750F94C2"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This Impact Analysis assumes single year effects, which have implications for benefits to workers. For example, the benefits associated with improved employment outcomes for closing employer employees are only captured for one year. On the other hand, the value of retirement package and leisure time relative to foregone earnings is currently only captured </w:t>
      </w:r>
      <w:r w:rsidRPr="009B1E91">
        <w:rPr>
          <w:sz w:val="16"/>
          <w:szCs w:val="16"/>
        </w:rPr>
        <w:t>within the year. This approach has been taken to simplify modelling. Under an alternate assumption that examines effects over a longer period, the magnitude of impacts would increase, but dynamics between workers, businesses and government would be expected to remain consistent with the presented analysis.</w:t>
      </w:r>
    </w:p>
  </w:footnote>
  <w:footnote w:id="80">
    <w:p w14:paraId="71CADE8B"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CS Energy, (Mar. 2010), </w:t>
      </w:r>
      <w:hyperlink r:id="rId73" w:anchor=":~:text=CS%20Energy%20Chief%20Executive%20David,station%2C%E2%80%9D%20Mr%20Brown%20said." w:history="1">
        <w:r w:rsidRPr="009E02E2">
          <w:rPr>
            <w:rStyle w:val="Hyperlink"/>
            <w:sz w:val="16"/>
            <w:szCs w:val="16"/>
          </w:rPr>
          <w:t>Future of Swanbank B Power Station announced</w:t>
        </w:r>
      </w:hyperlink>
    </w:p>
  </w:footnote>
  <w:footnote w:id="81">
    <w:p w14:paraId="0EC8754F"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Shepherd, T, (Nov. 2021), </w:t>
      </w:r>
      <w:hyperlink r:id="rId74" w:history="1">
        <w:r w:rsidRPr="009E02E2">
          <w:rPr>
            <w:rStyle w:val="Hyperlink"/>
            <w:sz w:val="16"/>
            <w:szCs w:val="16"/>
          </w:rPr>
          <w:t>Australia promises jobs to workers stranded by scrapping of French submarine deal</w:t>
        </w:r>
      </w:hyperlink>
    </w:p>
  </w:footnote>
  <w:footnote w:id="82">
    <w:p w14:paraId="3B490016" w14:textId="77777777" w:rsidR="00723EF8" w:rsidRPr="009E02E2" w:rsidRDefault="00723EF8" w:rsidP="00825212">
      <w:pPr>
        <w:pStyle w:val="FootnoteText"/>
        <w:ind w:left="113" w:hanging="113"/>
        <w:rPr>
          <w:color w:val="000000"/>
          <w:sz w:val="16"/>
          <w:szCs w:val="16"/>
        </w:rPr>
      </w:pPr>
      <w:r w:rsidRPr="009E02E2">
        <w:rPr>
          <w:rStyle w:val="FootnoteReference"/>
          <w:color w:val="000000"/>
          <w:sz w:val="16"/>
          <w:szCs w:val="16"/>
        </w:rPr>
        <w:footnoteRef/>
      </w:r>
      <w:r w:rsidRPr="009E02E2">
        <w:rPr>
          <w:color w:val="000000"/>
          <w:sz w:val="16"/>
          <w:szCs w:val="16"/>
        </w:rPr>
        <w:t xml:space="preserve"> Government of Victoria, (Jun. 2022), </w:t>
      </w:r>
      <w:hyperlink r:id="rId75" w:history="1">
        <w:r w:rsidRPr="009E02E2">
          <w:rPr>
            <w:rStyle w:val="Hyperlink"/>
            <w:sz w:val="16"/>
            <w:szCs w:val="16"/>
          </w:rPr>
          <w:t>Inquiry into the closure of the Hazelwood and Yallourn power stations</w:t>
        </w:r>
      </w:hyperlink>
    </w:p>
  </w:footnote>
  <w:footnote w:id="83">
    <w:p w14:paraId="7A952228" w14:textId="77777777" w:rsidR="00723EF8" w:rsidRDefault="00723EF8">
      <w:pPr>
        <w:pStyle w:val="FootnoteText"/>
      </w:pPr>
      <w:r w:rsidRPr="00533092">
        <w:rPr>
          <w:rStyle w:val="FootnoteReference"/>
          <w:sz w:val="16"/>
        </w:rPr>
        <w:footnoteRef/>
      </w:r>
      <w:r w:rsidRPr="00533092">
        <w:rPr>
          <w:sz w:val="16"/>
        </w:rPr>
        <w:t xml:space="preserve"> </w:t>
      </w:r>
      <w:r>
        <w:rPr>
          <w:sz w:val="16"/>
        </w:rPr>
        <w:t>For receiving employer employees who participate in the plan and retire, leisure time is assumed to be valued at $36 per hour. The value of leisure time for the retiring cohort is compared to the income that the cohort otherwise would have earnt if they continued working.</w:t>
      </w:r>
    </w:p>
  </w:footnote>
  <w:footnote w:id="84">
    <w:p w14:paraId="464C5463" w14:textId="77777777" w:rsidR="00723EF8" w:rsidRDefault="00723EF8">
      <w:pPr>
        <w:pStyle w:val="FootnoteText"/>
      </w:pPr>
      <w:r w:rsidRPr="00533092">
        <w:rPr>
          <w:rStyle w:val="FootnoteReference"/>
          <w:sz w:val="16"/>
        </w:rPr>
        <w:footnoteRef/>
      </w:r>
      <w:r w:rsidRPr="00533092">
        <w:rPr>
          <w:sz w:val="16"/>
        </w:rPr>
        <w:t xml:space="preserve"> The company tax revenue paid by closing </w:t>
      </w:r>
      <w:r>
        <w:rPr>
          <w:sz w:val="16"/>
        </w:rPr>
        <w:t xml:space="preserve">employers </w:t>
      </w:r>
      <w:r w:rsidRPr="00533092">
        <w:rPr>
          <w:sz w:val="16"/>
        </w:rPr>
        <w:t xml:space="preserve">and receiving employers is not expected to </w:t>
      </w:r>
      <w:r>
        <w:rPr>
          <w:sz w:val="16"/>
        </w:rPr>
        <w:t>be impacted by the unlegislated plan.</w:t>
      </w:r>
    </w:p>
  </w:footnote>
  <w:footnote w:id="85">
    <w:p w14:paraId="794E3D8B" w14:textId="77777777" w:rsidR="00723EF8" w:rsidRPr="009E02E2" w:rsidRDefault="00723EF8" w:rsidP="00825212">
      <w:pPr>
        <w:pStyle w:val="FootnoteText"/>
        <w:ind w:left="113" w:hanging="113"/>
        <w:rPr>
          <w:sz w:val="16"/>
          <w:szCs w:val="16"/>
        </w:rPr>
      </w:pPr>
      <w:r w:rsidRPr="009E02E2">
        <w:rPr>
          <w:rStyle w:val="FootnoteReference"/>
          <w:sz w:val="16"/>
          <w:szCs w:val="16"/>
        </w:rPr>
        <w:footnoteRef/>
      </w:r>
      <w:r w:rsidRPr="009E02E2">
        <w:rPr>
          <w:sz w:val="16"/>
          <w:szCs w:val="16"/>
        </w:rPr>
        <w:t xml:space="preserve"> Commonwealth Office of Impact Analysis</w:t>
      </w:r>
      <w:r>
        <w:rPr>
          <w:sz w:val="16"/>
          <w:szCs w:val="16"/>
        </w:rPr>
        <w:t>,</w:t>
      </w:r>
      <w:r w:rsidRPr="009E02E2">
        <w:rPr>
          <w:sz w:val="16"/>
          <w:szCs w:val="16"/>
        </w:rPr>
        <w:t xml:space="preserve"> (Jul. 2023), </w:t>
      </w:r>
      <w:hyperlink r:id="rId76" w:history="1">
        <w:r w:rsidRPr="009E02E2">
          <w:rPr>
            <w:rStyle w:val="Hyperlink"/>
            <w:sz w:val="16"/>
            <w:szCs w:val="16"/>
          </w:rPr>
          <w:t>Cost Benefit Analysis</w:t>
        </w:r>
      </w:hyperlink>
    </w:p>
  </w:footnote>
  <w:footnote w:id="86">
    <w:p w14:paraId="499BE6B2"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Industrial Relations Research Centre University of New South Wales, (Oct. 2018), </w:t>
      </w:r>
      <w:hyperlink r:id="rId77" w:history="1">
        <w:r w:rsidRPr="009E02E2">
          <w:rPr>
            <w:rStyle w:val="Hyperlink"/>
            <w:sz w:val="16"/>
            <w:szCs w:val="16"/>
          </w:rPr>
          <w:t>The Ruhr or Appalachia? Deciding the future of Australia’s coal power workers and communities</w:t>
        </w:r>
      </w:hyperlink>
    </w:p>
  </w:footnote>
  <w:footnote w:id="87">
    <w:p w14:paraId="7CEE1566"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Industrial Relations Research Centre University of New South Wales, (Oct. 2018), </w:t>
      </w:r>
      <w:hyperlink r:id="rId78" w:history="1">
        <w:r w:rsidRPr="009E02E2">
          <w:rPr>
            <w:rStyle w:val="Hyperlink"/>
            <w:sz w:val="16"/>
            <w:szCs w:val="16"/>
          </w:rPr>
          <w:t>The Ruhr or Appalachia? Deciding the future of Australia’s coal power workers and communities</w:t>
        </w:r>
      </w:hyperlink>
    </w:p>
  </w:footnote>
  <w:footnote w:id="88">
    <w:p w14:paraId="54B7E8FB" w14:textId="77777777" w:rsidR="00723EF8" w:rsidRPr="009E02E2" w:rsidRDefault="00723EF8" w:rsidP="008F58AA">
      <w:pPr>
        <w:pStyle w:val="FootnoteText"/>
        <w:ind w:left="113" w:hanging="113"/>
        <w:rPr>
          <w:color w:val="0563C1"/>
          <w:sz w:val="16"/>
          <w:szCs w:val="16"/>
        </w:rPr>
      </w:pPr>
      <w:r w:rsidRPr="009E02E2">
        <w:rPr>
          <w:rStyle w:val="FootnoteReference"/>
          <w:sz w:val="16"/>
          <w:szCs w:val="16"/>
        </w:rPr>
        <w:footnoteRef/>
      </w:r>
      <w:r w:rsidRPr="009E02E2">
        <w:rPr>
          <w:sz w:val="16"/>
          <w:szCs w:val="16"/>
        </w:rPr>
        <w:t xml:space="preserve"> Coal Industry Statistics, </w:t>
      </w:r>
      <w:r w:rsidRPr="009E02E2">
        <w:rPr>
          <w:color w:val="000000"/>
          <w:sz w:val="16"/>
          <w:szCs w:val="16"/>
        </w:rPr>
        <w:t xml:space="preserve">(Jan. 2019), </w:t>
      </w:r>
      <w:hyperlink r:id="rId79" w:history="1">
        <w:r w:rsidRPr="009E02E2">
          <w:rPr>
            <w:rStyle w:val="Hyperlink"/>
            <w:sz w:val="16"/>
            <w:szCs w:val="16"/>
          </w:rPr>
          <w:t>Total employees by district</w:t>
        </w:r>
      </w:hyperlink>
      <w:r w:rsidRPr="009E02E2">
        <w:rPr>
          <w:rStyle w:val="Hyperlink"/>
          <w:rFonts w:cs="Segoe UI"/>
          <w:color w:val="auto"/>
          <w:sz w:val="16"/>
          <w:szCs w:val="16"/>
          <w:u w:val="none"/>
        </w:rPr>
        <w:t xml:space="preserve">; ifo Institute for Economic Research, (May. 1997), </w:t>
      </w:r>
      <w:hyperlink r:id="rId80" w:history="1">
        <w:r w:rsidRPr="009E02E2">
          <w:rPr>
            <w:rStyle w:val="Hyperlink"/>
            <w:sz w:val="16"/>
            <w:szCs w:val="16"/>
          </w:rPr>
          <w:t>Labour Market Studies</w:t>
        </w:r>
      </w:hyperlink>
    </w:p>
  </w:footnote>
  <w:footnote w:id="89">
    <w:p w14:paraId="2E71DA00" w14:textId="77777777" w:rsidR="00723EF8" w:rsidRPr="009E02E2" w:rsidRDefault="00723EF8" w:rsidP="008F58AA">
      <w:pPr>
        <w:pStyle w:val="FootnoteText"/>
        <w:ind w:left="113" w:hanging="113"/>
        <w:rPr>
          <w:color w:val="0563C1"/>
          <w:sz w:val="16"/>
          <w:szCs w:val="16"/>
        </w:rPr>
      </w:pPr>
      <w:r w:rsidRPr="009E02E2">
        <w:rPr>
          <w:rStyle w:val="FootnoteReference"/>
          <w:sz w:val="16"/>
          <w:szCs w:val="16"/>
        </w:rPr>
        <w:footnoteRef/>
      </w:r>
      <w:r w:rsidRPr="009E02E2">
        <w:rPr>
          <w:sz w:val="16"/>
          <w:szCs w:val="16"/>
        </w:rPr>
        <w:t xml:space="preserve"> Coal Industry Statistics, </w:t>
      </w:r>
      <w:r w:rsidRPr="009E02E2">
        <w:rPr>
          <w:color w:val="000000"/>
          <w:sz w:val="16"/>
          <w:szCs w:val="16"/>
        </w:rPr>
        <w:t xml:space="preserve">(Jan. 2019), </w:t>
      </w:r>
      <w:hyperlink r:id="rId81" w:history="1">
        <w:r w:rsidRPr="009E02E2">
          <w:rPr>
            <w:rStyle w:val="Hyperlink"/>
            <w:sz w:val="16"/>
            <w:szCs w:val="16"/>
          </w:rPr>
          <w:t>Total employees by district</w:t>
        </w:r>
      </w:hyperlink>
      <w:r w:rsidRPr="009E02E2">
        <w:rPr>
          <w:rStyle w:val="Hyperlink"/>
          <w:rFonts w:cs="Segoe UI"/>
          <w:color w:val="auto"/>
          <w:sz w:val="16"/>
          <w:szCs w:val="16"/>
          <w:u w:val="none"/>
        </w:rPr>
        <w:t xml:space="preserve">; German Federal Statistical Office, (Jan. 2019), </w:t>
      </w:r>
      <w:hyperlink r:id="rId82" w:history="1">
        <w:r w:rsidRPr="009E02E2">
          <w:rPr>
            <w:rStyle w:val="Hyperlink"/>
            <w:sz w:val="16"/>
            <w:szCs w:val="16"/>
          </w:rPr>
          <w:t>2018: continued increase in employment</w:t>
        </w:r>
      </w:hyperlink>
    </w:p>
  </w:footnote>
  <w:footnote w:id="90">
    <w:p w14:paraId="60C4EC4B"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Assuming an exchange rate of 1 EUR to 1.60 AUD</w:t>
      </w:r>
      <w:r>
        <w:rPr>
          <w:sz w:val="16"/>
          <w:szCs w:val="16"/>
        </w:rPr>
        <w:t>.</w:t>
      </w:r>
    </w:p>
  </w:footnote>
  <w:footnote w:id="91">
    <w:p w14:paraId="7DA9DF38"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Resources for the Future and the Environment Defense Fund, (Nov. 2021), </w:t>
      </w:r>
      <w:hyperlink r:id="rId83" w:history="1">
        <w:r w:rsidRPr="009E02E2">
          <w:rPr>
            <w:rStyle w:val="Hyperlink"/>
            <w:sz w:val="16"/>
            <w:szCs w:val="16"/>
          </w:rPr>
          <w:t>German Just Transition: A Review of Public Policies to Assist German Coal Communities in Transition</w:t>
        </w:r>
      </w:hyperlink>
    </w:p>
  </w:footnote>
  <w:footnote w:id="92">
    <w:p w14:paraId="78E56FB6" w14:textId="77777777" w:rsidR="00723EF8" w:rsidRPr="009E02E2" w:rsidRDefault="00723EF8" w:rsidP="008F58AA">
      <w:pPr>
        <w:pStyle w:val="FootnoteText"/>
        <w:ind w:left="113" w:hanging="113"/>
        <w:jc w:val="both"/>
        <w:rPr>
          <w:sz w:val="16"/>
          <w:szCs w:val="16"/>
        </w:rPr>
      </w:pPr>
      <w:r w:rsidRPr="009E02E2">
        <w:rPr>
          <w:rStyle w:val="FootnoteReference"/>
          <w:sz w:val="16"/>
          <w:szCs w:val="16"/>
        </w:rPr>
        <w:footnoteRef/>
      </w:r>
      <w:r w:rsidRPr="009E02E2">
        <w:rPr>
          <w:sz w:val="16"/>
          <w:szCs w:val="16"/>
        </w:rPr>
        <w:t xml:space="preserve"> Industrial Relations Research Centre University of New South Wales, (Oct. 2018), </w:t>
      </w:r>
      <w:hyperlink r:id="rId84" w:history="1">
        <w:r w:rsidRPr="009E02E2">
          <w:rPr>
            <w:rStyle w:val="Hyperlink"/>
            <w:sz w:val="16"/>
            <w:szCs w:val="16"/>
          </w:rPr>
          <w:t>The Ruhr or Appalachia? Deciding the future of Australia’s coal power workers and communities</w:t>
        </w:r>
      </w:hyperlink>
    </w:p>
  </w:footnote>
  <w:footnote w:id="93">
    <w:p w14:paraId="14FB8970"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Construction, Forestry, Mining &amp; Energy Union, </w:t>
      </w:r>
      <w:r w:rsidRPr="009E02E2">
        <w:rPr>
          <w:color w:val="000000"/>
          <w:sz w:val="16"/>
          <w:szCs w:val="16"/>
        </w:rPr>
        <w:t xml:space="preserve">(Nov. 2016), </w:t>
      </w:r>
      <w:hyperlink r:id="rId85" w:history="1">
        <w:r w:rsidRPr="009E02E2">
          <w:rPr>
            <w:rStyle w:val="Hyperlink"/>
            <w:color w:val="0563C6"/>
            <w:sz w:val="16"/>
            <w:szCs w:val="16"/>
          </w:rPr>
          <w:t>Submission to the Commonwealth Senate Inquiry on the Retirement of coal power stations (18.1 Supplementary to submission 18)</w:t>
        </w:r>
      </w:hyperlink>
    </w:p>
  </w:footnote>
  <w:footnote w:id="94">
    <w:p w14:paraId="10D44BF5" w14:textId="77777777" w:rsidR="00723EF8" w:rsidRDefault="00723EF8">
      <w:pPr>
        <w:pStyle w:val="FootnoteText"/>
      </w:pPr>
      <w:r w:rsidRPr="00ED7D02">
        <w:rPr>
          <w:rStyle w:val="FootnoteReference"/>
          <w:sz w:val="16"/>
        </w:rPr>
        <w:footnoteRef/>
      </w:r>
      <w:r w:rsidRPr="00ED7D02">
        <w:rPr>
          <w:sz w:val="16"/>
        </w:rPr>
        <w:t xml:space="preserve"> Thi</w:t>
      </w:r>
      <w:r w:rsidRPr="00ED7D02">
        <w:rPr>
          <w:sz w:val="16"/>
          <w:szCs w:val="16"/>
        </w:rPr>
        <w:t xml:space="preserve">s table </w:t>
      </w:r>
      <w:r w:rsidRPr="0042756D">
        <w:rPr>
          <w:sz w:val="16"/>
          <w:szCs w:val="16"/>
        </w:rPr>
        <w:t>identifies the additional costs and benefits of Option 3 relative to Option 2</w:t>
      </w:r>
      <w:r w:rsidRPr="00ED7D02">
        <w:rPr>
          <w:sz w:val="16"/>
          <w:szCs w:val="16"/>
        </w:rPr>
        <w:t xml:space="preserve">. As the successful transfer rate of Option 3 is much higher than that of Option 2, </w:t>
      </w:r>
      <w:r>
        <w:rPr>
          <w:sz w:val="16"/>
          <w:szCs w:val="16"/>
        </w:rPr>
        <w:t xml:space="preserve">the magnitude of </w:t>
      </w:r>
      <w:r w:rsidRPr="00ED7D02">
        <w:rPr>
          <w:sz w:val="16"/>
          <w:szCs w:val="16"/>
        </w:rPr>
        <w:t xml:space="preserve">most costs and benefits </w:t>
      </w:r>
      <w:r>
        <w:rPr>
          <w:sz w:val="16"/>
          <w:szCs w:val="16"/>
        </w:rPr>
        <w:t>identified</w:t>
      </w:r>
      <w:r w:rsidRPr="00ED7D02">
        <w:rPr>
          <w:sz w:val="16"/>
          <w:szCs w:val="16"/>
        </w:rPr>
        <w:t xml:space="preserve"> under both options are expected to be much higher under Option 3.</w:t>
      </w:r>
    </w:p>
  </w:footnote>
  <w:footnote w:id="95">
    <w:p w14:paraId="3B72A74F"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Information on the Advisory Board can be found at: </w:t>
      </w:r>
      <w:hyperlink r:id="rId86" w:history="1">
        <w:r w:rsidRPr="009E02E2">
          <w:rPr>
            <w:rStyle w:val="Hyperlink"/>
            <w:sz w:val="16"/>
            <w:szCs w:val="16"/>
          </w:rPr>
          <w:t>https://www.pmc.gov.au/netzero/our-leadership</w:t>
        </w:r>
      </w:hyperlink>
      <w:r w:rsidRPr="009E02E2">
        <w:rPr>
          <w:sz w:val="16"/>
          <w:szCs w:val="16"/>
        </w:rPr>
        <w:t>.</w:t>
      </w:r>
    </w:p>
  </w:footnote>
  <w:footnote w:id="96">
    <w:p w14:paraId="3889491B" w14:textId="77777777" w:rsidR="00723EF8" w:rsidRPr="009E02E2" w:rsidRDefault="00723EF8" w:rsidP="001D46D0">
      <w:pPr>
        <w:pStyle w:val="FootnoteText"/>
        <w:ind w:left="113" w:hanging="113"/>
        <w:rPr>
          <w:sz w:val="16"/>
          <w:szCs w:val="16"/>
        </w:rPr>
      </w:pPr>
      <w:r w:rsidRPr="009E02E2">
        <w:rPr>
          <w:rStyle w:val="FootnoteReference"/>
          <w:sz w:val="16"/>
          <w:szCs w:val="16"/>
        </w:rPr>
        <w:footnoteRef/>
      </w:r>
      <w:r w:rsidRPr="009E02E2">
        <w:rPr>
          <w:sz w:val="16"/>
          <w:szCs w:val="16"/>
        </w:rPr>
        <w:t xml:space="preserve"> Victorian Department of Jobs, Precincts and Regions, </w:t>
      </w:r>
      <w:hyperlink r:id="rId87" w:history="1">
        <w:r w:rsidRPr="009E02E2">
          <w:rPr>
            <w:rStyle w:val="Hyperlink"/>
            <w:color w:val="000000"/>
            <w:sz w:val="16"/>
            <w:szCs w:val="16"/>
            <w:u w:val="none"/>
          </w:rPr>
          <w:t>(Dec. 2021),</w:t>
        </w:r>
      </w:hyperlink>
      <w:r w:rsidRPr="009E02E2">
        <w:rPr>
          <w:rStyle w:val="Hyperlink"/>
          <w:rFonts w:cs="Segoe UI"/>
          <w:color w:val="000000"/>
          <w:sz w:val="16"/>
          <w:szCs w:val="16"/>
          <w:u w:val="none"/>
        </w:rPr>
        <w:t xml:space="preserve"> </w:t>
      </w:r>
      <w:hyperlink r:id="rId88" w:history="1">
        <w:r w:rsidRPr="009E02E2">
          <w:rPr>
            <w:rStyle w:val="Hyperlink"/>
            <w:rFonts w:cs="Segoe UI"/>
            <w:color w:val="0563C6"/>
            <w:sz w:val="16"/>
            <w:szCs w:val="16"/>
          </w:rPr>
          <w:t>Submission to the Victorian Parliamentary Inquiry into the Closure of the Hazelwood and Yallourn Power Stations</w:t>
        </w:r>
      </w:hyperlink>
    </w:p>
  </w:footnote>
  <w:footnote w:id="97">
    <w:p w14:paraId="05C66E9F" w14:textId="77777777" w:rsidR="00723EF8" w:rsidRDefault="00723EF8">
      <w:pPr>
        <w:pStyle w:val="FootnoteText"/>
      </w:pPr>
      <w:r>
        <w:rPr>
          <w:rStyle w:val="FootnoteReference"/>
        </w:rPr>
        <w:footnoteRef/>
      </w:r>
      <w:r>
        <w:t xml:space="preserve"> </w:t>
      </w:r>
      <w:r w:rsidRPr="00D313CF">
        <w:rPr>
          <w:sz w:val="16"/>
        </w:rPr>
        <w:t xml:space="preserve">While costs to government </w:t>
      </w:r>
      <w:r>
        <w:rPr>
          <w:sz w:val="16"/>
        </w:rPr>
        <w:t>under the preferred option (</w:t>
      </w:r>
      <w:r w:rsidRPr="00D313CF">
        <w:rPr>
          <w:sz w:val="16"/>
        </w:rPr>
        <w:t>Option 3</w:t>
      </w:r>
      <w:r>
        <w:rPr>
          <w:sz w:val="16"/>
        </w:rPr>
        <w:t>) have been estimated</w:t>
      </w:r>
      <w:r w:rsidRPr="00D313CF">
        <w:rPr>
          <w:sz w:val="16"/>
        </w:rPr>
        <w:t xml:space="preserve">, </w:t>
      </w:r>
      <w:r>
        <w:rPr>
          <w:sz w:val="16"/>
        </w:rPr>
        <w:t>the</w:t>
      </w:r>
      <w:r w:rsidRPr="00635A97">
        <w:t xml:space="preserve"> </w:t>
      </w:r>
      <w:r w:rsidRPr="00635A97">
        <w:rPr>
          <w:sz w:val="16"/>
        </w:rPr>
        <w:t>Government</w:t>
      </w:r>
      <w:r>
        <w:rPr>
          <w:sz w:val="16"/>
        </w:rPr>
        <w:t xml:space="preserve"> has</w:t>
      </w:r>
      <w:r w:rsidRPr="00635A97">
        <w:rPr>
          <w:sz w:val="16"/>
        </w:rPr>
        <w:t xml:space="preserve"> </w:t>
      </w:r>
      <w:r>
        <w:rPr>
          <w:sz w:val="16"/>
        </w:rPr>
        <w:t>not agreed the final budgetary impact at the time of publishing the impact analysis. The budgetary impact of the proposal will be subject to final Government consideration.</w:t>
      </w:r>
    </w:p>
  </w:footnote>
  <w:footnote w:id="98">
    <w:p w14:paraId="288E8D20" w14:textId="77777777" w:rsidR="00723EF8" w:rsidRPr="009E02E2" w:rsidRDefault="00723EF8" w:rsidP="008F58AA">
      <w:pPr>
        <w:pStyle w:val="FootnoteText"/>
        <w:ind w:left="113" w:hanging="113"/>
        <w:rPr>
          <w:sz w:val="16"/>
          <w:szCs w:val="16"/>
        </w:rPr>
      </w:pPr>
      <w:r w:rsidRPr="009E02E2">
        <w:rPr>
          <w:rStyle w:val="FootnoteReference"/>
          <w:sz w:val="16"/>
          <w:szCs w:val="16"/>
        </w:rPr>
        <w:footnoteRef/>
      </w:r>
      <w:r w:rsidRPr="009E02E2">
        <w:rPr>
          <w:sz w:val="16"/>
          <w:szCs w:val="16"/>
        </w:rPr>
        <w:t xml:space="preserve"> Burke P et al</w:t>
      </w:r>
      <w:r>
        <w:rPr>
          <w:sz w:val="16"/>
          <w:szCs w:val="16"/>
        </w:rPr>
        <w:t>.</w:t>
      </w:r>
      <w:r w:rsidRPr="009E02E2">
        <w:rPr>
          <w:sz w:val="16"/>
          <w:szCs w:val="16"/>
        </w:rPr>
        <w:t xml:space="preserve">, (Jan. 2019), </w:t>
      </w:r>
      <w:hyperlink r:id="rId89" w:history="1">
        <w:r w:rsidRPr="009E02E2">
          <w:rPr>
            <w:rStyle w:val="Hyperlink"/>
            <w:sz w:val="16"/>
            <w:szCs w:val="16"/>
          </w:rPr>
          <w:t>Closures of coal-fired power stations in Australia: local unemployment effects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FDAC" w14:textId="77777777" w:rsidR="00C269CD" w:rsidRDefault="00C26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BA874" w14:textId="77777777" w:rsidR="00C269CD" w:rsidRDefault="00C269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C94B" w14:textId="77777777" w:rsidR="00723EF8" w:rsidRDefault="00723EF8" w:rsidP="00A80C67">
    <w:pPr>
      <w:pStyle w:val="Header"/>
      <w:jc w:val="center"/>
      <w:rPr>
        <w:rStyle w:val="CLASSIFICATIONChar"/>
      </w:rPr>
    </w:pPr>
    <w:r>
      <w:rPr>
        <w:noProof/>
        <w:lang w:eastAsia="en-AU"/>
      </w:rPr>
      <w:drawing>
        <wp:anchor distT="0" distB="0" distL="114300" distR="114300" simplePos="0" relativeHeight="251658240" behindDoc="0" locked="0" layoutInCell="1" allowOverlap="1" wp14:anchorId="6755A4BC" wp14:editId="5B9DA1C7">
          <wp:simplePos x="0" y="0"/>
          <wp:positionH relativeFrom="column">
            <wp:posOffset>0</wp:posOffset>
          </wp:positionH>
          <wp:positionV relativeFrom="paragraph">
            <wp:posOffset>-635</wp:posOffset>
          </wp:positionV>
          <wp:extent cx="2724150" cy="809625"/>
          <wp:effectExtent l="0" t="0" r="0" b="0"/>
          <wp:wrapNone/>
          <wp:docPr id="13" name="Picture 13" descr="CMYK_strip-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_strip-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809625"/>
                  </a:xfrm>
                  <a:prstGeom prst="rect">
                    <a:avLst/>
                  </a:prstGeom>
                  <a:noFill/>
                </pic:spPr>
              </pic:pic>
            </a:graphicData>
          </a:graphic>
          <wp14:sizeRelH relativeFrom="page">
            <wp14:pctWidth>0</wp14:pctWidth>
          </wp14:sizeRelH>
          <wp14:sizeRelV relativeFrom="page">
            <wp14:pctHeight>0</wp14:pctHeight>
          </wp14:sizeRelV>
        </wp:anchor>
      </w:drawing>
    </w:r>
  </w:p>
  <w:p w14:paraId="1535FD71" w14:textId="77777777" w:rsidR="00723EF8" w:rsidRDefault="00723EF8" w:rsidP="00E9516C">
    <w:pPr>
      <w:pStyle w:val="Header"/>
      <w:jc w:val="center"/>
      <w:rPr>
        <w:rStyle w:val="CLASSIFICATIONChar"/>
      </w:rPr>
    </w:pPr>
  </w:p>
  <w:p w14:paraId="53489E8F" w14:textId="77777777" w:rsidR="00723EF8" w:rsidRDefault="00723EF8" w:rsidP="00E9516C">
    <w:pPr>
      <w:pStyle w:val="Header"/>
      <w:jc w:val="center"/>
      <w:rPr>
        <w:rStyle w:val="CLASSIFICATIONChar"/>
      </w:rPr>
    </w:pPr>
  </w:p>
  <w:p w14:paraId="23F7AADE" w14:textId="77777777" w:rsidR="00723EF8" w:rsidRDefault="00723EF8" w:rsidP="00E9516C">
    <w:pPr>
      <w:pStyle w:val="Header"/>
      <w:jc w:val="center"/>
      <w:rPr>
        <w:rStyle w:val="CLASSIFICATIONChar"/>
      </w:rPr>
    </w:pPr>
  </w:p>
  <w:p w14:paraId="6F62D519" w14:textId="77777777" w:rsidR="00723EF8" w:rsidRPr="00E9516C" w:rsidRDefault="00723EF8" w:rsidP="00534803">
    <w:pPr>
      <w:pStyle w:val="CLASSIFICATION"/>
    </w:pPr>
  </w:p>
  <w:p w14:paraId="3D9600BD" w14:textId="77777777" w:rsidR="00723EF8" w:rsidRDefault="00723EF8"/>
  <w:p w14:paraId="3EA738CA" w14:textId="77777777" w:rsidR="00723EF8" w:rsidRDefault="00723EF8"/>
  <w:p w14:paraId="303A66F7" w14:textId="77777777" w:rsidR="00723EF8" w:rsidRDefault="00723EF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AEF"/>
    <w:multiLevelType w:val="hybridMultilevel"/>
    <w:tmpl w:val="1216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E4AC6"/>
    <w:multiLevelType w:val="multilevel"/>
    <w:tmpl w:val="5BE0F47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D44137"/>
    <w:multiLevelType w:val="hybridMultilevel"/>
    <w:tmpl w:val="50C89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27D25"/>
    <w:multiLevelType w:val="hybridMultilevel"/>
    <w:tmpl w:val="76A0667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7" w15:restartNumberingAfterBreak="0">
    <w:nsid w:val="17C77103"/>
    <w:multiLevelType w:val="hybridMultilevel"/>
    <w:tmpl w:val="7AD25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9" w15:restartNumberingAfterBreak="0">
    <w:nsid w:val="27895C43"/>
    <w:multiLevelType w:val="hybridMultilevel"/>
    <w:tmpl w:val="804433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2074680"/>
    <w:multiLevelType w:val="hybridMultilevel"/>
    <w:tmpl w:val="D3EA4F4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43E44D54"/>
    <w:multiLevelType w:val="hybridMultilevel"/>
    <w:tmpl w:val="A100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AD0D70"/>
    <w:multiLevelType w:val="hybridMultilevel"/>
    <w:tmpl w:val="602E5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A51437E"/>
    <w:multiLevelType w:val="hybridMultilevel"/>
    <w:tmpl w:val="13DE9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57060BB"/>
    <w:multiLevelType w:val="hybridMultilevel"/>
    <w:tmpl w:val="767CD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7B4188"/>
    <w:multiLevelType w:val="hybridMultilevel"/>
    <w:tmpl w:val="606C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8C4503"/>
    <w:multiLevelType w:val="hybridMultilevel"/>
    <w:tmpl w:val="45BEF122"/>
    <w:lvl w:ilvl="0" w:tplc="C310E5C4">
      <w:start w:val="1"/>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2C631B"/>
    <w:multiLevelType w:val="hybridMultilevel"/>
    <w:tmpl w:val="AFFE4A3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5DC80553"/>
    <w:multiLevelType w:val="hybridMultilevel"/>
    <w:tmpl w:val="C5002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C928B0"/>
    <w:multiLevelType w:val="hybridMultilevel"/>
    <w:tmpl w:val="426442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0EB6AD3"/>
    <w:multiLevelType w:val="hybridMultilevel"/>
    <w:tmpl w:val="BAC0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6F4E4E"/>
    <w:multiLevelType w:val="hybridMultilevel"/>
    <w:tmpl w:val="B08A3C1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2" w15:restartNumberingAfterBreak="0">
    <w:nsid w:val="6AD83A21"/>
    <w:multiLevelType w:val="hybridMultilevel"/>
    <w:tmpl w:val="93A841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3434BE"/>
    <w:multiLevelType w:val="hybridMultilevel"/>
    <w:tmpl w:val="AD901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4E5B17"/>
    <w:multiLevelType w:val="hybridMultilevel"/>
    <w:tmpl w:val="9AB456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73F37549"/>
    <w:multiLevelType w:val="hybridMultilevel"/>
    <w:tmpl w:val="A2981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24"/>
  </w:num>
  <w:num w:numId="4">
    <w:abstractNumId w:val="27"/>
  </w:num>
  <w:num w:numId="5">
    <w:abstractNumId w:val="8"/>
  </w:num>
  <w:num w:numId="6">
    <w:abstractNumId w:val="6"/>
  </w:num>
  <w:num w:numId="7">
    <w:abstractNumId w:val="12"/>
  </w:num>
  <w:num w:numId="8">
    <w:abstractNumId w:val="13"/>
  </w:num>
  <w:num w:numId="9">
    <w:abstractNumId w:val="22"/>
  </w:num>
  <w:num w:numId="10">
    <w:abstractNumId w:val="23"/>
  </w:num>
  <w:num w:numId="11">
    <w:abstractNumId w:val="20"/>
  </w:num>
  <w:num w:numId="12">
    <w:abstractNumId w:val="3"/>
  </w:num>
  <w:num w:numId="13">
    <w:abstractNumId w:val="21"/>
  </w:num>
  <w:num w:numId="14">
    <w:abstractNumId w:val="0"/>
  </w:num>
  <w:num w:numId="15">
    <w:abstractNumId w:val="11"/>
  </w:num>
  <w:num w:numId="16">
    <w:abstractNumId w:val="17"/>
  </w:num>
  <w:num w:numId="17">
    <w:abstractNumId w:val="9"/>
  </w:num>
  <w:num w:numId="18">
    <w:abstractNumId w:val="26"/>
  </w:num>
  <w:num w:numId="19">
    <w:abstractNumId w:val="19"/>
  </w:num>
  <w:num w:numId="20">
    <w:abstractNumId w:val="18"/>
  </w:num>
  <w:num w:numId="21">
    <w:abstractNumId w:val="5"/>
  </w:num>
  <w:num w:numId="22">
    <w:abstractNumId w:val="10"/>
  </w:num>
  <w:num w:numId="23">
    <w:abstractNumId w:val="4"/>
  </w:num>
  <w:num w:numId="24">
    <w:abstractNumId w:val="14"/>
  </w:num>
  <w:num w:numId="25">
    <w:abstractNumId w:val="16"/>
  </w:num>
  <w:num w:numId="26">
    <w:abstractNumId w:val="25"/>
  </w:num>
  <w:num w:numId="27">
    <w:abstractNumId w:val="7"/>
  </w:num>
  <w:num w:numId="2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ctiveWritingStyle w:appName="MSWord" w:lang="en-AU"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32"/>
    <w:rsid w:val="000009AD"/>
    <w:rsid w:val="00000A2F"/>
    <w:rsid w:val="00000C91"/>
    <w:rsid w:val="00000F10"/>
    <w:rsid w:val="000011DD"/>
    <w:rsid w:val="00001CB5"/>
    <w:rsid w:val="00002616"/>
    <w:rsid w:val="00002F33"/>
    <w:rsid w:val="00003311"/>
    <w:rsid w:val="0000415C"/>
    <w:rsid w:val="00004E07"/>
    <w:rsid w:val="0000519F"/>
    <w:rsid w:val="00005303"/>
    <w:rsid w:val="000055FE"/>
    <w:rsid w:val="00005A06"/>
    <w:rsid w:val="00006942"/>
    <w:rsid w:val="00006EE7"/>
    <w:rsid w:val="00006F62"/>
    <w:rsid w:val="00007628"/>
    <w:rsid w:val="0000775A"/>
    <w:rsid w:val="0001004C"/>
    <w:rsid w:val="0001025A"/>
    <w:rsid w:val="00011533"/>
    <w:rsid w:val="00011D28"/>
    <w:rsid w:val="00012423"/>
    <w:rsid w:val="000136DA"/>
    <w:rsid w:val="00013AF2"/>
    <w:rsid w:val="00014471"/>
    <w:rsid w:val="00014556"/>
    <w:rsid w:val="00014B89"/>
    <w:rsid w:val="00014C6B"/>
    <w:rsid w:val="00014FCC"/>
    <w:rsid w:val="000155C6"/>
    <w:rsid w:val="000158A4"/>
    <w:rsid w:val="00015CC8"/>
    <w:rsid w:val="00015FA9"/>
    <w:rsid w:val="000166E0"/>
    <w:rsid w:val="00016B23"/>
    <w:rsid w:val="00017445"/>
    <w:rsid w:val="00017BA2"/>
    <w:rsid w:val="00017F21"/>
    <w:rsid w:val="00020765"/>
    <w:rsid w:val="000218F6"/>
    <w:rsid w:val="0002270E"/>
    <w:rsid w:val="00023198"/>
    <w:rsid w:val="000231DC"/>
    <w:rsid w:val="000232C3"/>
    <w:rsid w:val="00023C59"/>
    <w:rsid w:val="00023CCB"/>
    <w:rsid w:val="00023D7F"/>
    <w:rsid w:val="00023F3A"/>
    <w:rsid w:val="000253E3"/>
    <w:rsid w:val="00025D32"/>
    <w:rsid w:val="00026199"/>
    <w:rsid w:val="00026C5F"/>
    <w:rsid w:val="00027038"/>
    <w:rsid w:val="00027721"/>
    <w:rsid w:val="00030571"/>
    <w:rsid w:val="000305C1"/>
    <w:rsid w:val="00030624"/>
    <w:rsid w:val="00030B4C"/>
    <w:rsid w:val="00030CE2"/>
    <w:rsid w:val="0003154E"/>
    <w:rsid w:val="00032481"/>
    <w:rsid w:val="0003256F"/>
    <w:rsid w:val="00032844"/>
    <w:rsid w:val="00032943"/>
    <w:rsid w:val="00032C98"/>
    <w:rsid w:val="00033016"/>
    <w:rsid w:val="000334EE"/>
    <w:rsid w:val="00033E56"/>
    <w:rsid w:val="00033E9B"/>
    <w:rsid w:val="00033F35"/>
    <w:rsid w:val="00034161"/>
    <w:rsid w:val="00034702"/>
    <w:rsid w:val="00034FA9"/>
    <w:rsid w:val="00035683"/>
    <w:rsid w:val="00035BF5"/>
    <w:rsid w:val="00036864"/>
    <w:rsid w:val="000368F2"/>
    <w:rsid w:val="00036B6B"/>
    <w:rsid w:val="00036FD8"/>
    <w:rsid w:val="000370A4"/>
    <w:rsid w:val="000370ED"/>
    <w:rsid w:val="00037513"/>
    <w:rsid w:val="00037AA2"/>
    <w:rsid w:val="000401D7"/>
    <w:rsid w:val="000403FA"/>
    <w:rsid w:val="000409FE"/>
    <w:rsid w:val="00040A76"/>
    <w:rsid w:val="000418E9"/>
    <w:rsid w:val="00041ACA"/>
    <w:rsid w:val="00041E3A"/>
    <w:rsid w:val="00042219"/>
    <w:rsid w:val="00042E22"/>
    <w:rsid w:val="00043904"/>
    <w:rsid w:val="00043B97"/>
    <w:rsid w:val="0004489C"/>
    <w:rsid w:val="00046B5E"/>
    <w:rsid w:val="000474D5"/>
    <w:rsid w:val="00047AAA"/>
    <w:rsid w:val="00047B88"/>
    <w:rsid w:val="00050173"/>
    <w:rsid w:val="00050330"/>
    <w:rsid w:val="000503F5"/>
    <w:rsid w:val="00050571"/>
    <w:rsid w:val="000508DE"/>
    <w:rsid w:val="00050943"/>
    <w:rsid w:val="00050BAF"/>
    <w:rsid w:val="00050E86"/>
    <w:rsid w:val="00050EBE"/>
    <w:rsid w:val="000512E3"/>
    <w:rsid w:val="000514F9"/>
    <w:rsid w:val="00051A78"/>
    <w:rsid w:val="00051DB6"/>
    <w:rsid w:val="0005208B"/>
    <w:rsid w:val="00052AA8"/>
    <w:rsid w:val="00052D13"/>
    <w:rsid w:val="00052D9F"/>
    <w:rsid w:val="00052E69"/>
    <w:rsid w:val="00054826"/>
    <w:rsid w:val="00054D42"/>
    <w:rsid w:val="000553D3"/>
    <w:rsid w:val="000558ED"/>
    <w:rsid w:val="00056AD6"/>
    <w:rsid w:val="00060A24"/>
    <w:rsid w:val="0006139C"/>
    <w:rsid w:val="000613B0"/>
    <w:rsid w:val="000628CC"/>
    <w:rsid w:val="00062CAB"/>
    <w:rsid w:val="000635E9"/>
    <w:rsid w:val="00063900"/>
    <w:rsid w:val="00063E64"/>
    <w:rsid w:val="0006491F"/>
    <w:rsid w:val="00064949"/>
    <w:rsid w:val="00064AB8"/>
    <w:rsid w:val="00064CBC"/>
    <w:rsid w:val="00065026"/>
    <w:rsid w:val="00065C83"/>
    <w:rsid w:val="0006627F"/>
    <w:rsid w:val="000665A6"/>
    <w:rsid w:val="00066952"/>
    <w:rsid w:val="00067DC8"/>
    <w:rsid w:val="000703FB"/>
    <w:rsid w:val="00070412"/>
    <w:rsid w:val="000705C5"/>
    <w:rsid w:val="000708F6"/>
    <w:rsid w:val="00070A5F"/>
    <w:rsid w:val="00070F70"/>
    <w:rsid w:val="000711B3"/>
    <w:rsid w:val="000713C4"/>
    <w:rsid w:val="00071F8A"/>
    <w:rsid w:val="00072790"/>
    <w:rsid w:val="00074054"/>
    <w:rsid w:val="00074B89"/>
    <w:rsid w:val="00075233"/>
    <w:rsid w:val="000756D7"/>
    <w:rsid w:val="00075A3F"/>
    <w:rsid w:val="00075B40"/>
    <w:rsid w:val="00075BDD"/>
    <w:rsid w:val="00076E5E"/>
    <w:rsid w:val="00077843"/>
    <w:rsid w:val="000800FE"/>
    <w:rsid w:val="000814BC"/>
    <w:rsid w:val="00081D42"/>
    <w:rsid w:val="0008347F"/>
    <w:rsid w:val="00083AEB"/>
    <w:rsid w:val="00084999"/>
    <w:rsid w:val="00084D94"/>
    <w:rsid w:val="00085D3F"/>
    <w:rsid w:val="00085F25"/>
    <w:rsid w:val="000870F2"/>
    <w:rsid w:val="000871F3"/>
    <w:rsid w:val="00087DF6"/>
    <w:rsid w:val="00087E79"/>
    <w:rsid w:val="00090756"/>
    <w:rsid w:val="00090BCD"/>
    <w:rsid w:val="00091C44"/>
    <w:rsid w:val="00091DFF"/>
    <w:rsid w:val="000924CA"/>
    <w:rsid w:val="000925B6"/>
    <w:rsid w:val="0009391E"/>
    <w:rsid w:val="00094045"/>
    <w:rsid w:val="0009423B"/>
    <w:rsid w:val="00094C45"/>
    <w:rsid w:val="00094FE7"/>
    <w:rsid w:val="000953E8"/>
    <w:rsid w:val="00095493"/>
    <w:rsid w:val="00095CC6"/>
    <w:rsid w:val="00096A74"/>
    <w:rsid w:val="00096DA4"/>
    <w:rsid w:val="00096FE3"/>
    <w:rsid w:val="00097019"/>
    <w:rsid w:val="00097053"/>
    <w:rsid w:val="00097772"/>
    <w:rsid w:val="00097C2C"/>
    <w:rsid w:val="00097F1B"/>
    <w:rsid w:val="000A0296"/>
    <w:rsid w:val="000A17CE"/>
    <w:rsid w:val="000A2F66"/>
    <w:rsid w:val="000A309F"/>
    <w:rsid w:val="000A5353"/>
    <w:rsid w:val="000A6450"/>
    <w:rsid w:val="000A6F1B"/>
    <w:rsid w:val="000A71ED"/>
    <w:rsid w:val="000B0165"/>
    <w:rsid w:val="000B0545"/>
    <w:rsid w:val="000B0E2B"/>
    <w:rsid w:val="000B16E3"/>
    <w:rsid w:val="000B183D"/>
    <w:rsid w:val="000B19C2"/>
    <w:rsid w:val="000B19CC"/>
    <w:rsid w:val="000B2C13"/>
    <w:rsid w:val="000B2CB9"/>
    <w:rsid w:val="000B2F45"/>
    <w:rsid w:val="000B3156"/>
    <w:rsid w:val="000B3417"/>
    <w:rsid w:val="000B3ED8"/>
    <w:rsid w:val="000B45A3"/>
    <w:rsid w:val="000B4A83"/>
    <w:rsid w:val="000B4D23"/>
    <w:rsid w:val="000B5253"/>
    <w:rsid w:val="000B53B9"/>
    <w:rsid w:val="000B64FD"/>
    <w:rsid w:val="000B68D2"/>
    <w:rsid w:val="000B6A28"/>
    <w:rsid w:val="000B6EEF"/>
    <w:rsid w:val="000B71B4"/>
    <w:rsid w:val="000B7C31"/>
    <w:rsid w:val="000C0098"/>
    <w:rsid w:val="000C08A1"/>
    <w:rsid w:val="000C0CD6"/>
    <w:rsid w:val="000C159D"/>
    <w:rsid w:val="000C1B33"/>
    <w:rsid w:val="000C2EE5"/>
    <w:rsid w:val="000C3BC0"/>
    <w:rsid w:val="000C4521"/>
    <w:rsid w:val="000C4BDB"/>
    <w:rsid w:val="000C4CA9"/>
    <w:rsid w:val="000C57D2"/>
    <w:rsid w:val="000C5D4D"/>
    <w:rsid w:val="000C620A"/>
    <w:rsid w:val="000C6980"/>
    <w:rsid w:val="000C7E25"/>
    <w:rsid w:val="000D0116"/>
    <w:rsid w:val="000D0254"/>
    <w:rsid w:val="000D0A0C"/>
    <w:rsid w:val="000D0A43"/>
    <w:rsid w:val="000D10D2"/>
    <w:rsid w:val="000D1882"/>
    <w:rsid w:val="000D2063"/>
    <w:rsid w:val="000D27B6"/>
    <w:rsid w:val="000D2A55"/>
    <w:rsid w:val="000D313E"/>
    <w:rsid w:val="000D3173"/>
    <w:rsid w:val="000D38C7"/>
    <w:rsid w:val="000D3F51"/>
    <w:rsid w:val="000D4368"/>
    <w:rsid w:val="000D4C82"/>
    <w:rsid w:val="000D5245"/>
    <w:rsid w:val="000D5EC0"/>
    <w:rsid w:val="000D612D"/>
    <w:rsid w:val="000D6B61"/>
    <w:rsid w:val="000D6E2D"/>
    <w:rsid w:val="000D6ED7"/>
    <w:rsid w:val="000D7041"/>
    <w:rsid w:val="000D749D"/>
    <w:rsid w:val="000D76AC"/>
    <w:rsid w:val="000D79F5"/>
    <w:rsid w:val="000D7CD2"/>
    <w:rsid w:val="000E05BD"/>
    <w:rsid w:val="000E079C"/>
    <w:rsid w:val="000E07CC"/>
    <w:rsid w:val="000E1C02"/>
    <w:rsid w:val="000E28DD"/>
    <w:rsid w:val="000E2F7F"/>
    <w:rsid w:val="000E303E"/>
    <w:rsid w:val="000E3C07"/>
    <w:rsid w:val="000E47E3"/>
    <w:rsid w:val="000E481D"/>
    <w:rsid w:val="000E527B"/>
    <w:rsid w:val="000E6181"/>
    <w:rsid w:val="000E6555"/>
    <w:rsid w:val="000E788B"/>
    <w:rsid w:val="000E78CB"/>
    <w:rsid w:val="000E7F0F"/>
    <w:rsid w:val="000F04EA"/>
    <w:rsid w:val="000F13D0"/>
    <w:rsid w:val="000F159E"/>
    <w:rsid w:val="000F1618"/>
    <w:rsid w:val="000F170C"/>
    <w:rsid w:val="000F24F0"/>
    <w:rsid w:val="000F2FE5"/>
    <w:rsid w:val="000F3400"/>
    <w:rsid w:val="000F4248"/>
    <w:rsid w:val="000F449E"/>
    <w:rsid w:val="000F4877"/>
    <w:rsid w:val="000F4B5B"/>
    <w:rsid w:val="000F5431"/>
    <w:rsid w:val="000F5686"/>
    <w:rsid w:val="000F5D48"/>
    <w:rsid w:val="000F5DDF"/>
    <w:rsid w:val="000F5F7A"/>
    <w:rsid w:val="000F66DF"/>
    <w:rsid w:val="000F71B9"/>
    <w:rsid w:val="000F7923"/>
    <w:rsid w:val="001002D0"/>
    <w:rsid w:val="001009AE"/>
    <w:rsid w:val="00100A67"/>
    <w:rsid w:val="00100E06"/>
    <w:rsid w:val="00101E8C"/>
    <w:rsid w:val="00102742"/>
    <w:rsid w:val="00102972"/>
    <w:rsid w:val="001037B1"/>
    <w:rsid w:val="00103FDA"/>
    <w:rsid w:val="001041D5"/>
    <w:rsid w:val="00104EF8"/>
    <w:rsid w:val="00105015"/>
    <w:rsid w:val="001054D5"/>
    <w:rsid w:val="001054E0"/>
    <w:rsid w:val="00105A58"/>
    <w:rsid w:val="00105D2A"/>
    <w:rsid w:val="00106660"/>
    <w:rsid w:val="00110298"/>
    <w:rsid w:val="00110A15"/>
    <w:rsid w:val="00111693"/>
    <w:rsid w:val="00112EDA"/>
    <w:rsid w:val="00113E41"/>
    <w:rsid w:val="00114005"/>
    <w:rsid w:val="0011447D"/>
    <w:rsid w:val="001145FC"/>
    <w:rsid w:val="00115264"/>
    <w:rsid w:val="00116306"/>
    <w:rsid w:val="00117A77"/>
    <w:rsid w:val="00117CDA"/>
    <w:rsid w:val="00120299"/>
    <w:rsid w:val="00120313"/>
    <w:rsid w:val="00120398"/>
    <w:rsid w:val="00120DC5"/>
    <w:rsid w:val="0012109A"/>
    <w:rsid w:val="001214E8"/>
    <w:rsid w:val="001215DD"/>
    <w:rsid w:val="00121603"/>
    <w:rsid w:val="00121AD3"/>
    <w:rsid w:val="00123025"/>
    <w:rsid w:val="00123932"/>
    <w:rsid w:val="00123F0D"/>
    <w:rsid w:val="001240EC"/>
    <w:rsid w:val="001243A4"/>
    <w:rsid w:val="001246DF"/>
    <w:rsid w:val="001249B9"/>
    <w:rsid w:val="00124E81"/>
    <w:rsid w:val="00126077"/>
    <w:rsid w:val="001272D3"/>
    <w:rsid w:val="001273BF"/>
    <w:rsid w:val="00127D67"/>
    <w:rsid w:val="00130A6A"/>
    <w:rsid w:val="0013115F"/>
    <w:rsid w:val="0013116E"/>
    <w:rsid w:val="00131B80"/>
    <w:rsid w:val="00131CA3"/>
    <w:rsid w:val="00131E79"/>
    <w:rsid w:val="001330D6"/>
    <w:rsid w:val="001341A3"/>
    <w:rsid w:val="00134AC0"/>
    <w:rsid w:val="001354AF"/>
    <w:rsid w:val="00135653"/>
    <w:rsid w:val="00135C79"/>
    <w:rsid w:val="00135C97"/>
    <w:rsid w:val="00136245"/>
    <w:rsid w:val="0013705D"/>
    <w:rsid w:val="0014029B"/>
    <w:rsid w:val="0014088B"/>
    <w:rsid w:val="0014127C"/>
    <w:rsid w:val="0014151F"/>
    <w:rsid w:val="00142EAB"/>
    <w:rsid w:val="00143FEE"/>
    <w:rsid w:val="0014465B"/>
    <w:rsid w:val="001446E2"/>
    <w:rsid w:val="00145911"/>
    <w:rsid w:val="0014593A"/>
    <w:rsid w:val="00145C55"/>
    <w:rsid w:val="00145F3C"/>
    <w:rsid w:val="001460E3"/>
    <w:rsid w:val="001462BD"/>
    <w:rsid w:val="001466E3"/>
    <w:rsid w:val="00146B58"/>
    <w:rsid w:val="00146EE8"/>
    <w:rsid w:val="00147580"/>
    <w:rsid w:val="00150694"/>
    <w:rsid w:val="00151B6F"/>
    <w:rsid w:val="001522A8"/>
    <w:rsid w:val="0015396B"/>
    <w:rsid w:val="00153CBE"/>
    <w:rsid w:val="00153DC1"/>
    <w:rsid w:val="00154024"/>
    <w:rsid w:val="001541AC"/>
    <w:rsid w:val="00154977"/>
    <w:rsid w:val="00156A13"/>
    <w:rsid w:val="00157E1D"/>
    <w:rsid w:val="00157F3E"/>
    <w:rsid w:val="00160F1B"/>
    <w:rsid w:val="00160F21"/>
    <w:rsid w:val="001611BF"/>
    <w:rsid w:val="0016139C"/>
    <w:rsid w:val="00161761"/>
    <w:rsid w:val="001626A1"/>
    <w:rsid w:val="00163345"/>
    <w:rsid w:val="00163543"/>
    <w:rsid w:val="001638E7"/>
    <w:rsid w:val="00164866"/>
    <w:rsid w:val="00164E60"/>
    <w:rsid w:val="00164F8A"/>
    <w:rsid w:val="00165201"/>
    <w:rsid w:val="00165215"/>
    <w:rsid w:val="00165E6C"/>
    <w:rsid w:val="00165E72"/>
    <w:rsid w:val="0016612F"/>
    <w:rsid w:val="00166378"/>
    <w:rsid w:val="00166D82"/>
    <w:rsid w:val="00166EB0"/>
    <w:rsid w:val="00166FA2"/>
    <w:rsid w:val="001672BA"/>
    <w:rsid w:val="00167517"/>
    <w:rsid w:val="00167549"/>
    <w:rsid w:val="00167EA7"/>
    <w:rsid w:val="0017018F"/>
    <w:rsid w:val="001706F2"/>
    <w:rsid w:val="00171215"/>
    <w:rsid w:val="001717AF"/>
    <w:rsid w:val="00171A4F"/>
    <w:rsid w:val="00171B99"/>
    <w:rsid w:val="00172782"/>
    <w:rsid w:val="001729A5"/>
    <w:rsid w:val="00172AE2"/>
    <w:rsid w:val="00173222"/>
    <w:rsid w:val="00173248"/>
    <w:rsid w:val="00174160"/>
    <w:rsid w:val="0017436A"/>
    <w:rsid w:val="001745FE"/>
    <w:rsid w:val="0017616E"/>
    <w:rsid w:val="00176A6B"/>
    <w:rsid w:val="00176CD9"/>
    <w:rsid w:val="00177123"/>
    <w:rsid w:val="0017750A"/>
    <w:rsid w:val="0017766D"/>
    <w:rsid w:val="001779DA"/>
    <w:rsid w:val="00177DFE"/>
    <w:rsid w:val="00180325"/>
    <w:rsid w:val="001804C6"/>
    <w:rsid w:val="001810DE"/>
    <w:rsid w:val="00181CDD"/>
    <w:rsid w:val="00182A91"/>
    <w:rsid w:val="00183330"/>
    <w:rsid w:val="00183BA1"/>
    <w:rsid w:val="0018538F"/>
    <w:rsid w:val="00186104"/>
    <w:rsid w:val="00186196"/>
    <w:rsid w:val="001872E8"/>
    <w:rsid w:val="00187355"/>
    <w:rsid w:val="00187584"/>
    <w:rsid w:val="00187E0F"/>
    <w:rsid w:val="00187EA7"/>
    <w:rsid w:val="0019002A"/>
    <w:rsid w:val="001906F1"/>
    <w:rsid w:val="001911F2"/>
    <w:rsid w:val="00191573"/>
    <w:rsid w:val="001926F0"/>
    <w:rsid w:val="00192CAA"/>
    <w:rsid w:val="001935B3"/>
    <w:rsid w:val="0019489C"/>
    <w:rsid w:val="0019498F"/>
    <w:rsid w:val="001954B4"/>
    <w:rsid w:val="00196364"/>
    <w:rsid w:val="00196486"/>
    <w:rsid w:val="00196A05"/>
    <w:rsid w:val="00196A22"/>
    <w:rsid w:val="00196D18"/>
    <w:rsid w:val="001972BE"/>
    <w:rsid w:val="001972D9"/>
    <w:rsid w:val="0019764C"/>
    <w:rsid w:val="001A00B8"/>
    <w:rsid w:val="001A0136"/>
    <w:rsid w:val="001A03F1"/>
    <w:rsid w:val="001A04B1"/>
    <w:rsid w:val="001A05A8"/>
    <w:rsid w:val="001A05BA"/>
    <w:rsid w:val="001A1722"/>
    <w:rsid w:val="001A2F2E"/>
    <w:rsid w:val="001A34C0"/>
    <w:rsid w:val="001A3DFE"/>
    <w:rsid w:val="001A428D"/>
    <w:rsid w:val="001A42F4"/>
    <w:rsid w:val="001A55EA"/>
    <w:rsid w:val="001A60A6"/>
    <w:rsid w:val="001A6ECA"/>
    <w:rsid w:val="001A6FF4"/>
    <w:rsid w:val="001A788B"/>
    <w:rsid w:val="001A7D61"/>
    <w:rsid w:val="001B0840"/>
    <w:rsid w:val="001B18B6"/>
    <w:rsid w:val="001B1FF3"/>
    <w:rsid w:val="001B2D56"/>
    <w:rsid w:val="001B2EA3"/>
    <w:rsid w:val="001B3949"/>
    <w:rsid w:val="001B44FB"/>
    <w:rsid w:val="001B4953"/>
    <w:rsid w:val="001B4A06"/>
    <w:rsid w:val="001B4D5E"/>
    <w:rsid w:val="001B6D01"/>
    <w:rsid w:val="001B7638"/>
    <w:rsid w:val="001C0216"/>
    <w:rsid w:val="001C02B8"/>
    <w:rsid w:val="001C0660"/>
    <w:rsid w:val="001C0C15"/>
    <w:rsid w:val="001C227E"/>
    <w:rsid w:val="001C2708"/>
    <w:rsid w:val="001C29ED"/>
    <w:rsid w:val="001C3189"/>
    <w:rsid w:val="001C386C"/>
    <w:rsid w:val="001C4FEE"/>
    <w:rsid w:val="001C62C9"/>
    <w:rsid w:val="001C62D9"/>
    <w:rsid w:val="001C6A88"/>
    <w:rsid w:val="001D050E"/>
    <w:rsid w:val="001D0B16"/>
    <w:rsid w:val="001D1C34"/>
    <w:rsid w:val="001D1E4D"/>
    <w:rsid w:val="001D25F0"/>
    <w:rsid w:val="001D28A3"/>
    <w:rsid w:val="001D3280"/>
    <w:rsid w:val="001D3347"/>
    <w:rsid w:val="001D390E"/>
    <w:rsid w:val="001D3BFC"/>
    <w:rsid w:val="001D3EB4"/>
    <w:rsid w:val="001D407B"/>
    <w:rsid w:val="001D415F"/>
    <w:rsid w:val="001D46D0"/>
    <w:rsid w:val="001D4CA8"/>
    <w:rsid w:val="001D4FE3"/>
    <w:rsid w:val="001D553B"/>
    <w:rsid w:val="001D55AF"/>
    <w:rsid w:val="001D5857"/>
    <w:rsid w:val="001D61F0"/>
    <w:rsid w:val="001D6600"/>
    <w:rsid w:val="001D6AD9"/>
    <w:rsid w:val="001D6F36"/>
    <w:rsid w:val="001D6F86"/>
    <w:rsid w:val="001D7393"/>
    <w:rsid w:val="001D7768"/>
    <w:rsid w:val="001D7ADC"/>
    <w:rsid w:val="001E082D"/>
    <w:rsid w:val="001E0CAC"/>
    <w:rsid w:val="001E1401"/>
    <w:rsid w:val="001E1680"/>
    <w:rsid w:val="001E1910"/>
    <w:rsid w:val="001E1B4E"/>
    <w:rsid w:val="001E24BB"/>
    <w:rsid w:val="001E3DBC"/>
    <w:rsid w:val="001E3FCF"/>
    <w:rsid w:val="001E4B8C"/>
    <w:rsid w:val="001E5089"/>
    <w:rsid w:val="001E55BA"/>
    <w:rsid w:val="001E5D9D"/>
    <w:rsid w:val="001E6B31"/>
    <w:rsid w:val="001E6EDB"/>
    <w:rsid w:val="001E77D4"/>
    <w:rsid w:val="001E79E2"/>
    <w:rsid w:val="001F195C"/>
    <w:rsid w:val="001F2816"/>
    <w:rsid w:val="001F3D3A"/>
    <w:rsid w:val="001F471B"/>
    <w:rsid w:val="001F5250"/>
    <w:rsid w:val="001F5294"/>
    <w:rsid w:val="001F6245"/>
    <w:rsid w:val="001F6634"/>
    <w:rsid w:val="001F6CDC"/>
    <w:rsid w:val="001F6D3D"/>
    <w:rsid w:val="001F6F19"/>
    <w:rsid w:val="001F753D"/>
    <w:rsid w:val="001F782A"/>
    <w:rsid w:val="001F7E8F"/>
    <w:rsid w:val="00200913"/>
    <w:rsid w:val="002011D7"/>
    <w:rsid w:val="00201488"/>
    <w:rsid w:val="00201F66"/>
    <w:rsid w:val="002028B7"/>
    <w:rsid w:val="00202EC7"/>
    <w:rsid w:val="002034D6"/>
    <w:rsid w:val="002040E4"/>
    <w:rsid w:val="002045B5"/>
    <w:rsid w:val="00204821"/>
    <w:rsid w:val="00204977"/>
    <w:rsid w:val="00204A03"/>
    <w:rsid w:val="002054D9"/>
    <w:rsid w:val="0020577F"/>
    <w:rsid w:val="00206A2C"/>
    <w:rsid w:val="00207FA5"/>
    <w:rsid w:val="00210680"/>
    <w:rsid w:val="00210800"/>
    <w:rsid w:val="00210AFE"/>
    <w:rsid w:val="00210B60"/>
    <w:rsid w:val="00210BFC"/>
    <w:rsid w:val="00211036"/>
    <w:rsid w:val="00211ACA"/>
    <w:rsid w:val="0021203C"/>
    <w:rsid w:val="00212170"/>
    <w:rsid w:val="00212443"/>
    <w:rsid w:val="00213828"/>
    <w:rsid w:val="0021395E"/>
    <w:rsid w:val="002140F0"/>
    <w:rsid w:val="0021489A"/>
    <w:rsid w:val="00214BF1"/>
    <w:rsid w:val="00214D27"/>
    <w:rsid w:val="0021615A"/>
    <w:rsid w:val="00216B19"/>
    <w:rsid w:val="00216D3A"/>
    <w:rsid w:val="0021732F"/>
    <w:rsid w:val="0021757B"/>
    <w:rsid w:val="00217BA2"/>
    <w:rsid w:val="00217BF1"/>
    <w:rsid w:val="0022061C"/>
    <w:rsid w:val="0022091C"/>
    <w:rsid w:val="00220DDA"/>
    <w:rsid w:val="00220E7A"/>
    <w:rsid w:val="00221C53"/>
    <w:rsid w:val="00221F5B"/>
    <w:rsid w:val="002226F1"/>
    <w:rsid w:val="0022337A"/>
    <w:rsid w:val="00223518"/>
    <w:rsid w:val="00223BA2"/>
    <w:rsid w:val="00223EA5"/>
    <w:rsid w:val="00224028"/>
    <w:rsid w:val="002247ED"/>
    <w:rsid w:val="00224E96"/>
    <w:rsid w:val="00225140"/>
    <w:rsid w:val="002253D7"/>
    <w:rsid w:val="002264E9"/>
    <w:rsid w:val="002265E7"/>
    <w:rsid w:val="00226661"/>
    <w:rsid w:val="00226F08"/>
    <w:rsid w:val="002271E5"/>
    <w:rsid w:val="002274C8"/>
    <w:rsid w:val="00227DB5"/>
    <w:rsid w:val="00230E92"/>
    <w:rsid w:val="0023137F"/>
    <w:rsid w:val="002315B2"/>
    <w:rsid w:val="0023165D"/>
    <w:rsid w:val="00231846"/>
    <w:rsid w:val="002318B5"/>
    <w:rsid w:val="00231945"/>
    <w:rsid w:val="0023249B"/>
    <w:rsid w:val="00232644"/>
    <w:rsid w:val="0023287C"/>
    <w:rsid w:val="00233559"/>
    <w:rsid w:val="00233594"/>
    <w:rsid w:val="00233B60"/>
    <w:rsid w:val="00233C00"/>
    <w:rsid w:val="00234426"/>
    <w:rsid w:val="00234667"/>
    <w:rsid w:val="00234832"/>
    <w:rsid w:val="00234A72"/>
    <w:rsid w:val="00234F4C"/>
    <w:rsid w:val="00234FDF"/>
    <w:rsid w:val="00235AC6"/>
    <w:rsid w:val="00237BAD"/>
    <w:rsid w:val="00237DC3"/>
    <w:rsid w:val="00240711"/>
    <w:rsid w:val="00240F49"/>
    <w:rsid w:val="002410F4"/>
    <w:rsid w:val="00241672"/>
    <w:rsid w:val="0024179E"/>
    <w:rsid w:val="00242836"/>
    <w:rsid w:val="00242C64"/>
    <w:rsid w:val="00243191"/>
    <w:rsid w:val="002432C4"/>
    <w:rsid w:val="002444A9"/>
    <w:rsid w:val="00244C16"/>
    <w:rsid w:val="002450E4"/>
    <w:rsid w:val="0024558D"/>
    <w:rsid w:val="0024606D"/>
    <w:rsid w:val="00246412"/>
    <w:rsid w:val="002464FE"/>
    <w:rsid w:val="00247C7B"/>
    <w:rsid w:val="0025083C"/>
    <w:rsid w:val="0025127D"/>
    <w:rsid w:val="0025128A"/>
    <w:rsid w:val="00251CA6"/>
    <w:rsid w:val="00252393"/>
    <w:rsid w:val="002527D7"/>
    <w:rsid w:val="00252D1A"/>
    <w:rsid w:val="00253A46"/>
    <w:rsid w:val="00255B6D"/>
    <w:rsid w:val="00255C12"/>
    <w:rsid w:val="00255E62"/>
    <w:rsid w:val="002561AE"/>
    <w:rsid w:val="0025650B"/>
    <w:rsid w:val="002569DC"/>
    <w:rsid w:val="00256FE6"/>
    <w:rsid w:val="002571E9"/>
    <w:rsid w:val="00260C9B"/>
    <w:rsid w:val="0026205A"/>
    <w:rsid w:val="002629E9"/>
    <w:rsid w:val="0026301E"/>
    <w:rsid w:val="002630C8"/>
    <w:rsid w:val="00263493"/>
    <w:rsid w:val="00264051"/>
    <w:rsid w:val="0026427E"/>
    <w:rsid w:val="002644C4"/>
    <w:rsid w:val="00264A7C"/>
    <w:rsid w:val="00264E02"/>
    <w:rsid w:val="00264E33"/>
    <w:rsid w:val="00265493"/>
    <w:rsid w:val="00266244"/>
    <w:rsid w:val="0026642B"/>
    <w:rsid w:val="0026690C"/>
    <w:rsid w:val="00266CCC"/>
    <w:rsid w:val="00266FA0"/>
    <w:rsid w:val="0026705A"/>
    <w:rsid w:val="00270852"/>
    <w:rsid w:val="00270E13"/>
    <w:rsid w:val="00271500"/>
    <w:rsid w:val="00271B87"/>
    <w:rsid w:val="0027210C"/>
    <w:rsid w:val="00272536"/>
    <w:rsid w:val="002728A3"/>
    <w:rsid w:val="00272AA7"/>
    <w:rsid w:val="002732E6"/>
    <w:rsid w:val="00273403"/>
    <w:rsid w:val="00273AAD"/>
    <w:rsid w:val="00274B06"/>
    <w:rsid w:val="00274D42"/>
    <w:rsid w:val="0027501E"/>
    <w:rsid w:val="00275325"/>
    <w:rsid w:val="00275396"/>
    <w:rsid w:val="0027638B"/>
    <w:rsid w:val="002764CF"/>
    <w:rsid w:val="0027697F"/>
    <w:rsid w:val="002771EC"/>
    <w:rsid w:val="00277CBA"/>
    <w:rsid w:val="00277F8F"/>
    <w:rsid w:val="00280F6B"/>
    <w:rsid w:val="002816C0"/>
    <w:rsid w:val="0028182F"/>
    <w:rsid w:val="00281CDE"/>
    <w:rsid w:val="00281D1E"/>
    <w:rsid w:val="00281D22"/>
    <w:rsid w:val="002824E2"/>
    <w:rsid w:val="00282E6E"/>
    <w:rsid w:val="00282E9B"/>
    <w:rsid w:val="002831DC"/>
    <w:rsid w:val="00283233"/>
    <w:rsid w:val="002834E0"/>
    <w:rsid w:val="00283854"/>
    <w:rsid w:val="00283ED6"/>
    <w:rsid w:val="002845C1"/>
    <w:rsid w:val="0028467D"/>
    <w:rsid w:val="002846B9"/>
    <w:rsid w:val="00284C41"/>
    <w:rsid w:val="00285BBD"/>
    <w:rsid w:val="00285CAF"/>
    <w:rsid w:val="00285EAD"/>
    <w:rsid w:val="00287795"/>
    <w:rsid w:val="00290177"/>
    <w:rsid w:val="002902E1"/>
    <w:rsid w:val="002903DB"/>
    <w:rsid w:val="00290F48"/>
    <w:rsid w:val="002918E5"/>
    <w:rsid w:val="0029241B"/>
    <w:rsid w:val="0029281B"/>
    <w:rsid w:val="00292A0A"/>
    <w:rsid w:val="00292BFC"/>
    <w:rsid w:val="00292C55"/>
    <w:rsid w:val="0029360F"/>
    <w:rsid w:val="00293D6D"/>
    <w:rsid w:val="0029411D"/>
    <w:rsid w:val="00294522"/>
    <w:rsid w:val="002948E0"/>
    <w:rsid w:val="00295750"/>
    <w:rsid w:val="00296C05"/>
    <w:rsid w:val="00297317"/>
    <w:rsid w:val="00297714"/>
    <w:rsid w:val="002A01D3"/>
    <w:rsid w:val="002A14E2"/>
    <w:rsid w:val="002A15BA"/>
    <w:rsid w:val="002A1957"/>
    <w:rsid w:val="002A1F46"/>
    <w:rsid w:val="002A234E"/>
    <w:rsid w:val="002A37D9"/>
    <w:rsid w:val="002A3CCE"/>
    <w:rsid w:val="002A43A3"/>
    <w:rsid w:val="002A440C"/>
    <w:rsid w:val="002A4798"/>
    <w:rsid w:val="002A500C"/>
    <w:rsid w:val="002A5D17"/>
    <w:rsid w:val="002A5F35"/>
    <w:rsid w:val="002A619F"/>
    <w:rsid w:val="002A762A"/>
    <w:rsid w:val="002A7FDF"/>
    <w:rsid w:val="002B03B9"/>
    <w:rsid w:val="002B0E48"/>
    <w:rsid w:val="002B1691"/>
    <w:rsid w:val="002B1FCD"/>
    <w:rsid w:val="002B2443"/>
    <w:rsid w:val="002B298D"/>
    <w:rsid w:val="002B2D4F"/>
    <w:rsid w:val="002B4005"/>
    <w:rsid w:val="002B42D8"/>
    <w:rsid w:val="002B45BF"/>
    <w:rsid w:val="002B59FF"/>
    <w:rsid w:val="002B5DA5"/>
    <w:rsid w:val="002B6112"/>
    <w:rsid w:val="002B6523"/>
    <w:rsid w:val="002B661A"/>
    <w:rsid w:val="002B76A9"/>
    <w:rsid w:val="002C0A85"/>
    <w:rsid w:val="002C13ED"/>
    <w:rsid w:val="002C1EE4"/>
    <w:rsid w:val="002C2921"/>
    <w:rsid w:val="002C33B6"/>
    <w:rsid w:val="002C3C0F"/>
    <w:rsid w:val="002C3DB9"/>
    <w:rsid w:val="002C4269"/>
    <w:rsid w:val="002C4433"/>
    <w:rsid w:val="002C48C3"/>
    <w:rsid w:val="002C55B1"/>
    <w:rsid w:val="002C5FC1"/>
    <w:rsid w:val="002C673A"/>
    <w:rsid w:val="002C769F"/>
    <w:rsid w:val="002C7A05"/>
    <w:rsid w:val="002C7A92"/>
    <w:rsid w:val="002C7F34"/>
    <w:rsid w:val="002C7F91"/>
    <w:rsid w:val="002D1E0E"/>
    <w:rsid w:val="002D2CA2"/>
    <w:rsid w:val="002D31BC"/>
    <w:rsid w:val="002D3500"/>
    <w:rsid w:val="002D42B9"/>
    <w:rsid w:val="002D43FE"/>
    <w:rsid w:val="002D46C9"/>
    <w:rsid w:val="002D4A2A"/>
    <w:rsid w:val="002D4EC5"/>
    <w:rsid w:val="002D543F"/>
    <w:rsid w:val="002D5BD5"/>
    <w:rsid w:val="002D6343"/>
    <w:rsid w:val="002D655F"/>
    <w:rsid w:val="002D6591"/>
    <w:rsid w:val="002D68F2"/>
    <w:rsid w:val="002D6B3D"/>
    <w:rsid w:val="002D6E4E"/>
    <w:rsid w:val="002D70A1"/>
    <w:rsid w:val="002D7953"/>
    <w:rsid w:val="002D7F25"/>
    <w:rsid w:val="002E04BA"/>
    <w:rsid w:val="002E0E4D"/>
    <w:rsid w:val="002E1415"/>
    <w:rsid w:val="002E2835"/>
    <w:rsid w:val="002E2D1F"/>
    <w:rsid w:val="002E3474"/>
    <w:rsid w:val="002E39B4"/>
    <w:rsid w:val="002E3C57"/>
    <w:rsid w:val="002E48FD"/>
    <w:rsid w:val="002E49E6"/>
    <w:rsid w:val="002E5521"/>
    <w:rsid w:val="002E5916"/>
    <w:rsid w:val="002E7419"/>
    <w:rsid w:val="002E7684"/>
    <w:rsid w:val="002E76F2"/>
    <w:rsid w:val="002E78CA"/>
    <w:rsid w:val="002F011B"/>
    <w:rsid w:val="002F04B3"/>
    <w:rsid w:val="002F1052"/>
    <w:rsid w:val="002F1B50"/>
    <w:rsid w:val="002F1FD5"/>
    <w:rsid w:val="002F299A"/>
    <w:rsid w:val="002F396A"/>
    <w:rsid w:val="002F3BD8"/>
    <w:rsid w:val="002F416C"/>
    <w:rsid w:val="002F4B70"/>
    <w:rsid w:val="002F4FA0"/>
    <w:rsid w:val="002F5023"/>
    <w:rsid w:val="002F51AB"/>
    <w:rsid w:val="002F53C6"/>
    <w:rsid w:val="002F5780"/>
    <w:rsid w:val="002F6AFF"/>
    <w:rsid w:val="002F6B29"/>
    <w:rsid w:val="002F7053"/>
    <w:rsid w:val="002F7744"/>
    <w:rsid w:val="002F7D18"/>
    <w:rsid w:val="002F7FE5"/>
    <w:rsid w:val="003000FE"/>
    <w:rsid w:val="00300CA9"/>
    <w:rsid w:val="0030118E"/>
    <w:rsid w:val="003016A5"/>
    <w:rsid w:val="00302436"/>
    <w:rsid w:val="003029F7"/>
    <w:rsid w:val="00302A9C"/>
    <w:rsid w:val="003035DE"/>
    <w:rsid w:val="00303C55"/>
    <w:rsid w:val="00304D72"/>
    <w:rsid w:val="00305352"/>
    <w:rsid w:val="00305EF4"/>
    <w:rsid w:val="00306FA5"/>
    <w:rsid w:val="003071C0"/>
    <w:rsid w:val="00307261"/>
    <w:rsid w:val="0030759E"/>
    <w:rsid w:val="003077EF"/>
    <w:rsid w:val="00310132"/>
    <w:rsid w:val="003103D5"/>
    <w:rsid w:val="003108C0"/>
    <w:rsid w:val="003114DF"/>
    <w:rsid w:val="00311983"/>
    <w:rsid w:val="00311ACE"/>
    <w:rsid w:val="00311C2D"/>
    <w:rsid w:val="00311DC9"/>
    <w:rsid w:val="003120A5"/>
    <w:rsid w:val="00312B50"/>
    <w:rsid w:val="00312EAF"/>
    <w:rsid w:val="00313232"/>
    <w:rsid w:val="00313604"/>
    <w:rsid w:val="003140BB"/>
    <w:rsid w:val="003149E8"/>
    <w:rsid w:val="003152CE"/>
    <w:rsid w:val="00315428"/>
    <w:rsid w:val="003157AC"/>
    <w:rsid w:val="00315873"/>
    <w:rsid w:val="00315D96"/>
    <w:rsid w:val="00316345"/>
    <w:rsid w:val="00316496"/>
    <w:rsid w:val="00316B35"/>
    <w:rsid w:val="00316D9C"/>
    <w:rsid w:val="00317030"/>
    <w:rsid w:val="00317820"/>
    <w:rsid w:val="00317A3B"/>
    <w:rsid w:val="003209CE"/>
    <w:rsid w:val="00320B4D"/>
    <w:rsid w:val="00320E48"/>
    <w:rsid w:val="00320F4E"/>
    <w:rsid w:val="00320F98"/>
    <w:rsid w:val="00322E70"/>
    <w:rsid w:val="00322EAA"/>
    <w:rsid w:val="00322F22"/>
    <w:rsid w:val="00324400"/>
    <w:rsid w:val="003262F2"/>
    <w:rsid w:val="00326BE7"/>
    <w:rsid w:val="00326ED3"/>
    <w:rsid w:val="003278B7"/>
    <w:rsid w:val="003300EF"/>
    <w:rsid w:val="00330430"/>
    <w:rsid w:val="00330769"/>
    <w:rsid w:val="00330D1B"/>
    <w:rsid w:val="003313E0"/>
    <w:rsid w:val="003313F4"/>
    <w:rsid w:val="00331463"/>
    <w:rsid w:val="00331774"/>
    <w:rsid w:val="00331A4B"/>
    <w:rsid w:val="00332476"/>
    <w:rsid w:val="003335D5"/>
    <w:rsid w:val="0033370C"/>
    <w:rsid w:val="00333C8F"/>
    <w:rsid w:val="00334005"/>
    <w:rsid w:val="00334CF8"/>
    <w:rsid w:val="003359AE"/>
    <w:rsid w:val="00335FD4"/>
    <w:rsid w:val="003364B6"/>
    <w:rsid w:val="00337F50"/>
    <w:rsid w:val="0034010B"/>
    <w:rsid w:val="003404D9"/>
    <w:rsid w:val="0034145E"/>
    <w:rsid w:val="003436FF"/>
    <w:rsid w:val="0034390A"/>
    <w:rsid w:val="00343A84"/>
    <w:rsid w:val="00343AAC"/>
    <w:rsid w:val="00343F3B"/>
    <w:rsid w:val="00344A9F"/>
    <w:rsid w:val="00344AA6"/>
    <w:rsid w:val="003450AE"/>
    <w:rsid w:val="00345142"/>
    <w:rsid w:val="0034536A"/>
    <w:rsid w:val="003459C0"/>
    <w:rsid w:val="00346023"/>
    <w:rsid w:val="00346413"/>
    <w:rsid w:val="0034651F"/>
    <w:rsid w:val="00346921"/>
    <w:rsid w:val="00346967"/>
    <w:rsid w:val="0034776F"/>
    <w:rsid w:val="00347786"/>
    <w:rsid w:val="00347FAD"/>
    <w:rsid w:val="00350881"/>
    <w:rsid w:val="00350B87"/>
    <w:rsid w:val="00350E21"/>
    <w:rsid w:val="00350F1B"/>
    <w:rsid w:val="00351845"/>
    <w:rsid w:val="0035337E"/>
    <w:rsid w:val="00353E5E"/>
    <w:rsid w:val="00354781"/>
    <w:rsid w:val="00354BBC"/>
    <w:rsid w:val="003551C9"/>
    <w:rsid w:val="00355246"/>
    <w:rsid w:val="00355B4D"/>
    <w:rsid w:val="00355CA0"/>
    <w:rsid w:val="00356053"/>
    <w:rsid w:val="0035606F"/>
    <w:rsid w:val="003567C7"/>
    <w:rsid w:val="00356F4D"/>
    <w:rsid w:val="00357808"/>
    <w:rsid w:val="00357829"/>
    <w:rsid w:val="00357CBC"/>
    <w:rsid w:val="0036018B"/>
    <w:rsid w:val="00360BCE"/>
    <w:rsid w:val="00360C21"/>
    <w:rsid w:val="00361020"/>
    <w:rsid w:val="00361064"/>
    <w:rsid w:val="00361397"/>
    <w:rsid w:val="0036156D"/>
    <w:rsid w:val="0036169C"/>
    <w:rsid w:val="00361CDE"/>
    <w:rsid w:val="00363B80"/>
    <w:rsid w:val="00363F48"/>
    <w:rsid w:val="00364B77"/>
    <w:rsid w:val="003655F3"/>
    <w:rsid w:val="00365FF7"/>
    <w:rsid w:val="00366BF4"/>
    <w:rsid w:val="00366CCF"/>
    <w:rsid w:val="003672B0"/>
    <w:rsid w:val="00370358"/>
    <w:rsid w:val="00370B8B"/>
    <w:rsid w:val="00370D10"/>
    <w:rsid w:val="00370DAA"/>
    <w:rsid w:val="00370F2D"/>
    <w:rsid w:val="00371158"/>
    <w:rsid w:val="00371940"/>
    <w:rsid w:val="0037250D"/>
    <w:rsid w:val="00374857"/>
    <w:rsid w:val="00374D2A"/>
    <w:rsid w:val="003752E7"/>
    <w:rsid w:val="003756CB"/>
    <w:rsid w:val="00376643"/>
    <w:rsid w:val="00376A4F"/>
    <w:rsid w:val="00376FE6"/>
    <w:rsid w:val="003800DC"/>
    <w:rsid w:val="00381073"/>
    <w:rsid w:val="0038111F"/>
    <w:rsid w:val="0038120D"/>
    <w:rsid w:val="0038135B"/>
    <w:rsid w:val="00382594"/>
    <w:rsid w:val="00382CD7"/>
    <w:rsid w:val="00383455"/>
    <w:rsid w:val="0038377F"/>
    <w:rsid w:val="0038386A"/>
    <w:rsid w:val="0038464C"/>
    <w:rsid w:val="00384E7D"/>
    <w:rsid w:val="0038595C"/>
    <w:rsid w:val="00385BD5"/>
    <w:rsid w:val="0038661C"/>
    <w:rsid w:val="00386CE3"/>
    <w:rsid w:val="0038762A"/>
    <w:rsid w:val="00387C8D"/>
    <w:rsid w:val="00390645"/>
    <w:rsid w:val="00390709"/>
    <w:rsid w:val="00390B7C"/>
    <w:rsid w:val="00390C56"/>
    <w:rsid w:val="0039152F"/>
    <w:rsid w:val="00391764"/>
    <w:rsid w:val="003921A0"/>
    <w:rsid w:val="003925EA"/>
    <w:rsid w:val="003927D4"/>
    <w:rsid w:val="00392DAF"/>
    <w:rsid w:val="00392F7D"/>
    <w:rsid w:val="0039300D"/>
    <w:rsid w:val="003931D4"/>
    <w:rsid w:val="003932B0"/>
    <w:rsid w:val="00393349"/>
    <w:rsid w:val="003937EA"/>
    <w:rsid w:val="00393DE1"/>
    <w:rsid w:val="00394759"/>
    <w:rsid w:val="00394A8F"/>
    <w:rsid w:val="00395C35"/>
    <w:rsid w:val="00395D21"/>
    <w:rsid w:val="003965C9"/>
    <w:rsid w:val="00396674"/>
    <w:rsid w:val="0039686A"/>
    <w:rsid w:val="00396A74"/>
    <w:rsid w:val="00396BF4"/>
    <w:rsid w:val="003976D9"/>
    <w:rsid w:val="00397F7A"/>
    <w:rsid w:val="003A020A"/>
    <w:rsid w:val="003A0B4A"/>
    <w:rsid w:val="003A0C79"/>
    <w:rsid w:val="003A12D7"/>
    <w:rsid w:val="003A1D71"/>
    <w:rsid w:val="003A2655"/>
    <w:rsid w:val="003A2AE8"/>
    <w:rsid w:val="003A2D4F"/>
    <w:rsid w:val="003A35FE"/>
    <w:rsid w:val="003A3D49"/>
    <w:rsid w:val="003A4383"/>
    <w:rsid w:val="003A5E0E"/>
    <w:rsid w:val="003A5F06"/>
    <w:rsid w:val="003A5F92"/>
    <w:rsid w:val="003A6844"/>
    <w:rsid w:val="003A6EC7"/>
    <w:rsid w:val="003A75C7"/>
    <w:rsid w:val="003A7A66"/>
    <w:rsid w:val="003B0B8E"/>
    <w:rsid w:val="003B1546"/>
    <w:rsid w:val="003B1623"/>
    <w:rsid w:val="003B1B86"/>
    <w:rsid w:val="003B1C9C"/>
    <w:rsid w:val="003B3107"/>
    <w:rsid w:val="003B3AF0"/>
    <w:rsid w:val="003B3E9F"/>
    <w:rsid w:val="003B4891"/>
    <w:rsid w:val="003B48A1"/>
    <w:rsid w:val="003B4C5A"/>
    <w:rsid w:val="003B5068"/>
    <w:rsid w:val="003B5966"/>
    <w:rsid w:val="003B5BB3"/>
    <w:rsid w:val="003B6E92"/>
    <w:rsid w:val="003B71FE"/>
    <w:rsid w:val="003B742A"/>
    <w:rsid w:val="003B7995"/>
    <w:rsid w:val="003B7A3A"/>
    <w:rsid w:val="003C07FE"/>
    <w:rsid w:val="003C0AF0"/>
    <w:rsid w:val="003C1443"/>
    <w:rsid w:val="003C181D"/>
    <w:rsid w:val="003C24BB"/>
    <w:rsid w:val="003C3233"/>
    <w:rsid w:val="003C4322"/>
    <w:rsid w:val="003C470E"/>
    <w:rsid w:val="003C4961"/>
    <w:rsid w:val="003C4B38"/>
    <w:rsid w:val="003C5640"/>
    <w:rsid w:val="003C5D1E"/>
    <w:rsid w:val="003C641D"/>
    <w:rsid w:val="003C7937"/>
    <w:rsid w:val="003C7AF7"/>
    <w:rsid w:val="003C7CCD"/>
    <w:rsid w:val="003D04AE"/>
    <w:rsid w:val="003D0857"/>
    <w:rsid w:val="003D11CB"/>
    <w:rsid w:val="003D1919"/>
    <w:rsid w:val="003D1922"/>
    <w:rsid w:val="003D1C62"/>
    <w:rsid w:val="003D1F47"/>
    <w:rsid w:val="003D234F"/>
    <w:rsid w:val="003D2598"/>
    <w:rsid w:val="003D290F"/>
    <w:rsid w:val="003D2979"/>
    <w:rsid w:val="003D29B1"/>
    <w:rsid w:val="003D37EA"/>
    <w:rsid w:val="003D3A96"/>
    <w:rsid w:val="003D3B38"/>
    <w:rsid w:val="003D574C"/>
    <w:rsid w:val="003D5AF2"/>
    <w:rsid w:val="003D5C95"/>
    <w:rsid w:val="003D5CD8"/>
    <w:rsid w:val="003D620F"/>
    <w:rsid w:val="003D676D"/>
    <w:rsid w:val="003D6A5C"/>
    <w:rsid w:val="003D6A94"/>
    <w:rsid w:val="003D6EB0"/>
    <w:rsid w:val="003D72AC"/>
    <w:rsid w:val="003D7E17"/>
    <w:rsid w:val="003E06CE"/>
    <w:rsid w:val="003E0EA2"/>
    <w:rsid w:val="003E2805"/>
    <w:rsid w:val="003E45D7"/>
    <w:rsid w:val="003E4689"/>
    <w:rsid w:val="003E4EE0"/>
    <w:rsid w:val="003E629B"/>
    <w:rsid w:val="003E67B2"/>
    <w:rsid w:val="003E7B3F"/>
    <w:rsid w:val="003E7BB9"/>
    <w:rsid w:val="003F0107"/>
    <w:rsid w:val="003F0543"/>
    <w:rsid w:val="003F0DF2"/>
    <w:rsid w:val="003F1FF8"/>
    <w:rsid w:val="003F23E9"/>
    <w:rsid w:val="003F2473"/>
    <w:rsid w:val="003F2532"/>
    <w:rsid w:val="003F2A8D"/>
    <w:rsid w:val="003F3574"/>
    <w:rsid w:val="003F3675"/>
    <w:rsid w:val="003F36E6"/>
    <w:rsid w:val="003F3D67"/>
    <w:rsid w:val="003F4759"/>
    <w:rsid w:val="003F484A"/>
    <w:rsid w:val="003F5435"/>
    <w:rsid w:val="003F5E60"/>
    <w:rsid w:val="003F6F68"/>
    <w:rsid w:val="003F7E15"/>
    <w:rsid w:val="0040069F"/>
    <w:rsid w:val="00400C3A"/>
    <w:rsid w:val="00400D6D"/>
    <w:rsid w:val="004020E1"/>
    <w:rsid w:val="004025D1"/>
    <w:rsid w:val="00402639"/>
    <w:rsid w:val="004026C7"/>
    <w:rsid w:val="004037AD"/>
    <w:rsid w:val="004038EF"/>
    <w:rsid w:val="00403DB4"/>
    <w:rsid w:val="00404286"/>
    <w:rsid w:val="00404527"/>
    <w:rsid w:val="00405232"/>
    <w:rsid w:val="00405AB9"/>
    <w:rsid w:val="004064A6"/>
    <w:rsid w:val="00406582"/>
    <w:rsid w:val="00406831"/>
    <w:rsid w:val="0040743A"/>
    <w:rsid w:val="00407C28"/>
    <w:rsid w:val="00410748"/>
    <w:rsid w:val="0041131D"/>
    <w:rsid w:val="004114A3"/>
    <w:rsid w:val="00411534"/>
    <w:rsid w:val="00411EDC"/>
    <w:rsid w:val="004123B2"/>
    <w:rsid w:val="00412A24"/>
    <w:rsid w:val="00413555"/>
    <w:rsid w:val="00414511"/>
    <w:rsid w:val="00414900"/>
    <w:rsid w:val="00415176"/>
    <w:rsid w:val="00415A34"/>
    <w:rsid w:val="00415DBA"/>
    <w:rsid w:val="00417557"/>
    <w:rsid w:val="004177AB"/>
    <w:rsid w:val="00417B3C"/>
    <w:rsid w:val="00420B51"/>
    <w:rsid w:val="00420F79"/>
    <w:rsid w:val="004215EF"/>
    <w:rsid w:val="00422585"/>
    <w:rsid w:val="0042306C"/>
    <w:rsid w:val="00423C02"/>
    <w:rsid w:val="00424184"/>
    <w:rsid w:val="00426403"/>
    <w:rsid w:val="00426438"/>
    <w:rsid w:val="00426577"/>
    <w:rsid w:val="004265A2"/>
    <w:rsid w:val="00426650"/>
    <w:rsid w:val="00426ABE"/>
    <w:rsid w:val="00426BD3"/>
    <w:rsid w:val="00426D75"/>
    <w:rsid w:val="00426DD3"/>
    <w:rsid w:val="00426F19"/>
    <w:rsid w:val="0042756D"/>
    <w:rsid w:val="00427744"/>
    <w:rsid w:val="004301A8"/>
    <w:rsid w:val="0043047B"/>
    <w:rsid w:val="004309AA"/>
    <w:rsid w:val="00431457"/>
    <w:rsid w:val="0043177D"/>
    <w:rsid w:val="00431912"/>
    <w:rsid w:val="004320A0"/>
    <w:rsid w:val="00432132"/>
    <w:rsid w:val="004335F9"/>
    <w:rsid w:val="00433643"/>
    <w:rsid w:val="00433881"/>
    <w:rsid w:val="00434153"/>
    <w:rsid w:val="0043495F"/>
    <w:rsid w:val="004353E9"/>
    <w:rsid w:val="00435A24"/>
    <w:rsid w:val="004360D8"/>
    <w:rsid w:val="00436408"/>
    <w:rsid w:val="0043649B"/>
    <w:rsid w:val="00436575"/>
    <w:rsid w:val="00436D25"/>
    <w:rsid w:val="004372FB"/>
    <w:rsid w:val="00437BE6"/>
    <w:rsid w:val="0044024D"/>
    <w:rsid w:val="00440B67"/>
    <w:rsid w:val="00440CB0"/>
    <w:rsid w:val="00440D41"/>
    <w:rsid w:val="00440E54"/>
    <w:rsid w:val="00441EB3"/>
    <w:rsid w:val="00442068"/>
    <w:rsid w:val="0044220F"/>
    <w:rsid w:val="00442E35"/>
    <w:rsid w:val="00443A25"/>
    <w:rsid w:val="00443C84"/>
    <w:rsid w:val="00443D8C"/>
    <w:rsid w:val="00443F97"/>
    <w:rsid w:val="004441FC"/>
    <w:rsid w:val="00446B02"/>
    <w:rsid w:val="00446E8B"/>
    <w:rsid w:val="0044740D"/>
    <w:rsid w:val="00447569"/>
    <w:rsid w:val="0044783C"/>
    <w:rsid w:val="0045032E"/>
    <w:rsid w:val="004509DB"/>
    <w:rsid w:val="00450FAB"/>
    <w:rsid w:val="00450FD4"/>
    <w:rsid w:val="004511CC"/>
    <w:rsid w:val="004534C1"/>
    <w:rsid w:val="00453631"/>
    <w:rsid w:val="004547BD"/>
    <w:rsid w:val="0045502B"/>
    <w:rsid w:val="00456C4E"/>
    <w:rsid w:val="0045760C"/>
    <w:rsid w:val="00457944"/>
    <w:rsid w:val="00457A2E"/>
    <w:rsid w:val="00457EB6"/>
    <w:rsid w:val="00460878"/>
    <w:rsid w:val="00460B1D"/>
    <w:rsid w:val="00460B68"/>
    <w:rsid w:val="00460C14"/>
    <w:rsid w:val="00460DF0"/>
    <w:rsid w:val="004613D2"/>
    <w:rsid w:val="00461784"/>
    <w:rsid w:val="00461EC4"/>
    <w:rsid w:val="0046250E"/>
    <w:rsid w:val="00464465"/>
    <w:rsid w:val="00464A27"/>
    <w:rsid w:val="00464AFC"/>
    <w:rsid w:val="00464D89"/>
    <w:rsid w:val="00464E8E"/>
    <w:rsid w:val="004655CC"/>
    <w:rsid w:val="00466AC4"/>
    <w:rsid w:val="00466D71"/>
    <w:rsid w:val="00466EAC"/>
    <w:rsid w:val="00470071"/>
    <w:rsid w:val="00470220"/>
    <w:rsid w:val="0047027A"/>
    <w:rsid w:val="00470309"/>
    <w:rsid w:val="00470F02"/>
    <w:rsid w:val="004712E8"/>
    <w:rsid w:val="004714A7"/>
    <w:rsid w:val="00471621"/>
    <w:rsid w:val="00471623"/>
    <w:rsid w:val="0047208C"/>
    <w:rsid w:val="00472645"/>
    <w:rsid w:val="00473722"/>
    <w:rsid w:val="004737E6"/>
    <w:rsid w:val="00473A68"/>
    <w:rsid w:val="00473CAA"/>
    <w:rsid w:val="00473E82"/>
    <w:rsid w:val="00474A8E"/>
    <w:rsid w:val="004757E0"/>
    <w:rsid w:val="00475AEC"/>
    <w:rsid w:val="00475F9A"/>
    <w:rsid w:val="00476214"/>
    <w:rsid w:val="00476CB3"/>
    <w:rsid w:val="00477113"/>
    <w:rsid w:val="00477A84"/>
    <w:rsid w:val="00477F6D"/>
    <w:rsid w:val="0048012C"/>
    <w:rsid w:val="004804F3"/>
    <w:rsid w:val="00480753"/>
    <w:rsid w:val="004820C5"/>
    <w:rsid w:val="004825C2"/>
    <w:rsid w:val="00482768"/>
    <w:rsid w:val="00483816"/>
    <w:rsid w:val="00483AAC"/>
    <w:rsid w:val="004840A8"/>
    <w:rsid w:val="00484282"/>
    <w:rsid w:val="0048435B"/>
    <w:rsid w:val="0048453F"/>
    <w:rsid w:val="00484876"/>
    <w:rsid w:val="004848A8"/>
    <w:rsid w:val="00484E08"/>
    <w:rsid w:val="00485554"/>
    <w:rsid w:val="00486179"/>
    <w:rsid w:val="00486AA4"/>
    <w:rsid w:val="0048710D"/>
    <w:rsid w:val="00487AFE"/>
    <w:rsid w:val="0049047E"/>
    <w:rsid w:val="00490492"/>
    <w:rsid w:val="00490B90"/>
    <w:rsid w:val="00490E24"/>
    <w:rsid w:val="00492290"/>
    <w:rsid w:val="004929D6"/>
    <w:rsid w:val="00493161"/>
    <w:rsid w:val="00493845"/>
    <w:rsid w:val="00493933"/>
    <w:rsid w:val="00493E1F"/>
    <w:rsid w:val="00494178"/>
    <w:rsid w:val="0049419C"/>
    <w:rsid w:val="004946D4"/>
    <w:rsid w:val="00494A30"/>
    <w:rsid w:val="00494F10"/>
    <w:rsid w:val="00495421"/>
    <w:rsid w:val="004963D6"/>
    <w:rsid w:val="00496D51"/>
    <w:rsid w:val="00497C09"/>
    <w:rsid w:val="00497E11"/>
    <w:rsid w:val="004A0124"/>
    <w:rsid w:val="004A1090"/>
    <w:rsid w:val="004A1578"/>
    <w:rsid w:val="004A1AD3"/>
    <w:rsid w:val="004A1EE1"/>
    <w:rsid w:val="004A20A0"/>
    <w:rsid w:val="004A2A47"/>
    <w:rsid w:val="004A2AFA"/>
    <w:rsid w:val="004A2C37"/>
    <w:rsid w:val="004A3516"/>
    <w:rsid w:val="004A456A"/>
    <w:rsid w:val="004A47C4"/>
    <w:rsid w:val="004A5421"/>
    <w:rsid w:val="004A56B7"/>
    <w:rsid w:val="004A65DE"/>
    <w:rsid w:val="004A6F52"/>
    <w:rsid w:val="004A796B"/>
    <w:rsid w:val="004A7B99"/>
    <w:rsid w:val="004B0149"/>
    <w:rsid w:val="004B03A0"/>
    <w:rsid w:val="004B0459"/>
    <w:rsid w:val="004B084A"/>
    <w:rsid w:val="004B0B74"/>
    <w:rsid w:val="004B0E8A"/>
    <w:rsid w:val="004B0EAE"/>
    <w:rsid w:val="004B0EE4"/>
    <w:rsid w:val="004B2C90"/>
    <w:rsid w:val="004B3085"/>
    <w:rsid w:val="004B3A65"/>
    <w:rsid w:val="004B3AE4"/>
    <w:rsid w:val="004B42FA"/>
    <w:rsid w:val="004B52C3"/>
    <w:rsid w:val="004B54D7"/>
    <w:rsid w:val="004B5B50"/>
    <w:rsid w:val="004B64E3"/>
    <w:rsid w:val="004B7351"/>
    <w:rsid w:val="004B79A4"/>
    <w:rsid w:val="004B7D24"/>
    <w:rsid w:val="004C00BD"/>
    <w:rsid w:val="004C038A"/>
    <w:rsid w:val="004C0AE6"/>
    <w:rsid w:val="004C0CB9"/>
    <w:rsid w:val="004C0E38"/>
    <w:rsid w:val="004C17DE"/>
    <w:rsid w:val="004C1A53"/>
    <w:rsid w:val="004C1BF1"/>
    <w:rsid w:val="004C1D96"/>
    <w:rsid w:val="004C28FA"/>
    <w:rsid w:val="004C3269"/>
    <w:rsid w:val="004C3A84"/>
    <w:rsid w:val="004C3F06"/>
    <w:rsid w:val="004C3F65"/>
    <w:rsid w:val="004C3FD8"/>
    <w:rsid w:val="004C41FA"/>
    <w:rsid w:val="004C4245"/>
    <w:rsid w:val="004C5FAA"/>
    <w:rsid w:val="004C613C"/>
    <w:rsid w:val="004C736A"/>
    <w:rsid w:val="004C77C5"/>
    <w:rsid w:val="004C7E12"/>
    <w:rsid w:val="004D0040"/>
    <w:rsid w:val="004D0084"/>
    <w:rsid w:val="004D10DC"/>
    <w:rsid w:val="004D10DD"/>
    <w:rsid w:val="004D1198"/>
    <w:rsid w:val="004D12C4"/>
    <w:rsid w:val="004D18B0"/>
    <w:rsid w:val="004D277A"/>
    <w:rsid w:val="004D2CA2"/>
    <w:rsid w:val="004D3CA7"/>
    <w:rsid w:val="004D4002"/>
    <w:rsid w:val="004D40D1"/>
    <w:rsid w:val="004D45E6"/>
    <w:rsid w:val="004D4F0D"/>
    <w:rsid w:val="004D5FAE"/>
    <w:rsid w:val="004D6B53"/>
    <w:rsid w:val="004D6E72"/>
    <w:rsid w:val="004D7479"/>
    <w:rsid w:val="004D78A6"/>
    <w:rsid w:val="004D7E3B"/>
    <w:rsid w:val="004E003C"/>
    <w:rsid w:val="004E0216"/>
    <w:rsid w:val="004E15CA"/>
    <w:rsid w:val="004E196D"/>
    <w:rsid w:val="004E1C96"/>
    <w:rsid w:val="004E1D8B"/>
    <w:rsid w:val="004E1EEF"/>
    <w:rsid w:val="004E2EE2"/>
    <w:rsid w:val="004E4606"/>
    <w:rsid w:val="004E4AB6"/>
    <w:rsid w:val="004E513F"/>
    <w:rsid w:val="004E5759"/>
    <w:rsid w:val="004E5ADA"/>
    <w:rsid w:val="004E6459"/>
    <w:rsid w:val="004E6846"/>
    <w:rsid w:val="004E7DE0"/>
    <w:rsid w:val="004F0460"/>
    <w:rsid w:val="004F1148"/>
    <w:rsid w:val="004F1213"/>
    <w:rsid w:val="004F1364"/>
    <w:rsid w:val="004F136D"/>
    <w:rsid w:val="004F2B64"/>
    <w:rsid w:val="004F37CB"/>
    <w:rsid w:val="004F3D40"/>
    <w:rsid w:val="004F3DDC"/>
    <w:rsid w:val="004F4839"/>
    <w:rsid w:val="004F4C4F"/>
    <w:rsid w:val="004F52E0"/>
    <w:rsid w:val="004F565B"/>
    <w:rsid w:val="004F596E"/>
    <w:rsid w:val="004F5B07"/>
    <w:rsid w:val="004F5C1A"/>
    <w:rsid w:val="004F6243"/>
    <w:rsid w:val="004F7454"/>
    <w:rsid w:val="004F75FA"/>
    <w:rsid w:val="004F7D26"/>
    <w:rsid w:val="004F7E54"/>
    <w:rsid w:val="004F7FBB"/>
    <w:rsid w:val="00500E7B"/>
    <w:rsid w:val="00501338"/>
    <w:rsid w:val="0050248B"/>
    <w:rsid w:val="005029F5"/>
    <w:rsid w:val="0050303D"/>
    <w:rsid w:val="00503251"/>
    <w:rsid w:val="00503893"/>
    <w:rsid w:val="00503D80"/>
    <w:rsid w:val="00504218"/>
    <w:rsid w:val="0050441B"/>
    <w:rsid w:val="00504539"/>
    <w:rsid w:val="00504AEB"/>
    <w:rsid w:val="00505023"/>
    <w:rsid w:val="0050577B"/>
    <w:rsid w:val="00505F1C"/>
    <w:rsid w:val="00506576"/>
    <w:rsid w:val="00507253"/>
    <w:rsid w:val="00507D9E"/>
    <w:rsid w:val="00507F11"/>
    <w:rsid w:val="0051119B"/>
    <w:rsid w:val="00511A7A"/>
    <w:rsid w:val="00511CCB"/>
    <w:rsid w:val="00512F91"/>
    <w:rsid w:val="00513DDC"/>
    <w:rsid w:val="00514206"/>
    <w:rsid w:val="00514574"/>
    <w:rsid w:val="005149AA"/>
    <w:rsid w:val="0051517E"/>
    <w:rsid w:val="0051588A"/>
    <w:rsid w:val="00515D19"/>
    <w:rsid w:val="00516222"/>
    <w:rsid w:val="005162F5"/>
    <w:rsid w:val="00516EA8"/>
    <w:rsid w:val="0051743A"/>
    <w:rsid w:val="005175A9"/>
    <w:rsid w:val="00520BD2"/>
    <w:rsid w:val="00520E31"/>
    <w:rsid w:val="00521231"/>
    <w:rsid w:val="005215FA"/>
    <w:rsid w:val="00521806"/>
    <w:rsid w:val="005226B9"/>
    <w:rsid w:val="00522786"/>
    <w:rsid w:val="00522BB0"/>
    <w:rsid w:val="005230E8"/>
    <w:rsid w:val="00525EED"/>
    <w:rsid w:val="0052616A"/>
    <w:rsid w:val="00526537"/>
    <w:rsid w:val="00526F9F"/>
    <w:rsid w:val="005300BB"/>
    <w:rsid w:val="00530536"/>
    <w:rsid w:val="0053115E"/>
    <w:rsid w:val="0053168A"/>
    <w:rsid w:val="005317A7"/>
    <w:rsid w:val="00531B35"/>
    <w:rsid w:val="0053216B"/>
    <w:rsid w:val="0053241E"/>
    <w:rsid w:val="00533092"/>
    <w:rsid w:val="00533176"/>
    <w:rsid w:val="00534803"/>
    <w:rsid w:val="005348E6"/>
    <w:rsid w:val="00534954"/>
    <w:rsid w:val="00535046"/>
    <w:rsid w:val="00535317"/>
    <w:rsid w:val="00535C51"/>
    <w:rsid w:val="00535F12"/>
    <w:rsid w:val="00535F23"/>
    <w:rsid w:val="00536326"/>
    <w:rsid w:val="00536DEE"/>
    <w:rsid w:val="00536E5B"/>
    <w:rsid w:val="0053740F"/>
    <w:rsid w:val="00540119"/>
    <w:rsid w:val="00540AE2"/>
    <w:rsid w:val="00541F49"/>
    <w:rsid w:val="00543019"/>
    <w:rsid w:val="0054334B"/>
    <w:rsid w:val="005437EB"/>
    <w:rsid w:val="00543A0D"/>
    <w:rsid w:val="00544AB3"/>
    <w:rsid w:val="00544B95"/>
    <w:rsid w:val="0054502F"/>
    <w:rsid w:val="0054537E"/>
    <w:rsid w:val="00545D50"/>
    <w:rsid w:val="00545E23"/>
    <w:rsid w:val="00546230"/>
    <w:rsid w:val="00546335"/>
    <w:rsid w:val="0054645C"/>
    <w:rsid w:val="00546CAD"/>
    <w:rsid w:val="005473C0"/>
    <w:rsid w:val="00547813"/>
    <w:rsid w:val="00547C6F"/>
    <w:rsid w:val="00550093"/>
    <w:rsid w:val="00550874"/>
    <w:rsid w:val="00550B3F"/>
    <w:rsid w:val="0055105F"/>
    <w:rsid w:val="0055113D"/>
    <w:rsid w:val="00551215"/>
    <w:rsid w:val="00552770"/>
    <w:rsid w:val="00553990"/>
    <w:rsid w:val="00553DA2"/>
    <w:rsid w:val="00554E7A"/>
    <w:rsid w:val="005557CC"/>
    <w:rsid w:val="00555877"/>
    <w:rsid w:val="0055613D"/>
    <w:rsid w:val="005564E6"/>
    <w:rsid w:val="00557407"/>
    <w:rsid w:val="005575FF"/>
    <w:rsid w:val="005577BE"/>
    <w:rsid w:val="00557EB1"/>
    <w:rsid w:val="0056009E"/>
    <w:rsid w:val="00560150"/>
    <w:rsid w:val="0056129D"/>
    <w:rsid w:val="005615FA"/>
    <w:rsid w:val="00561C88"/>
    <w:rsid w:val="00561CB5"/>
    <w:rsid w:val="00561FB9"/>
    <w:rsid w:val="005629D5"/>
    <w:rsid w:val="0056303A"/>
    <w:rsid w:val="005643F0"/>
    <w:rsid w:val="0056520C"/>
    <w:rsid w:val="0056542E"/>
    <w:rsid w:val="00565458"/>
    <w:rsid w:val="0056573B"/>
    <w:rsid w:val="00565931"/>
    <w:rsid w:val="00565ACB"/>
    <w:rsid w:val="00565E6B"/>
    <w:rsid w:val="0056633E"/>
    <w:rsid w:val="00566507"/>
    <w:rsid w:val="00566B77"/>
    <w:rsid w:val="00567140"/>
    <w:rsid w:val="00567FFD"/>
    <w:rsid w:val="00570318"/>
    <w:rsid w:val="00570512"/>
    <w:rsid w:val="0057158A"/>
    <w:rsid w:val="00571B5A"/>
    <w:rsid w:val="00571E0A"/>
    <w:rsid w:val="0057213C"/>
    <w:rsid w:val="00572785"/>
    <w:rsid w:val="005728F9"/>
    <w:rsid w:val="005737DB"/>
    <w:rsid w:val="0057412D"/>
    <w:rsid w:val="0057415D"/>
    <w:rsid w:val="00574619"/>
    <w:rsid w:val="005747B9"/>
    <w:rsid w:val="0057598C"/>
    <w:rsid w:val="00575A0F"/>
    <w:rsid w:val="00576515"/>
    <w:rsid w:val="00577109"/>
    <w:rsid w:val="005804D9"/>
    <w:rsid w:val="00580F8B"/>
    <w:rsid w:val="005815B8"/>
    <w:rsid w:val="00581600"/>
    <w:rsid w:val="00581C48"/>
    <w:rsid w:val="00581DFC"/>
    <w:rsid w:val="005821BE"/>
    <w:rsid w:val="00582B4B"/>
    <w:rsid w:val="00582B66"/>
    <w:rsid w:val="00582F90"/>
    <w:rsid w:val="00583679"/>
    <w:rsid w:val="00583D89"/>
    <w:rsid w:val="00583EE3"/>
    <w:rsid w:val="00584FE4"/>
    <w:rsid w:val="00585090"/>
    <w:rsid w:val="00585F2B"/>
    <w:rsid w:val="00586261"/>
    <w:rsid w:val="00586295"/>
    <w:rsid w:val="00587CEE"/>
    <w:rsid w:val="00587EAA"/>
    <w:rsid w:val="00590295"/>
    <w:rsid w:val="00591052"/>
    <w:rsid w:val="00591288"/>
    <w:rsid w:val="005917FD"/>
    <w:rsid w:val="00592E7D"/>
    <w:rsid w:val="005932CB"/>
    <w:rsid w:val="005934E9"/>
    <w:rsid w:val="0059356C"/>
    <w:rsid w:val="00593C1A"/>
    <w:rsid w:val="005941A7"/>
    <w:rsid w:val="00594843"/>
    <w:rsid w:val="00594A8A"/>
    <w:rsid w:val="00595085"/>
    <w:rsid w:val="0059567A"/>
    <w:rsid w:val="0059620E"/>
    <w:rsid w:val="0059641D"/>
    <w:rsid w:val="005972AB"/>
    <w:rsid w:val="00597B73"/>
    <w:rsid w:val="005A1056"/>
    <w:rsid w:val="005A1317"/>
    <w:rsid w:val="005A2E27"/>
    <w:rsid w:val="005A2F0F"/>
    <w:rsid w:val="005A359E"/>
    <w:rsid w:val="005A3D05"/>
    <w:rsid w:val="005A3D56"/>
    <w:rsid w:val="005A3E13"/>
    <w:rsid w:val="005A4739"/>
    <w:rsid w:val="005A4AA1"/>
    <w:rsid w:val="005A7319"/>
    <w:rsid w:val="005B00D2"/>
    <w:rsid w:val="005B00D8"/>
    <w:rsid w:val="005B0E90"/>
    <w:rsid w:val="005B12D7"/>
    <w:rsid w:val="005B26F9"/>
    <w:rsid w:val="005B283D"/>
    <w:rsid w:val="005B2CA0"/>
    <w:rsid w:val="005B2EED"/>
    <w:rsid w:val="005B3358"/>
    <w:rsid w:val="005B37A9"/>
    <w:rsid w:val="005B3E72"/>
    <w:rsid w:val="005B4320"/>
    <w:rsid w:val="005B4358"/>
    <w:rsid w:val="005B4599"/>
    <w:rsid w:val="005B4BFD"/>
    <w:rsid w:val="005B5218"/>
    <w:rsid w:val="005B6196"/>
    <w:rsid w:val="005B6D5E"/>
    <w:rsid w:val="005B781F"/>
    <w:rsid w:val="005B791C"/>
    <w:rsid w:val="005B7BD4"/>
    <w:rsid w:val="005C0124"/>
    <w:rsid w:val="005C01C5"/>
    <w:rsid w:val="005C034B"/>
    <w:rsid w:val="005C0A19"/>
    <w:rsid w:val="005C0A86"/>
    <w:rsid w:val="005C0AA6"/>
    <w:rsid w:val="005C0F15"/>
    <w:rsid w:val="005C1584"/>
    <w:rsid w:val="005C1612"/>
    <w:rsid w:val="005C165D"/>
    <w:rsid w:val="005C1A97"/>
    <w:rsid w:val="005C1D0A"/>
    <w:rsid w:val="005C1E2D"/>
    <w:rsid w:val="005C1EDF"/>
    <w:rsid w:val="005C20D4"/>
    <w:rsid w:val="005C2ABB"/>
    <w:rsid w:val="005C2FB4"/>
    <w:rsid w:val="005C3C13"/>
    <w:rsid w:val="005C4AC5"/>
    <w:rsid w:val="005C4C54"/>
    <w:rsid w:val="005C4D3B"/>
    <w:rsid w:val="005C5624"/>
    <w:rsid w:val="005C5B39"/>
    <w:rsid w:val="005C5CA0"/>
    <w:rsid w:val="005C676F"/>
    <w:rsid w:val="005C6A27"/>
    <w:rsid w:val="005C7177"/>
    <w:rsid w:val="005C719D"/>
    <w:rsid w:val="005C752F"/>
    <w:rsid w:val="005C7FA7"/>
    <w:rsid w:val="005D0AF3"/>
    <w:rsid w:val="005D1720"/>
    <w:rsid w:val="005D1BDD"/>
    <w:rsid w:val="005D26B3"/>
    <w:rsid w:val="005D2AD7"/>
    <w:rsid w:val="005D2F0B"/>
    <w:rsid w:val="005D379C"/>
    <w:rsid w:val="005D37B4"/>
    <w:rsid w:val="005D42CB"/>
    <w:rsid w:val="005D42D0"/>
    <w:rsid w:val="005D46F4"/>
    <w:rsid w:val="005D4706"/>
    <w:rsid w:val="005D4838"/>
    <w:rsid w:val="005D5298"/>
    <w:rsid w:val="005D5BB5"/>
    <w:rsid w:val="005D5E55"/>
    <w:rsid w:val="005D60B4"/>
    <w:rsid w:val="005D6A0B"/>
    <w:rsid w:val="005D6DF0"/>
    <w:rsid w:val="005D7A92"/>
    <w:rsid w:val="005D7EC2"/>
    <w:rsid w:val="005E01C5"/>
    <w:rsid w:val="005E0948"/>
    <w:rsid w:val="005E0964"/>
    <w:rsid w:val="005E15D8"/>
    <w:rsid w:val="005E160E"/>
    <w:rsid w:val="005E1DD0"/>
    <w:rsid w:val="005E2244"/>
    <w:rsid w:val="005E249D"/>
    <w:rsid w:val="005E2D69"/>
    <w:rsid w:val="005E328A"/>
    <w:rsid w:val="005E33B7"/>
    <w:rsid w:val="005E343F"/>
    <w:rsid w:val="005E42A7"/>
    <w:rsid w:val="005E4522"/>
    <w:rsid w:val="005E4887"/>
    <w:rsid w:val="005E4F4C"/>
    <w:rsid w:val="005E59A2"/>
    <w:rsid w:val="005E6A3D"/>
    <w:rsid w:val="005E6C5E"/>
    <w:rsid w:val="005F0161"/>
    <w:rsid w:val="005F0354"/>
    <w:rsid w:val="005F035A"/>
    <w:rsid w:val="005F0B67"/>
    <w:rsid w:val="005F0D53"/>
    <w:rsid w:val="005F0D5C"/>
    <w:rsid w:val="005F15F2"/>
    <w:rsid w:val="005F1755"/>
    <w:rsid w:val="005F1C6B"/>
    <w:rsid w:val="005F2567"/>
    <w:rsid w:val="005F29FA"/>
    <w:rsid w:val="005F2B47"/>
    <w:rsid w:val="005F32EA"/>
    <w:rsid w:val="005F3E37"/>
    <w:rsid w:val="005F43F5"/>
    <w:rsid w:val="005F4407"/>
    <w:rsid w:val="005F6376"/>
    <w:rsid w:val="005F64FF"/>
    <w:rsid w:val="005F687D"/>
    <w:rsid w:val="005F6DBC"/>
    <w:rsid w:val="005F7013"/>
    <w:rsid w:val="00600037"/>
    <w:rsid w:val="0060011C"/>
    <w:rsid w:val="00600736"/>
    <w:rsid w:val="0060099E"/>
    <w:rsid w:val="00600EB9"/>
    <w:rsid w:val="006018B8"/>
    <w:rsid w:val="00601C24"/>
    <w:rsid w:val="00602161"/>
    <w:rsid w:val="00602189"/>
    <w:rsid w:val="00602FC0"/>
    <w:rsid w:val="0060330D"/>
    <w:rsid w:val="00603428"/>
    <w:rsid w:val="00604085"/>
    <w:rsid w:val="00604F73"/>
    <w:rsid w:val="00605490"/>
    <w:rsid w:val="006057FF"/>
    <w:rsid w:val="006062C0"/>
    <w:rsid w:val="00606A25"/>
    <w:rsid w:val="00606B2C"/>
    <w:rsid w:val="00606DF3"/>
    <w:rsid w:val="00607C33"/>
    <w:rsid w:val="00607EDA"/>
    <w:rsid w:val="006102B3"/>
    <w:rsid w:val="006111BB"/>
    <w:rsid w:val="00611B74"/>
    <w:rsid w:val="00611E0C"/>
    <w:rsid w:val="006127E1"/>
    <w:rsid w:val="00612874"/>
    <w:rsid w:val="00612BD6"/>
    <w:rsid w:val="00613298"/>
    <w:rsid w:val="00613CC6"/>
    <w:rsid w:val="006147EB"/>
    <w:rsid w:val="00614CBD"/>
    <w:rsid w:val="00614D24"/>
    <w:rsid w:val="00615122"/>
    <w:rsid w:val="006162B0"/>
    <w:rsid w:val="006165C5"/>
    <w:rsid w:val="0061751B"/>
    <w:rsid w:val="00617888"/>
    <w:rsid w:val="006200EB"/>
    <w:rsid w:val="006203D2"/>
    <w:rsid w:val="006217F1"/>
    <w:rsid w:val="00621BC5"/>
    <w:rsid w:val="00621EA3"/>
    <w:rsid w:val="00622190"/>
    <w:rsid w:val="00622CDF"/>
    <w:rsid w:val="00622E9F"/>
    <w:rsid w:val="00623659"/>
    <w:rsid w:val="00623668"/>
    <w:rsid w:val="006244AB"/>
    <w:rsid w:val="00625078"/>
    <w:rsid w:val="0062540E"/>
    <w:rsid w:val="0062574B"/>
    <w:rsid w:val="00625852"/>
    <w:rsid w:val="00625B56"/>
    <w:rsid w:val="00625BF4"/>
    <w:rsid w:val="006261D5"/>
    <w:rsid w:val="00626515"/>
    <w:rsid w:val="00626F2F"/>
    <w:rsid w:val="00627705"/>
    <w:rsid w:val="00631230"/>
    <w:rsid w:val="00631558"/>
    <w:rsid w:val="00631612"/>
    <w:rsid w:val="0063251A"/>
    <w:rsid w:val="0063270F"/>
    <w:rsid w:val="00632BCA"/>
    <w:rsid w:val="00633775"/>
    <w:rsid w:val="006340F8"/>
    <w:rsid w:val="00634497"/>
    <w:rsid w:val="00634C2C"/>
    <w:rsid w:val="00634E84"/>
    <w:rsid w:val="00635825"/>
    <w:rsid w:val="00635A97"/>
    <w:rsid w:val="00635F70"/>
    <w:rsid w:val="006366D2"/>
    <w:rsid w:val="00636FDE"/>
    <w:rsid w:val="00637C3B"/>
    <w:rsid w:val="00637DB8"/>
    <w:rsid w:val="00637FCC"/>
    <w:rsid w:val="00640234"/>
    <w:rsid w:val="0064157C"/>
    <w:rsid w:val="00641C57"/>
    <w:rsid w:val="006420D3"/>
    <w:rsid w:val="00642AF6"/>
    <w:rsid w:val="0064343A"/>
    <w:rsid w:val="00643A01"/>
    <w:rsid w:val="00643F67"/>
    <w:rsid w:val="00644B1E"/>
    <w:rsid w:val="00644C2D"/>
    <w:rsid w:val="00644D05"/>
    <w:rsid w:val="00645E13"/>
    <w:rsid w:val="0064664F"/>
    <w:rsid w:val="00646CE4"/>
    <w:rsid w:val="00646D38"/>
    <w:rsid w:val="006470AB"/>
    <w:rsid w:val="00647FE5"/>
    <w:rsid w:val="00650105"/>
    <w:rsid w:val="00650893"/>
    <w:rsid w:val="00651F55"/>
    <w:rsid w:val="00652874"/>
    <w:rsid w:val="0065287E"/>
    <w:rsid w:val="00653A0D"/>
    <w:rsid w:val="00654675"/>
    <w:rsid w:val="00654F6B"/>
    <w:rsid w:val="00655A7F"/>
    <w:rsid w:val="006560DB"/>
    <w:rsid w:val="006564B6"/>
    <w:rsid w:val="00656C01"/>
    <w:rsid w:val="00656D7D"/>
    <w:rsid w:val="0065700A"/>
    <w:rsid w:val="0065721D"/>
    <w:rsid w:val="00661ADA"/>
    <w:rsid w:val="00662614"/>
    <w:rsid w:val="00662B3A"/>
    <w:rsid w:val="00663162"/>
    <w:rsid w:val="00663422"/>
    <w:rsid w:val="00663C5A"/>
    <w:rsid w:val="00664325"/>
    <w:rsid w:val="00664B92"/>
    <w:rsid w:val="00665069"/>
    <w:rsid w:val="006650F5"/>
    <w:rsid w:val="00665950"/>
    <w:rsid w:val="00665FB6"/>
    <w:rsid w:val="00666280"/>
    <w:rsid w:val="006666F9"/>
    <w:rsid w:val="00666856"/>
    <w:rsid w:val="00667048"/>
    <w:rsid w:val="006703D5"/>
    <w:rsid w:val="00671079"/>
    <w:rsid w:val="006719E7"/>
    <w:rsid w:val="00671DEA"/>
    <w:rsid w:val="0067268D"/>
    <w:rsid w:val="00673DC4"/>
    <w:rsid w:val="00676288"/>
    <w:rsid w:val="006762E4"/>
    <w:rsid w:val="00676914"/>
    <w:rsid w:val="00676F8E"/>
    <w:rsid w:val="006776CA"/>
    <w:rsid w:val="00680479"/>
    <w:rsid w:val="00680B14"/>
    <w:rsid w:val="006810D2"/>
    <w:rsid w:val="0068169A"/>
    <w:rsid w:val="00681BD9"/>
    <w:rsid w:val="00681CF4"/>
    <w:rsid w:val="00681FC8"/>
    <w:rsid w:val="00682067"/>
    <w:rsid w:val="006821C2"/>
    <w:rsid w:val="00682351"/>
    <w:rsid w:val="00684840"/>
    <w:rsid w:val="0068492E"/>
    <w:rsid w:val="00684981"/>
    <w:rsid w:val="00684AAA"/>
    <w:rsid w:val="00685F27"/>
    <w:rsid w:val="00686204"/>
    <w:rsid w:val="00686349"/>
    <w:rsid w:val="0068677D"/>
    <w:rsid w:val="00686FB0"/>
    <w:rsid w:val="00687342"/>
    <w:rsid w:val="006901C7"/>
    <w:rsid w:val="006911A5"/>
    <w:rsid w:val="00691509"/>
    <w:rsid w:val="00692133"/>
    <w:rsid w:val="00692DDE"/>
    <w:rsid w:val="006931BD"/>
    <w:rsid w:val="00694D20"/>
    <w:rsid w:val="00695472"/>
    <w:rsid w:val="00695A8B"/>
    <w:rsid w:val="00695EB1"/>
    <w:rsid w:val="0069619C"/>
    <w:rsid w:val="006965B7"/>
    <w:rsid w:val="00696ABA"/>
    <w:rsid w:val="00696D10"/>
    <w:rsid w:val="006A008F"/>
    <w:rsid w:val="006A0884"/>
    <w:rsid w:val="006A109E"/>
    <w:rsid w:val="006A21D0"/>
    <w:rsid w:val="006A22CC"/>
    <w:rsid w:val="006A25DC"/>
    <w:rsid w:val="006A2A78"/>
    <w:rsid w:val="006A31BB"/>
    <w:rsid w:val="006A36A6"/>
    <w:rsid w:val="006A3701"/>
    <w:rsid w:val="006A3A06"/>
    <w:rsid w:val="006A3D8D"/>
    <w:rsid w:val="006A4AFB"/>
    <w:rsid w:val="006A5AA6"/>
    <w:rsid w:val="006A5F9B"/>
    <w:rsid w:val="006A6826"/>
    <w:rsid w:val="006A77E3"/>
    <w:rsid w:val="006B07E1"/>
    <w:rsid w:val="006B11F4"/>
    <w:rsid w:val="006B1FAB"/>
    <w:rsid w:val="006B20F3"/>
    <w:rsid w:val="006B2C76"/>
    <w:rsid w:val="006B2CC5"/>
    <w:rsid w:val="006B2FE6"/>
    <w:rsid w:val="006B30ED"/>
    <w:rsid w:val="006B40AF"/>
    <w:rsid w:val="006B4407"/>
    <w:rsid w:val="006B5698"/>
    <w:rsid w:val="006B6528"/>
    <w:rsid w:val="006B687D"/>
    <w:rsid w:val="006B7459"/>
    <w:rsid w:val="006B7AA6"/>
    <w:rsid w:val="006C040E"/>
    <w:rsid w:val="006C04BA"/>
    <w:rsid w:val="006C0760"/>
    <w:rsid w:val="006C0975"/>
    <w:rsid w:val="006C2CFB"/>
    <w:rsid w:val="006C3260"/>
    <w:rsid w:val="006C3419"/>
    <w:rsid w:val="006C398A"/>
    <w:rsid w:val="006C3D2F"/>
    <w:rsid w:val="006C4509"/>
    <w:rsid w:val="006C4525"/>
    <w:rsid w:val="006C4B73"/>
    <w:rsid w:val="006C5162"/>
    <w:rsid w:val="006C5267"/>
    <w:rsid w:val="006C5868"/>
    <w:rsid w:val="006C5DE7"/>
    <w:rsid w:val="006C635A"/>
    <w:rsid w:val="006C65B8"/>
    <w:rsid w:val="006C69FE"/>
    <w:rsid w:val="006C6A8C"/>
    <w:rsid w:val="006C7287"/>
    <w:rsid w:val="006C75A9"/>
    <w:rsid w:val="006C79B1"/>
    <w:rsid w:val="006D01A9"/>
    <w:rsid w:val="006D0BB0"/>
    <w:rsid w:val="006D0D57"/>
    <w:rsid w:val="006D144A"/>
    <w:rsid w:val="006D2DD2"/>
    <w:rsid w:val="006D3A1C"/>
    <w:rsid w:val="006D412D"/>
    <w:rsid w:val="006D5D60"/>
    <w:rsid w:val="006D6C0A"/>
    <w:rsid w:val="006D715D"/>
    <w:rsid w:val="006D74C5"/>
    <w:rsid w:val="006D7A5A"/>
    <w:rsid w:val="006D7E4C"/>
    <w:rsid w:val="006E0651"/>
    <w:rsid w:val="006E0879"/>
    <w:rsid w:val="006E0ADB"/>
    <w:rsid w:val="006E0EE8"/>
    <w:rsid w:val="006E139F"/>
    <w:rsid w:val="006E170D"/>
    <w:rsid w:val="006E19F2"/>
    <w:rsid w:val="006E27B7"/>
    <w:rsid w:val="006E320A"/>
    <w:rsid w:val="006E3A71"/>
    <w:rsid w:val="006E3E13"/>
    <w:rsid w:val="006E44DA"/>
    <w:rsid w:val="006E50D2"/>
    <w:rsid w:val="006E5329"/>
    <w:rsid w:val="006E5AE5"/>
    <w:rsid w:val="006E6363"/>
    <w:rsid w:val="006E6556"/>
    <w:rsid w:val="006E698B"/>
    <w:rsid w:val="006E6BDD"/>
    <w:rsid w:val="006E7677"/>
    <w:rsid w:val="006E78A0"/>
    <w:rsid w:val="006F026D"/>
    <w:rsid w:val="006F0AFB"/>
    <w:rsid w:val="006F0F4F"/>
    <w:rsid w:val="006F1444"/>
    <w:rsid w:val="006F28CC"/>
    <w:rsid w:val="006F2984"/>
    <w:rsid w:val="006F3506"/>
    <w:rsid w:val="006F3661"/>
    <w:rsid w:val="006F36FC"/>
    <w:rsid w:val="006F3866"/>
    <w:rsid w:val="006F3996"/>
    <w:rsid w:val="006F3C3C"/>
    <w:rsid w:val="006F3CAC"/>
    <w:rsid w:val="006F4037"/>
    <w:rsid w:val="006F4804"/>
    <w:rsid w:val="006F550E"/>
    <w:rsid w:val="006F590E"/>
    <w:rsid w:val="006F64F7"/>
    <w:rsid w:val="006F65B8"/>
    <w:rsid w:val="006F6F2F"/>
    <w:rsid w:val="006F72FA"/>
    <w:rsid w:val="006F7734"/>
    <w:rsid w:val="00700355"/>
    <w:rsid w:val="007006B0"/>
    <w:rsid w:val="00700B77"/>
    <w:rsid w:val="0070110C"/>
    <w:rsid w:val="00701F59"/>
    <w:rsid w:val="00702624"/>
    <w:rsid w:val="007030B1"/>
    <w:rsid w:val="0070315A"/>
    <w:rsid w:val="00703B13"/>
    <w:rsid w:val="00703F0D"/>
    <w:rsid w:val="00704053"/>
    <w:rsid w:val="0070514D"/>
    <w:rsid w:val="007054E1"/>
    <w:rsid w:val="00705561"/>
    <w:rsid w:val="00705A62"/>
    <w:rsid w:val="00705E1A"/>
    <w:rsid w:val="00705EEE"/>
    <w:rsid w:val="00705FDB"/>
    <w:rsid w:val="00706DBB"/>
    <w:rsid w:val="00707111"/>
    <w:rsid w:val="007072B1"/>
    <w:rsid w:val="007077F8"/>
    <w:rsid w:val="00707892"/>
    <w:rsid w:val="00707FFB"/>
    <w:rsid w:val="0071012C"/>
    <w:rsid w:val="007105C7"/>
    <w:rsid w:val="00710731"/>
    <w:rsid w:val="0071176F"/>
    <w:rsid w:val="00711BAF"/>
    <w:rsid w:val="00711C80"/>
    <w:rsid w:val="00711D11"/>
    <w:rsid w:val="00711EF3"/>
    <w:rsid w:val="00712D16"/>
    <w:rsid w:val="007131BC"/>
    <w:rsid w:val="00713221"/>
    <w:rsid w:val="00713E68"/>
    <w:rsid w:val="00713FDB"/>
    <w:rsid w:val="00714EB4"/>
    <w:rsid w:val="0071528E"/>
    <w:rsid w:val="0071548B"/>
    <w:rsid w:val="00715765"/>
    <w:rsid w:val="00715D3E"/>
    <w:rsid w:val="00715F92"/>
    <w:rsid w:val="00715FF4"/>
    <w:rsid w:val="00716701"/>
    <w:rsid w:val="00716716"/>
    <w:rsid w:val="00716901"/>
    <w:rsid w:val="0071698C"/>
    <w:rsid w:val="00716A03"/>
    <w:rsid w:val="00716F03"/>
    <w:rsid w:val="0071706F"/>
    <w:rsid w:val="0071755F"/>
    <w:rsid w:val="00717EC5"/>
    <w:rsid w:val="007203BA"/>
    <w:rsid w:val="007203E4"/>
    <w:rsid w:val="007204A9"/>
    <w:rsid w:val="007211AB"/>
    <w:rsid w:val="00721739"/>
    <w:rsid w:val="00722335"/>
    <w:rsid w:val="00722871"/>
    <w:rsid w:val="007232EF"/>
    <w:rsid w:val="007236EA"/>
    <w:rsid w:val="00723EF8"/>
    <w:rsid w:val="0072427D"/>
    <w:rsid w:val="00724418"/>
    <w:rsid w:val="00725075"/>
    <w:rsid w:val="007251DF"/>
    <w:rsid w:val="00725266"/>
    <w:rsid w:val="00725D55"/>
    <w:rsid w:val="007264F2"/>
    <w:rsid w:val="0072661A"/>
    <w:rsid w:val="007269BD"/>
    <w:rsid w:val="0072743B"/>
    <w:rsid w:val="0072785D"/>
    <w:rsid w:val="0073060D"/>
    <w:rsid w:val="007306E1"/>
    <w:rsid w:val="00730C04"/>
    <w:rsid w:val="00731F9D"/>
    <w:rsid w:val="00732473"/>
    <w:rsid w:val="00734475"/>
    <w:rsid w:val="007355A7"/>
    <w:rsid w:val="007355C2"/>
    <w:rsid w:val="00735C8C"/>
    <w:rsid w:val="00735E62"/>
    <w:rsid w:val="00736373"/>
    <w:rsid w:val="00737D1D"/>
    <w:rsid w:val="00740587"/>
    <w:rsid w:val="0074089D"/>
    <w:rsid w:val="007408CC"/>
    <w:rsid w:val="00741463"/>
    <w:rsid w:val="007416A8"/>
    <w:rsid w:val="00741D88"/>
    <w:rsid w:val="0074204A"/>
    <w:rsid w:val="00742C4F"/>
    <w:rsid w:val="007432D1"/>
    <w:rsid w:val="00743735"/>
    <w:rsid w:val="00743911"/>
    <w:rsid w:val="00743E74"/>
    <w:rsid w:val="0074429C"/>
    <w:rsid w:val="00744301"/>
    <w:rsid w:val="00744516"/>
    <w:rsid w:val="007452AC"/>
    <w:rsid w:val="00746227"/>
    <w:rsid w:val="00746DCE"/>
    <w:rsid w:val="00747358"/>
    <w:rsid w:val="007473E7"/>
    <w:rsid w:val="0074786D"/>
    <w:rsid w:val="00750502"/>
    <w:rsid w:val="00750A07"/>
    <w:rsid w:val="00751055"/>
    <w:rsid w:val="0075119D"/>
    <w:rsid w:val="007511DA"/>
    <w:rsid w:val="007515DC"/>
    <w:rsid w:val="0075320B"/>
    <w:rsid w:val="0075329D"/>
    <w:rsid w:val="007539B3"/>
    <w:rsid w:val="00753B35"/>
    <w:rsid w:val="0075413C"/>
    <w:rsid w:val="007541E2"/>
    <w:rsid w:val="0075476F"/>
    <w:rsid w:val="00754E96"/>
    <w:rsid w:val="007550AB"/>
    <w:rsid w:val="00755249"/>
    <w:rsid w:val="007554A2"/>
    <w:rsid w:val="00755FDC"/>
    <w:rsid w:val="00756929"/>
    <w:rsid w:val="00756D8A"/>
    <w:rsid w:val="00756E25"/>
    <w:rsid w:val="007577BE"/>
    <w:rsid w:val="00757865"/>
    <w:rsid w:val="00757876"/>
    <w:rsid w:val="00757AB1"/>
    <w:rsid w:val="0076012F"/>
    <w:rsid w:val="00761167"/>
    <w:rsid w:val="00761EE2"/>
    <w:rsid w:val="007630BE"/>
    <w:rsid w:val="00763551"/>
    <w:rsid w:val="00763610"/>
    <w:rsid w:val="0076362B"/>
    <w:rsid w:val="00763DD6"/>
    <w:rsid w:val="00763FEC"/>
    <w:rsid w:val="0076531B"/>
    <w:rsid w:val="0076581D"/>
    <w:rsid w:val="0076581E"/>
    <w:rsid w:val="00765CE6"/>
    <w:rsid w:val="007660D4"/>
    <w:rsid w:val="00767BBE"/>
    <w:rsid w:val="00767DBB"/>
    <w:rsid w:val="0077021A"/>
    <w:rsid w:val="00770B0A"/>
    <w:rsid w:val="00770EEA"/>
    <w:rsid w:val="00771157"/>
    <w:rsid w:val="00772428"/>
    <w:rsid w:val="007727EE"/>
    <w:rsid w:val="00772888"/>
    <w:rsid w:val="007734BC"/>
    <w:rsid w:val="00773F59"/>
    <w:rsid w:val="007745EF"/>
    <w:rsid w:val="00774646"/>
    <w:rsid w:val="00774C70"/>
    <w:rsid w:val="00774C7C"/>
    <w:rsid w:val="00774EFC"/>
    <w:rsid w:val="0077623C"/>
    <w:rsid w:val="00777D0D"/>
    <w:rsid w:val="0078055C"/>
    <w:rsid w:val="00780CEF"/>
    <w:rsid w:val="007812FD"/>
    <w:rsid w:val="0078136F"/>
    <w:rsid w:val="00781695"/>
    <w:rsid w:val="007819E0"/>
    <w:rsid w:val="00781BFA"/>
    <w:rsid w:val="00783D74"/>
    <w:rsid w:val="00784DE1"/>
    <w:rsid w:val="00785D85"/>
    <w:rsid w:val="0078624B"/>
    <w:rsid w:val="00786280"/>
    <w:rsid w:val="007865AB"/>
    <w:rsid w:val="007866DB"/>
    <w:rsid w:val="00786A5C"/>
    <w:rsid w:val="00786AA6"/>
    <w:rsid w:val="00786D5B"/>
    <w:rsid w:val="00786E64"/>
    <w:rsid w:val="00787259"/>
    <w:rsid w:val="007874B3"/>
    <w:rsid w:val="00787C14"/>
    <w:rsid w:val="00787D53"/>
    <w:rsid w:val="007902AA"/>
    <w:rsid w:val="007909EE"/>
    <w:rsid w:val="00790DB5"/>
    <w:rsid w:val="007912DB"/>
    <w:rsid w:val="007913AB"/>
    <w:rsid w:val="0079144F"/>
    <w:rsid w:val="00792CFB"/>
    <w:rsid w:val="007931FD"/>
    <w:rsid w:val="007933AB"/>
    <w:rsid w:val="00794900"/>
    <w:rsid w:val="00794AFE"/>
    <w:rsid w:val="00794CB7"/>
    <w:rsid w:val="00794D20"/>
    <w:rsid w:val="00794F4A"/>
    <w:rsid w:val="00795826"/>
    <w:rsid w:val="00795B72"/>
    <w:rsid w:val="007963A8"/>
    <w:rsid w:val="00796492"/>
    <w:rsid w:val="00796498"/>
    <w:rsid w:val="00796AAA"/>
    <w:rsid w:val="00796BB0"/>
    <w:rsid w:val="007971AB"/>
    <w:rsid w:val="007977D7"/>
    <w:rsid w:val="007A02A7"/>
    <w:rsid w:val="007A048D"/>
    <w:rsid w:val="007A1576"/>
    <w:rsid w:val="007A1948"/>
    <w:rsid w:val="007A28AC"/>
    <w:rsid w:val="007A2D76"/>
    <w:rsid w:val="007A313C"/>
    <w:rsid w:val="007A3901"/>
    <w:rsid w:val="007A3BFC"/>
    <w:rsid w:val="007A3D2D"/>
    <w:rsid w:val="007A3D9D"/>
    <w:rsid w:val="007A4A80"/>
    <w:rsid w:val="007A4B70"/>
    <w:rsid w:val="007A57B7"/>
    <w:rsid w:val="007A6842"/>
    <w:rsid w:val="007A6D85"/>
    <w:rsid w:val="007A787D"/>
    <w:rsid w:val="007A7D0E"/>
    <w:rsid w:val="007B052B"/>
    <w:rsid w:val="007B0666"/>
    <w:rsid w:val="007B0983"/>
    <w:rsid w:val="007B09B9"/>
    <w:rsid w:val="007B0DAC"/>
    <w:rsid w:val="007B11F8"/>
    <w:rsid w:val="007B146D"/>
    <w:rsid w:val="007B1E65"/>
    <w:rsid w:val="007B1ED0"/>
    <w:rsid w:val="007B258F"/>
    <w:rsid w:val="007B28D2"/>
    <w:rsid w:val="007B2BE2"/>
    <w:rsid w:val="007B2DC2"/>
    <w:rsid w:val="007B3319"/>
    <w:rsid w:val="007B3A5A"/>
    <w:rsid w:val="007B42BB"/>
    <w:rsid w:val="007B508E"/>
    <w:rsid w:val="007B583C"/>
    <w:rsid w:val="007B614B"/>
    <w:rsid w:val="007B6320"/>
    <w:rsid w:val="007B69C3"/>
    <w:rsid w:val="007B6B6E"/>
    <w:rsid w:val="007B6C5E"/>
    <w:rsid w:val="007B705D"/>
    <w:rsid w:val="007B7C95"/>
    <w:rsid w:val="007B7D89"/>
    <w:rsid w:val="007B7DF9"/>
    <w:rsid w:val="007B7F33"/>
    <w:rsid w:val="007C0783"/>
    <w:rsid w:val="007C0935"/>
    <w:rsid w:val="007C0D71"/>
    <w:rsid w:val="007C14EA"/>
    <w:rsid w:val="007C151F"/>
    <w:rsid w:val="007C1E7F"/>
    <w:rsid w:val="007C1F0D"/>
    <w:rsid w:val="007C2072"/>
    <w:rsid w:val="007C4357"/>
    <w:rsid w:val="007C4B92"/>
    <w:rsid w:val="007C598C"/>
    <w:rsid w:val="007C5B95"/>
    <w:rsid w:val="007C5BC6"/>
    <w:rsid w:val="007C608A"/>
    <w:rsid w:val="007C6F2C"/>
    <w:rsid w:val="007C701E"/>
    <w:rsid w:val="007C7CCE"/>
    <w:rsid w:val="007D016C"/>
    <w:rsid w:val="007D1E16"/>
    <w:rsid w:val="007D2450"/>
    <w:rsid w:val="007D2AED"/>
    <w:rsid w:val="007D325D"/>
    <w:rsid w:val="007D3379"/>
    <w:rsid w:val="007D3A91"/>
    <w:rsid w:val="007D3C69"/>
    <w:rsid w:val="007D3D2B"/>
    <w:rsid w:val="007D48AA"/>
    <w:rsid w:val="007D5D0D"/>
    <w:rsid w:val="007D5E9F"/>
    <w:rsid w:val="007D608D"/>
    <w:rsid w:val="007D6634"/>
    <w:rsid w:val="007D664D"/>
    <w:rsid w:val="007D7034"/>
    <w:rsid w:val="007D70DC"/>
    <w:rsid w:val="007D7661"/>
    <w:rsid w:val="007D7C55"/>
    <w:rsid w:val="007D7C73"/>
    <w:rsid w:val="007E011C"/>
    <w:rsid w:val="007E078B"/>
    <w:rsid w:val="007E1BDE"/>
    <w:rsid w:val="007E2165"/>
    <w:rsid w:val="007E2923"/>
    <w:rsid w:val="007E2B38"/>
    <w:rsid w:val="007E2DFE"/>
    <w:rsid w:val="007E2EDB"/>
    <w:rsid w:val="007E4063"/>
    <w:rsid w:val="007E4500"/>
    <w:rsid w:val="007E54D6"/>
    <w:rsid w:val="007E60BB"/>
    <w:rsid w:val="007E60CD"/>
    <w:rsid w:val="007E6917"/>
    <w:rsid w:val="007E6A4D"/>
    <w:rsid w:val="007E6A93"/>
    <w:rsid w:val="007E72C3"/>
    <w:rsid w:val="007E74ED"/>
    <w:rsid w:val="007E776E"/>
    <w:rsid w:val="007E79D5"/>
    <w:rsid w:val="007F0377"/>
    <w:rsid w:val="007F03E0"/>
    <w:rsid w:val="007F0B2D"/>
    <w:rsid w:val="007F1168"/>
    <w:rsid w:val="007F14EC"/>
    <w:rsid w:val="007F1AD5"/>
    <w:rsid w:val="007F1B00"/>
    <w:rsid w:val="007F2F28"/>
    <w:rsid w:val="007F342D"/>
    <w:rsid w:val="007F3686"/>
    <w:rsid w:val="007F382B"/>
    <w:rsid w:val="007F4E93"/>
    <w:rsid w:val="007F5BBE"/>
    <w:rsid w:val="007F698F"/>
    <w:rsid w:val="007F7107"/>
    <w:rsid w:val="008007B7"/>
    <w:rsid w:val="00800853"/>
    <w:rsid w:val="008018ED"/>
    <w:rsid w:val="00802528"/>
    <w:rsid w:val="008030DA"/>
    <w:rsid w:val="0080317E"/>
    <w:rsid w:val="008037E6"/>
    <w:rsid w:val="00803A5D"/>
    <w:rsid w:val="00804024"/>
    <w:rsid w:val="008040A5"/>
    <w:rsid w:val="008046D4"/>
    <w:rsid w:val="00805A2E"/>
    <w:rsid w:val="00806162"/>
    <w:rsid w:val="0080674D"/>
    <w:rsid w:val="00806F8E"/>
    <w:rsid w:val="008078B3"/>
    <w:rsid w:val="00807ACE"/>
    <w:rsid w:val="00810E8B"/>
    <w:rsid w:val="0081165C"/>
    <w:rsid w:val="008118AB"/>
    <w:rsid w:val="00811EF7"/>
    <w:rsid w:val="0081217B"/>
    <w:rsid w:val="00812490"/>
    <w:rsid w:val="00812828"/>
    <w:rsid w:val="00812D74"/>
    <w:rsid w:val="00812F63"/>
    <w:rsid w:val="00813F26"/>
    <w:rsid w:val="0081467E"/>
    <w:rsid w:val="0081511C"/>
    <w:rsid w:val="00815583"/>
    <w:rsid w:val="00815AFC"/>
    <w:rsid w:val="00815FF1"/>
    <w:rsid w:val="00816774"/>
    <w:rsid w:val="00817297"/>
    <w:rsid w:val="00817312"/>
    <w:rsid w:val="00820271"/>
    <w:rsid w:val="00820388"/>
    <w:rsid w:val="00822352"/>
    <w:rsid w:val="00822E84"/>
    <w:rsid w:val="008230BC"/>
    <w:rsid w:val="00823588"/>
    <w:rsid w:val="0082484B"/>
    <w:rsid w:val="00824D12"/>
    <w:rsid w:val="00824FFE"/>
    <w:rsid w:val="00825212"/>
    <w:rsid w:val="00825505"/>
    <w:rsid w:val="0082582D"/>
    <w:rsid w:val="00825F5A"/>
    <w:rsid w:val="00826439"/>
    <w:rsid w:val="00826743"/>
    <w:rsid w:val="00826C51"/>
    <w:rsid w:val="00826CE0"/>
    <w:rsid w:val="008272E9"/>
    <w:rsid w:val="00827860"/>
    <w:rsid w:val="0082793A"/>
    <w:rsid w:val="00827B22"/>
    <w:rsid w:val="008303B9"/>
    <w:rsid w:val="0083053C"/>
    <w:rsid w:val="00830DE4"/>
    <w:rsid w:val="00830DED"/>
    <w:rsid w:val="0083145C"/>
    <w:rsid w:val="0083255C"/>
    <w:rsid w:val="00832D1A"/>
    <w:rsid w:val="00832E55"/>
    <w:rsid w:val="00833792"/>
    <w:rsid w:val="0083385C"/>
    <w:rsid w:val="00833AC1"/>
    <w:rsid w:val="008343EA"/>
    <w:rsid w:val="008347C1"/>
    <w:rsid w:val="00834887"/>
    <w:rsid w:val="008348F2"/>
    <w:rsid w:val="00834BE8"/>
    <w:rsid w:val="00835244"/>
    <w:rsid w:val="00835358"/>
    <w:rsid w:val="008354E1"/>
    <w:rsid w:val="008356F3"/>
    <w:rsid w:val="00835821"/>
    <w:rsid w:val="00835925"/>
    <w:rsid w:val="00835BF2"/>
    <w:rsid w:val="00836155"/>
    <w:rsid w:val="00836266"/>
    <w:rsid w:val="008366EC"/>
    <w:rsid w:val="00836E3F"/>
    <w:rsid w:val="00836E67"/>
    <w:rsid w:val="008377A7"/>
    <w:rsid w:val="00837C06"/>
    <w:rsid w:val="00840291"/>
    <w:rsid w:val="008404B6"/>
    <w:rsid w:val="008404F4"/>
    <w:rsid w:val="008415DC"/>
    <w:rsid w:val="00841688"/>
    <w:rsid w:val="00841919"/>
    <w:rsid w:val="00841EB7"/>
    <w:rsid w:val="00843F13"/>
    <w:rsid w:val="00844B2B"/>
    <w:rsid w:val="00845A01"/>
    <w:rsid w:val="00845D94"/>
    <w:rsid w:val="00846B9A"/>
    <w:rsid w:val="00850154"/>
    <w:rsid w:val="0085045A"/>
    <w:rsid w:val="00850834"/>
    <w:rsid w:val="00850A31"/>
    <w:rsid w:val="0085105E"/>
    <w:rsid w:val="0085183A"/>
    <w:rsid w:val="00852F35"/>
    <w:rsid w:val="00853267"/>
    <w:rsid w:val="00853F72"/>
    <w:rsid w:val="008542EF"/>
    <w:rsid w:val="008551BF"/>
    <w:rsid w:val="008551F5"/>
    <w:rsid w:val="00855298"/>
    <w:rsid w:val="00855676"/>
    <w:rsid w:val="00855D1F"/>
    <w:rsid w:val="00856107"/>
    <w:rsid w:val="008561D0"/>
    <w:rsid w:val="00856FE3"/>
    <w:rsid w:val="00857363"/>
    <w:rsid w:val="00857F4D"/>
    <w:rsid w:val="0086030D"/>
    <w:rsid w:val="008607F8"/>
    <w:rsid w:val="008617F0"/>
    <w:rsid w:val="00861D3E"/>
    <w:rsid w:val="00861E61"/>
    <w:rsid w:val="00863779"/>
    <w:rsid w:val="00863C57"/>
    <w:rsid w:val="00864419"/>
    <w:rsid w:val="00864F76"/>
    <w:rsid w:val="008657A0"/>
    <w:rsid w:val="008657CF"/>
    <w:rsid w:val="0086687D"/>
    <w:rsid w:val="00866911"/>
    <w:rsid w:val="008671D0"/>
    <w:rsid w:val="00867598"/>
    <w:rsid w:val="00867660"/>
    <w:rsid w:val="00867890"/>
    <w:rsid w:val="00867C03"/>
    <w:rsid w:val="00867EA8"/>
    <w:rsid w:val="00870132"/>
    <w:rsid w:val="008705DA"/>
    <w:rsid w:val="00870621"/>
    <w:rsid w:val="00870C2C"/>
    <w:rsid w:val="00870CC2"/>
    <w:rsid w:val="00871374"/>
    <w:rsid w:val="00871457"/>
    <w:rsid w:val="00871D95"/>
    <w:rsid w:val="00872663"/>
    <w:rsid w:val="008726DF"/>
    <w:rsid w:val="008728A0"/>
    <w:rsid w:val="00872BF7"/>
    <w:rsid w:val="0087321E"/>
    <w:rsid w:val="008739A1"/>
    <w:rsid w:val="0087432D"/>
    <w:rsid w:val="00874B49"/>
    <w:rsid w:val="00874CA3"/>
    <w:rsid w:val="00874E82"/>
    <w:rsid w:val="00874FAB"/>
    <w:rsid w:val="00875080"/>
    <w:rsid w:val="0087539E"/>
    <w:rsid w:val="0087549A"/>
    <w:rsid w:val="008754A6"/>
    <w:rsid w:val="0087593C"/>
    <w:rsid w:val="00875DC8"/>
    <w:rsid w:val="008762BE"/>
    <w:rsid w:val="008768C7"/>
    <w:rsid w:val="00876D86"/>
    <w:rsid w:val="00880356"/>
    <w:rsid w:val="00880485"/>
    <w:rsid w:val="00880C94"/>
    <w:rsid w:val="00881358"/>
    <w:rsid w:val="008815DA"/>
    <w:rsid w:val="00881886"/>
    <w:rsid w:val="00881985"/>
    <w:rsid w:val="00881AE2"/>
    <w:rsid w:val="00881C04"/>
    <w:rsid w:val="00882018"/>
    <w:rsid w:val="00882195"/>
    <w:rsid w:val="0088219E"/>
    <w:rsid w:val="00883248"/>
    <w:rsid w:val="00883FE6"/>
    <w:rsid w:val="008843D3"/>
    <w:rsid w:val="008843D9"/>
    <w:rsid w:val="0088452C"/>
    <w:rsid w:val="00884C04"/>
    <w:rsid w:val="00884F40"/>
    <w:rsid w:val="00885634"/>
    <w:rsid w:val="00885737"/>
    <w:rsid w:val="008860C5"/>
    <w:rsid w:val="008869C1"/>
    <w:rsid w:val="00886A84"/>
    <w:rsid w:val="00886BCF"/>
    <w:rsid w:val="0088721C"/>
    <w:rsid w:val="00887251"/>
    <w:rsid w:val="008873DB"/>
    <w:rsid w:val="008876F3"/>
    <w:rsid w:val="0089012E"/>
    <w:rsid w:val="008901DF"/>
    <w:rsid w:val="00890341"/>
    <w:rsid w:val="00890BD8"/>
    <w:rsid w:val="00891079"/>
    <w:rsid w:val="00891164"/>
    <w:rsid w:val="008918CC"/>
    <w:rsid w:val="00892974"/>
    <w:rsid w:val="00892F15"/>
    <w:rsid w:val="008935D9"/>
    <w:rsid w:val="00895F74"/>
    <w:rsid w:val="00896136"/>
    <w:rsid w:val="00896265"/>
    <w:rsid w:val="008964AE"/>
    <w:rsid w:val="008969C0"/>
    <w:rsid w:val="00896D6E"/>
    <w:rsid w:val="008973E4"/>
    <w:rsid w:val="0089787B"/>
    <w:rsid w:val="00897EA7"/>
    <w:rsid w:val="00897EDC"/>
    <w:rsid w:val="008A0614"/>
    <w:rsid w:val="008A08B2"/>
    <w:rsid w:val="008A1A97"/>
    <w:rsid w:val="008A1DFC"/>
    <w:rsid w:val="008A2C74"/>
    <w:rsid w:val="008A3EA8"/>
    <w:rsid w:val="008A3F5D"/>
    <w:rsid w:val="008A4055"/>
    <w:rsid w:val="008A477B"/>
    <w:rsid w:val="008A4A55"/>
    <w:rsid w:val="008A54B7"/>
    <w:rsid w:val="008A5A85"/>
    <w:rsid w:val="008A6B0B"/>
    <w:rsid w:val="008A6F75"/>
    <w:rsid w:val="008A745F"/>
    <w:rsid w:val="008A74F3"/>
    <w:rsid w:val="008B004E"/>
    <w:rsid w:val="008B01D0"/>
    <w:rsid w:val="008B04D4"/>
    <w:rsid w:val="008B097B"/>
    <w:rsid w:val="008B0ABD"/>
    <w:rsid w:val="008B1B76"/>
    <w:rsid w:val="008B1B99"/>
    <w:rsid w:val="008B1F57"/>
    <w:rsid w:val="008B2213"/>
    <w:rsid w:val="008B23EF"/>
    <w:rsid w:val="008B262D"/>
    <w:rsid w:val="008B2CA8"/>
    <w:rsid w:val="008B31E5"/>
    <w:rsid w:val="008B35CE"/>
    <w:rsid w:val="008B40DC"/>
    <w:rsid w:val="008B44DC"/>
    <w:rsid w:val="008B44F5"/>
    <w:rsid w:val="008B4F50"/>
    <w:rsid w:val="008B6575"/>
    <w:rsid w:val="008B6887"/>
    <w:rsid w:val="008B6912"/>
    <w:rsid w:val="008B7EE8"/>
    <w:rsid w:val="008C0328"/>
    <w:rsid w:val="008C0535"/>
    <w:rsid w:val="008C0EA0"/>
    <w:rsid w:val="008C19BE"/>
    <w:rsid w:val="008C22CE"/>
    <w:rsid w:val="008C2952"/>
    <w:rsid w:val="008C30B9"/>
    <w:rsid w:val="008C4033"/>
    <w:rsid w:val="008C4276"/>
    <w:rsid w:val="008C45BA"/>
    <w:rsid w:val="008C46AD"/>
    <w:rsid w:val="008C47A1"/>
    <w:rsid w:val="008C5808"/>
    <w:rsid w:val="008C584C"/>
    <w:rsid w:val="008C5B45"/>
    <w:rsid w:val="008C5C2B"/>
    <w:rsid w:val="008C6ED0"/>
    <w:rsid w:val="008C738F"/>
    <w:rsid w:val="008C764D"/>
    <w:rsid w:val="008C79ED"/>
    <w:rsid w:val="008D0ACA"/>
    <w:rsid w:val="008D0B1F"/>
    <w:rsid w:val="008D1367"/>
    <w:rsid w:val="008D1976"/>
    <w:rsid w:val="008D1AE8"/>
    <w:rsid w:val="008D1BD2"/>
    <w:rsid w:val="008D23A6"/>
    <w:rsid w:val="008D3755"/>
    <w:rsid w:val="008D4998"/>
    <w:rsid w:val="008D4F48"/>
    <w:rsid w:val="008D5ABD"/>
    <w:rsid w:val="008D6360"/>
    <w:rsid w:val="008D6B9E"/>
    <w:rsid w:val="008D7169"/>
    <w:rsid w:val="008D7725"/>
    <w:rsid w:val="008D7C71"/>
    <w:rsid w:val="008D7F08"/>
    <w:rsid w:val="008E0073"/>
    <w:rsid w:val="008E0479"/>
    <w:rsid w:val="008E1024"/>
    <w:rsid w:val="008E14FC"/>
    <w:rsid w:val="008E2D1B"/>
    <w:rsid w:val="008E2DAC"/>
    <w:rsid w:val="008E31DD"/>
    <w:rsid w:val="008E3655"/>
    <w:rsid w:val="008E36FE"/>
    <w:rsid w:val="008E3EA9"/>
    <w:rsid w:val="008E47DD"/>
    <w:rsid w:val="008E4BA6"/>
    <w:rsid w:val="008E5852"/>
    <w:rsid w:val="008E5AF4"/>
    <w:rsid w:val="008E5DAB"/>
    <w:rsid w:val="008E6063"/>
    <w:rsid w:val="008E67FF"/>
    <w:rsid w:val="008E6CBB"/>
    <w:rsid w:val="008E7109"/>
    <w:rsid w:val="008E72CD"/>
    <w:rsid w:val="008E792C"/>
    <w:rsid w:val="008E7B28"/>
    <w:rsid w:val="008F0EAA"/>
    <w:rsid w:val="008F1F36"/>
    <w:rsid w:val="008F201F"/>
    <w:rsid w:val="008F2722"/>
    <w:rsid w:val="008F3480"/>
    <w:rsid w:val="008F3F0A"/>
    <w:rsid w:val="008F435D"/>
    <w:rsid w:val="008F452D"/>
    <w:rsid w:val="008F4554"/>
    <w:rsid w:val="008F4D48"/>
    <w:rsid w:val="008F4EA8"/>
    <w:rsid w:val="008F4F15"/>
    <w:rsid w:val="008F58AA"/>
    <w:rsid w:val="008F613E"/>
    <w:rsid w:val="008F63B9"/>
    <w:rsid w:val="008F6C7E"/>
    <w:rsid w:val="008F6CAD"/>
    <w:rsid w:val="008F6E8F"/>
    <w:rsid w:val="008F73D6"/>
    <w:rsid w:val="008F7D6D"/>
    <w:rsid w:val="00901909"/>
    <w:rsid w:val="0090272B"/>
    <w:rsid w:val="00902AF5"/>
    <w:rsid w:val="0090311C"/>
    <w:rsid w:val="00903163"/>
    <w:rsid w:val="0090416F"/>
    <w:rsid w:val="009041A6"/>
    <w:rsid w:val="009044B1"/>
    <w:rsid w:val="009044B2"/>
    <w:rsid w:val="00904690"/>
    <w:rsid w:val="009048AD"/>
    <w:rsid w:val="00905166"/>
    <w:rsid w:val="00905753"/>
    <w:rsid w:val="00905887"/>
    <w:rsid w:val="00905D74"/>
    <w:rsid w:val="0090674C"/>
    <w:rsid w:val="00906EA1"/>
    <w:rsid w:val="00906F1E"/>
    <w:rsid w:val="009101F0"/>
    <w:rsid w:val="0091049F"/>
    <w:rsid w:val="00910DDF"/>
    <w:rsid w:val="009113AC"/>
    <w:rsid w:val="00911B7C"/>
    <w:rsid w:val="009124E0"/>
    <w:rsid w:val="00912C03"/>
    <w:rsid w:val="0091355E"/>
    <w:rsid w:val="00913EB6"/>
    <w:rsid w:val="00913ED0"/>
    <w:rsid w:val="009142FD"/>
    <w:rsid w:val="009146E4"/>
    <w:rsid w:val="009147F0"/>
    <w:rsid w:val="00914AAD"/>
    <w:rsid w:val="0091501F"/>
    <w:rsid w:val="00915187"/>
    <w:rsid w:val="009154B4"/>
    <w:rsid w:val="009154C1"/>
    <w:rsid w:val="0091583C"/>
    <w:rsid w:val="00915E8C"/>
    <w:rsid w:val="00915E98"/>
    <w:rsid w:val="00916019"/>
    <w:rsid w:val="00916924"/>
    <w:rsid w:val="00916B9C"/>
    <w:rsid w:val="00917A6E"/>
    <w:rsid w:val="009202F7"/>
    <w:rsid w:val="00921196"/>
    <w:rsid w:val="0092161B"/>
    <w:rsid w:val="00921F06"/>
    <w:rsid w:val="00921F7C"/>
    <w:rsid w:val="00921FA8"/>
    <w:rsid w:val="00921FF1"/>
    <w:rsid w:val="009223C0"/>
    <w:rsid w:val="00922D6E"/>
    <w:rsid w:val="00923643"/>
    <w:rsid w:val="00923757"/>
    <w:rsid w:val="00923780"/>
    <w:rsid w:val="00924177"/>
    <w:rsid w:val="009246A2"/>
    <w:rsid w:val="00925491"/>
    <w:rsid w:val="00925AE6"/>
    <w:rsid w:val="00925CFF"/>
    <w:rsid w:val="0092604C"/>
    <w:rsid w:val="0092656F"/>
    <w:rsid w:val="0092661B"/>
    <w:rsid w:val="00927009"/>
    <w:rsid w:val="009271F3"/>
    <w:rsid w:val="00927650"/>
    <w:rsid w:val="009312A2"/>
    <w:rsid w:val="009323B2"/>
    <w:rsid w:val="009326DD"/>
    <w:rsid w:val="00932807"/>
    <w:rsid w:val="009329BF"/>
    <w:rsid w:val="00933317"/>
    <w:rsid w:val="00934539"/>
    <w:rsid w:val="00934D51"/>
    <w:rsid w:val="00935CCF"/>
    <w:rsid w:val="00935D61"/>
    <w:rsid w:val="009369D9"/>
    <w:rsid w:val="00936D1D"/>
    <w:rsid w:val="009372D1"/>
    <w:rsid w:val="00937361"/>
    <w:rsid w:val="00940E3E"/>
    <w:rsid w:val="00940EE1"/>
    <w:rsid w:val="00941375"/>
    <w:rsid w:val="0094237A"/>
    <w:rsid w:val="0094279D"/>
    <w:rsid w:val="00942CB6"/>
    <w:rsid w:val="00942CE9"/>
    <w:rsid w:val="00943292"/>
    <w:rsid w:val="00944074"/>
    <w:rsid w:val="00944430"/>
    <w:rsid w:val="00945199"/>
    <w:rsid w:val="00945986"/>
    <w:rsid w:val="00945C87"/>
    <w:rsid w:val="00946958"/>
    <w:rsid w:val="00946C0E"/>
    <w:rsid w:val="00947523"/>
    <w:rsid w:val="00947C47"/>
    <w:rsid w:val="009508D6"/>
    <w:rsid w:val="00950E3C"/>
    <w:rsid w:val="00950E5B"/>
    <w:rsid w:val="00951BBC"/>
    <w:rsid w:val="00953709"/>
    <w:rsid w:val="0095391A"/>
    <w:rsid w:val="00953B84"/>
    <w:rsid w:val="00953C81"/>
    <w:rsid w:val="00954029"/>
    <w:rsid w:val="0095429D"/>
    <w:rsid w:val="00954B5C"/>
    <w:rsid w:val="00954FF2"/>
    <w:rsid w:val="00955460"/>
    <w:rsid w:val="0095546D"/>
    <w:rsid w:val="009554C0"/>
    <w:rsid w:val="009559FF"/>
    <w:rsid w:val="00956569"/>
    <w:rsid w:val="00957611"/>
    <w:rsid w:val="00957A54"/>
    <w:rsid w:val="009609DC"/>
    <w:rsid w:val="009615D2"/>
    <w:rsid w:val="00961E96"/>
    <w:rsid w:val="00962066"/>
    <w:rsid w:val="009622EC"/>
    <w:rsid w:val="00962EE8"/>
    <w:rsid w:val="009636EB"/>
    <w:rsid w:val="00963A98"/>
    <w:rsid w:val="00963D53"/>
    <w:rsid w:val="00963D64"/>
    <w:rsid w:val="009641B2"/>
    <w:rsid w:val="00964230"/>
    <w:rsid w:val="0096569D"/>
    <w:rsid w:val="00965992"/>
    <w:rsid w:val="00965F62"/>
    <w:rsid w:val="00966AD5"/>
    <w:rsid w:val="00970340"/>
    <w:rsid w:val="009703DD"/>
    <w:rsid w:val="009708F4"/>
    <w:rsid w:val="00970A1C"/>
    <w:rsid w:val="00970D75"/>
    <w:rsid w:val="0097102D"/>
    <w:rsid w:val="00971A7E"/>
    <w:rsid w:val="00971BE6"/>
    <w:rsid w:val="00972C20"/>
    <w:rsid w:val="0097340B"/>
    <w:rsid w:val="009743B5"/>
    <w:rsid w:val="00974421"/>
    <w:rsid w:val="009745A0"/>
    <w:rsid w:val="00974630"/>
    <w:rsid w:val="00974F06"/>
    <w:rsid w:val="00975870"/>
    <w:rsid w:val="00976390"/>
    <w:rsid w:val="00976642"/>
    <w:rsid w:val="00976B8D"/>
    <w:rsid w:val="00976EE9"/>
    <w:rsid w:val="00976F70"/>
    <w:rsid w:val="00977A94"/>
    <w:rsid w:val="00977B2A"/>
    <w:rsid w:val="00977BB8"/>
    <w:rsid w:val="00977D53"/>
    <w:rsid w:val="00980293"/>
    <w:rsid w:val="009802D0"/>
    <w:rsid w:val="00980980"/>
    <w:rsid w:val="00981CF2"/>
    <w:rsid w:val="009824DE"/>
    <w:rsid w:val="00982714"/>
    <w:rsid w:val="00982EEF"/>
    <w:rsid w:val="009831D8"/>
    <w:rsid w:val="00984376"/>
    <w:rsid w:val="009848AD"/>
    <w:rsid w:val="00986BEA"/>
    <w:rsid w:val="00986FAE"/>
    <w:rsid w:val="00987522"/>
    <w:rsid w:val="0098776A"/>
    <w:rsid w:val="00990D35"/>
    <w:rsid w:val="0099133D"/>
    <w:rsid w:val="009926DE"/>
    <w:rsid w:val="009928E8"/>
    <w:rsid w:val="00992AD8"/>
    <w:rsid w:val="00993442"/>
    <w:rsid w:val="00994306"/>
    <w:rsid w:val="009948AC"/>
    <w:rsid w:val="00995541"/>
    <w:rsid w:val="00995776"/>
    <w:rsid w:val="00995C64"/>
    <w:rsid w:val="00995C7C"/>
    <w:rsid w:val="00996BA7"/>
    <w:rsid w:val="009A01ED"/>
    <w:rsid w:val="009A0691"/>
    <w:rsid w:val="009A079D"/>
    <w:rsid w:val="009A0A49"/>
    <w:rsid w:val="009A0DB2"/>
    <w:rsid w:val="009A1023"/>
    <w:rsid w:val="009A16F8"/>
    <w:rsid w:val="009A1C2B"/>
    <w:rsid w:val="009A218B"/>
    <w:rsid w:val="009A44E2"/>
    <w:rsid w:val="009A6733"/>
    <w:rsid w:val="009A6D9C"/>
    <w:rsid w:val="009A7407"/>
    <w:rsid w:val="009A7AD2"/>
    <w:rsid w:val="009B00EA"/>
    <w:rsid w:val="009B03B3"/>
    <w:rsid w:val="009B0B06"/>
    <w:rsid w:val="009B1107"/>
    <w:rsid w:val="009B1166"/>
    <w:rsid w:val="009B13C1"/>
    <w:rsid w:val="009B143A"/>
    <w:rsid w:val="009B1537"/>
    <w:rsid w:val="009B1E91"/>
    <w:rsid w:val="009B2D2B"/>
    <w:rsid w:val="009B34A1"/>
    <w:rsid w:val="009B397B"/>
    <w:rsid w:val="009B3BFA"/>
    <w:rsid w:val="009B4337"/>
    <w:rsid w:val="009B4DBE"/>
    <w:rsid w:val="009B4F84"/>
    <w:rsid w:val="009B69BF"/>
    <w:rsid w:val="009B6CD4"/>
    <w:rsid w:val="009C02AA"/>
    <w:rsid w:val="009C0933"/>
    <w:rsid w:val="009C0F82"/>
    <w:rsid w:val="009C1076"/>
    <w:rsid w:val="009C1225"/>
    <w:rsid w:val="009C1256"/>
    <w:rsid w:val="009C2956"/>
    <w:rsid w:val="009C320E"/>
    <w:rsid w:val="009C3596"/>
    <w:rsid w:val="009C3B4D"/>
    <w:rsid w:val="009C3B50"/>
    <w:rsid w:val="009C3BA2"/>
    <w:rsid w:val="009C3C80"/>
    <w:rsid w:val="009C3E48"/>
    <w:rsid w:val="009C5C49"/>
    <w:rsid w:val="009C60F6"/>
    <w:rsid w:val="009C6B52"/>
    <w:rsid w:val="009C7092"/>
    <w:rsid w:val="009C70D0"/>
    <w:rsid w:val="009C74E5"/>
    <w:rsid w:val="009D15EA"/>
    <w:rsid w:val="009D2DBC"/>
    <w:rsid w:val="009D3197"/>
    <w:rsid w:val="009D3987"/>
    <w:rsid w:val="009D3A42"/>
    <w:rsid w:val="009D4B38"/>
    <w:rsid w:val="009D5720"/>
    <w:rsid w:val="009D576B"/>
    <w:rsid w:val="009D5A4C"/>
    <w:rsid w:val="009D5D5F"/>
    <w:rsid w:val="009D5DCD"/>
    <w:rsid w:val="009D5E06"/>
    <w:rsid w:val="009D7B7B"/>
    <w:rsid w:val="009D7CD5"/>
    <w:rsid w:val="009E02E2"/>
    <w:rsid w:val="009E0E9D"/>
    <w:rsid w:val="009E1C0A"/>
    <w:rsid w:val="009E1D04"/>
    <w:rsid w:val="009E1E4F"/>
    <w:rsid w:val="009E1E60"/>
    <w:rsid w:val="009E1F52"/>
    <w:rsid w:val="009E21DC"/>
    <w:rsid w:val="009E2903"/>
    <w:rsid w:val="009E2F80"/>
    <w:rsid w:val="009E43E4"/>
    <w:rsid w:val="009E4AFE"/>
    <w:rsid w:val="009E52B7"/>
    <w:rsid w:val="009E5F08"/>
    <w:rsid w:val="009E6078"/>
    <w:rsid w:val="009E653E"/>
    <w:rsid w:val="009E73FA"/>
    <w:rsid w:val="009E79AB"/>
    <w:rsid w:val="009F0889"/>
    <w:rsid w:val="009F0AC1"/>
    <w:rsid w:val="009F0F15"/>
    <w:rsid w:val="009F1298"/>
    <w:rsid w:val="009F212B"/>
    <w:rsid w:val="009F3FD7"/>
    <w:rsid w:val="009F403E"/>
    <w:rsid w:val="009F4446"/>
    <w:rsid w:val="009F48EC"/>
    <w:rsid w:val="009F4F11"/>
    <w:rsid w:val="009F53B7"/>
    <w:rsid w:val="009F56AE"/>
    <w:rsid w:val="009F575E"/>
    <w:rsid w:val="009F5BC0"/>
    <w:rsid w:val="009F5DEE"/>
    <w:rsid w:val="009F6135"/>
    <w:rsid w:val="009F6797"/>
    <w:rsid w:val="009F67A8"/>
    <w:rsid w:val="009F6A0F"/>
    <w:rsid w:val="009F7871"/>
    <w:rsid w:val="009F7F14"/>
    <w:rsid w:val="00A002E6"/>
    <w:rsid w:val="00A008E6"/>
    <w:rsid w:val="00A00AAD"/>
    <w:rsid w:val="00A00B67"/>
    <w:rsid w:val="00A01131"/>
    <w:rsid w:val="00A01AD9"/>
    <w:rsid w:val="00A01E8B"/>
    <w:rsid w:val="00A0264D"/>
    <w:rsid w:val="00A02C2F"/>
    <w:rsid w:val="00A02F91"/>
    <w:rsid w:val="00A039D5"/>
    <w:rsid w:val="00A03A08"/>
    <w:rsid w:val="00A03B76"/>
    <w:rsid w:val="00A0422C"/>
    <w:rsid w:val="00A04713"/>
    <w:rsid w:val="00A04951"/>
    <w:rsid w:val="00A04980"/>
    <w:rsid w:val="00A052A3"/>
    <w:rsid w:val="00A055E3"/>
    <w:rsid w:val="00A05D45"/>
    <w:rsid w:val="00A0605F"/>
    <w:rsid w:val="00A0611D"/>
    <w:rsid w:val="00A06855"/>
    <w:rsid w:val="00A07421"/>
    <w:rsid w:val="00A10754"/>
    <w:rsid w:val="00A11645"/>
    <w:rsid w:val="00A11DE0"/>
    <w:rsid w:val="00A11EE8"/>
    <w:rsid w:val="00A125A5"/>
    <w:rsid w:val="00A12801"/>
    <w:rsid w:val="00A12C83"/>
    <w:rsid w:val="00A12DE9"/>
    <w:rsid w:val="00A134CA"/>
    <w:rsid w:val="00A148FC"/>
    <w:rsid w:val="00A14B9C"/>
    <w:rsid w:val="00A15A69"/>
    <w:rsid w:val="00A160C6"/>
    <w:rsid w:val="00A16D23"/>
    <w:rsid w:val="00A17196"/>
    <w:rsid w:val="00A17440"/>
    <w:rsid w:val="00A17A47"/>
    <w:rsid w:val="00A17FE1"/>
    <w:rsid w:val="00A2038E"/>
    <w:rsid w:val="00A2134C"/>
    <w:rsid w:val="00A219CB"/>
    <w:rsid w:val="00A21B8F"/>
    <w:rsid w:val="00A222F4"/>
    <w:rsid w:val="00A22DBF"/>
    <w:rsid w:val="00A22F2D"/>
    <w:rsid w:val="00A23010"/>
    <w:rsid w:val="00A23BE0"/>
    <w:rsid w:val="00A23E9B"/>
    <w:rsid w:val="00A242B3"/>
    <w:rsid w:val="00A25009"/>
    <w:rsid w:val="00A25254"/>
    <w:rsid w:val="00A25967"/>
    <w:rsid w:val="00A264C4"/>
    <w:rsid w:val="00A267E7"/>
    <w:rsid w:val="00A26EA8"/>
    <w:rsid w:val="00A27462"/>
    <w:rsid w:val="00A2791D"/>
    <w:rsid w:val="00A30960"/>
    <w:rsid w:val="00A3157F"/>
    <w:rsid w:val="00A32FC1"/>
    <w:rsid w:val="00A337A9"/>
    <w:rsid w:val="00A3394E"/>
    <w:rsid w:val="00A33ABD"/>
    <w:rsid w:val="00A33B1D"/>
    <w:rsid w:val="00A33BC1"/>
    <w:rsid w:val="00A340DA"/>
    <w:rsid w:val="00A344B9"/>
    <w:rsid w:val="00A3462A"/>
    <w:rsid w:val="00A34661"/>
    <w:rsid w:val="00A350E3"/>
    <w:rsid w:val="00A3543A"/>
    <w:rsid w:val="00A3786F"/>
    <w:rsid w:val="00A40131"/>
    <w:rsid w:val="00A40474"/>
    <w:rsid w:val="00A40722"/>
    <w:rsid w:val="00A40BB4"/>
    <w:rsid w:val="00A4155D"/>
    <w:rsid w:val="00A419E3"/>
    <w:rsid w:val="00A41A62"/>
    <w:rsid w:val="00A41BA4"/>
    <w:rsid w:val="00A42002"/>
    <w:rsid w:val="00A42362"/>
    <w:rsid w:val="00A43CB6"/>
    <w:rsid w:val="00A43EC7"/>
    <w:rsid w:val="00A44F3B"/>
    <w:rsid w:val="00A46F6A"/>
    <w:rsid w:val="00A46FF1"/>
    <w:rsid w:val="00A47364"/>
    <w:rsid w:val="00A47D0C"/>
    <w:rsid w:val="00A503F3"/>
    <w:rsid w:val="00A50504"/>
    <w:rsid w:val="00A50652"/>
    <w:rsid w:val="00A507A2"/>
    <w:rsid w:val="00A509FB"/>
    <w:rsid w:val="00A50AFF"/>
    <w:rsid w:val="00A50E1A"/>
    <w:rsid w:val="00A51061"/>
    <w:rsid w:val="00A51512"/>
    <w:rsid w:val="00A51DAE"/>
    <w:rsid w:val="00A526DD"/>
    <w:rsid w:val="00A52AFD"/>
    <w:rsid w:val="00A543AF"/>
    <w:rsid w:val="00A543CD"/>
    <w:rsid w:val="00A54F05"/>
    <w:rsid w:val="00A5624C"/>
    <w:rsid w:val="00A56632"/>
    <w:rsid w:val="00A56FFC"/>
    <w:rsid w:val="00A57BED"/>
    <w:rsid w:val="00A6090C"/>
    <w:rsid w:val="00A60FC9"/>
    <w:rsid w:val="00A617B2"/>
    <w:rsid w:val="00A61A94"/>
    <w:rsid w:val="00A62997"/>
    <w:rsid w:val="00A62EF3"/>
    <w:rsid w:val="00A62F2E"/>
    <w:rsid w:val="00A6314F"/>
    <w:rsid w:val="00A6345F"/>
    <w:rsid w:val="00A63939"/>
    <w:rsid w:val="00A63994"/>
    <w:rsid w:val="00A6546C"/>
    <w:rsid w:val="00A65E2C"/>
    <w:rsid w:val="00A66088"/>
    <w:rsid w:val="00A66397"/>
    <w:rsid w:val="00A669DB"/>
    <w:rsid w:val="00A66B59"/>
    <w:rsid w:val="00A66F2D"/>
    <w:rsid w:val="00A67347"/>
    <w:rsid w:val="00A6741C"/>
    <w:rsid w:val="00A67554"/>
    <w:rsid w:val="00A6758C"/>
    <w:rsid w:val="00A676F9"/>
    <w:rsid w:val="00A70DC7"/>
    <w:rsid w:val="00A7218D"/>
    <w:rsid w:val="00A72A4E"/>
    <w:rsid w:val="00A72EDD"/>
    <w:rsid w:val="00A7342B"/>
    <w:rsid w:val="00A741B7"/>
    <w:rsid w:val="00A74205"/>
    <w:rsid w:val="00A74316"/>
    <w:rsid w:val="00A7540C"/>
    <w:rsid w:val="00A75ACE"/>
    <w:rsid w:val="00A7777D"/>
    <w:rsid w:val="00A77A5E"/>
    <w:rsid w:val="00A77F7A"/>
    <w:rsid w:val="00A80C67"/>
    <w:rsid w:val="00A81139"/>
    <w:rsid w:val="00A820C1"/>
    <w:rsid w:val="00A825F5"/>
    <w:rsid w:val="00A82770"/>
    <w:rsid w:val="00A82E94"/>
    <w:rsid w:val="00A835AD"/>
    <w:rsid w:val="00A83F6A"/>
    <w:rsid w:val="00A85940"/>
    <w:rsid w:val="00A87656"/>
    <w:rsid w:val="00A8779D"/>
    <w:rsid w:val="00A8797E"/>
    <w:rsid w:val="00A90049"/>
    <w:rsid w:val="00A90269"/>
    <w:rsid w:val="00A9070A"/>
    <w:rsid w:val="00A90808"/>
    <w:rsid w:val="00A9138E"/>
    <w:rsid w:val="00A91512"/>
    <w:rsid w:val="00A9164B"/>
    <w:rsid w:val="00A91664"/>
    <w:rsid w:val="00A918A7"/>
    <w:rsid w:val="00A91D4D"/>
    <w:rsid w:val="00A91DB5"/>
    <w:rsid w:val="00A922A4"/>
    <w:rsid w:val="00A922C6"/>
    <w:rsid w:val="00A927C2"/>
    <w:rsid w:val="00A92962"/>
    <w:rsid w:val="00A9298D"/>
    <w:rsid w:val="00A92F32"/>
    <w:rsid w:val="00A93725"/>
    <w:rsid w:val="00A937E7"/>
    <w:rsid w:val="00A945D1"/>
    <w:rsid w:val="00A94874"/>
    <w:rsid w:val="00A94B7F"/>
    <w:rsid w:val="00A94BE7"/>
    <w:rsid w:val="00A95869"/>
    <w:rsid w:val="00A96263"/>
    <w:rsid w:val="00A964EF"/>
    <w:rsid w:val="00A96BB5"/>
    <w:rsid w:val="00A96FE2"/>
    <w:rsid w:val="00A97303"/>
    <w:rsid w:val="00A978E0"/>
    <w:rsid w:val="00A97E93"/>
    <w:rsid w:val="00AA031A"/>
    <w:rsid w:val="00AA0758"/>
    <w:rsid w:val="00AA12EC"/>
    <w:rsid w:val="00AA1535"/>
    <w:rsid w:val="00AA1B61"/>
    <w:rsid w:val="00AA21E6"/>
    <w:rsid w:val="00AA22B1"/>
    <w:rsid w:val="00AA2925"/>
    <w:rsid w:val="00AA2D7D"/>
    <w:rsid w:val="00AA30B5"/>
    <w:rsid w:val="00AA3389"/>
    <w:rsid w:val="00AA3531"/>
    <w:rsid w:val="00AA445C"/>
    <w:rsid w:val="00AA4B1F"/>
    <w:rsid w:val="00AA55EF"/>
    <w:rsid w:val="00AA566E"/>
    <w:rsid w:val="00AA5FB8"/>
    <w:rsid w:val="00AA6138"/>
    <w:rsid w:val="00AA6BBF"/>
    <w:rsid w:val="00AA705F"/>
    <w:rsid w:val="00AA7D6F"/>
    <w:rsid w:val="00AB0931"/>
    <w:rsid w:val="00AB1A49"/>
    <w:rsid w:val="00AB294E"/>
    <w:rsid w:val="00AB335F"/>
    <w:rsid w:val="00AB3531"/>
    <w:rsid w:val="00AB388B"/>
    <w:rsid w:val="00AB42FF"/>
    <w:rsid w:val="00AB4A1E"/>
    <w:rsid w:val="00AB4A6D"/>
    <w:rsid w:val="00AB5345"/>
    <w:rsid w:val="00AB59B6"/>
    <w:rsid w:val="00AC01D6"/>
    <w:rsid w:val="00AC0536"/>
    <w:rsid w:val="00AC09B3"/>
    <w:rsid w:val="00AC151D"/>
    <w:rsid w:val="00AC18A1"/>
    <w:rsid w:val="00AC23D0"/>
    <w:rsid w:val="00AC24A0"/>
    <w:rsid w:val="00AC2BCA"/>
    <w:rsid w:val="00AC2CDC"/>
    <w:rsid w:val="00AC32E3"/>
    <w:rsid w:val="00AC3822"/>
    <w:rsid w:val="00AC3E31"/>
    <w:rsid w:val="00AC4480"/>
    <w:rsid w:val="00AC44CF"/>
    <w:rsid w:val="00AC507B"/>
    <w:rsid w:val="00AC546D"/>
    <w:rsid w:val="00AC5632"/>
    <w:rsid w:val="00AC61C5"/>
    <w:rsid w:val="00AC7E0F"/>
    <w:rsid w:val="00AD0612"/>
    <w:rsid w:val="00AD2C8B"/>
    <w:rsid w:val="00AD2E8D"/>
    <w:rsid w:val="00AD3427"/>
    <w:rsid w:val="00AD39DC"/>
    <w:rsid w:val="00AD42B7"/>
    <w:rsid w:val="00AD4388"/>
    <w:rsid w:val="00AD4FF3"/>
    <w:rsid w:val="00AD5936"/>
    <w:rsid w:val="00AD643D"/>
    <w:rsid w:val="00AD6CC9"/>
    <w:rsid w:val="00AD7805"/>
    <w:rsid w:val="00AD7C24"/>
    <w:rsid w:val="00AD7DC3"/>
    <w:rsid w:val="00AE0520"/>
    <w:rsid w:val="00AE06E8"/>
    <w:rsid w:val="00AE076E"/>
    <w:rsid w:val="00AE2122"/>
    <w:rsid w:val="00AE22F5"/>
    <w:rsid w:val="00AE4711"/>
    <w:rsid w:val="00AE544E"/>
    <w:rsid w:val="00AE5657"/>
    <w:rsid w:val="00AE7BBF"/>
    <w:rsid w:val="00AF0255"/>
    <w:rsid w:val="00AF0745"/>
    <w:rsid w:val="00AF09C2"/>
    <w:rsid w:val="00AF0B9B"/>
    <w:rsid w:val="00AF0C1D"/>
    <w:rsid w:val="00AF1612"/>
    <w:rsid w:val="00AF20DD"/>
    <w:rsid w:val="00AF26BA"/>
    <w:rsid w:val="00AF29B7"/>
    <w:rsid w:val="00AF2E99"/>
    <w:rsid w:val="00AF3008"/>
    <w:rsid w:val="00AF3BA1"/>
    <w:rsid w:val="00AF3CDE"/>
    <w:rsid w:val="00AF4BDA"/>
    <w:rsid w:val="00AF4D4D"/>
    <w:rsid w:val="00AF4E0B"/>
    <w:rsid w:val="00AF511E"/>
    <w:rsid w:val="00AF57E1"/>
    <w:rsid w:val="00AF59E9"/>
    <w:rsid w:val="00AF5B67"/>
    <w:rsid w:val="00AF6285"/>
    <w:rsid w:val="00AF70F1"/>
    <w:rsid w:val="00AF7115"/>
    <w:rsid w:val="00AF758F"/>
    <w:rsid w:val="00AF75C3"/>
    <w:rsid w:val="00AF7630"/>
    <w:rsid w:val="00AF7CC4"/>
    <w:rsid w:val="00AF7E6C"/>
    <w:rsid w:val="00B001B7"/>
    <w:rsid w:val="00B00C71"/>
    <w:rsid w:val="00B03345"/>
    <w:rsid w:val="00B0350A"/>
    <w:rsid w:val="00B03D1E"/>
    <w:rsid w:val="00B0416D"/>
    <w:rsid w:val="00B04424"/>
    <w:rsid w:val="00B04824"/>
    <w:rsid w:val="00B04891"/>
    <w:rsid w:val="00B051C1"/>
    <w:rsid w:val="00B05B71"/>
    <w:rsid w:val="00B06936"/>
    <w:rsid w:val="00B07483"/>
    <w:rsid w:val="00B07E32"/>
    <w:rsid w:val="00B100F6"/>
    <w:rsid w:val="00B104B8"/>
    <w:rsid w:val="00B1061B"/>
    <w:rsid w:val="00B111C1"/>
    <w:rsid w:val="00B11CE6"/>
    <w:rsid w:val="00B12224"/>
    <w:rsid w:val="00B12FA0"/>
    <w:rsid w:val="00B1335B"/>
    <w:rsid w:val="00B1339D"/>
    <w:rsid w:val="00B1350E"/>
    <w:rsid w:val="00B14180"/>
    <w:rsid w:val="00B14885"/>
    <w:rsid w:val="00B14A73"/>
    <w:rsid w:val="00B14EBC"/>
    <w:rsid w:val="00B1541D"/>
    <w:rsid w:val="00B1545A"/>
    <w:rsid w:val="00B15985"/>
    <w:rsid w:val="00B15BA6"/>
    <w:rsid w:val="00B1622E"/>
    <w:rsid w:val="00B176C9"/>
    <w:rsid w:val="00B17DF0"/>
    <w:rsid w:val="00B20420"/>
    <w:rsid w:val="00B214FB"/>
    <w:rsid w:val="00B21D0D"/>
    <w:rsid w:val="00B22640"/>
    <w:rsid w:val="00B226CF"/>
    <w:rsid w:val="00B2277E"/>
    <w:rsid w:val="00B23F85"/>
    <w:rsid w:val="00B2436D"/>
    <w:rsid w:val="00B24523"/>
    <w:rsid w:val="00B24799"/>
    <w:rsid w:val="00B24A51"/>
    <w:rsid w:val="00B24A7A"/>
    <w:rsid w:val="00B25060"/>
    <w:rsid w:val="00B25285"/>
    <w:rsid w:val="00B2570F"/>
    <w:rsid w:val="00B25B3E"/>
    <w:rsid w:val="00B26005"/>
    <w:rsid w:val="00B262D2"/>
    <w:rsid w:val="00B2677A"/>
    <w:rsid w:val="00B269B9"/>
    <w:rsid w:val="00B26E5F"/>
    <w:rsid w:val="00B274D2"/>
    <w:rsid w:val="00B27741"/>
    <w:rsid w:val="00B279A6"/>
    <w:rsid w:val="00B27B4E"/>
    <w:rsid w:val="00B30435"/>
    <w:rsid w:val="00B30607"/>
    <w:rsid w:val="00B30F29"/>
    <w:rsid w:val="00B31109"/>
    <w:rsid w:val="00B3113F"/>
    <w:rsid w:val="00B3146C"/>
    <w:rsid w:val="00B3271F"/>
    <w:rsid w:val="00B33A4A"/>
    <w:rsid w:val="00B34102"/>
    <w:rsid w:val="00B34466"/>
    <w:rsid w:val="00B344D9"/>
    <w:rsid w:val="00B34696"/>
    <w:rsid w:val="00B3504A"/>
    <w:rsid w:val="00B35F04"/>
    <w:rsid w:val="00B367D7"/>
    <w:rsid w:val="00B367E7"/>
    <w:rsid w:val="00B36C97"/>
    <w:rsid w:val="00B36CDB"/>
    <w:rsid w:val="00B37055"/>
    <w:rsid w:val="00B3724A"/>
    <w:rsid w:val="00B375F3"/>
    <w:rsid w:val="00B37AA6"/>
    <w:rsid w:val="00B37C4D"/>
    <w:rsid w:val="00B40D59"/>
    <w:rsid w:val="00B40DF8"/>
    <w:rsid w:val="00B412A5"/>
    <w:rsid w:val="00B416E2"/>
    <w:rsid w:val="00B4195B"/>
    <w:rsid w:val="00B42CB3"/>
    <w:rsid w:val="00B4397F"/>
    <w:rsid w:val="00B43B8F"/>
    <w:rsid w:val="00B45977"/>
    <w:rsid w:val="00B4614D"/>
    <w:rsid w:val="00B46A0E"/>
    <w:rsid w:val="00B46E94"/>
    <w:rsid w:val="00B470FA"/>
    <w:rsid w:val="00B478D4"/>
    <w:rsid w:val="00B47D55"/>
    <w:rsid w:val="00B50A49"/>
    <w:rsid w:val="00B50C31"/>
    <w:rsid w:val="00B50CC2"/>
    <w:rsid w:val="00B50F73"/>
    <w:rsid w:val="00B511D1"/>
    <w:rsid w:val="00B51FA2"/>
    <w:rsid w:val="00B524EA"/>
    <w:rsid w:val="00B52851"/>
    <w:rsid w:val="00B52B68"/>
    <w:rsid w:val="00B52E73"/>
    <w:rsid w:val="00B52F37"/>
    <w:rsid w:val="00B53F42"/>
    <w:rsid w:val="00B53F92"/>
    <w:rsid w:val="00B541A7"/>
    <w:rsid w:val="00B54CE9"/>
    <w:rsid w:val="00B551E3"/>
    <w:rsid w:val="00B5659D"/>
    <w:rsid w:val="00B56736"/>
    <w:rsid w:val="00B568FC"/>
    <w:rsid w:val="00B56C14"/>
    <w:rsid w:val="00B56E19"/>
    <w:rsid w:val="00B57AC9"/>
    <w:rsid w:val="00B6012D"/>
    <w:rsid w:val="00B60E14"/>
    <w:rsid w:val="00B61224"/>
    <w:rsid w:val="00B61230"/>
    <w:rsid w:val="00B6147C"/>
    <w:rsid w:val="00B6148B"/>
    <w:rsid w:val="00B627D8"/>
    <w:rsid w:val="00B62FCD"/>
    <w:rsid w:val="00B635DA"/>
    <w:rsid w:val="00B635FD"/>
    <w:rsid w:val="00B63CFE"/>
    <w:rsid w:val="00B649EF"/>
    <w:rsid w:val="00B6515D"/>
    <w:rsid w:val="00B6596F"/>
    <w:rsid w:val="00B65BBB"/>
    <w:rsid w:val="00B663E6"/>
    <w:rsid w:val="00B66AB5"/>
    <w:rsid w:val="00B66BE0"/>
    <w:rsid w:val="00B670EF"/>
    <w:rsid w:val="00B671B0"/>
    <w:rsid w:val="00B67B4A"/>
    <w:rsid w:val="00B67D67"/>
    <w:rsid w:val="00B67EDD"/>
    <w:rsid w:val="00B70907"/>
    <w:rsid w:val="00B70B18"/>
    <w:rsid w:val="00B7122C"/>
    <w:rsid w:val="00B71381"/>
    <w:rsid w:val="00B71BF1"/>
    <w:rsid w:val="00B71E5D"/>
    <w:rsid w:val="00B73483"/>
    <w:rsid w:val="00B742E8"/>
    <w:rsid w:val="00B74A6B"/>
    <w:rsid w:val="00B7519E"/>
    <w:rsid w:val="00B75280"/>
    <w:rsid w:val="00B75357"/>
    <w:rsid w:val="00B75372"/>
    <w:rsid w:val="00B7609F"/>
    <w:rsid w:val="00B76731"/>
    <w:rsid w:val="00B76FAA"/>
    <w:rsid w:val="00B76FD8"/>
    <w:rsid w:val="00B77288"/>
    <w:rsid w:val="00B777DF"/>
    <w:rsid w:val="00B806D7"/>
    <w:rsid w:val="00B8160B"/>
    <w:rsid w:val="00B8180F"/>
    <w:rsid w:val="00B81CDE"/>
    <w:rsid w:val="00B82361"/>
    <w:rsid w:val="00B82622"/>
    <w:rsid w:val="00B82A86"/>
    <w:rsid w:val="00B83FCC"/>
    <w:rsid w:val="00B84075"/>
    <w:rsid w:val="00B840A1"/>
    <w:rsid w:val="00B8414D"/>
    <w:rsid w:val="00B84EAF"/>
    <w:rsid w:val="00B8570C"/>
    <w:rsid w:val="00B85D8F"/>
    <w:rsid w:val="00B85E14"/>
    <w:rsid w:val="00B85FC7"/>
    <w:rsid w:val="00B86DC4"/>
    <w:rsid w:val="00B87D14"/>
    <w:rsid w:val="00B90376"/>
    <w:rsid w:val="00B908FA"/>
    <w:rsid w:val="00B90AAB"/>
    <w:rsid w:val="00B91136"/>
    <w:rsid w:val="00B915B6"/>
    <w:rsid w:val="00B919DD"/>
    <w:rsid w:val="00B91BE8"/>
    <w:rsid w:val="00B92389"/>
    <w:rsid w:val="00B92F0E"/>
    <w:rsid w:val="00B9301D"/>
    <w:rsid w:val="00B9386B"/>
    <w:rsid w:val="00B93958"/>
    <w:rsid w:val="00B94DCC"/>
    <w:rsid w:val="00B95370"/>
    <w:rsid w:val="00B96055"/>
    <w:rsid w:val="00B973D0"/>
    <w:rsid w:val="00B97507"/>
    <w:rsid w:val="00B97DC3"/>
    <w:rsid w:val="00BA0541"/>
    <w:rsid w:val="00BA0572"/>
    <w:rsid w:val="00BA08C3"/>
    <w:rsid w:val="00BA0A7C"/>
    <w:rsid w:val="00BA25FB"/>
    <w:rsid w:val="00BA2794"/>
    <w:rsid w:val="00BA2A3F"/>
    <w:rsid w:val="00BA2AF0"/>
    <w:rsid w:val="00BA4609"/>
    <w:rsid w:val="00BA496D"/>
    <w:rsid w:val="00BA5643"/>
    <w:rsid w:val="00BA5F04"/>
    <w:rsid w:val="00BA63FA"/>
    <w:rsid w:val="00BA67A7"/>
    <w:rsid w:val="00BA6E52"/>
    <w:rsid w:val="00BA7D3B"/>
    <w:rsid w:val="00BA7FCB"/>
    <w:rsid w:val="00BB0D13"/>
    <w:rsid w:val="00BB1111"/>
    <w:rsid w:val="00BB1526"/>
    <w:rsid w:val="00BB19A6"/>
    <w:rsid w:val="00BB1CE6"/>
    <w:rsid w:val="00BB1D4A"/>
    <w:rsid w:val="00BB200F"/>
    <w:rsid w:val="00BB2169"/>
    <w:rsid w:val="00BB3518"/>
    <w:rsid w:val="00BB36B9"/>
    <w:rsid w:val="00BB3AB8"/>
    <w:rsid w:val="00BB3C2A"/>
    <w:rsid w:val="00BB4B78"/>
    <w:rsid w:val="00BB4B8C"/>
    <w:rsid w:val="00BB520A"/>
    <w:rsid w:val="00BB5524"/>
    <w:rsid w:val="00BB5530"/>
    <w:rsid w:val="00BB5C83"/>
    <w:rsid w:val="00BB6100"/>
    <w:rsid w:val="00BB6421"/>
    <w:rsid w:val="00BB66A1"/>
    <w:rsid w:val="00BB6E05"/>
    <w:rsid w:val="00BB74A7"/>
    <w:rsid w:val="00BB7526"/>
    <w:rsid w:val="00BB7689"/>
    <w:rsid w:val="00BB78D8"/>
    <w:rsid w:val="00BB7A68"/>
    <w:rsid w:val="00BC2D35"/>
    <w:rsid w:val="00BC2D74"/>
    <w:rsid w:val="00BC31D5"/>
    <w:rsid w:val="00BC3313"/>
    <w:rsid w:val="00BC336B"/>
    <w:rsid w:val="00BC338F"/>
    <w:rsid w:val="00BC33A5"/>
    <w:rsid w:val="00BC3B43"/>
    <w:rsid w:val="00BC50E4"/>
    <w:rsid w:val="00BC5432"/>
    <w:rsid w:val="00BC56B0"/>
    <w:rsid w:val="00BC5A90"/>
    <w:rsid w:val="00BC5D4B"/>
    <w:rsid w:val="00BC6536"/>
    <w:rsid w:val="00BC6651"/>
    <w:rsid w:val="00BC6D6A"/>
    <w:rsid w:val="00BC774A"/>
    <w:rsid w:val="00BC7867"/>
    <w:rsid w:val="00BC7B1A"/>
    <w:rsid w:val="00BC7B3A"/>
    <w:rsid w:val="00BD0909"/>
    <w:rsid w:val="00BD0B2C"/>
    <w:rsid w:val="00BD1202"/>
    <w:rsid w:val="00BD171D"/>
    <w:rsid w:val="00BD1CAC"/>
    <w:rsid w:val="00BD203B"/>
    <w:rsid w:val="00BD274E"/>
    <w:rsid w:val="00BD2A65"/>
    <w:rsid w:val="00BD3A9B"/>
    <w:rsid w:val="00BD3D49"/>
    <w:rsid w:val="00BD48D7"/>
    <w:rsid w:val="00BD4A48"/>
    <w:rsid w:val="00BD53F9"/>
    <w:rsid w:val="00BD57F5"/>
    <w:rsid w:val="00BD586D"/>
    <w:rsid w:val="00BD620D"/>
    <w:rsid w:val="00BD6A32"/>
    <w:rsid w:val="00BD6C1E"/>
    <w:rsid w:val="00BD6E80"/>
    <w:rsid w:val="00BD7723"/>
    <w:rsid w:val="00BD7B46"/>
    <w:rsid w:val="00BE0023"/>
    <w:rsid w:val="00BE0172"/>
    <w:rsid w:val="00BE02C6"/>
    <w:rsid w:val="00BE09E5"/>
    <w:rsid w:val="00BE0E43"/>
    <w:rsid w:val="00BE0F34"/>
    <w:rsid w:val="00BE1F26"/>
    <w:rsid w:val="00BE23FE"/>
    <w:rsid w:val="00BE4281"/>
    <w:rsid w:val="00BE48A4"/>
    <w:rsid w:val="00BE56F0"/>
    <w:rsid w:val="00BE5D73"/>
    <w:rsid w:val="00BE60F5"/>
    <w:rsid w:val="00BE6BEF"/>
    <w:rsid w:val="00BE7CAF"/>
    <w:rsid w:val="00BE7D29"/>
    <w:rsid w:val="00BF002F"/>
    <w:rsid w:val="00BF0343"/>
    <w:rsid w:val="00BF063A"/>
    <w:rsid w:val="00BF06C2"/>
    <w:rsid w:val="00BF109C"/>
    <w:rsid w:val="00BF168B"/>
    <w:rsid w:val="00BF234E"/>
    <w:rsid w:val="00BF23B9"/>
    <w:rsid w:val="00BF2A1D"/>
    <w:rsid w:val="00BF34E9"/>
    <w:rsid w:val="00BF4FC6"/>
    <w:rsid w:val="00BF5C1D"/>
    <w:rsid w:val="00BF5FB2"/>
    <w:rsid w:val="00BF6268"/>
    <w:rsid w:val="00BF6839"/>
    <w:rsid w:val="00BF76C7"/>
    <w:rsid w:val="00BF7767"/>
    <w:rsid w:val="00BF7951"/>
    <w:rsid w:val="00BF7E1D"/>
    <w:rsid w:val="00C00EAF"/>
    <w:rsid w:val="00C02407"/>
    <w:rsid w:val="00C026A0"/>
    <w:rsid w:val="00C02B0D"/>
    <w:rsid w:val="00C02B80"/>
    <w:rsid w:val="00C03903"/>
    <w:rsid w:val="00C03A6F"/>
    <w:rsid w:val="00C03D00"/>
    <w:rsid w:val="00C04DFA"/>
    <w:rsid w:val="00C04FB1"/>
    <w:rsid w:val="00C05144"/>
    <w:rsid w:val="00C05A15"/>
    <w:rsid w:val="00C05B61"/>
    <w:rsid w:val="00C05BFE"/>
    <w:rsid w:val="00C05CCE"/>
    <w:rsid w:val="00C06305"/>
    <w:rsid w:val="00C0642E"/>
    <w:rsid w:val="00C066FB"/>
    <w:rsid w:val="00C06EFE"/>
    <w:rsid w:val="00C0721A"/>
    <w:rsid w:val="00C112A2"/>
    <w:rsid w:val="00C115BC"/>
    <w:rsid w:val="00C11AB3"/>
    <w:rsid w:val="00C11B49"/>
    <w:rsid w:val="00C11B80"/>
    <w:rsid w:val="00C11E8C"/>
    <w:rsid w:val="00C122B2"/>
    <w:rsid w:val="00C12D35"/>
    <w:rsid w:val="00C12EE9"/>
    <w:rsid w:val="00C14336"/>
    <w:rsid w:val="00C14904"/>
    <w:rsid w:val="00C14EAF"/>
    <w:rsid w:val="00C15071"/>
    <w:rsid w:val="00C1514C"/>
    <w:rsid w:val="00C15E7E"/>
    <w:rsid w:val="00C17601"/>
    <w:rsid w:val="00C1773F"/>
    <w:rsid w:val="00C208EE"/>
    <w:rsid w:val="00C20920"/>
    <w:rsid w:val="00C20A3C"/>
    <w:rsid w:val="00C20B10"/>
    <w:rsid w:val="00C20FA7"/>
    <w:rsid w:val="00C21071"/>
    <w:rsid w:val="00C211B8"/>
    <w:rsid w:val="00C21741"/>
    <w:rsid w:val="00C22512"/>
    <w:rsid w:val="00C22730"/>
    <w:rsid w:val="00C230C6"/>
    <w:rsid w:val="00C23461"/>
    <w:rsid w:val="00C2436D"/>
    <w:rsid w:val="00C243DF"/>
    <w:rsid w:val="00C251F8"/>
    <w:rsid w:val="00C252AC"/>
    <w:rsid w:val="00C267D9"/>
    <w:rsid w:val="00C269CD"/>
    <w:rsid w:val="00C27422"/>
    <w:rsid w:val="00C3050E"/>
    <w:rsid w:val="00C3202D"/>
    <w:rsid w:val="00C32084"/>
    <w:rsid w:val="00C320F1"/>
    <w:rsid w:val="00C32F7A"/>
    <w:rsid w:val="00C3301B"/>
    <w:rsid w:val="00C33207"/>
    <w:rsid w:val="00C3401A"/>
    <w:rsid w:val="00C34252"/>
    <w:rsid w:val="00C34A71"/>
    <w:rsid w:val="00C35006"/>
    <w:rsid w:val="00C3637D"/>
    <w:rsid w:val="00C372D4"/>
    <w:rsid w:val="00C378BA"/>
    <w:rsid w:val="00C37B66"/>
    <w:rsid w:val="00C4000C"/>
    <w:rsid w:val="00C404FE"/>
    <w:rsid w:val="00C41108"/>
    <w:rsid w:val="00C413DA"/>
    <w:rsid w:val="00C41A83"/>
    <w:rsid w:val="00C41DEA"/>
    <w:rsid w:val="00C42C3F"/>
    <w:rsid w:val="00C43654"/>
    <w:rsid w:val="00C43DF9"/>
    <w:rsid w:val="00C43F39"/>
    <w:rsid w:val="00C4459C"/>
    <w:rsid w:val="00C45DE6"/>
    <w:rsid w:val="00C45E5C"/>
    <w:rsid w:val="00C46074"/>
    <w:rsid w:val="00C469BC"/>
    <w:rsid w:val="00C47620"/>
    <w:rsid w:val="00C4782C"/>
    <w:rsid w:val="00C50212"/>
    <w:rsid w:val="00C50371"/>
    <w:rsid w:val="00C5066E"/>
    <w:rsid w:val="00C51802"/>
    <w:rsid w:val="00C518AA"/>
    <w:rsid w:val="00C51A57"/>
    <w:rsid w:val="00C51ADA"/>
    <w:rsid w:val="00C52FA5"/>
    <w:rsid w:val="00C531BC"/>
    <w:rsid w:val="00C53790"/>
    <w:rsid w:val="00C54E7F"/>
    <w:rsid w:val="00C54FCE"/>
    <w:rsid w:val="00C5528C"/>
    <w:rsid w:val="00C55910"/>
    <w:rsid w:val="00C559F9"/>
    <w:rsid w:val="00C55ECF"/>
    <w:rsid w:val="00C56E6A"/>
    <w:rsid w:val="00C56FC5"/>
    <w:rsid w:val="00C572A6"/>
    <w:rsid w:val="00C57E82"/>
    <w:rsid w:val="00C616C3"/>
    <w:rsid w:val="00C61C70"/>
    <w:rsid w:val="00C61D53"/>
    <w:rsid w:val="00C62602"/>
    <w:rsid w:val="00C62AC5"/>
    <w:rsid w:val="00C62BAC"/>
    <w:rsid w:val="00C62FB4"/>
    <w:rsid w:val="00C63025"/>
    <w:rsid w:val="00C63458"/>
    <w:rsid w:val="00C63B3A"/>
    <w:rsid w:val="00C63B90"/>
    <w:rsid w:val="00C642D8"/>
    <w:rsid w:val="00C64544"/>
    <w:rsid w:val="00C6455C"/>
    <w:rsid w:val="00C64ED8"/>
    <w:rsid w:val="00C64EFA"/>
    <w:rsid w:val="00C654C2"/>
    <w:rsid w:val="00C655B6"/>
    <w:rsid w:val="00C657F0"/>
    <w:rsid w:val="00C66C14"/>
    <w:rsid w:val="00C700BC"/>
    <w:rsid w:val="00C706C6"/>
    <w:rsid w:val="00C708D8"/>
    <w:rsid w:val="00C70947"/>
    <w:rsid w:val="00C70FBF"/>
    <w:rsid w:val="00C7222F"/>
    <w:rsid w:val="00C72A8A"/>
    <w:rsid w:val="00C72E5E"/>
    <w:rsid w:val="00C7302F"/>
    <w:rsid w:val="00C73787"/>
    <w:rsid w:val="00C73A4F"/>
    <w:rsid w:val="00C752AA"/>
    <w:rsid w:val="00C752C6"/>
    <w:rsid w:val="00C75A54"/>
    <w:rsid w:val="00C75AF9"/>
    <w:rsid w:val="00C764E0"/>
    <w:rsid w:val="00C76B32"/>
    <w:rsid w:val="00C76B67"/>
    <w:rsid w:val="00C76EF7"/>
    <w:rsid w:val="00C77442"/>
    <w:rsid w:val="00C779C3"/>
    <w:rsid w:val="00C77D78"/>
    <w:rsid w:val="00C77F81"/>
    <w:rsid w:val="00C8074B"/>
    <w:rsid w:val="00C80763"/>
    <w:rsid w:val="00C80C07"/>
    <w:rsid w:val="00C811AA"/>
    <w:rsid w:val="00C81DD5"/>
    <w:rsid w:val="00C83069"/>
    <w:rsid w:val="00C8345F"/>
    <w:rsid w:val="00C8439F"/>
    <w:rsid w:val="00C8442F"/>
    <w:rsid w:val="00C84C1C"/>
    <w:rsid w:val="00C8505B"/>
    <w:rsid w:val="00C857C0"/>
    <w:rsid w:val="00C85939"/>
    <w:rsid w:val="00C85A0D"/>
    <w:rsid w:val="00C85BCE"/>
    <w:rsid w:val="00C85F2D"/>
    <w:rsid w:val="00C861C9"/>
    <w:rsid w:val="00C862CD"/>
    <w:rsid w:val="00C86DCC"/>
    <w:rsid w:val="00C87296"/>
    <w:rsid w:val="00C90283"/>
    <w:rsid w:val="00C90BE8"/>
    <w:rsid w:val="00C926B3"/>
    <w:rsid w:val="00C92AB9"/>
    <w:rsid w:val="00C933FB"/>
    <w:rsid w:val="00C93414"/>
    <w:rsid w:val="00C93B00"/>
    <w:rsid w:val="00C93B76"/>
    <w:rsid w:val="00C93FA2"/>
    <w:rsid w:val="00C94731"/>
    <w:rsid w:val="00C94D4C"/>
    <w:rsid w:val="00C94E74"/>
    <w:rsid w:val="00C94F74"/>
    <w:rsid w:val="00C95355"/>
    <w:rsid w:val="00C96CEE"/>
    <w:rsid w:val="00C97753"/>
    <w:rsid w:val="00C97E4C"/>
    <w:rsid w:val="00CA1211"/>
    <w:rsid w:val="00CA1AE9"/>
    <w:rsid w:val="00CA1D65"/>
    <w:rsid w:val="00CA22D3"/>
    <w:rsid w:val="00CA245F"/>
    <w:rsid w:val="00CA2E61"/>
    <w:rsid w:val="00CA3365"/>
    <w:rsid w:val="00CA3A3A"/>
    <w:rsid w:val="00CA3AD2"/>
    <w:rsid w:val="00CA3BAE"/>
    <w:rsid w:val="00CA5877"/>
    <w:rsid w:val="00CA6B0A"/>
    <w:rsid w:val="00CA74BB"/>
    <w:rsid w:val="00CA7654"/>
    <w:rsid w:val="00CA7916"/>
    <w:rsid w:val="00CA7E96"/>
    <w:rsid w:val="00CB010A"/>
    <w:rsid w:val="00CB0318"/>
    <w:rsid w:val="00CB03A6"/>
    <w:rsid w:val="00CB06A8"/>
    <w:rsid w:val="00CB08F5"/>
    <w:rsid w:val="00CB0F6F"/>
    <w:rsid w:val="00CB1B44"/>
    <w:rsid w:val="00CB2147"/>
    <w:rsid w:val="00CB222D"/>
    <w:rsid w:val="00CB2855"/>
    <w:rsid w:val="00CB299C"/>
    <w:rsid w:val="00CB4126"/>
    <w:rsid w:val="00CB4743"/>
    <w:rsid w:val="00CB52D2"/>
    <w:rsid w:val="00CB56FF"/>
    <w:rsid w:val="00CB5D79"/>
    <w:rsid w:val="00CB687D"/>
    <w:rsid w:val="00CB72EF"/>
    <w:rsid w:val="00CC0298"/>
    <w:rsid w:val="00CC0B39"/>
    <w:rsid w:val="00CC1F2C"/>
    <w:rsid w:val="00CC2014"/>
    <w:rsid w:val="00CC2B42"/>
    <w:rsid w:val="00CC2EF5"/>
    <w:rsid w:val="00CC37B4"/>
    <w:rsid w:val="00CC3834"/>
    <w:rsid w:val="00CC3EDA"/>
    <w:rsid w:val="00CC48C5"/>
    <w:rsid w:val="00CC5893"/>
    <w:rsid w:val="00CC59E5"/>
    <w:rsid w:val="00CC6110"/>
    <w:rsid w:val="00CC658A"/>
    <w:rsid w:val="00CC65E9"/>
    <w:rsid w:val="00CC6C6F"/>
    <w:rsid w:val="00CC6F2A"/>
    <w:rsid w:val="00CC6F46"/>
    <w:rsid w:val="00CC7AE1"/>
    <w:rsid w:val="00CC7F55"/>
    <w:rsid w:val="00CD0115"/>
    <w:rsid w:val="00CD028A"/>
    <w:rsid w:val="00CD04C0"/>
    <w:rsid w:val="00CD0620"/>
    <w:rsid w:val="00CD086E"/>
    <w:rsid w:val="00CD09A3"/>
    <w:rsid w:val="00CD0BF3"/>
    <w:rsid w:val="00CD0EB0"/>
    <w:rsid w:val="00CD16A2"/>
    <w:rsid w:val="00CD1DF4"/>
    <w:rsid w:val="00CD2896"/>
    <w:rsid w:val="00CD3EC7"/>
    <w:rsid w:val="00CD4349"/>
    <w:rsid w:val="00CD48E4"/>
    <w:rsid w:val="00CD4D04"/>
    <w:rsid w:val="00CD5201"/>
    <w:rsid w:val="00CD53F7"/>
    <w:rsid w:val="00CD5B70"/>
    <w:rsid w:val="00CD6150"/>
    <w:rsid w:val="00CD649F"/>
    <w:rsid w:val="00CD676C"/>
    <w:rsid w:val="00CD6CA8"/>
    <w:rsid w:val="00CD7305"/>
    <w:rsid w:val="00CE0DCE"/>
    <w:rsid w:val="00CE1360"/>
    <w:rsid w:val="00CE14D3"/>
    <w:rsid w:val="00CE14E7"/>
    <w:rsid w:val="00CE150B"/>
    <w:rsid w:val="00CE1566"/>
    <w:rsid w:val="00CE17D1"/>
    <w:rsid w:val="00CE2015"/>
    <w:rsid w:val="00CE2037"/>
    <w:rsid w:val="00CE28FC"/>
    <w:rsid w:val="00CE2E0C"/>
    <w:rsid w:val="00CE2E6C"/>
    <w:rsid w:val="00CE3327"/>
    <w:rsid w:val="00CE4146"/>
    <w:rsid w:val="00CE451F"/>
    <w:rsid w:val="00CE47B1"/>
    <w:rsid w:val="00CE4C01"/>
    <w:rsid w:val="00CE6459"/>
    <w:rsid w:val="00CE6688"/>
    <w:rsid w:val="00CE6A36"/>
    <w:rsid w:val="00CE6E6A"/>
    <w:rsid w:val="00CE737A"/>
    <w:rsid w:val="00CE761D"/>
    <w:rsid w:val="00CE7AFF"/>
    <w:rsid w:val="00CE7B6A"/>
    <w:rsid w:val="00CF0058"/>
    <w:rsid w:val="00CF0697"/>
    <w:rsid w:val="00CF0858"/>
    <w:rsid w:val="00CF08A2"/>
    <w:rsid w:val="00CF09F9"/>
    <w:rsid w:val="00CF1D5B"/>
    <w:rsid w:val="00CF2EBA"/>
    <w:rsid w:val="00CF31FA"/>
    <w:rsid w:val="00CF3F9E"/>
    <w:rsid w:val="00CF4587"/>
    <w:rsid w:val="00CF4D78"/>
    <w:rsid w:val="00CF554A"/>
    <w:rsid w:val="00CF56DF"/>
    <w:rsid w:val="00CF5883"/>
    <w:rsid w:val="00CF5C4C"/>
    <w:rsid w:val="00CF5DF9"/>
    <w:rsid w:val="00CF7258"/>
    <w:rsid w:val="00D0015A"/>
    <w:rsid w:val="00D034FA"/>
    <w:rsid w:val="00D03799"/>
    <w:rsid w:val="00D0388B"/>
    <w:rsid w:val="00D03C21"/>
    <w:rsid w:val="00D03E46"/>
    <w:rsid w:val="00D04042"/>
    <w:rsid w:val="00D0411D"/>
    <w:rsid w:val="00D047E2"/>
    <w:rsid w:val="00D049C7"/>
    <w:rsid w:val="00D04E61"/>
    <w:rsid w:val="00D05253"/>
    <w:rsid w:val="00D05363"/>
    <w:rsid w:val="00D05722"/>
    <w:rsid w:val="00D05CF4"/>
    <w:rsid w:val="00D06AAF"/>
    <w:rsid w:val="00D075B9"/>
    <w:rsid w:val="00D102CF"/>
    <w:rsid w:val="00D10572"/>
    <w:rsid w:val="00D10635"/>
    <w:rsid w:val="00D10EA1"/>
    <w:rsid w:val="00D11449"/>
    <w:rsid w:val="00D11665"/>
    <w:rsid w:val="00D1187D"/>
    <w:rsid w:val="00D127F9"/>
    <w:rsid w:val="00D128AF"/>
    <w:rsid w:val="00D12C92"/>
    <w:rsid w:val="00D135C5"/>
    <w:rsid w:val="00D13B50"/>
    <w:rsid w:val="00D1423C"/>
    <w:rsid w:val="00D1478A"/>
    <w:rsid w:val="00D14A2D"/>
    <w:rsid w:val="00D14EFF"/>
    <w:rsid w:val="00D152A1"/>
    <w:rsid w:val="00D15418"/>
    <w:rsid w:val="00D16852"/>
    <w:rsid w:val="00D169C1"/>
    <w:rsid w:val="00D17010"/>
    <w:rsid w:val="00D175DF"/>
    <w:rsid w:val="00D17690"/>
    <w:rsid w:val="00D17698"/>
    <w:rsid w:val="00D17F61"/>
    <w:rsid w:val="00D20AC1"/>
    <w:rsid w:val="00D20B9C"/>
    <w:rsid w:val="00D20C1C"/>
    <w:rsid w:val="00D21224"/>
    <w:rsid w:val="00D21410"/>
    <w:rsid w:val="00D21C0D"/>
    <w:rsid w:val="00D2254E"/>
    <w:rsid w:val="00D23026"/>
    <w:rsid w:val="00D2333F"/>
    <w:rsid w:val="00D233AE"/>
    <w:rsid w:val="00D23500"/>
    <w:rsid w:val="00D237F3"/>
    <w:rsid w:val="00D23AC5"/>
    <w:rsid w:val="00D24308"/>
    <w:rsid w:val="00D24847"/>
    <w:rsid w:val="00D24AD2"/>
    <w:rsid w:val="00D2560B"/>
    <w:rsid w:val="00D2591A"/>
    <w:rsid w:val="00D25EEC"/>
    <w:rsid w:val="00D26213"/>
    <w:rsid w:val="00D26318"/>
    <w:rsid w:val="00D27344"/>
    <w:rsid w:val="00D27608"/>
    <w:rsid w:val="00D305E8"/>
    <w:rsid w:val="00D30E98"/>
    <w:rsid w:val="00D313CF"/>
    <w:rsid w:val="00D32E35"/>
    <w:rsid w:val="00D33404"/>
    <w:rsid w:val="00D33E39"/>
    <w:rsid w:val="00D33F7A"/>
    <w:rsid w:val="00D343A1"/>
    <w:rsid w:val="00D34E85"/>
    <w:rsid w:val="00D35946"/>
    <w:rsid w:val="00D35988"/>
    <w:rsid w:val="00D36134"/>
    <w:rsid w:val="00D36BA3"/>
    <w:rsid w:val="00D3778E"/>
    <w:rsid w:val="00D37862"/>
    <w:rsid w:val="00D37B93"/>
    <w:rsid w:val="00D4028C"/>
    <w:rsid w:val="00D404FD"/>
    <w:rsid w:val="00D40D7D"/>
    <w:rsid w:val="00D41099"/>
    <w:rsid w:val="00D4191E"/>
    <w:rsid w:val="00D41930"/>
    <w:rsid w:val="00D41F62"/>
    <w:rsid w:val="00D424EA"/>
    <w:rsid w:val="00D430D7"/>
    <w:rsid w:val="00D4344C"/>
    <w:rsid w:val="00D434EF"/>
    <w:rsid w:val="00D436D8"/>
    <w:rsid w:val="00D43EBD"/>
    <w:rsid w:val="00D44748"/>
    <w:rsid w:val="00D44960"/>
    <w:rsid w:val="00D44ABC"/>
    <w:rsid w:val="00D456C7"/>
    <w:rsid w:val="00D45B6F"/>
    <w:rsid w:val="00D45ED6"/>
    <w:rsid w:val="00D46BDA"/>
    <w:rsid w:val="00D47231"/>
    <w:rsid w:val="00D476CF"/>
    <w:rsid w:val="00D500C1"/>
    <w:rsid w:val="00D5132E"/>
    <w:rsid w:val="00D51C99"/>
    <w:rsid w:val="00D51CC0"/>
    <w:rsid w:val="00D525B8"/>
    <w:rsid w:val="00D5295C"/>
    <w:rsid w:val="00D52C29"/>
    <w:rsid w:val="00D54259"/>
    <w:rsid w:val="00D546C6"/>
    <w:rsid w:val="00D55354"/>
    <w:rsid w:val="00D5538C"/>
    <w:rsid w:val="00D553BA"/>
    <w:rsid w:val="00D55EA8"/>
    <w:rsid w:val="00D5627F"/>
    <w:rsid w:val="00D56331"/>
    <w:rsid w:val="00D566A7"/>
    <w:rsid w:val="00D56AC2"/>
    <w:rsid w:val="00D56E19"/>
    <w:rsid w:val="00D57D4D"/>
    <w:rsid w:val="00D57DF3"/>
    <w:rsid w:val="00D57FDF"/>
    <w:rsid w:val="00D60556"/>
    <w:rsid w:val="00D611C2"/>
    <w:rsid w:val="00D62D6E"/>
    <w:rsid w:val="00D63123"/>
    <w:rsid w:val="00D63217"/>
    <w:rsid w:val="00D63494"/>
    <w:rsid w:val="00D64161"/>
    <w:rsid w:val="00D64631"/>
    <w:rsid w:val="00D64B5E"/>
    <w:rsid w:val="00D64E60"/>
    <w:rsid w:val="00D65921"/>
    <w:rsid w:val="00D66DE6"/>
    <w:rsid w:val="00D712B1"/>
    <w:rsid w:val="00D71592"/>
    <w:rsid w:val="00D718FF"/>
    <w:rsid w:val="00D72AB1"/>
    <w:rsid w:val="00D72B08"/>
    <w:rsid w:val="00D73438"/>
    <w:rsid w:val="00D7349C"/>
    <w:rsid w:val="00D758CA"/>
    <w:rsid w:val="00D759E3"/>
    <w:rsid w:val="00D75EF7"/>
    <w:rsid w:val="00D767DA"/>
    <w:rsid w:val="00D778F4"/>
    <w:rsid w:val="00D80886"/>
    <w:rsid w:val="00D80C7B"/>
    <w:rsid w:val="00D80DBE"/>
    <w:rsid w:val="00D80FB0"/>
    <w:rsid w:val="00D82570"/>
    <w:rsid w:val="00D826D7"/>
    <w:rsid w:val="00D82957"/>
    <w:rsid w:val="00D83264"/>
    <w:rsid w:val="00D83944"/>
    <w:rsid w:val="00D85D5A"/>
    <w:rsid w:val="00D864D3"/>
    <w:rsid w:val="00D87261"/>
    <w:rsid w:val="00D87D4C"/>
    <w:rsid w:val="00D905C7"/>
    <w:rsid w:val="00D907A5"/>
    <w:rsid w:val="00D90FCB"/>
    <w:rsid w:val="00D91713"/>
    <w:rsid w:val="00D928FD"/>
    <w:rsid w:val="00D92B75"/>
    <w:rsid w:val="00D92DC9"/>
    <w:rsid w:val="00D92E3A"/>
    <w:rsid w:val="00D93478"/>
    <w:rsid w:val="00D93595"/>
    <w:rsid w:val="00D94167"/>
    <w:rsid w:val="00D94630"/>
    <w:rsid w:val="00D949F8"/>
    <w:rsid w:val="00D95484"/>
    <w:rsid w:val="00D95E5F"/>
    <w:rsid w:val="00D9616A"/>
    <w:rsid w:val="00D96471"/>
    <w:rsid w:val="00D96C76"/>
    <w:rsid w:val="00D9712C"/>
    <w:rsid w:val="00DA04DB"/>
    <w:rsid w:val="00DA18A2"/>
    <w:rsid w:val="00DA1D48"/>
    <w:rsid w:val="00DA2089"/>
    <w:rsid w:val="00DA2B5F"/>
    <w:rsid w:val="00DA2C64"/>
    <w:rsid w:val="00DA2E5A"/>
    <w:rsid w:val="00DA3302"/>
    <w:rsid w:val="00DA3656"/>
    <w:rsid w:val="00DA3DC4"/>
    <w:rsid w:val="00DA65DE"/>
    <w:rsid w:val="00DA7920"/>
    <w:rsid w:val="00DA7BBF"/>
    <w:rsid w:val="00DA7C6E"/>
    <w:rsid w:val="00DB03AB"/>
    <w:rsid w:val="00DB0B22"/>
    <w:rsid w:val="00DB14A2"/>
    <w:rsid w:val="00DB237A"/>
    <w:rsid w:val="00DB247A"/>
    <w:rsid w:val="00DB41C6"/>
    <w:rsid w:val="00DB43C6"/>
    <w:rsid w:val="00DB4F26"/>
    <w:rsid w:val="00DB4FEB"/>
    <w:rsid w:val="00DB53A1"/>
    <w:rsid w:val="00DB53D2"/>
    <w:rsid w:val="00DB55AD"/>
    <w:rsid w:val="00DB5641"/>
    <w:rsid w:val="00DB5762"/>
    <w:rsid w:val="00DB6AB5"/>
    <w:rsid w:val="00DC068D"/>
    <w:rsid w:val="00DC0D4D"/>
    <w:rsid w:val="00DC137E"/>
    <w:rsid w:val="00DC1394"/>
    <w:rsid w:val="00DC18F8"/>
    <w:rsid w:val="00DC265D"/>
    <w:rsid w:val="00DC266D"/>
    <w:rsid w:val="00DC3813"/>
    <w:rsid w:val="00DC4DDD"/>
    <w:rsid w:val="00DC5032"/>
    <w:rsid w:val="00DC5138"/>
    <w:rsid w:val="00DC5167"/>
    <w:rsid w:val="00DC6355"/>
    <w:rsid w:val="00DC64D4"/>
    <w:rsid w:val="00DC687A"/>
    <w:rsid w:val="00DC7017"/>
    <w:rsid w:val="00DC72CA"/>
    <w:rsid w:val="00DC7C1C"/>
    <w:rsid w:val="00DD0490"/>
    <w:rsid w:val="00DD0516"/>
    <w:rsid w:val="00DD0944"/>
    <w:rsid w:val="00DD1249"/>
    <w:rsid w:val="00DD1BE2"/>
    <w:rsid w:val="00DD1F13"/>
    <w:rsid w:val="00DD2257"/>
    <w:rsid w:val="00DD2530"/>
    <w:rsid w:val="00DD254E"/>
    <w:rsid w:val="00DD2670"/>
    <w:rsid w:val="00DD2A10"/>
    <w:rsid w:val="00DD2AB9"/>
    <w:rsid w:val="00DD2C8A"/>
    <w:rsid w:val="00DD3C9E"/>
    <w:rsid w:val="00DD4138"/>
    <w:rsid w:val="00DD5681"/>
    <w:rsid w:val="00DD5CE1"/>
    <w:rsid w:val="00DD7359"/>
    <w:rsid w:val="00DD73E6"/>
    <w:rsid w:val="00DD75CA"/>
    <w:rsid w:val="00DD7BB4"/>
    <w:rsid w:val="00DE10E7"/>
    <w:rsid w:val="00DE14E4"/>
    <w:rsid w:val="00DE1882"/>
    <w:rsid w:val="00DE20F5"/>
    <w:rsid w:val="00DE26AB"/>
    <w:rsid w:val="00DE27D2"/>
    <w:rsid w:val="00DE2B37"/>
    <w:rsid w:val="00DE3A52"/>
    <w:rsid w:val="00DE3B91"/>
    <w:rsid w:val="00DE3F7E"/>
    <w:rsid w:val="00DE4168"/>
    <w:rsid w:val="00DE455B"/>
    <w:rsid w:val="00DE595B"/>
    <w:rsid w:val="00DE62E6"/>
    <w:rsid w:val="00DE6E1D"/>
    <w:rsid w:val="00DE73E1"/>
    <w:rsid w:val="00DE7915"/>
    <w:rsid w:val="00DE79D3"/>
    <w:rsid w:val="00DF0DDC"/>
    <w:rsid w:val="00DF137E"/>
    <w:rsid w:val="00DF1448"/>
    <w:rsid w:val="00DF2AEB"/>
    <w:rsid w:val="00DF2F8D"/>
    <w:rsid w:val="00DF363A"/>
    <w:rsid w:val="00DF3713"/>
    <w:rsid w:val="00DF3AE4"/>
    <w:rsid w:val="00DF3DE0"/>
    <w:rsid w:val="00DF46FF"/>
    <w:rsid w:val="00DF4B8A"/>
    <w:rsid w:val="00DF52D7"/>
    <w:rsid w:val="00DF57BF"/>
    <w:rsid w:val="00DF704D"/>
    <w:rsid w:val="00DF7137"/>
    <w:rsid w:val="00DF7A0C"/>
    <w:rsid w:val="00DF7F03"/>
    <w:rsid w:val="00E00C4C"/>
    <w:rsid w:val="00E00D96"/>
    <w:rsid w:val="00E01AF2"/>
    <w:rsid w:val="00E01E64"/>
    <w:rsid w:val="00E023DA"/>
    <w:rsid w:val="00E0271F"/>
    <w:rsid w:val="00E02A1A"/>
    <w:rsid w:val="00E0416C"/>
    <w:rsid w:val="00E04583"/>
    <w:rsid w:val="00E045CC"/>
    <w:rsid w:val="00E0509C"/>
    <w:rsid w:val="00E05971"/>
    <w:rsid w:val="00E05C5D"/>
    <w:rsid w:val="00E05E10"/>
    <w:rsid w:val="00E05FA4"/>
    <w:rsid w:val="00E06FE9"/>
    <w:rsid w:val="00E07AB3"/>
    <w:rsid w:val="00E07B92"/>
    <w:rsid w:val="00E102C3"/>
    <w:rsid w:val="00E10814"/>
    <w:rsid w:val="00E10951"/>
    <w:rsid w:val="00E10E3B"/>
    <w:rsid w:val="00E12549"/>
    <w:rsid w:val="00E12CB6"/>
    <w:rsid w:val="00E12EB0"/>
    <w:rsid w:val="00E13123"/>
    <w:rsid w:val="00E13D9D"/>
    <w:rsid w:val="00E14583"/>
    <w:rsid w:val="00E15920"/>
    <w:rsid w:val="00E15932"/>
    <w:rsid w:val="00E16176"/>
    <w:rsid w:val="00E16906"/>
    <w:rsid w:val="00E16A2F"/>
    <w:rsid w:val="00E16EB7"/>
    <w:rsid w:val="00E20792"/>
    <w:rsid w:val="00E20CC0"/>
    <w:rsid w:val="00E20D15"/>
    <w:rsid w:val="00E21311"/>
    <w:rsid w:val="00E21B48"/>
    <w:rsid w:val="00E224F4"/>
    <w:rsid w:val="00E225C6"/>
    <w:rsid w:val="00E228A7"/>
    <w:rsid w:val="00E22F10"/>
    <w:rsid w:val="00E23FF1"/>
    <w:rsid w:val="00E242A6"/>
    <w:rsid w:val="00E24322"/>
    <w:rsid w:val="00E2468E"/>
    <w:rsid w:val="00E247B6"/>
    <w:rsid w:val="00E251AE"/>
    <w:rsid w:val="00E271DD"/>
    <w:rsid w:val="00E2753F"/>
    <w:rsid w:val="00E2772A"/>
    <w:rsid w:val="00E302CB"/>
    <w:rsid w:val="00E3031A"/>
    <w:rsid w:val="00E3050F"/>
    <w:rsid w:val="00E305D6"/>
    <w:rsid w:val="00E306E0"/>
    <w:rsid w:val="00E30A16"/>
    <w:rsid w:val="00E30B74"/>
    <w:rsid w:val="00E323A6"/>
    <w:rsid w:val="00E32781"/>
    <w:rsid w:val="00E32F9D"/>
    <w:rsid w:val="00E3387D"/>
    <w:rsid w:val="00E33D95"/>
    <w:rsid w:val="00E33E75"/>
    <w:rsid w:val="00E3400A"/>
    <w:rsid w:val="00E34378"/>
    <w:rsid w:val="00E344DF"/>
    <w:rsid w:val="00E3481E"/>
    <w:rsid w:val="00E35484"/>
    <w:rsid w:val="00E372F3"/>
    <w:rsid w:val="00E37604"/>
    <w:rsid w:val="00E3761E"/>
    <w:rsid w:val="00E37C22"/>
    <w:rsid w:val="00E37FE3"/>
    <w:rsid w:val="00E4057D"/>
    <w:rsid w:val="00E405EC"/>
    <w:rsid w:val="00E40E18"/>
    <w:rsid w:val="00E40F27"/>
    <w:rsid w:val="00E41342"/>
    <w:rsid w:val="00E41758"/>
    <w:rsid w:val="00E41B54"/>
    <w:rsid w:val="00E420EC"/>
    <w:rsid w:val="00E42564"/>
    <w:rsid w:val="00E42576"/>
    <w:rsid w:val="00E425F2"/>
    <w:rsid w:val="00E42621"/>
    <w:rsid w:val="00E42825"/>
    <w:rsid w:val="00E42EB1"/>
    <w:rsid w:val="00E4315D"/>
    <w:rsid w:val="00E4352C"/>
    <w:rsid w:val="00E4513C"/>
    <w:rsid w:val="00E45C10"/>
    <w:rsid w:val="00E4662B"/>
    <w:rsid w:val="00E47007"/>
    <w:rsid w:val="00E5025C"/>
    <w:rsid w:val="00E50FD1"/>
    <w:rsid w:val="00E516AC"/>
    <w:rsid w:val="00E519D3"/>
    <w:rsid w:val="00E51C83"/>
    <w:rsid w:val="00E51D60"/>
    <w:rsid w:val="00E51FAE"/>
    <w:rsid w:val="00E52038"/>
    <w:rsid w:val="00E52196"/>
    <w:rsid w:val="00E52AA9"/>
    <w:rsid w:val="00E539A1"/>
    <w:rsid w:val="00E5472F"/>
    <w:rsid w:val="00E54C4A"/>
    <w:rsid w:val="00E54EC0"/>
    <w:rsid w:val="00E550C7"/>
    <w:rsid w:val="00E553DF"/>
    <w:rsid w:val="00E55569"/>
    <w:rsid w:val="00E5561A"/>
    <w:rsid w:val="00E564CB"/>
    <w:rsid w:val="00E57454"/>
    <w:rsid w:val="00E57808"/>
    <w:rsid w:val="00E57C64"/>
    <w:rsid w:val="00E600EA"/>
    <w:rsid w:val="00E60642"/>
    <w:rsid w:val="00E60BC2"/>
    <w:rsid w:val="00E610E8"/>
    <w:rsid w:val="00E616A6"/>
    <w:rsid w:val="00E61BC4"/>
    <w:rsid w:val="00E623E2"/>
    <w:rsid w:val="00E6272B"/>
    <w:rsid w:val="00E627D6"/>
    <w:rsid w:val="00E62CC4"/>
    <w:rsid w:val="00E6382B"/>
    <w:rsid w:val="00E639A0"/>
    <w:rsid w:val="00E6439D"/>
    <w:rsid w:val="00E64668"/>
    <w:rsid w:val="00E647BD"/>
    <w:rsid w:val="00E64E49"/>
    <w:rsid w:val="00E65335"/>
    <w:rsid w:val="00E65992"/>
    <w:rsid w:val="00E659F6"/>
    <w:rsid w:val="00E65A85"/>
    <w:rsid w:val="00E65D91"/>
    <w:rsid w:val="00E663C2"/>
    <w:rsid w:val="00E667FB"/>
    <w:rsid w:val="00E67175"/>
    <w:rsid w:val="00E70730"/>
    <w:rsid w:val="00E71293"/>
    <w:rsid w:val="00E71618"/>
    <w:rsid w:val="00E71C59"/>
    <w:rsid w:val="00E71C91"/>
    <w:rsid w:val="00E71D5B"/>
    <w:rsid w:val="00E722BF"/>
    <w:rsid w:val="00E7249E"/>
    <w:rsid w:val="00E7267E"/>
    <w:rsid w:val="00E72D4D"/>
    <w:rsid w:val="00E740E9"/>
    <w:rsid w:val="00E743D7"/>
    <w:rsid w:val="00E74B37"/>
    <w:rsid w:val="00E74C5A"/>
    <w:rsid w:val="00E7541E"/>
    <w:rsid w:val="00E7573A"/>
    <w:rsid w:val="00E75A89"/>
    <w:rsid w:val="00E75B40"/>
    <w:rsid w:val="00E75BA6"/>
    <w:rsid w:val="00E760B0"/>
    <w:rsid w:val="00E763C6"/>
    <w:rsid w:val="00E76B00"/>
    <w:rsid w:val="00E76BF0"/>
    <w:rsid w:val="00E77443"/>
    <w:rsid w:val="00E77931"/>
    <w:rsid w:val="00E8006F"/>
    <w:rsid w:val="00E81CA4"/>
    <w:rsid w:val="00E822A8"/>
    <w:rsid w:val="00E82EC3"/>
    <w:rsid w:val="00E82EF8"/>
    <w:rsid w:val="00E82F24"/>
    <w:rsid w:val="00E84516"/>
    <w:rsid w:val="00E84531"/>
    <w:rsid w:val="00E8476D"/>
    <w:rsid w:val="00E84B02"/>
    <w:rsid w:val="00E84F06"/>
    <w:rsid w:val="00E850DC"/>
    <w:rsid w:val="00E85ED1"/>
    <w:rsid w:val="00E8648A"/>
    <w:rsid w:val="00E86BF9"/>
    <w:rsid w:val="00E87026"/>
    <w:rsid w:val="00E87357"/>
    <w:rsid w:val="00E874A7"/>
    <w:rsid w:val="00E911A9"/>
    <w:rsid w:val="00E918E4"/>
    <w:rsid w:val="00E92551"/>
    <w:rsid w:val="00E92BFD"/>
    <w:rsid w:val="00E92F61"/>
    <w:rsid w:val="00E931EB"/>
    <w:rsid w:val="00E948CF"/>
    <w:rsid w:val="00E94B77"/>
    <w:rsid w:val="00E94C52"/>
    <w:rsid w:val="00E9516C"/>
    <w:rsid w:val="00E95480"/>
    <w:rsid w:val="00E95FFD"/>
    <w:rsid w:val="00E9766D"/>
    <w:rsid w:val="00E976B8"/>
    <w:rsid w:val="00E97EB2"/>
    <w:rsid w:val="00EA05F8"/>
    <w:rsid w:val="00EA181F"/>
    <w:rsid w:val="00EA20B1"/>
    <w:rsid w:val="00EA2565"/>
    <w:rsid w:val="00EA262C"/>
    <w:rsid w:val="00EA2698"/>
    <w:rsid w:val="00EA26D3"/>
    <w:rsid w:val="00EA3A4D"/>
    <w:rsid w:val="00EA3AC0"/>
    <w:rsid w:val="00EA3D1C"/>
    <w:rsid w:val="00EA4B1F"/>
    <w:rsid w:val="00EA558C"/>
    <w:rsid w:val="00EA6C74"/>
    <w:rsid w:val="00EA6F84"/>
    <w:rsid w:val="00EA757A"/>
    <w:rsid w:val="00EA7925"/>
    <w:rsid w:val="00EB00DC"/>
    <w:rsid w:val="00EB0224"/>
    <w:rsid w:val="00EB02F6"/>
    <w:rsid w:val="00EB0644"/>
    <w:rsid w:val="00EB0D78"/>
    <w:rsid w:val="00EB12B1"/>
    <w:rsid w:val="00EB185A"/>
    <w:rsid w:val="00EB1DF4"/>
    <w:rsid w:val="00EB2E35"/>
    <w:rsid w:val="00EB3847"/>
    <w:rsid w:val="00EB3DEE"/>
    <w:rsid w:val="00EB4301"/>
    <w:rsid w:val="00EB4BFC"/>
    <w:rsid w:val="00EB5C04"/>
    <w:rsid w:val="00EB5D4A"/>
    <w:rsid w:val="00EB605C"/>
    <w:rsid w:val="00EB61AF"/>
    <w:rsid w:val="00EB6300"/>
    <w:rsid w:val="00EB657E"/>
    <w:rsid w:val="00EB68BB"/>
    <w:rsid w:val="00EB693A"/>
    <w:rsid w:val="00EB71DC"/>
    <w:rsid w:val="00EB7742"/>
    <w:rsid w:val="00EB7EAD"/>
    <w:rsid w:val="00EC0512"/>
    <w:rsid w:val="00EC07C9"/>
    <w:rsid w:val="00EC1795"/>
    <w:rsid w:val="00EC1F9E"/>
    <w:rsid w:val="00EC279A"/>
    <w:rsid w:val="00EC2908"/>
    <w:rsid w:val="00EC2930"/>
    <w:rsid w:val="00EC2942"/>
    <w:rsid w:val="00EC2F93"/>
    <w:rsid w:val="00EC31C5"/>
    <w:rsid w:val="00EC3361"/>
    <w:rsid w:val="00EC341C"/>
    <w:rsid w:val="00EC498D"/>
    <w:rsid w:val="00EC53D4"/>
    <w:rsid w:val="00EC579B"/>
    <w:rsid w:val="00EC5AE0"/>
    <w:rsid w:val="00EC5CBF"/>
    <w:rsid w:val="00EC6944"/>
    <w:rsid w:val="00EC6C62"/>
    <w:rsid w:val="00EC7679"/>
    <w:rsid w:val="00ED0697"/>
    <w:rsid w:val="00ED0A12"/>
    <w:rsid w:val="00ED1332"/>
    <w:rsid w:val="00ED1E35"/>
    <w:rsid w:val="00ED2E86"/>
    <w:rsid w:val="00ED3CCB"/>
    <w:rsid w:val="00ED45E1"/>
    <w:rsid w:val="00ED4AE8"/>
    <w:rsid w:val="00ED56D7"/>
    <w:rsid w:val="00ED58C3"/>
    <w:rsid w:val="00ED73B9"/>
    <w:rsid w:val="00ED75E8"/>
    <w:rsid w:val="00ED79AF"/>
    <w:rsid w:val="00ED7B70"/>
    <w:rsid w:val="00ED7D02"/>
    <w:rsid w:val="00ED7D62"/>
    <w:rsid w:val="00EE0C2B"/>
    <w:rsid w:val="00EE12C0"/>
    <w:rsid w:val="00EE18C9"/>
    <w:rsid w:val="00EE21A3"/>
    <w:rsid w:val="00EE23B2"/>
    <w:rsid w:val="00EE25BF"/>
    <w:rsid w:val="00EE27B7"/>
    <w:rsid w:val="00EE284F"/>
    <w:rsid w:val="00EE2A31"/>
    <w:rsid w:val="00EE34FB"/>
    <w:rsid w:val="00EE354D"/>
    <w:rsid w:val="00EE49CA"/>
    <w:rsid w:val="00EE4CC1"/>
    <w:rsid w:val="00EE5527"/>
    <w:rsid w:val="00EE556C"/>
    <w:rsid w:val="00EE5913"/>
    <w:rsid w:val="00EE5E8A"/>
    <w:rsid w:val="00EE62B3"/>
    <w:rsid w:val="00EE6564"/>
    <w:rsid w:val="00EE7198"/>
    <w:rsid w:val="00EE726C"/>
    <w:rsid w:val="00EF0029"/>
    <w:rsid w:val="00EF12CB"/>
    <w:rsid w:val="00EF2D33"/>
    <w:rsid w:val="00EF3EA5"/>
    <w:rsid w:val="00EF3F52"/>
    <w:rsid w:val="00EF4996"/>
    <w:rsid w:val="00EF5145"/>
    <w:rsid w:val="00EF5C2C"/>
    <w:rsid w:val="00EF5CFD"/>
    <w:rsid w:val="00EF5DBA"/>
    <w:rsid w:val="00EF63CF"/>
    <w:rsid w:val="00EF70FD"/>
    <w:rsid w:val="00EF72D8"/>
    <w:rsid w:val="00EF75D0"/>
    <w:rsid w:val="00EF7887"/>
    <w:rsid w:val="00F00A9F"/>
    <w:rsid w:val="00F00AFC"/>
    <w:rsid w:val="00F01E51"/>
    <w:rsid w:val="00F028B8"/>
    <w:rsid w:val="00F03073"/>
    <w:rsid w:val="00F03EAB"/>
    <w:rsid w:val="00F04386"/>
    <w:rsid w:val="00F04E8C"/>
    <w:rsid w:val="00F05263"/>
    <w:rsid w:val="00F0580F"/>
    <w:rsid w:val="00F05DBC"/>
    <w:rsid w:val="00F0629B"/>
    <w:rsid w:val="00F07241"/>
    <w:rsid w:val="00F10022"/>
    <w:rsid w:val="00F1061E"/>
    <w:rsid w:val="00F10947"/>
    <w:rsid w:val="00F10ABB"/>
    <w:rsid w:val="00F10B99"/>
    <w:rsid w:val="00F110FA"/>
    <w:rsid w:val="00F1202D"/>
    <w:rsid w:val="00F13062"/>
    <w:rsid w:val="00F132CA"/>
    <w:rsid w:val="00F1355F"/>
    <w:rsid w:val="00F14A46"/>
    <w:rsid w:val="00F14D64"/>
    <w:rsid w:val="00F15242"/>
    <w:rsid w:val="00F1532B"/>
    <w:rsid w:val="00F1611C"/>
    <w:rsid w:val="00F16722"/>
    <w:rsid w:val="00F174E5"/>
    <w:rsid w:val="00F17673"/>
    <w:rsid w:val="00F20549"/>
    <w:rsid w:val="00F20596"/>
    <w:rsid w:val="00F20791"/>
    <w:rsid w:val="00F20A3E"/>
    <w:rsid w:val="00F21487"/>
    <w:rsid w:val="00F22781"/>
    <w:rsid w:val="00F22896"/>
    <w:rsid w:val="00F23208"/>
    <w:rsid w:val="00F2323A"/>
    <w:rsid w:val="00F23400"/>
    <w:rsid w:val="00F2594A"/>
    <w:rsid w:val="00F25CBF"/>
    <w:rsid w:val="00F26CF5"/>
    <w:rsid w:val="00F2719F"/>
    <w:rsid w:val="00F2751C"/>
    <w:rsid w:val="00F276DC"/>
    <w:rsid w:val="00F27A85"/>
    <w:rsid w:val="00F27EDD"/>
    <w:rsid w:val="00F30C41"/>
    <w:rsid w:val="00F30C5E"/>
    <w:rsid w:val="00F316EF"/>
    <w:rsid w:val="00F31972"/>
    <w:rsid w:val="00F31FEA"/>
    <w:rsid w:val="00F32056"/>
    <w:rsid w:val="00F32944"/>
    <w:rsid w:val="00F33CE0"/>
    <w:rsid w:val="00F3417D"/>
    <w:rsid w:val="00F34753"/>
    <w:rsid w:val="00F34A5F"/>
    <w:rsid w:val="00F35345"/>
    <w:rsid w:val="00F35A7A"/>
    <w:rsid w:val="00F35F52"/>
    <w:rsid w:val="00F3643F"/>
    <w:rsid w:val="00F37407"/>
    <w:rsid w:val="00F376E0"/>
    <w:rsid w:val="00F407B6"/>
    <w:rsid w:val="00F40CFA"/>
    <w:rsid w:val="00F416A7"/>
    <w:rsid w:val="00F41926"/>
    <w:rsid w:val="00F41A2A"/>
    <w:rsid w:val="00F42F5F"/>
    <w:rsid w:val="00F43015"/>
    <w:rsid w:val="00F43891"/>
    <w:rsid w:val="00F43FD9"/>
    <w:rsid w:val="00F440F4"/>
    <w:rsid w:val="00F4464D"/>
    <w:rsid w:val="00F4584A"/>
    <w:rsid w:val="00F4594E"/>
    <w:rsid w:val="00F45DC3"/>
    <w:rsid w:val="00F46727"/>
    <w:rsid w:val="00F46D25"/>
    <w:rsid w:val="00F47141"/>
    <w:rsid w:val="00F4752D"/>
    <w:rsid w:val="00F4765D"/>
    <w:rsid w:val="00F47F8D"/>
    <w:rsid w:val="00F500D7"/>
    <w:rsid w:val="00F51B77"/>
    <w:rsid w:val="00F51D08"/>
    <w:rsid w:val="00F524DD"/>
    <w:rsid w:val="00F52F6D"/>
    <w:rsid w:val="00F53A32"/>
    <w:rsid w:val="00F53FA9"/>
    <w:rsid w:val="00F54162"/>
    <w:rsid w:val="00F543C7"/>
    <w:rsid w:val="00F54750"/>
    <w:rsid w:val="00F549D3"/>
    <w:rsid w:val="00F564CE"/>
    <w:rsid w:val="00F5653D"/>
    <w:rsid w:val="00F56F9D"/>
    <w:rsid w:val="00F57D4F"/>
    <w:rsid w:val="00F60099"/>
    <w:rsid w:val="00F6146A"/>
    <w:rsid w:val="00F61C5B"/>
    <w:rsid w:val="00F6211F"/>
    <w:rsid w:val="00F6294A"/>
    <w:rsid w:val="00F630E3"/>
    <w:rsid w:val="00F636B4"/>
    <w:rsid w:val="00F63895"/>
    <w:rsid w:val="00F64B86"/>
    <w:rsid w:val="00F6506F"/>
    <w:rsid w:val="00F65E9E"/>
    <w:rsid w:val="00F66078"/>
    <w:rsid w:val="00F66373"/>
    <w:rsid w:val="00F66987"/>
    <w:rsid w:val="00F6709B"/>
    <w:rsid w:val="00F70680"/>
    <w:rsid w:val="00F708D8"/>
    <w:rsid w:val="00F70968"/>
    <w:rsid w:val="00F70994"/>
    <w:rsid w:val="00F70C5E"/>
    <w:rsid w:val="00F7138F"/>
    <w:rsid w:val="00F71B17"/>
    <w:rsid w:val="00F71F11"/>
    <w:rsid w:val="00F7201F"/>
    <w:rsid w:val="00F7303D"/>
    <w:rsid w:val="00F7335B"/>
    <w:rsid w:val="00F7445A"/>
    <w:rsid w:val="00F74515"/>
    <w:rsid w:val="00F7471F"/>
    <w:rsid w:val="00F74F26"/>
    <w:rsid w:val="00F75ACA"/>
    <w:rsid w:val="00F761C7"/>
    <w:rsid w:val="00F76445"/>
    <w:rsid w:val="00F76EE2"/>
    <w:rsid w:val="00F77100"/>
    <w:rsid w:val="00F77B0A"/>
    <w:rsid w:val="00F77D51"/>
    <w:rsid w:val="00F8025E"/>
    <w:rsid w:val="00F805BE"/>
    <w:rsid w:val="00F80639"/>
    <w:rsid w:val="00F80FA3"/>
    <w:rsid w:val="00F81234"/>
    <w:rsid w:val="00F818A8"/>
    <w:rsid w:val="00F81C8A"/>
    <w:rsid w:val="00F81E72"/>
    <w:rsid w:val="00F825ED"/>
    <w:rsid w:val="00F82E86"/>
    <w:rsid w:val="00F82F50"/>
    <w:rsid w:val="00F8324E"/>
    <w:rsid w:val="00F83C7D"/>
    <w:rsid w:val="00F8445E"/>
    <w:rsid w:val="00F85640"/>
    <w:rsid w:val="00F86419"/>
    <w:rsid w:val="00F86700"/>
    <w:rsid w:val="00F86755"/>
    <w:rsid w:val="00F87586"/>
    <w:rsid w:val="00F87BB9"/>
    <w:rsid w:val="00F87EE9"/>
    <w:rsid w:val="00F904B2"/>
    <w:rsid w:val="00F90801"/>
    <w:rsid w:val="00F90D89"/>
    <w:rsid w:val="00F91268"/>
    <w:rsid w:val="00F91CC1"/>
    <w:rsid w:val="00F91D1F"/>
    <w:rsid w:val="00F91F51"/>
    <w:rsid w:val="00F927D3"/>
    <w:rsid w:val="00F92D0C"/>
    <w:rsid w:val="00F92DF0"/>
    <w:rsid w:val="00F9320F"/>
    <w:rsid w:val="00F93244"/>
    <w:rsid w:val="00F94809"/>
    <w:rsid w:val="00F94BFE"/>
    <w:rsid w:val="00F95381"/>
    <w:rsid w:val="00F957C6"/>
    <w:rsid w:val="00F95987"/>
    <w:rsid w:val="00F95A50"/>
    <w:rsid w:val="00F95F28"/>
    <w:rsid w:val="00F975A4"/>
    <w:rsid w:val="00F975F3"/>
    <w:rsid w:val="00FA0063"/>
    <w:rsid w:val="00FA057E"/>
    <w:rsid w:val="00FA0D1A"/>
    <w:rsid w:val="00FA1723"/>
    <w:rsid w:val="00FA18A7"/>
    <w:rsid w:val="00FA2370"/>
    <w:rsid w:val="00FA27D2"/>
    <w:rsid w:val="00FA40A4"/>
    <w:rsid w:val="00FA41B6"/>
    <w:rsid w:val="00FA4A0C"/>
    <w:rsid w:val="00FA536C"/>
    <w:rsid w:val="00FB08F0"/>
    <w:rsid w:val="00FB0A8C"/>
    <w:rsid w:val="00FB0BAA"/>
    <w:rsid w:val="00FB10DD"/>
    <w:rsid w:val="00FB124F"/>
    <w:rsid w:val="00FB135B"/>
    <w:rsid w:val="00FB14D1"/>
    <w:rsid w:val="00FB278F"/>
    <w:rsid w:val="00FB359E"/>
    <w:rsid w:val="00FB45B4"/>
    <w:rsid w:val="00FB70F5"/>
    <w:rsid w:val="00FB74F3"/>
    <w:rsid w:val="00FB7C4C"/>
    <w:rsid w:val="00FC0454"/>
    <w:rsid w:val="00FC0502"/>
    <w:rsid w:val="00FC056E"/>
    <w:rsid w:val="00FC0689"/>
    <w:rsid w:val="00FC0965"/>
    <w:rsid w:val="00FC10AF"/>
    <w:rsid w:val="00FC1512"/>
    <w:rsid w:val="00FC1A87"/>
    <w:rsid w:val="00FC1DD7"/>
    <w:rsid w:val="00FC201A"/>
    <w:rsid w:val="00FC233F"/>
    <w:rsid w:val="00FC2351"/>
    <w:rsid w:val="00FC3288"/>
    <w:rsid w:val="00FC3A79"/>
    <w:rsid w:val="00FC4703"/>
    <w:rsid w:val="00FC4888"/>
    <w:rsid w:val="00FC539C"/>
    <w:rsid w:val="00FC72FD"/>
    <w:rsid w:val="00FC778B"/>
    <w:rsid w:val="00FC794E"/>
    <w:rsid w:val="00FC7E07"/>
    <w:rsid w:val="00FC7F6D"/>
    <w:rsid w:val="00FD0985"/>
    <w:rsid w:val="00FD0C51"/>
    <w:rsid w:val="00FD1911"/>
    <w:rsid w:val="00FD20A5"/>
    <w:rsid w:val="00FD2565"/>
    <w:rsid w:val="00FD2C22"/>
    <w:rsid w:val="00FD2E00"/>
    <w:rsid w:val="00FD37A7"/>
    <w:rsid w:val="00FD3FF0"/>
    <w:rsid w:val="00FD40AF"/>
    <w:rsid w:val="00FD4279"/>
    <w:rsid w:val="00FD441B"/>
    <w:rsid w:val="00FD4461"/>
    <w:rsid w:val="00FD47DC"/>
    <w:rsid w:val="00FD51B5"/>
    <w:rsid w:val="00FD58A7"/>
    <w:rsid w:val="00FD5EC1"/>
    <w:rsid w:val="00FD6640"/>
    <w:rsid w:val="00FD69FF"/>
    <w:rsid w:val="00FD6C33"/>
    <w:rsid w:val="00FD7377"/>
    <w:rsid w:val="00FD73FF"/>
    <w:rsid w:val="00FD7768"/>
    <w:rsid w:val="00FD77B6"/>
    <w:rsid w:val="00FE0A9E"/>
    <w:rsid w:val="00FE1030"/>
    <w:rsid w:val="00FE166A"/>
    <w:rsid w:val="00FE2394"/>
    <w:rsid w:val="00FE2609"/>
    <w:rsid w:val="00FE2C3E"/>
    <w:rsid w:val="00FE2C7F"/>
    <w:rsid w:val="00FE3784"/>
    <w:rsid w:val="00FE3DEC"/>
    <w:rsid w:val="00FE4582"/>
    <w:rsid w:val="00FE56F2"/>
    <w:rsid w:val="00FE5818"/>
    <w:rsid w:val="00FE663F"/>
    <w:rsid w:val="00FE680C"/>
    <w:rsid w:val="00FE68E3"/>
    <w:rsid w:val="00FE6BB2"/>
    <w:rsid w:val="00FE767A"/>
    <w:rsid w:val="00FE7AC0"/>
    <w:rsid w:val="00FE7BA2"/>
    <w:rsid w:val="00FF1701"/>
    <w:rsid w:val="00FF1FB4"/>
    <w:rsid w:val="00FF2CC1"/>
    <w:rsid w:val="00FF2DFD"/>
    <w:rsid w:val="00FF34C0"/>
    <w:rsid w:val="00FF381D"/>
    <w:rsid w:val="00FF3A8B"/>
    <w:rsid w:val="00FF4E20"/>
    <w:rsid w:val="00FF4FB1"/>
    <w:rsid w:val="00FF583D"/>
    <w:rsid w:val="00FF5A7E"/>
    <w:rsid w:val="00FF5BEA"/>
    <w:rsid w:val="00FF5E66"/>
    <w:rsid w:val="00FF6F4F"/>
    <w:rsid w:val="00FF717B"/>
    <w:rsid w:val="00FF75BA"/>
    <w:rsid w:val="00FF7608"/>
    <w:rsid w:val="00FF771D"/>
    <w:rsid w:val="00FF7782"/>
    <w:rsid w:val="00FF78D6"/>
    <w:rsid w:val="00FF7B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6C2A97"/>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A3F"/>
    <w:rPr>
      <w:rFonts w:ascii="Segoe UI" w:hAnsi="Segoe UI"/>
      <w:sz w:val="22"/>
    </w:rPr>
  </w:style>
  <w:style w:type="paragraph" w:styleId="Heading1">
    <w:name w:val="heading 1"/>
    <w:aliases w:val="CAB Section Heading,Heading 1 Cab"/>
    <w:basedOn w:val="Normal"/>
    <w:next w:val="Normal"/>
    <w:link w:val="Heading1Char"/>
    <w:uiPriority w:val="4"/>
    <w:qFormat/>
    <w:rsid w:val="00AA30B5"/>
    <w:pPr>
      <w:keepNext/>
      <w:keepLines/>
      <w:spacing w:before="360" w:line="240" w:lineRule="auto"/>
      <w:ind w:left="720" w:hanging="720"/>
      <w:outlineLvl w:val="0"/>
    </w:pPr>
    <w:rPr>
      <w:rFonts w:eastAsiaTheme="majorEastAsia" w:cstheme="majorBidi"/>
      <w:color w:val="1B375C" w:themeColor="accent1"/>
      <w:sz w:val="48"/>
      <w:szCs w:val="40"/>
    </w:rPr>
  </w:style>
  <w:style w:type="paragraph" w:styleId="Heading2">
    <w:name w:val="heading 2"/>
    <w:basedOn w:val="Normal"/>
    <w:next w:val="Normal"/>
    <w:link w:val="Heading2Char"/>
    <w:uiPriority w:val="2"/>
    <w:qFormat/>
    <w:rsid w:val="00B04891"/>
    <w:pPr>
      <w:keepNext/>
      <w:keepLines/>
      <w:spacing w:before="240" w:line="240" w:lineRule="auto"/>
      <w:outlineLvl w:val="1"/>
    </w:pPr>
    <w:rPr>
      <w:rFonts w:eastAsiaTheme="majorEastAsia" w:cstheme="majorBidi"/>
      <w:color w:val="1B375C" w:themeColor="accent1"/>
      <w:sz w:val="36"/>
      <w:szCs w:val="28"/>
    </w:rPr>
  </w:style>
  <w:style w:type="paragraph" w:styleId="Heading3">
    <w:name w:val="heading 3"/>
    <w:basedOn w:val="Heading4"/>
    <w:next w:val="Normal"/>
    <w:link w:val="Heading3Char"/>
    <w:uiPriority w:val="2"/>
    <w:qFormat/>
    <w:rsid w:val="00A50652"/>
    <w:pPr>
      <w:outlineLvl w:val="2"/>
    </w:pPr>
    <w:rPr>
      <w:rFonts w:ascii="Segoe UI" w:hAnsi="Segoe UI"/>
      <w:color w:val="1B375C" w:themeColor="accent1"/>
      <w:sz w:val="24"/>
      <w:szCs w:val="24"/>
    </w:rPr>
  </w:style>
  <w:style w:type="paragraph" w:styleId="Heading4">
    <w:name w:val="heading 4"/>
    <w:basedOn w:val="Normal"/>
    <w:next w:val="Normal"/>
    <w:link w:val="Heading4Char"/>
    <w:uiPriority w:val="2"/>
    <w:qFormat/>
    <w:rsid w:val="00F8025E"/>
    <w:pPr>
      <w:keepNext/>
      <w:keepLines/>
      <w:spacing w:before="240"/>
      <w:outlineLvl w:val="3"/>
    </w:pPr>
    <w:rPr>
      <w:rFonts w:asciiTheme="majorHAnsi" w:eastAsiaTheme="majorEastAsia" w:hAnsiTheme="majorHAnsi" w:cstheme="minorHAnsi"/>
      <w:color w:val="0F1F35" w:themeColor="text2"/>
      <w:szCs w:val="22"/>
    </w:rPr>
  </w:style>
  <w:style w:type="paragraph" w:styleId="Heading5">
    <w:name w:val="heading 5"/>
    <w:basedOn w:val="Normal"/>
    <w:next w:val="Normal"/>
    <w:link w:val="Heading5Char"/>
    <w:uiPriority w:val="2"/>
    <w:unhideWhenUsed/>
    <w:rsid w:val="00F8025E"/>
    <w:pPr>
      <w:keepNext/>
      <w:keepLines/>
      <w:spacing w:before="240"/>
      <w:outlineLvl w:val="4"/>
    </w:pPr>
    <w:rPr>
      <w:rFonts w:asciiTheme="majorHAnsi" w:eastAsiaTheme="majorEastAsia" w:hAnsiTheme="majorHAnsi" w:cstheme="majorBidi"/>
      <w:iCs/>
      <w:color w:val="FA8A13" w:themeColor="accent6" w:themeShade="BF"/>
      <w:szCs w:val="22"/>
    </w:rPr>
  </w:style>
  <w:style w:type="paragraph" w:styleId="Heading6">
    <w:name w:val="heading 6"/>
    <w:basedOn w:val="Normal"/>
    <w:next w:val="Normal"/>
    <w:link w:val="Heading6Char"/>
    <w:uiPriority w:val="2"/>
    <w:unhideWhenUsed/>
    <w:rsid w:val="00F8025E"/>
    <w:pPr>
      <w:keepNext/>
      <w:keepLines/>
      <w:spacing w:before="240"/>
      <w:outlineLvl w:val="5"/>
    </w:pPr>
    <w:rPr>
      <w:rFonts w:asciiTheme="majorHAnsi" w:eastAsiaTheme="majorEastAsia" w:hAnsiTheme="majorHAnsi" w:cstheme="majorBidi"/>
      <w:color w:val="388183" w:themeColor="accent4" w:themeShade="BF"/>
    </w:rPr>
  </w:style>
  <w:style w:type="paragraph" w:styleId="Heading7">
    <w:name w:val="heading 7"/>
    <w:basedOn w:val="Normal"/>
    <w:next w:val="Normal"/>
    <w:link w:val="Heading7Char"/>
    <w:uiPriority w:val="2"/>
    <w:unhideWhenUsed/>
    <w:rsid w:val="00292BFC"/>
    <w:pPr>
      <w:keepNext/>
      <w:keepLines/>
      <w:spacing w:before="240"/>
      <w:outlineLvl w:val="6"/>
    </w:pPr>
    <w:rPr>
      <w:rFonts w:asciiTheme="majorHAnsi" w:eastAsiaTheme="majorEastAsia" w:hAnsiTheme="majorHAnsi" w:cstheme="majorBidi"/>
      <w:b/>
      <w:bCs/>
      <w:color w:val="0F1F35" w:themeColor="text2"/>
    </w:rPr>
  </w:style>
  <w:style w:type="paragraph" w:styleId="Heading8">
    <w:name w:val="heading 8"/>
    <w:basedOn w:val="Normal"/>
    <w:next w:val="Normal"/>
    <w:link w:val="Heading8Char"/>
    <w:uiPriority w:val="2"/>
    <w:unhideWhenUsed/>
    <w:rsid w:val="00292BFC"/>
    <w:pPr>
      <w:keepNext/>
      <w:keepLines/>
      <w:spacing w:before="240"/>
      <w:outlineLvl w:val="7"/>
    </w:pPr>
    <w:rPr>
      <w:rFonts w:asciiTheme="majorHAnsi" w:eastAsiaTheme="majorEastAsia" w:hAnsiTheme="majorHAnsi" w:cstheme="majorBidi"/>
      <w:b/>
      <w:bCs/>
      <w:i/>
      <w:iCs/>
      <w:color w:val="0F1F35" w:themeColor="text2"/>
      <w:sz w:val="20"/>
      <w:szCs w:val="20"/>
    </w:rPr>
  </w:style>
  <w:style w:type="paragraph" w:styleId="Heading9">
    <w:name w:val="heading 9"/>
    <w:basedOn w:val="Normal"/>
    <w:next w:val="Normal"/>
    <w:link w:val="Heading9Char"/>
    <w:uiPriority w:val="2"/>
    <w:unhideWhenUsed/>
    <w:rsid w:val="00292BFC"/>
    <w:pPr>
      <w:keepNext/>
      <w:keepLines/>
      <w:spacing w:before="240"/>
      <w:outlineLvl w:val="8"/>
    </w:pPr>
    <w:rPr>
      <w:rFonts w:asciiTheme="majorHAnsi" w:eastAsiaTheme="majorEastAsia" w:hAnsiTheme="majorHAnsi" w:cstheme="majorBidi"/>
      <w:i/>
      <w:iCs/>
      <w:color w:val="0F1F35"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B Section Heading Char,Heading 1 Cab Char"/>
    <w:basedOn w:val="DefaultParagraphFont"/>
    <w:link w:val="Heading1"/>
    <w:uiPriority w:val="2"/>
    <w:rsid w:val="00AA30B5"/>
    <w:rPr>
      <w:rFonts w:ascii="Segoe UI" w:eastAsiaTheme="majorEastAsia" w:hAnsi="Segoe UI" w:cstheme="majorBidi"/>
      <w:color w:val="1B375C"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B04891"/>
    <w:rPr>
      <w:rFonts w:ascii="Segoe UI" w:eastAsiaTheme="majorEastAsia" w:hAnsi="Segoe UI" w:cstheme="majorBidi"/>
      <w:color w:val="1B375C" w:themeColor="accent1"/>
      <w:sz w:val="36"/>
      <w:szCs w:val="28"/>
    </w:rPr>
  </w:style>
  <w:style w:type="character" w:customStyle="1" w:styleId="Heading3Char">
    <w:name w:val="Heading 3 Char"/>
    <w:basedOn w:val="DefaultParagraphFont"/>
    <w:link w:val="Heading3"/>
    <w:uiPriority w:val="2"/>
    <w:rsid w:val="00A50652"/>
    <w:rPr>
      <w:rFonts w:ascii="Segoe UI" w:eastAsiaTheme="majorEastAsia" w:hAnsi="Segoe UI" w:cstheme="minorHAnsi"/>
      <w:color w:val="1B375C" w:themeColor="accent1"/>
      <w:sz w:val="24"/>
      <w:szCs w:val="24"/>
    </w:rPr>
  </w:style>
  <w:style w:type="character" w:customStyle="1" w:styleId="Heading4Char">
    <w:name w:val="Heading 4 Char"/>
    <w:basedOn w:val="DefaultParagraphFont"/>
    <w:link w:val="Heading4"/>
    <w:uiPriority w:val="2"/>
    <w:rsid w:val="00F8025E"/>
    <w:rPr>
      <w:rFonts w:asciiTheme="majorHAnsi" w:eastAsiaTheme="majorEastAsia" w:hAnsiTheme="majorHAnsi" w:cstheme="minorHAnsi"/>
      <w:color w:val="0F1F35" w:themeColor="text2"/>
      <w:sz w:val="22"/>
      <w:szCs w:val="22"/>
    </w:rPr>
  </w:style>
  <w:style w:type="character" w:customStyle="1" w:styleId="Heading5Char">
    <w:name w:val="Heading 5 Char"/>
    <w:basedOn w:val="DefaultParagraphFont"/>
    <w:link w:val="Heading5"/>
    <w:uiPriority w:val="2"/>
    <w:rsid w:val="00F8025E"/>
    <w:rPr>
      <w:rFonts w:asciiTheme="majorHAnsi" w:eastAsiaTheme="majorEastAsia" w:hAnsiTheme="majorHAnsi" w:cstheme="majorBidi"/>
      <w:iCs/>
      <w:color w:val="FA8A13" w:themeColor="accent6" w:themeShade="BF"/>
      <w:sz w:val="22"/>
      <w:szCs w:val="22"/>
    </w:rPr>
  </w:style>
  <w:style w:type="character" w:customStyle="1" w:styleId="Heading6Char">
    <w:name w:val="Heading 6 Char"/>
    <w:basedOn w:val="DefaultParagraphFont"/>
    <w:link w:val="Heading6"/>
    <w:uiPriority w:val="2"/>
    <w:rsid w:val="00F8025E"/>
    <w:rPr>
      <w:rFonts w:asciiTheme="majorHAnsi" w:eastAsiaTheme="majorEastAsia" w:hAnsiTheme="majorHAnsi" w:cstheme="majorBidi"/>
      <w:color w:val="388183" w:themeColor="accent4" w:themeShade="BF"/>
      <w:sz w:val="22"/>
    </w:rPr>
  </w:style>
  <w:style w:type="character" w:customStyle="1" w:styleId="Heading7Char">
    <w:name w:val="Heading 7 Char"/>
    <w:basedOn w:val="DefaultParagraphFont"/>
    <w:link w:val="Heading7"/>
    <w:uiPriority w:val="2"/>
    <w:rsid w:val="00292BFC"/>
    <w:rPr>
      <w:rFonts w:asciiTheme="majorHAnsi" w:eastAsiaTheme="majorEastAsia" w:hAnsiTheme="majorHAnsi" w:cstheme="majorBidi"/>
      <w:b/>
      <w:bCs/>
      <w:color w:val="0F1F35" w:themeColor="text2"/>
      <w:sz w:val="22"/>
    </w:rPr>
  </w:style>
  <w:style w:type="character" w:customStyle="1" w:styleId="Heading8Char">
    <w:name w:val="Heading 8 Char"/>
    <w:basedOn w:val="DefaultParagraphFont"/>
    <w:link w:val="Heading8"/>
    <w:uiPriority w:val="2"/>
    <w:rsid w:val="00292BFC"/>
    <w:rPr>
      <w:rFonts w:asciiTheme="majorHAnsi" w:eastAsiaTheme="majorEastAsia" w:hAnsiTheme="majorHAnsi" w:cstheme="majorBidi"/>
      <w:b/>
      <w:bCs/>
      <w:i/>
      <w:iCs/>
      <w:color w:val="0F1F35" w:themeColor="text2"/>
      <w:sz w:val="20"/>
      <w:szCs w:val="20"/>
    </w:rPr>
  </w:style>
  <w:style w:type="character" w:customStyle="1" w:styleId="Heading9Char">
    <w:name w:val="Heading 9 Char"/>
    <w:basedOn w:val="DefaultParagraphFont"/>
    <w:link w:val="Heading9"/>
    <w:uiPriority w:val="2"/>
    <w:rsid w:val="00292BFC"/>
    <w:rPr>
      <w:rFonts w:asciiTheme="majorHAnsi" w:eastAsiaTheme="majorEastAsia" w:hAnsiTheme="majorHAnsi" w:cstheme="majorBidi"/>
      <w:i/>
      <w:iCs/>
      <w:color w:val="0F1F35" w:themeColor="text2"/>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semiHidden/>
    <w:unhideWhenUsed/>
    <w:qFormat/>
    <w:rsid w:val="00D525B8"/>
    <w:pPr>
      <w:spacing w:line="240" w:lineRule="auto"/>
    </w:pPr>
    <w:rPr>
      <w:b/>
      <w:bCs/>
      <w:smallCaps/>
      <w:color w:val="59595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292BFC"/>
    <w:pPr>
      <w:spacing w:before="240"/>
      <w:ind w:left="720" w:right="720"/>
    </w:pPr>
    <w:rPr>
      <w:i/>
      <w:iCs/>
      <w:color w:val="0F1F35" w:themeColor="text2"/>
    </w:rPr>
  </w:style>
  <w:style w:type="character" w:customStyle="1" w:styleId="QuoteChar">
    <w:name w:val="Quote Char"/>
    <w:basedOn w:val="DefaultParagraphFont"/>
    <w:link w:val="Quote"/>
    <w:uiPriority w:val="16"/>
    <w:rsid w:val="00292BFC"/>
    <w:rPr>
      <w:i/>
      <w:iCs/>
      <w:color w:val="0F1F35" w:themeColor="text2"/>
      <w:sz w:val="22"/>
    </w:rPr>
  </w:style>
  <w:style w:type="paragraph" w:styleId="IntenseQuote">
    <w:name w:val="Intense Quote"/>
    <w:basedOn w:val="Normal"/>
    <w:next w:val="Normal"/>
    <w:link w:val="IntenseQuoteChar"/>
    <w:uiPriority w:val="17"/>
    <w:qFormat/>
    <w:rsid w:val="00292BFC"/>
    <w:pPr>
      <w:spacing w:before="120"/>
      <w:ind w:left="720" w:right="720"/>
    </w:pPr>
    <w:rPr>
      <w:rFonts w:asciiTheme="majorHAnsi" w:eastAsiaTheme="majorEastAsia" w:hAnsiTheme="majorHAnsi" w:cstheme="majorBidi"/>
      <w:i/>
      <w:iCs/>
      <w:color w:val="0F1F35" w:themeColor="text2"/>
      <w:sz w:val="32"/>
      <w:szCs w:val="32"/>
    </w:rPr>
  </w:style>
  <w:style w:type="character" w:customStyle="1" w:styleId="IntenseQuoteChar">
    <w:name w:val="Intense Quote Char"/>
    <w:basedOn w:val="DefaultParagraphFont"/>
    <w:link w:val="IntenseQuote"/>
    <w:uiPriority w:val="17"/>
    <w:rsid w:val="00292BFC"/>
    <w:rPr>
      <w:rFonts w:asciiTheme="majorHAnsi" w:eastAsiaTheme="majorEastAsia" w:hAnsiTheme="majorHAnsi" w:cstheme="majorBidi"/>
      <w:i/>
      <w:iCs/>
      <w:color w:val="0F1F35" w:themeColor="text2"/>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F05263"/>
    <w:rPr>
      <w:rFonts w:asciiTheme="minorHAnsi" w:hAnsiTheme="minorHAnsi"/>
      <w:caps w:val="0"/>
      <w:smallCaps w:val="0"/>
      <w:color w:val="0F1F35" w:themeColor="text2"/>
    </w:rPr>
  </w:style>
  <w:style w:type="character" w:styleId="IntenseReference">
    <w:name w:val="Intense Reference"/>
    <w:basedOn w:val="DefaultParagraphFont"/>
    <w:uiPriority w:val="32"/>
    <w:unhideWhenUsed/>
    <w:rsid w:val="00F05263"/>
    <w:rPr>
      <w:rFonts w:asciiTheme="majorHAnsi" w:hAnsiTheme="majorHAnsi"/>
      <w:b/>
      <w:bCs/>
      <w:caps w:val="0"/>
      <w:smallCaps w:val="0"/>
      <w:color w:val="0F1F35" w:themeColor="text2"/>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92BFC"/>
    <w:pPr>
      <w:jc w:val="center"/>
    </w:pPr>
    <w:rPr>
      <w:caps/>
      <w:color w:val="FCB76C" w:themeColor="accent6"/>
      <w:sz w:val="18"/>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292BFC"/>
    <w:rPr>
      <w:rFonts w:ascii="Segoe UI" w:hAnsi="Segoe UI"/>
      <w:caps/>
      <w:color w:val="FCB76C" w:themeColor="accent6"/>
      <w:sz w:val="18"/>
    </w:rPr>
  </w:style>
  <w:style w:type="paragraph" w:customStyle="1" w:styleId="BOXText">
    <w:name w:val="BOX Text"/>
    <w:basedOn w:val="Normal"/>
    <w:uiPriority w:val="4"/>
    <w:qFormat/>
    <w:rsid w:val="00050EBE"/>
    <w:pPr>
      <w:pBdr>
        <w:top w:val="single" w:sz="48" w:space="1" w:color="E0E8F2" w:themeColor="background2"/>
        <w:left w:val="single" w:sz="48" w:space="4" w:color="E0E8F2" w:themeColor="background2"/>
        <w:bottom w:val="single" w:sz="48" w:space="1" w:color="E0E8F2" w:themeColor="background2"/>
        <w:right w:val="single" w:sz="48" w:space="4" w:color="E0E8F2" w:themeColor="background2"/>
      </w:pBdr>
      <w:shd w:val="clear" w:color="auto" w:fill="E0E8F2"/>
      <w:tabs>
        <w:tab w:val="left" w:pos="3300"/>
      </w:tabs>
      <w:ind w:left="227" w:right="227"/>
    </w:pPr>
    <w:rPr>
      <w:color w:val="000000" w:themeColor="text1"/>
    </w:r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980C9" w:themeColor="accent1" w:themeTint="99"/>
        <w:left w:val="single" w:sz="4" w:space="0" w:color="4980C9" w:themeColor="accent1" w:themeTint="99"/>
        <w:bottom w:val="single" w:sz="4" w:space="0" w:color="4980C9" w:themeColor="accent1" w:themeTint="99"/>
        <w:right w:val="single" w:sz="4" w:space="0" w:color="4980C9" w:themeColor="accent1" w:themeTint="99"/>
        <w:insideH w:val="single" w:sz="4" w:space="0" w:color="4980C9" w:themeColor="accent1" w:themeTint="99"/>
      </w:tblBorders>
    </w:tblPr>
    <w:tblStylePr w:type="firstRow">
      <w:rPr>
        <w:b/>
        <w:bCs/>
        <w:color w:val="FFFFFF" w:themeColor="background1"/>
      </w:rPr>
      <w:tblPr/>
      <w:tcPr>
        <w:tcBorders>
          <w:top w:val="single" w:sz="4" w:space="0" w:color="1B375C" w:themeColor="accent1"/>
          <w:left w:val="single" w:sz="4" w:space="0" w:color="1B375C" w:themeColor="accent1"/>
          <w:bottom w:val="single" w:sz="4" w:space="0" w:color="1B375C" w:themeColor="accent1"/>
          <w:right w:val="single" w:sz="4" w:space="0" w:color="1B375C" w:themeColor="accent1"/>
          <w:insideH w:val="nil"/>
        </w:tcBorders>
        <w:shd w:val="clear" w:color="auto" w:fill="1B375C" w:themeFill="accent1"/>
      </w:tcPr>
    </w:tblStylePr>
    <w:tblStylePr w:type="lastRow">
      <w:rPr>
        <w:b/>
        <w:bCs/>
      </w:rPr>
      <w:tblPr/>
      <w:tcPr>
        <w:tcBorders>
          <w:top w:val="double" w:sz="4" w:space="0" w:color="4980C9" w:themeColor="accent1" w:themeTint="99"/>
        </w:tcBorders>
      </w:tcPr>
    </w:tblStylePr>
    <w:tblStylePr w:type="firstCol">
      <w:rPr>
        <w:b/>
        <w:bCs/>
      </w:rPr>
    </w:tblStylePr>
    <w:tblStylePr w:type="lastCol">
      <w:rPr>
        <w:b/>
        <w:bCs/>
      </w:rPr>
    </w:tblStylePr>
    <w:tblStylePr w:type="band1Vert">
      <w:tblPr/>
      <w:tcPr>
        <w:shd w:val="clear" w:color="auto" w:fill="C2D4ED" w:themeFill="accent1" w:themeFillTint="33"/>
      </w:tcPr>
    </w:tblStylePr>
    <w:tblStylePr w:type="band1Horz">
      <w:tblPr/>
      <w:tcPr>
        <w:shd w:val="clear" w:color="auto" w:fill="C2D4ED" w:themeFill="accent1" w:themeFillTint="33"/>
      </w:tcPr>
    </w:tblStylePr>
  </w:style>
  <w:style w:type="paragraph" w:customStyle="1" w:styleId="Figure">
    <w:name w:val="Figure"/>
    <w:basedOn w:val="Normal"/>
    <w:uiPriority w:val="2"/>
    <w:qFormat/>
    <w:rsid w:val="00F8025E"/>
    <w:pPr>
      <w:numPr>
        <w:numId w:val="5"/>
      </w:numPr>
      <w:spacing w:before="240"/>
    </w:pPr>
    <w:rPr>
      <w:rFonts w:asciiTheme="majorHAnsi" w:hAnsiTheme="majorHAnsi" w:cs="Segoe UI"/>
      <w:color w:val="0F1F35" w:themeColor="text2"/>
    </w:rPr>
  </w:style>
  <w:style w:type="paragraph" w:customStyle="1" w:styleId="TBLHeading">
    <w:name w:val="TBL Heading"/>
    <w:basedOn w:val="Normal"/>
    <w:autoRedefine/>
    <w:uiPriority w:val="11"/>
    <w:qFormat/>
    <w:rsid w:val="00995541"/>
    <w:pPr>
      <w:spacing w:after="0" w:line="240" w:lineRule="auto"/>
    </w:pPr>
    <w:rPr>
      <w:rFonts w:cs="Segoe UI"/>
      <w:color w:val="FFFFFF" w:themeColor="background1"/>
    </w:rPr>
  </w:style>
  <w:style w:type="paragraph" w:customStyle="1" w:styleId="TBLText">
    <w:name w:val="TBL Text"/>
    <w:basedOn w:val="Normal"/>
    <w:uiPriority w:val="9"/>
    <w:qFormat/>
    <w:rsid w:val="009615D2"/>
    <w:pPr>
      <w:spacing w:after="0" w:line="240" w:lineRule="auto"/>
    </w:pPr>
    <w:rPr>
      <w:sz w:val="18"/>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F8025E"/>
    <w:pPr>
      <w:outlineLvl w:val="2"/>
    </w:pPr>
    <w:rPr>
      <w:rFonts w:cstheme="minorHAnsi"/>
      <w:sz w:val="24"/>
      <w:szCs w:val="26"/>
    </w:rPr>
  </w:style>
  <w:style w:type="paragraph" w:styleId="ListParagraph">
    <w:name w:val="List Paragraph"/>
    <w:aliases w:val="Bullets,TOC style,lp1,Bullet OSM,Proposal Bullet List,List Paragraph1,Recommendation,List Paragraph11,List Paragraph111,L,F5 List Paragraph,Dot pt,CV text,Table text,Medium Grid 1 - Accent 21,Numbered Paragraph,List Paragraph2,FooterText"/>
    <w:basedOn w:val="Normal"/>
    <w:link w:val="ListParagraphChar"/>
    <w:uiPriority w:val="34"/>
    <w:unhideWhenUsed/>
    <w:qFormat/>
    <w:rsid w:val="005917FD"/>
    <w:pPr>
      <w:ind w:left="720"/>
      <w:contextualSpacing/>
    </w:pPr>
  </w:style>
  <w:style w:type="paragraph" w:customStyle="1" w:styleId="BulletedList-Level1">
    <w:name w:val="Bulleted List - Level 1"/>
    <w:basedOn w:val="ListParagraph"/>
    <w:uiPriority w:val="1"/>
    <w:qFormat/>
    <w:rsid w:val="00051DB6"/>
    <w:pPr>
      <w:spacing w:after="60" w:line="240" w:lineRule="auto"/>
      <w:ind w:left="-2561" w:hanging="283"/>
      <w:contextualSpacing w:val="0"/>
    </w:pPr>
  </w:style>
  <w:style w:type="paragraph" w:customStyle="1" w:styleId="BulletedList-Level2">
    <w:name w:val="Bulleted List - Level 2"/>
    <w:basedOn w:val="BulletedList-Level1"/>
    <w:uiPriority w:val="1"/>
    <w:qFormat/>
    <w:rsid w:val="00BD171D"/>
    <w:pPr>
      <w:ind w:left="851" w:hanging="284"/>
    </w:pPr>
  </w:style>
  <w:style w:type="paragraph" w:customStyle="1" w:styleId="BulletedList-Level3">
    <w:name w:val="Bulleted List - Level 3"/>
    <w:basedOn w:val="ListParagraph"/>
    <w:uiPriority w:val="1"/>
    <w:qFormat/>
    <w:rsid w:val="00BD171D"/>
    <w:pPr>
      <w:ind w:left="1135" w:hanging="284"/>
    </w:pPr>
  </w:style>
  <w:style w:type="paragraph" w:customStyle="1" w:styleId="NumberedList-Level1">
    <w:name w:val="Numbered List - Level 1"/>
    <w:basedOn w:val="ListParagraph"/>
    <w:uiPriority w:val="1"/>
    <w:qFormat/>
    <w:rsid w:val="00BD171D"/>
    <w:pPr>
      <w:numPr>
        <w:numId w:val="4"/>
      </w:numPr>
      <w:ind w:left="568" w:hanging="284"/>
    </w:pPr>
  </w:style>
  <w:style w:type="paragraph" w:customStyle="1" w:styleId="NumberedList-level2">
    <w:name w:val="Numbered List - level 2"/>
    <w:basedOn w:val="ListParagraph"/>
    <w:uiPriority w:val="1"/>
    <w:qFormat/>
    <w:rsid w:val="00BD171D"/>
    <w:pPr>
      <w:numPr>
        <w:ilvl w:val="1"/>
        <w:numId w:val="4"/>
      </w:numPr>
    </w:pPr>
  </w:style>
  <w:style w:type="paragraph" w:customStyle="1" w:styleId="NumberedList-Level3">
    <w:name w:val="Numbered List - Level 3"/>
    <w:basedOn w:val="ListParagraph"/>
    <w:uiPriority w:val="1"/>
    <w:qFormat/>
    <w:rsid w:val="00BD171D"/>
    <w:pPr>
      <w:numPr>
        <w:ilvl w:val="2"/>
        <w:numId w:val="4"/>
      </w:numPr>
    </w:pPr>
  </w:style>
  <w:style w:type="paragraph" w:customStyle="1" w:styleId="BoxDark-HeadingLevel1">
    <w:name w:val="Box Dark - Heading Level 1"/>
    <w:basedOn w:val="BOXHeading2"/>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styleId="TOC1">
    <w:name w:val="toc 1"/>
    <w:basedOn w:val="Normal"/>
    <w:next w:val="Normal"/>
    <w:autoRedefine/>
    <w:uiPriority w:val="39"/>
    <w:unhideWhenUsed/>
    <w:rsid w:val="004D10DD"/>
    <w:pPr>
      <w:tabs>
        <w:tab w:val="right" w:leader="dot" w:pos="10194"/>
      </w:tabs>
      <w:spacing w:after="100"/>
    </w:pPr>
    <w:rPr>
      <w:noProof/>
    </w:rPr>
  </w:style>
  <w:style w:type="paragraph" w:styleId="TOC2">
    <w:name w:val="toc 2"/>
    <w:basedOn w:val="Normal"/>
    <w:next w:val="Normal"/>
    <w:autoRedefine/>
    <w:uiPriority w:val="39"/>
    <w:unhideWhenUsed/>
    <w:rsid w:val="00BD274E"/>
    <w:pPr>
      <w:tabs>
        <w:tab w:val="right" w:leader="dot" w:pos="10194"/>
      </w:tabs>
      <w:spacing w:after="100"/>
      <w:ind w:left="220"/>
    </w:pPr>
  </w:style>
  <w:style w:type="paragraph" w:styleId="TOC3">
    <w:name w:val="toc 3"/>
    <w:basedOn w:val="Normal"/>
    <w:next w:val="Normal"/>
    <w:autoRedefine/>
    <w:uiPriority w:val="39"/>
    <w:unhideWhenUsed/>
    <w:rsid w:val="00A503F3"/>
    <w:pPr>
      <w:tabs>
        <w:tab w:val="right" w:leader="dot" w:pos="10194"/>
      </w:tabs>
      <w:spacing w:after="100"/>
      <w:ind w:left="221"/>
    </w:pPr>
  </w:style>
  <w:style w:type="character" w:styleId="Hyperlink">
    <w:name w:val="Hyperlink"/>
    <w:aliases w:val="Hyperlink Cab"/>
    <w:basedOn w:val="DefaultParagraphFont"/>
    <w:uiPriority w:val="99"/>
    <w:unhideWhenUsed/>
    <w:qFormat/>
    <w:rsid w:val="00C378BA"/>
    <w:rPr>
      <w:color w:val="0563C1"/>
      <w:u w:val="single"/>
    </w:rPr>
  </w:style>
  <w:style w:type="paragraph" w:customStyle="1" w:styleId="BoxDark-HeadingLevel3">
    <w:name w:val="Box Dark - Heading Level 3"/>
    <w:basedOn w:val="BOXHeading3"/>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customStyle="1" w:styleId="BoxDark-Text">
    <w:name w:val="Box Dark - Text"/>
    <w:basedOn w:val="BOXText"/>
    <w:uiPriority w:val="7"/>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rPr>
  </w:style>
  <w:style w:type="paragraph" w:customStyle="1" w:styleId="BOXNumberedList">
    <w:name w:val="BOX Numbered List"/>
    <w:basedOn w:val="BOXText"/>
    <w:uiPriority w:val="5"/>
    <w:qFormat/>
    <w:rsid w:val="00BD171D"/>
    <w:pPr>
      <w:ind w:left="840" w:hanging="360"/>
    </w:pPr>
  </w:style>
  <w:style w:type="paragraph" w:customStyle="1" w:styleId="BoxDark-NumberedList">
    <w:name w:val="Box Dark - Numbered List"/>
    <w:basedOn w:val="BOXNumberedList"/>
    <w:uiPriority w:val="8"/>
    <w:rsid w:val="00FE2C7F"/>
    <w:pPr>
      <w:numPr>
        <w:numId w:val="6"/>
      </w:num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1B375C" w:themeColor="accent1"/>
        <w:bottom w:val="single" w:sz="12" w:space="0" w:color="1B375C" w:themeColor="accent1"/>
        <w:insideH w:val="single" w:sz="4" w:space="0" w:color="1B375C" w:themeColor="accent1"/>
      </w:tblBorders>
      <w:tblCellMar>
        <w:top w:w="57" w:type="dxa"/>
        <w:bottom w:w="57" w:type="dxa"/>
      </w:tblCellMar>
    </w:tblPr>
    <w:tblStylePr w:type="firstRow">
      <w:rPr>
        <w:rFonts w:asciiTheme="minorHAnsi" w:hAnsiTheme="minorHAnsi"/>
        <w:b/>
        <w:sz w:val="18"/>
      </w:rPr>
      <w:tblPr/>
      <w:tcPr>
        <w:shd w:val="clear" w:color="auto" w:fill="1B375C" w:themeFill="accent1"/>
      </w:tcPr>
    </w:tblStylePr>
    <w:tblStylePr w:type="band1Horz">
      <w:tblPr/>
      <w:tcPr>
        <w:shd w:val="clear" w:color="auto" w:fill="E0E8F2" w:themeFill="background2"/>
      </w:tcPr>
    </w:tblStylePr>
  </w:style>
  <w:style w:type="table" w:customStyle="1" w:styleId="Style1">
    <w:name w:val="Style1"/>
    <w:basedOn w:val="Custom1"/>
    <w:uiPriority w:val="99"/>
    <w:rsid w:val="00815583"/>
    <w:tblPr>
      <w:tblBorders>
        <w:top w:val="none" w:sz="0" w:space="0" w:color="auto"/>
        <w:left w:val="single" w:sz="4" w:space="0" w:color="1B375C" w:themeColor="accent1"/>
        <w:bottom w:val="single" w:sz="4" w:space="0" w:color="1B375C" w:themeColor="accent1"/>
        <w:right w:val="single" w:sz="4" w:space="0" w:color="1B375C" w:themeColor="accent1"/>
        <w:insideH w:val="none" w:sz="0" w:space="0" w:color="auto"/>
        <w:insideV w:val="single" w:sz="4" w:space="0" w:color="1B375C" w:themeColor="accent1"/>
      </w:tblBorders>
    </w:tblPr>
    <w:tblStylePr w:type="firstRow">
      <w:rPr>
        <w:rFonts w:asciiTheme="minorHAnsi" w:hAnsiTheme="minorHAnsi"/>
        <w:b/>
        <w:sz w:val="18"/>
      </w:rPr>
      <w:tblPr/>
      <w:tcPr>
        <w:shd w:val="clear" w:color="auto" w:fill="1B375C" w:themeFill="accent1"/>
      </w:tcPr>
    </w:tblStylePr>
    <w:tblStylePr w:type="firstCol">
      <w:rPr>
        <w:b/>
      </w:rPr>
      <w:tblPr/>
      <w:tcPr>
        <w:shd w:val="clear" w:color="auto" w:fill="1B375C" w:themeFill="accent1"/>
      </w:tcPr>
    </w:tblStylePr>
    <w:tblStylePr w:type="band1Horz">
      <w:tblPr/>
      <w:tcPr>
        <w:shd w:val="clear" w:color="auto" w:fill="E0E8F2" w:themeFill="background2"/>
      </w:tcPr>
    </w:tblStylePr>
  </w:style>
  <w:style w:type="paragraph" w:customStyle="1" w:styleId="EmphasisPanelBullet">
    <w:name w:val="Emphasis Panel Bullet"/>
    <w:uiPriority w:val="11"/>
    <w:qFormat/>
    <w:rsid w:val="0014151F"/>
    <w:pPr>
      <w:keepLines/>
      <w:pBdr>
        <w:top w:val="single" w:sz="4" w:space="8" w:color="E0E8F2" w:themeColor="background2"/>
        <w:left w:val="single" w:sz="4" w:space="8" w:color="E0E8F2" w:themeColor="background2"/>
        <w:bottom w:val="single" w:sz="4" w:space="8" w:color="E0E8F2" w:themeColor="background2"/>
        <w:right w:val="single" w:sz="4" w:space="8" w:color="E0E8F2" w:themeColor="background2"/>
      </w:pBdr>
      <w:shd w:val="clear" w:color="auto" w:fill="E0E8F2" w:themeFill="background2"/>
      <w:spacing w:before="120" w:after="120" w:line="264" w:lineRule="auto"/>
      <w:ind w:left="567" w:right="215" w:hanging="369"/>
    </w:pPr>
    <w:rPr>
      <w:rFonts w:eastAsia="Times New Roman" w:cstheme="minorHAnsi"/>
      <w:color w:val="262626" w:themeColor="text1" w:themeTint="D9"/>
      <w:sz w:val="20"/>
      <w:szCs w:val="22"/>
      <w:lang w:val="en-US"/>
    </w:rPr>
  </w:style>
  <w:style w:type="paragraph" w:customStyle="1" w:styleId="TableNumbering">
    <w:name w:val="Table Numbering"/>
    <w:uiPriority w:val="11"/>
    <w:qFormat/>
    <w:rsid w:val="002771EC"/>
    <w:pPr>
      <w:spacing w:before="40" w:after="40" w:line="264" w:lineRule="auto"/>
      <w:ind w:left="284" w:hanging="284"/>
    </w:pPr>
    <w:rPr>
      <w:rFonts w:eastAsiaTheme="minorHAnsi"/>
      <w:color w:val="000000" w:themeColor="text1"/>
      <w:sz w:val="18"/>
      <w:szCs w:val="20"/>
    </w:rPr>
  </w:style>
  <w:style w:type="character" w:styleId="FollowedHyperlink">
    <w:name w:val="FollowedHyperlink"/>
    <w:basedOn w:val="DefaultParagraphFont"/>
    <w:uiPriority w:val="99"/>
    <w:semiHidden/>
    <w:unhideWhenUsed/>
    <w:rsid w:val="007E6917"/>
    <w:rPr>
      <w:color w:val="1B375C" w:themeColor="followedHyperlink"/>
      <w:u w:val="single"/>
    </w:rPr>
  </w:style>
  <w:style w:type="character" w:customStyle="1" w:styleId="ListParagraphChar">
    <w:name w:val="List Paragraph Char"/>
    <w:aliases w:val="Bullets Char,TOC style Char,lp1 Char,Bullet OSM Char,Proposal Bullet List Char,List Paragraph1 Char,Recommendation Char,List Paragraph11 Char,List Paragraph111 Char,L Char,F5 List Paragraph Char,Dot pt Char,CV text Char"/>
    <w:basedOn w:val="DefaultParagraphFont"/>
    <w:link w:val="ListParagraph"/>
    <w:uiPriority w:val="34"/>
    <w:qFormat/>
    <w:locked/>
    <w:rsid w:val="002C48C3"/>
    <w:rPr>
      <w:sz w:val="22"/>
    </w:rPr>
  </w:style>
  <w:style w:type="paragraph" w:styleId="NormalWeb">
    <w:name w:val="Normal (Web)"/>
    <w:basedOn w:val="Normal"/>
    <w:uiPriority w:val="99"/>
    <w:unhideWhenUsed/>
    <w:rsid w:val="00857F4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911B7C"/>
    <w:rPr>
      <w:sz w:val="16"/>
      <w:szCs w:val="16"/>
    </w:rPr>
  </w:style>
  <w:style w:type="paragraph" w:styleId="CommentText">
    <w:name w:val="annotation text"/>
    <w:basedOn w:val="Normal"/>
    <w:link w:val="CommentTextChar"/>
    <w:uiPriority w:val="99"/>
    <w:unhideWhenUsed/>
    <w:rsid w:val="00911B7C"/>
    <w:pPr>
      <w:spacing w:line="240" w:lineRule="auto"/>
    </w:pPr>
    <w:rPr>
      <w:sz w:val="20"/>
      <w:szCs w:val="20"/>
    </w:rPr>
  </w:style>
  <w:style w:type="character" w:customStyle="1" w:styleId="CommentTextChar">
    <w:name w:val="Comment Text Char"/>
    <w:basedOn w:val="DefaultParagraphFont"/>
    <w:link w:val="CommentText"/>
    <w:uiPriority w:val="99"/>
    <w:rsid w:val="00911B7C"/>
    <w:rPr>
      <w:sz w:val="20"/>
      <w:szCs w:val="20"/>
    </w:rPr>
  </w:style>
  <w:style w:type="paragraph" w:styleId="CommentSubject">
    <w:name w:val="annotation subject"/>
    <w:basedOn w:val="CommentText"/>
    <w:next w:val="CommentText"/>
    <w:link w:val="CommentSubjectChar"/>
    <w:uiPriority w:val="99"/>
    <w:semiHidden/>
    <w:unhideWhenUsed/>
    <w:rsid w:val="00911B7C"/>
    <w:rPr>
      <w:b/>
      <w:bCs/>
    </w:rPr>
  </w:style>
  <w:style w:type="character" w:customStyle="1" w:styleId="CommentSubjectChar">
    <w:name w:val="Comment Subject Char"/>
    <w:basedOn w:val="CommentTextChar"/>
    <w:link w:val="CommentSubject"/>
    <w:uiPriority w:val="99"/>
    <w:semiHidden/>
    <w:rsid w:val="00911B7C"/>
    <w:rPr>
      <w:b/>
      <w:bCs/>
      <w:sz w:val="20"/>
      <w:szCs w:val="20"/>
    </w:rPr>
  </w:style>
  <w:style w:type="paragraph" w:styleId="FootnoteText">
    <w:name w:val="footnote text"/>
    <w:basedOn w:val="Normal"/>
    <w:link w:val="FootnoteTextChar"/>
    <w:uiPriority w:val="99"/>
    <w:unhideWhenUsed/>
    <w:rsid w:val="00925CFF"/>
    <w:pPr>
      <w:spacing w:after="0" w:line="240" w:lineRule="auto"/>
    </w:pPr>
    <w:rPr>
      <w:sz w:val="20"/>
      <w:szCs w:val="20"/>
    </w:rPr>
  </w:style>
  <w:style w:type="character" w:customStyle="1" w:styleId="FootnoteTextChar">
    <w:name w:val="Footnote Text Char"/>
    <w:basedOn w:val="DefaultParagraphFont"/>
    <w:link w:val="FootnoteText"/>
    <w:uiPriority w:val="99"/>
    <w:rsid w:val="00925CFF"/>
    <w:rPr>
      <w:sz w:val="20"/>
      <w:szCs w:val="20"/>
    </w:rPr>
  </w:style>
  <w:style w:type="character" w:styleId="FootnoteReference">
    <w:name w:val="footnote reference"/>
    <w:basedOn w:val="DefaultParagraphFont"/>
    <w:uiPriority w:val="99"/>
    <w:semiHidden/>
    <w:unhideWhenUsed/>
    <w:rsid w:val="00925CFF"/>
    <w:rPr>
      <w:vertAlign w:val="superscript"/>
    </w:rPr>
  </w:style>
  <w:style w:type="paragraph" w:styleId="EndnoteText">
    <w:name w:val="endnote text"/>
    <w:basedOn w:val="Normal"/>
    <w:link w:val="EndnoteTextChar"/>
    <w:uiPriority w:val="99"/>
    <w:semiHidden/>
    <w:unhideWhenUsed/>
    <w:rsid w:val="00160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0F1B"/>
    <w:rPr>
      <w:sz w:val="20"/>
      <w:szCs w:val="20"/>
    </w:rPr>
  </w:style>
  <w:style w:type="character" w:styleId="EndnoteReference">
    <w:name w:val="endnote reference"/>
    <w:basedOn w:val="DefaultParagraphFont"/>
    <w:uiPriority w:val="99"/>
    <w:semiHidden/>
    <w:unhideWhenUsed/>
    <w:rsid w:val="00160F1B"/>
    <w:rPr>
      <w:vertAlign w:val="superscript"/>
    </w:rPr>
  </w:style>
  <w:style w:type="numbering" w:customStyle="1" w:styleId="NoList1">
    <w:name w:val="No List1"/>
    <w:next w:val="NoList"/>
    <w:uiPriority w:val="99"/>
    <w:semiHidden/>
    <w:unhideWhenUsed/>
    <w:rsid w:val="00355CA0"/>
  </w:style>
  <w:style w:type="table" w:customStyle="1" w:styleId="TableGrid1">
    <w:name w:val="Table Grid1"/>
    <w:basedOn w:val="TableNormal"/>
    <w:next w:val="TableGrid"/>
    <w:uiPriority w:val="39"/>
    <w:rsid w:val="00355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
    <w:uiPriority w:val="49"/>
    <w:rsid w:val="00355CA0"/>
    <w:pPr>
      <w:spacing w:after="0" w:line="240" w:lineRule="auto"/>
    </w:pPr>
    <w:tblPr>
      <w:tblStyleRowBandSize w:val="1"/>
      <w:tblStyleColBandSize w:val="1"/>
      <w:tblBorders>
        <w:top w:val="single" w:sz="4" w:space="0" w:color="4980C9"/>
        <w:left w:val="single" w:sz="4" w:space="0" w:color="4980C9"/>
        <w:bottom w:val="single" w:sz="4" w:space="0" w:color="4980C9"/>
        <w:right w:val="single" w:sz="4" w:space="0" w:color="4980C9"/>
        <w:insideH w:val="single" w:sz="4" w:space="0" w:color="4980C9"/>
      </w:tblBorders>
    </w:tblPr>
    <w:tblStylePr w:type="firstRow">
      <w:rPr>
        <w:b/>
        <w:bCs/>
        <w:color w:val="FFFFFF"/>
      </w:rPr>
      <w:tblPr/>
      <w:tcPr>
        <w:tcBorders>
          <w:top w:val="single" w:sz="4" w:space="0" w:color="1B375C"/>
          <w:left w:val="single" w:sz="4" w:space="0" w:color="1B375C"/>
          <w:bottom w:val="single" w:sz="4" w:space="0" w:color="1B375C"/>
          <w:right w:val="single" w:sz="4" w:space="0" w:color="1B375C"/>
          <w:insideH w:val="nil"/>
        </w:tcBorders>
        <w:shd w:val="clear" w:color="auto" w:fill="1B375C"/>
      </w:tcPr>
    </w:tblStylePr>
    <w:tblStylePr w:type="lastRow">
      <w:rPr>
        <w:b/>
        <w:bCs/>
      </w:rPr>
      <w:tblPr/>
      <w:tcPr>
        <w:tcBorders>
          <w:top w:val="double" w:sz="4" w:space="0" w:color="4980C9"/>
        </w:tcBorders>
      </w:tcPr>
    </w:tblStylePr>
    <w:tblStylePr w:type="firstCol">
      <w:rPr>
        <w:b/>
        <w:bCs/>
      </w:rPr>
    </w:tblStylePr>
    <w:tblStylePr w:type="lastCol">
      <w:rPr>
        <w:b/>
        <w:bCs/>
      </w:rPr>
    </w:tblStylePr>
    <w:tblStylePr w:type="band1Vert">
      <w:tblPr/>
      <w:tcPr>
        <w:shd w:val="clear" w:color="auto" w:fill="C2D4ED"/>
      </w:tcPr>
    </w:tblStylePr>
    <w:tblStylePr w:type="band1Horz">
      <w:tblPr/>
      <w:tcPr>
        <w:shd w:val="clear" w:color="auto" w:fill="C2D4ED"/>
      </w:tcPr>
    </w:tblStylePr>
  </w:style>
  <w:style w:type="table" w:customStyle="1" w:styleId="Custom11">
    <w:name w:val="Custom 11"/>
    <w:basedOn w:val="TableNormal"/>
    <w:uiPriority w:val="99"/>
    <w:rsid w:val="00355CA0"/>
    <w:pPr>
      <w:spacing w:after="0" w:line="240" w:lineRule="auto"/>
    </w:pPr>
    <w:rPr>
      <w:sz w:val="18"/>
    </w:rPr>
    <w:tblPr>
      <w:tblStyleRowBandSize w:val="1"/>
      <w:tblBorders>
        <w:top w:val="single" w:sz="4" w:space="0" w:color="1B375C"/>
        <w:bottom w:val="single" w:sz="12" w:space="0" w:color="1B375C"/>
        <w:insideH w:val="single" w:sz="4" w:space="0" w:color="1B375C"/>
      </w:tblBorders>
      <w:tblCellMar>
        <w:top w:w="57" w:type="dxa"/>
        <w:bottom w:w="57" w:type="dxa"/>
      </w:tblCellMar>
    </w:tblPr>
    <w:tblStylePr w:type="firstRow">
      <w:rPr>
        <w:rFonts w:ascii="Segoe UI Light" w:hAnsi="Segoe UI Light"/>
        <w:b/>
        <w:sz w:val="18"/>
      </w:rPr>
      <w:tblPr/>
      <w:tcPr>
        <w:shd w:val="clear" w:color="auto" w:fill="1B375C"/>
      </w:tcPr>
    </w:tblStylePr>
    <w:tblStylePr w:type="band1Horz">
      <w:tblPr/>
      <w:tcPr>
        <w:shd w:val="clear" w:color="auto" w:fill="E0E8F2"/>
      </w:tcPr>
    </w:tblStylePr>
  </w:style>
  <w:style w:type="table" w:customStyle="1" w:styleId="Style11">
    <w:name w:val="Style11"/>
    <w:basedOn w:val="Custom1"/>
    <w:uiPriority w:val="99"/>
    <w:rsid w:val="00355CA0"/>
    <w:tblPr>
      <w:tblBorders>
        <w:top w:val="none" w:sz="0" w:space="0" w:color="auto"/>
        <w:left w:val="single" w:sz="4" w:space="0" w:color="1B375C"/>
        <w:bottom w:val="single" w:sz="4" w:space="0" w:color="1B375C"/>
        <w:right w:val="single" w:sz="4" w:space="0" w:color="1B375C"/>
        <w:insideH w:val="none" w:sz="0" w:space="0" w:color="auto"/>
        <w:insideV w:val="single" w:sz="4" w:space="0" w:color="1B375C"/>
      </w:tblBorders>
    </w:tblPr>
    <w:tblStylePr w:type="firstRow">
      <w:rPr>
        <w:rFonts w:ascii="Segoe UI Light" w:hAnsi="Segoe UI Light"/>
        <w:b/>
        <w:sz w:val="18"/>
      </w:rPr>
      <w:tblPr/>
      <w:tcPr>
        <w:shd w:val="clear" w:color="auto" w:fill="1B375C"/>
      </w:tcPr>
    </w:tblStylePr>
    <w:tblStylePr w:type="firstCol">
      <w:rPr>
        <w:b/>
      </w:rPr>
      <w:tblPr/>
      <w:tcPr>
        <w:shd w:val="clear" w:color="auto" w:fill="1B375C"/>
      </w:tcPr>
    </w:tblStylePr>
    <w:tblStylePr w:type="band1Horz">
      <w:tblPr/>
      <w:tcPr>
        <w:shd w:val="clear" w:color="auto" w:fill="E0E8F2"/>
      </w:tcPr>
    </w:tblStylePr>
  </w:style>
  <w:style w:type="paragraph" w:customStyle="1" w:styleId="Default">
    <w:name w:val="Default"/>
    <w:rsid w:val="00355CA0"/>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355CA0"/>
    <w:pPr>
      <w:spacing w:after="0" w:line="240" w:lineRule="auto"/>
    </w:pPr>
    <w:rPr>
      <w:sz w:val="22"/>
    </w:rPr>
  </w:style>
  <w:style w:type="character" w:customStyle="1" w:styleId="ui-provider">
    <w:name w:val="ui-provider"/>
    <w:basedOn w:val="DefaultParagraphFont"/>
    <w:rsid w:val="00355CA0"/>
  </w:style>
  <w:style w:type="table" w:styleId="TableGridLight">
    <w:name w:val="Grid Table Light"/>
    <w:basedOn w:val="TableNormal"/>
    <w:uiPriority w:val="40"/>
    <w:rsid w:val="006D0B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D0BB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BNumberedParagraph">
    <w:name w:val="CAB Numbered Paragraph"/>
    <w:basedOn w:val="Normal"/>
    <w:uiPriority w:val="98"/>
    <w:qFormat/>
    <w:rsid w:val="00BF234E"/>
    <w:pPr>
      <w:tabs>
        <w:tab w:val="num" w:pos="340"/>
      </w:tabs>
      <w:spacing w:line="276" w:lineRule="auto"/>
      <w:ind w:left="340"/>
    </w:pPr>
    <w:rPr>
      <w:rFonts w:ascii="Arial" w:eastAsiaTheme="minorHAnsi" w:hAnsi="Arial"/>
      <w:szCs w:val="22"/>
    </w:rPr>
  </w:style>
  <w:style w:type="paragraph" w:styleId="TOC4">
    <w:name w:val="toc 4"/>
    <w:basedOn w:val="Normal"/>
    <w:next w:val="Normal"/>
    <w:autoRedefine/>
    <w:uiPriority w:val="39"/>
    <w:unhideWhenUsed/>
    <w:rsid w:val="004D10DD"/>
    <w:pPr>
      <w:spacing w:after="100" w:line="259" w:lineRule="auto"/>
      <w:ind w:left="660"/>
    </w:pPr>
    <w:rPr>
      <w:rFonts w:asciiTheme="minorHAnsi" w:hAnsiTheme="minorHAnsi"/>
      <w:szCs w:val="22"/>
      <w:lang w:eastAsia="en-AU"/>
    </w:rPr>
  </w:style>
  <w:style w:type="paragraph" w:styleId="TOC5">
    <w:name w:val="toc 5"/>
    <w:basedOn w:val="Normal"/>
    <w:next w:val="Normal"/>
    <w:autoRedefine/>
    <w:uiPriority w:val="39"/>
    <w:unhideWhenUsed/>
    <w:rsid w:val="004D10DD"/>
    <w:pPr>
      <w:spacing w:after="100" w:line="259" w:lineRule="auto"/>
      <w:ind w:left="880"/>
    </w:pPr>
    <w:rPr>
      <w:rFonts w:asciiTheme="minorHAnsi" w:hAnsiTheme="minorHAnsi"/>
      <w:szCs w:val="22"/>
      <w:lang w:eastAsia="en-AU"/>
    </w:rPr>
  </w:style>
  <w:style w:type="paragraph" w:styleId="TOC6">
    <w:name w:val="toc 6"/>
    <w:basedOn w:val="Normal"/>
    <w:next w:val="Normal"/>
    <w:autoRedefine/>
    <w:uiPriority w:val="39"/>
    <w:unhideWhenUsed/>
    <w:rsid w:val="004D10DD"/>
    <w:pPr>
      <w:spacing w:after="100" w:line="259" w:lineRule="auto"/>
      <w:ind w:left="1100"/>
    </w:pPr>
    <w:rPr>
      <w:rFonts w:asciiTheme="minorHAnsi" w:hAnsiTheme="minorHAnsi"/>
      <w:szCs w:val="22"/>
      <w:lang w:eastAsia="en-AU"/>
    </w:rPr>
  </w:style>
  <w:style w:type="paragraph" w:styleId="TOC7">
    <w:name w:val="toc 7"/>
    <w:basedOn w:val="Normal"/>
    <w:next w:val="Normal"/>
    <w:autoRedefine/>
    <w:uiPriority w:val="39"/>
    <w:unhideWhenUsed/>
    <w:rsid w:val="004D10DD"/>
    <w:pPr>
      <w:spacing w:after="100" w:line="259" w:lineRule="auto"/>
      <w:ind w:left="1320"/>
    </w:pPr>
    <w:rPr>
      <w:rFonts w:asciiTheme="minorHAnsi" w:hAnsiTheme="minorHAnsi"/>
      <w:szCs w:val="22"/>
      <w:lang w:eastAsia="en-AU"/>
    </w:rPr>
  </w:style>
  <w:style w:type="paragraph" w:styleId="TOC8">
    <w:name w:val="toc 8"/>
    <w:basedOn w:val="Normal"/>
    <w:next w:val="Normal"/>
    <w:autoRedefine/>
    <w:uiPriority w:val="39"/>
    <w:unhideWhenUsed/>
    <w:rsid w:val="004D10DD"/>
    <w:pPr>
      <w:spacing w:after="100" w:line="259" w:lineRule="auto"/>
      <w:ind w:left="1540"/>
    </w:pPr>
    <w:rPr>
      <w:rFonts w:asciiTheme="minorHAnsi" w:hAnsiTheme="minorHAnsi"/>
      <w:szCs w:val="22"/>
      <w:lang w:eastAsia="en-AU"/>
    </w:rPr>
  </w:style>
  <w:style w:type="paragraph" w:styleId="TOC9">
    <w:name w:val="toc 9"/>
    <w:basedOn w:val="Normal"/>
    <w:next w:val="Normal"/>
    <w:autoRedefine/>
    <w:uiPriority w:val="39"/>
    <w:unhideWhenUsed/>
    <w:rsid w:val="004D10DD"/>
    <w:pPr>
      <w:spacing w:after="100" w:line="259" w:lineRule="auto"/>
      <w:ind w:left="1760"/>
    </w:pPr>
    <w:rPr>
      <w:rFonts w:asciiTheme="minorHAnsi" w:hAnsiTheme="minorHAnsi"/>
      <w:szCs w:val="22"/>
      <w:lang w:eastAsia="en-AU"/>
    </w:rPr>
  </w:style>
  <w:style w:type="table" w:styleId="PlainTable3">
    <w:name w:val="Plain Table 3"/>
    <w:basedOn w:val="TableNormal"/>
    <w:uiPriority w:val="43"/>
    <w:rsid w:val="00815A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11241">
      <w:bodyDiv w:val="1"/>
      <w:marLeft w:val="0"/>
      <w:marRight w:val="0"/>
      <w:marTop w:val="0"/>
      <w:marBottom w:val="0"/>
      <w:divBdr>
        <w:top w:val="none" w:sz="0" w:space="0" w:color="auto"/>
        <w:left w:val="none" w:sz="0" w:space="0" w:color="auto"/>
        <w:bottom w:val="none" w:sz="0" w:space="0" w:color="auto"/>
        <w:right w:val="none" w:sz="0" w:space="0" w:color="auto"/>
      </w:divBdr>
    </w:div>
    <w:div w:id="110831218">
      <w:bodyDiv w:val="1"/>
      <w:marLeft w:val="0"/>
      <w:marRight w:val="0"/>
      <w:marTop w:val="0"/>
      <w:marBottom w:val="0"/>
      <w:divBdr>
        <w:top w:val="none" w:sz="0" w:space="0" w:color="auto"/>
        <w:left w:val="none" w:sz="0" w:space="0" w:color="auto"/>
        <w:bottom w:val="none" w:sz="0" w:space="0" w:color="auto"/>
        <w:right w:val="none" w:sz="0" w:space="0" w:color="auto"/>
      </w:divBdr>
    </w:div>
    <w:div w:id="118378558">
      <w:bodyDiv w:val="1"/>
      <w:marLeft w:val="0"/>
      <w:marRight w:val="0"/>
      <w:marTop w:val="0"/>
      <w:marBottom w:val="0"/>
      <w:divBdr>
        <w:top w:val="none" w:sz="0" w:space="0" w:color="auto"/>
        <w:left w:val="none" w:sz="0" w:space="0" w:color="auto"/>
        <w:bottom w:val="none" w:sz="0" w:space="0" w:color="auto"/>
        <w:right w:val="none" w:sz="0" w:space="0" w:color="auto"/>
      </w:divBdr>
    </w:div>
    <w:div w:id="181865386">
      <w:bodyDiv w:val="1"/>
      <w:marLeft w:val="0"/>
      <w:marRight w:val="0"/>
      <w:marTop w:val="0"/>
      <w:marBottom w:val="0"/>
      <w:divBdr>
        <w:top w:val="none" w:sz="0" w:space="0" w:color="auto"/>
        <w:left w:val="none" w:sz="0" w:space="0" w:color="auto"/>
        <w:bottom w:val="none" w:sz="0" w:space="0" w:color="auto"/>
        <w:right w:val="none" w:sz="0" w:space="0" w:color="auto"/>
      </w:divBdr>
    </w:div>
    <w:div w:id="189270131">
      <w:bodyDiv w:val="1"/>
      <w:marLeft w:val="0"/>
      <w:marRight w:val="0"/>
      <w:marTop w:val="0"/>
      <w:marBottom w:val="0"/>
      <w:divBdr>
        <w:top w:val="none" w:sz="0" w:space="0" w:color="auto"/>
        <w:left w:val="none" w:sz="0" w:space="0" w:color="auto"/>
        <w:bottom w:val="none" w:sz="0" w:space="0" w:color="auto"/>
        <w:right w:val="none" w:sz="0" w:space="0" w:color="auto"/>
      </w:divBdr>
    </w:div>
    <w:div w:id="250435766">
      <w:bodyDiv w:val="1"/>
      <w:marLeft w:val="0"/>
      <w:marRight w:val="0"/>
      <w:marTop w:val="0"/>
      <w:marBottom w:val="0"/>
      <w:divBdr>
        <w:top w:val="none" w:sz="0" w:space="0" w:color="auto"/>
        <w:left w:val="none" w:sz="0" w:space="0" w:color="auto"/>
        <w:bottom w:val="none" w:sz="0" w:space="0" w:color="auto"/>
        <w:right w:val="none" w:sz="0" w:space="0" w:color="auto"/>
      </w:divBdr>
      <w:divsChild>
        <w:div w:id="1551841468">
          <w:marLeft w:val="274"/>
          <w:marRight w:val="0"/>
          <w:marTop w:val="0"/>
          <w:marBottom w:val="0"/>
          <w:divBdr>
            <w:top w:val="none" w:sz="0" w:space="0" w:color="auto"/>
            <w:left w:val="none" w:sz="0" w:space="0" w:color="auto"/>
            <w:bottom w:val="none" w:sz="0" w:space="0" w:color="auto"/>
            <w:right w:val="none" w:sz="0" w:space="0" w:color="auto"/>
          </w:divBdr>
        </w:div>
        <w:div w:id="859320661">
          <w:marLeft w:val="274"/>
          <w:marRight w:val="0"/>
          <w:marTop w:val="0"/>
          <w:marBottom w:val="0"/>
          <w:divBdr>
            <w:top w:val="none" w:sz="0" w:space="0" w:color="auto"/>
            <w:left w:val="none" w:sz="0" w:space="0" w:color="auto"/>
            <w:bottom w:val="none" w:sz="0" w:space="0" w:color="auto"/>
            <w:right w:val="none" w:sz="0" w:space="0" w:color="auto"/>
          </w:divBdr>
        </w:div>
      </w:divsChild>
    </w:div>
    <w:div w:id="267005059">
      <w:bodyDiv w:val="1"/>
      <w:marLeft w:val="0"/>
      <w:marRight w:val="0"/>
      <w:marTop w:val="0"/>
      <w:marBottom w:val="0"/>
      <w:divBdr>
        <w:top w:val="none" w:sz="0" w:space="0" w:color="auto"/>
        <w:left w:val="none" w:sz="0" w:space="0" w:color="auto"/>
        <w:bottom w:val="none" w:sz="0" w:space="0" w:color="auto"/>
        <w:right w:val="none" w:sz="0" w:space="0" w:color="auto"/>
      </w:divBdr>
    </w:div>
    <w:div w:id="281883044">
      <w:bodyDiv w:val="1"/>
      <w:marLeft w:val="0"/>
      <w:marRight w:val="0"/>
      <w:marTop w:val="0"/>
      <w:marBottom w:val="0"/>
      <w:divBdr>
        <w:top w:val="none" w:sz="0" w:space="0" w:color="auto"/>
        <w:left w:val="none" w:sz="0" w:space="0" w:color="auto"/>
        <w:bottom w:val="none" w:sz="0" w:space="0" w:color="auto"/>
        <w:right w:val="none" w:sz="0" w:space="0" w:color="auto"/>
      </w:divBdr>
    </w:div>
    <w:div w:id="344405214">
      <w:bodyDiv w:val="1"/>
      <w:marLeft w:val="0"/>
      <w:marRight w:val="0"/>
      <w:marTop w:val="0"/>
      <w:marBottom w:val="0"/>
      <w:divBdr>
        <w:top w:val="none" w:sz="0" w:space="0" w:color="auto"/>
        <w:left w:val="none" w:sz="0" w:space="0" w:color="auto"/>
        <w:bottom w:val="none" w:sz="0" w:space="0" w:color="auto"/>
        <w:right w:val="none" w:sz="0" w:space="0" w:color="auto"/>
      </w:divBdr>
    </w:div>
    <w:div w:id="362950054">
      <w:bodyDiv w:val="1"/>
      <w:marLeft w:val="0"/>
      <w:marRight w:val="0"/>
      <w:marTop w:val="0"/>
      <w:marBottom w:val="0"/>
      <w:divBdr>
        <w:top w:val="none" w:sz="0" w:space="0" w:color="auto"/>
        <w:left w:val="none" w:sz="0" w:space="0" w:color="auto"/>
        <w:bottom w:val="none" w:sz="0" w:space="0" w:color="auto"/>
        <w:right w:val="none" w:sz="0" w:space="0" w:color="auto"/>
      </w:divBdr>
    </w:div>
    <w:div w:id="374935614">
      <w:bodyDiv w:val="1"/>
      <w:marLeft w:val="0"/>
      <w:marRight w:val="0"/>
      <w:marTop w:val="0"/>
      <w:marBottom w:val="0"/>
      <w:divBdr>
        <w:top w:val="none" w:sz="0" w:space="0" w:color="auto"/>
        <w:left w:val="none" w:sz="0" w:space="0" w:color="auto"/>
        <w:bottom w:val="none" w:sz="0" w:space="0" w:color="auto"/>
        <w:right w:val="none" w:sz="0" w:space="0" w:color="auto"/>
      </w:divBdr>
    </w:div>
    <w:div w:id="415172678">
      <w:bodyDiv w:val="1"/>
      <w:marLeft w:val="0"/>
      <w:marRight w:val="0"/>
      <w:marTop w:val="0"/>
      <w:marBottom w:val="0"/>
      <w:divBdr>
        <w:top w:val="none" w:sz="0" w:space="0" w:color="auto"/>
        <w:left w:val="none" w:sz="0" w:space="0" w:color="auto"/>
        <w:bottom w:val="none" w:sz="0" w:space="0" w:color="auto"/>
        <w:right w:val="none" w:sz="0" w:space="0" w:color="auto"/>
      </w:divBdr>
    </w:div>
    <w:div w:id="420294034">
      <w:bodyDiv w:val="1"/>
      <w:marLeft w:val="0"/>
      <w:marRight w:val="0"/>
      <w:marTop w:val="0"/>
      <w:marBottom w:val="0"/>
      <w:divBdr>
        <w:top w:val="none" w:sz="0" w:space="0" w:color="auto"/>
        <w:left w:val="none" w:sz="0" w:space="0" w:color="auto"/>
        <w:bottom w:val="none" w:sz="0" w:space="0" w:color="auto"/>
        <w:right w:val="none" w:sz="0" w:space="0" w:color="auto"/>
      </w:divBdr>
    </w:div>
    <w:div w:id="477575084">
      <w:bodyDiv w:val="1"/>
      <w:marLeft w:val="0"/>
      <w:marRight w:val="0"/>
      <w:marTop w:val="0"/>
      <w:marBottom w:val="0"/>
      <w:divBdr>
        <w:top w:val="none" w:sz="0" w:space="0" w:color="auto"/>
        <w:left w:val="none" w:sz="0" w:space="0" w:color="auto"/>
        <w:bottom w:val="none" w:sz="0" w:space="0" w:color="auto"/>
        <w:right w:val="none" w:sz="0" w:space="0" w:color="auto"/>
      </w:divBdr>
    </w:div>
    <w:div w:id="513618343">
      <w:bodyDiv w:val="1"/>
      <w:marLeft w:val="0"/>
      <w:marRight w:val="0"/>
      <w:marTop w:val="0"/>
      <w:marBottom w:val="0"/>
      <w:divBdr>
        <w:top w:val="none" w:sz="0" w:space="0" w:color="auto"/>
        <w:left w:val="none" w:sz="0" w:space="0" w:color="auto"/>
        <w:bottom w:val="none" w:sz="0" w:space="0" w:color="auto"/>
        <w:right w:val="none" w:sz="0" w:space="0" w:color="auto"/>
      </w:divBdr>
    </w:div>
    <w:div w:id="519468401">
      <w:bodyDiv w:val="1"/>
      <w:marLeft w:val="0"/>
      <w:marRight w:val="0"/>
      <w:marTop w:val="0"/>
      <w:marBottom w:val="0"/>
      <w:divBdr>
        <w:top w:val="none" w:sz="0" w:space="0" w:color="auto"/>
        <w:left w:val="none" w:sz="0" w:space="0" w:color="auto"/>
        <w:bottom w:val="none" w:sz="0" w:space="0" w:color="auto"/>
        <w:right w:val="none" w:sz="0" w:space="0" w:color="auto"/>
      </w:divBdr>
    </w:div>
    <w:div w:id="539825592">
      <w:bodyDiv w:val="1"/>
      <w:marLeft w:val="0"/>
      <w:marRight w:val="0"/>
      <w:marTop w:val="0"/>
      <w:marBottom w:val="0"/>
      <w:divBdr>
        <w:top w:val="none" w:sz="0" w:space="0" w:color="auto"/>
        <w:left w:val="none" w:sz="0" w:space="0" w:color="auto"/>
        <w:bottom w:val="none" w:sz="0" w:space="0" w:color="auto"/>
        <w:right w:val="none" w:sz="0" w:space="0" w:color="auto"/>
      </w:divBdr>
    </w:div>
    <w:div w:id="645011142">
      <w:bodyDiv w:val="1"/>
      <w:marLeft w:val="0"/>
      <w:marRight w:val="0"/>
      <w:marTop w:val="0"/>
      <w:marBottom w:val="0"/>
      <w:divBdr>
        <w:top w:val="none" w:sz="0" w:space="0" w:color="auto"/>
        <w:left w:val="none" w:sz="0" w:space="0" w:color="auto"/>
        <w:bottom w:val="none" w:sz="0" w:space="0" w:color="auto"/>
        <w:right w:val="none" w:sz="0" w:space="0" w:color="auto"/>
      </w:divBdr>
    </w:div>
    <w:div w:id="710344848">
      <w:bodyDiv w:val="1"/>
      <w:marLeft w:val="0"/>
      <w:marRight w:val="0"/>
      <w:marTop w:val="0"/>
      <w:marBottom w:val="0"/>
      <w:divBdr>
        <w:top w:val="none" w:sz="0" w:space="0" w:color="auto"/>
        <w:left w:val="none" w:sz="0" w:space="0" w:color="auto"/>
        <w:bottom w:val="none" w:sz="0" w:space="0" w:color="auto"/>
        <w:right w:val="none" w:sz="0" w:space="0" w:color="auto"/>
      </w:divBdr>
    </w:div>
    <w:div w:id="759764633">
      <w:bodyDiv w:val="1"/>
      <w:marLeft w:val="0"/>
      <w:marRight w:val="0"/>
      <w:marTop w:val="0"/>
      <w:marBottom w:val="0"/>
      <w:divBdr>
        <w:top w:val="none" w:sz="0" w:space="0" w:color="auto"/>
        <w:left w:val="none" w:sz="0" w:space="0" w:color="auto"/>
        <w:bottom w:val="none" w:sz="0" w:space="0" w:color="auto"/>
        <w:right w:val="none" w:sz="0" w:space="0" w:color="auto"/>
      </w:divBdr>
    </w:div>
    <w:div w:id="768699638">
      <w:bodyDiv w:val="1"/>
      <w:marLeft w:val="0"/>
      <w:marRight w:val="0"/>
      <w:marTop w:val="0"/>
      <w:marBottom w:val="0"/>
      <w:divBdr>
        <w:top w:val="none" w:sz="0" w:space="0" w:color="auto"/>
        <w:left w:val="none" w:sz="0" w:space="0" w:color="auto"/>
        <w:bottom w:val="none" w:sz="0" w:space="0" w:color="auto"/>
        <w:right w:val="none" w:sz="0" w:space="0" w:color="auto"/>
      </w:divBdr>
    </w:div>
    <w:div w:id="811211701">
      <w:bodyDiv w:val="1"/>
      <w:marLeft w:val="0"/>
      <w:marRight w:val="0"/>
      <w:marTop w:val="0"/>
      <w:marBottom w:val="0"/>
      <w:divBdr>
        <w:top w:val="none" w:sz="0" w:space="0" w:color="auto"/>
        <w:left w:val="none" w:sz="0" w:space="0" w:color="auto"/>
        <w:bottom w:val="none" w:sz="0" w:space="0" w:color="auto"/>
        <w:right w:val="none" w:sz="0" w:space="0" w:color="auto"/>
      </w:divBdr>
      <w:divsChild>
        <w:div w:id="1971352413">
          <w:marLeft w:val="274"/>
          <w:marRight w:val="0"/>
          <w:marTop w:val="0"/>
          <w:marBottom w:val="0"/>
          <w:divBdr>
            <w:top w:val="none" w:sz="0" w:space="0" w:color="auto"/>
            <w:left w:val="none" w:sz="0" w:space="0" w:color="auto"/>
            <w:bottom w:val="none" w:sz="0" w:space="0" w:color="auto"/>
            <w:right w:val="none" w:sz="0" w:space="0" w:color="auto"/>
          </w:divBdr>
        </w:div>
        <w:div w:id="1658877945">
          <w:marLeft w:val="274"/>
          <w:marRight w:val="0"/>
          <w:marTop w:val="0"/>
          <w:marBottom w:val="0"/>
          <w:divBdr>
            <w:top w:val="none" w:sz="0" w:space="0" w:color="auto"/>
            <w:left w:val="none" w:sz="0" w:space="0" w:color="auto"/>
            <w:bottom w:val="none" w:sz="0" w:space="0" w:color="auto"/>
            <w:right w:val="none" w:sz="0" w:space="0" w:color="auto"/>
          </w:divBdr>
        </w:div>
      </w:divsChild>
    </w:div>
    <w:div w:id="811406234">
      <w:bodyDiv w:val="1"/>
      <w:marLeft w:val="0"/>
      <w:marRight w:val="0"/>
      <w:marTop w:val="0"/>
      <w:marBottom w:val="0"/>
      <w:divBdr>
        <w:top w:val="none" w:sz="0" w:space="0" w:color="auto"/>
        <w:left w:val="none" w:sz="0" w:space="0" w:color="auto"/>
        <w:bottom w:val="none" w:sz="0" w:space="0" w:color="auto"/>
        <w:right w:val="none" w:sz="0" w:space="0" w:color="auto"/>
      </w:divBdr>
    </w:div>
    <w:div w:id="817186166">
      <w:bodyDiv w:val="1"/>
      <w:marLeft w:val="0"/>
      <w:marRight w:val="0"/>
      <w:marTop w:val="0"/>
      <w:marBottom w:val="0"/>
      <w:divBdr>
        <w:top w:val="none" w:sz="0" w:space="0" w:color="auto"/>
        <w:left w:val="none" w:sz="0" w:space="0" w:color="auto"/>
        <w:bottom w:val="none" w:sz="0" w:space="0" w:color="auto"/>
        <w:right w:val="none" w:sz="0" w:space="0" w:color="auto"/>
      </w:divBdr>
    </w:div>
    <w:div w:id="845244905">
      <w:bodyDiv w:val="1"/>
      <w:marLeft w:val="0"/>
      <w:marRight w:val="0"/>
      <w:marTop w:val="0"/>
      <w:marBottom w:val="0"/>
      <w:divBdr>
        <w:top w:val="none" w:sz="0" w:space="0" w:color="auto"/>
        <w:left w:val="none" w:sz="0" w:space="0" w:color="auto"/>
        <w:bottom w:val="none" w:sz="0" w:space="0" w:color="auto"/>
        <w:right w:val="none" w:sz="0" w:space="0" w:color="auto"/>
      </w:divBdr>
    </w:div>
    <w:div w:id="871185398">
      <w:bodyDiv w:val="1"/>
      <w:marLeft w:val="0"/>
      <w:marRight w:val="0"/>
      <w:marTop w:val="0"/>
      <w:marBottom w:val="0"/>
      <w:divBdr>
        <w:top w:val="none" w:sz="0" w:space="0" w:color="auto"/>
        <w:left w:val="none" w:sz="0" w:space="0" w:color="auto"/>
        <w:bottom w:val="none" w:sz="0" w:space="0" w:color="auto"/>
        <w:right w:val="none" w:sz="0" w:space="0" w:color="auto"/>
      </w:divBdr>
      <w:divsChild>
        <w:div w:id="1672030055">
          <w:marLeft w:val="274"/>
          <w:marRight w:val="0"/>
          <w:marTop w:val="0"/>
          <w:marBottom w:val="0"/>
          <w:divBdr>
            <w:top w:val="none" w:sz="0" w:space="0" w:color="auto"/>
            <w:left w:val="none" w:sz="0" w:space="0" w:color="auto"/>
            <w:bottom w:val="none" w:sz="0" w:space="0" w:color="auto"/>
            <w:right w:val="none" w:sz="0" w:space="0" w:color="auto"/>
          </w:divBdr>
        </w:div>
        <w:div w:id="2141485926">
          <w:marLeft w:val="274"/>
          <w:marRight w:val="0"/>
          <w:marTop w:val="0"/>
          <w:marBottom w:val="0"/>
          <w:divBdr>
            <w:top w:val="none" w:sz="0" w:space="0" w:color="auto"/>
            <w:left w:val="none" w:sz="0" w:space="0" w:color="auto"/>
            <w:bottom w:val="none" w:sz="0" w:space="0" w:color="auto"/>
            <w:right w:val="none" w:sz="0" w:space="0" w:color="auto"/>
          </w:divBdr>
        </w:div>
      </w:divsChild>
    </w:div>
    <w:div w:id="877624936">
      <w:bodyDiv w:val="1"/>
      <w:marLeft w:val="0"/>
      <w:marRight w:val="0"/>
      <w:marTop w:val="0"/>
      <w:marBottom w:val="0"/>
      <w:divBdr>
        <w:top w:val="none" w:sz="0" w:space="0" w:color="auto"/>
        <w:left w:val="none" w:sz="0" w:space="0" w:color="auto"/>
        <w:bottom w:val="none" w:sz="0" w:space="0" w:color="auto"/>
        <w:right w:val="none" w:sz="0" w:space="0" w:color="auto"/>
      </w:divBdr>
    </w:div>
    <w:div w:id="983699946">
      <w:bodyDiv w:val="1"/>
      <w:marLeft w:val="0"/>
      <w:marRight w:val="0"/>
      <w:marTop w:val="0"/>
      <w:marBottom w:val="0"/>
      <w:divBdr>
        <w:top w:val="none" w:sz="0" w:space="0" w:color="auto"/>
        <w:left w:val="none" w:sz="0" w:space="0" w:color="auto"/>
        <w:bottom w:val="none" w:sz="0" w:space="0" w:color="auto"/>
        <w:right w:val="none" w:sz="0" w:space="0" w:color="auto"/>
      </w:divBdr>
    </w:div>
    <w:div w:id="1005787188">
      <w:bodyDiv w:val="1"/>
      <w:marLeft w:val="0"/>
      <w:marRight w:val="0"/>
      <w:marTop w:val="0"/>
      <w:marBottom w:val="0"/>
      <w:divBdr>
        <w:top w:val="none" w:sz="0" w:space="0" w:color="auto"/>
        <w:left w:val="none" w:sz="0" w:space="0" w:color="auto"/>
        <w:bottom w:val="none" w:sz="0" w:space="0" w:color="auto"/>
        <w:right w:val="none" w:sz="0" w:space="0" w:color="auto"/>
      </w:divBdr>
    </w:div>
    <w:div w:id="1025863477">
      <w:bodyDiv w:val="1"/>
      <w:marLeft w:val="0"/>
      <w:marRight w:val="0"/>
      <w:marTop w:val="0"/>
      <w:marBottom w:val="0"/>
      <w:divBdr>
        <w:top w:val="none" w:sz="0" w:space="0" w:color="auto"/>
        <w:left w:val="none" w:sz="0" w:space="0" w:color="auto"/>
        <w:bottom w:val="none" w:sz="0" w:space="0" w:color="auto"/>
        <w:right w:val="none" w:sz="0" w:space="0" w:color="auto"/>
      </w:divBdr>
    </w:div>
    <w:div w:id="1068113832">
      <w:bodyDiv w:val="1"/>
      <w:marLeft w:val="0"/>
      <w:marRight w:val="0"/>
      <w:marTop w:val="0"/>
      <w:marBottom w:val="0"/>
      <w:divBdr>
        <w:top w:val="none" w:sz="0" w:space="0" w:color="auto"/>
        <w:left w:val="none" w:sz="0" w:space="0" w:color="auto"/>
        <w:bottom w:val="none" w:sz="0" w:space="0" w:color="auto"/>
        <w:right w:val="none" w:sz="0" w:space="0" w:color="auto"/>
      </w:divBdr>
    </w:div>
    <w:div w:id="1079907428">
      <w:bodyDiv w:val="1"/>
      <w:marLeft w:val="0"/>
      <w:marRight w:val="0"/>
      <w:marTop w:val="0"/>
      <w:marBottom w:val="0"/>
      <w:divBdr>
        <w:top w:val="none" w:sz="0" w:space="0" w:color="auto"/>
        <w:left w:val="none" w:sz="0" w:space="0" w:color="auto"/>
        <w:bottom w:val="none" w:sz="0" w:space="0" w:color="auto"/>
        <w:right w:val="none" w:sz="0" w:space="0" w:color="auto"/>
      </w:divBdr>
    </w:div>
    <w:div w:id="1080256598">
      <w:bodyDiv w:val="1"/>
      <w:marLeft w:val="0"/>
      <w:marRight w:val="0"/>
      <w:marTop w:val="0"/>
      <w:marBottom w:val="0"/>
      <w:divBdr>
        <w:top w:val="none" w:sz="0" w:space="0" w:color="auto"/>
        <w:left w:val="none" w:sz="0" w:space="0" w:color="auto"/>
        <w:bottom w:val="none" w:sz="0" w:space="0" w:color="auto"/>
        <w:right w:val="none" w:sz="0" w:space="0" w:color="auto"/>
      </w:divBdr>
    </w:div>
    <w:div w:id="1103526015">
      <w:bodyDiv w:val="1"/>
      <w:marLeft w:val="0"/>
      <w:marRight w:val="0"/>
      <w:marTop w:val="0"/>
      <w:marBottom w:val="0"/>
      <w:divBdr>
        <w:top w:val="none" w:sz="0" w:space="0" w:color="auto"/>
        <w:left w:val="none" w:sz="0" w:space="0" w:color="auto"/>
        <w:bottom w:val="none" w:sz="0" w:space="0" w:color="auto"/>
        <w:right w:val="none" w:sz="0" w:space="0" w:color="auto"/>
      </w:divBdr>
    </w:div>
    <w:div w:id="1128745371">
      <w:bodyDiv w:val="1"/>
      <w:marLeft w:val="0"/>
      <w:marRight w:val="0"/>
      <w:marTop w:val="0"/>
      <w:marBottom w:val="0"/>
      <w:divBdr>
        <w:top w:val="none" w:sz="0" w:space="0" w:color="auto"/>
        <w:left w:val="none" w:sz="0" w:space="0" w:color="auto"/>
        <w:bottom w:val="none" w:sz="0" w:space="0" w:color="auto"/>
        <w:right w:val="none" w:sz="0" w:space="0" w:color="auto"/>
      </w:divBdr>
    </w:div>
    <w:div w:id="1205563782">
      <w:bodyDiv w:val="1"/>
      <w:marLeft w:val="0"/>
      <w:marRight w:val="0"/>
      <w:marTop w:val="0"/>
      <w:marBottom w:val="0"/>
      <w:divBdr>
        <w:top w:val="none" w:sz="0" w:space="0" w:color="auto"/>
        <w:left w:val="none" w:sz="0" w:space="0" w:color="auto"/>
        <w:bottom w:val="none" w:sz="0" w:space="0" w:color="auto"/>
        <w:right w:val="none" w:sz="0" w:space="0" w:color="auto"/>
      </w:divBdr>
      <w:divsChild>
        <w:div w:id="1593589573">
          <w:marLeft w:val="274"/>
          <w:marRight w:val="0"/>
          <w:marTop w:val="0"/>
          <w:marBottom w:val="0"/>
          <w:divBdr>
            <w:top w:val="none" w:sz="0" w:space="0" w:color="auto"/>
            <w:left w:val="none" w:sz="0" w:space="0" w:color="auto"/>
            <w:bottom w:val="none" w:sz="0" w:space="0" w:color="auto"/>
            <w:right w:val="none" w:sz="0" w:space="0" w:color="auto"/>
          </w:divBdr>
        </w:div>
      </w:divsChild>
    </w:div>
    <w:div w:id="1260943572">
      <w:bodyDiv w:val="1"/>
      <w:marLeft w:val="0"/>
      <w:marRight w:val="0"/>
      <w:marTop w:val="0"/>
      <w:marBottom w:val="0"/>
      <w:divBdr>
        <w:top w:val="none" w:sz="0" w:space="0" w:color="auto"/>
        <w:left w:val="none" w:sz="0" w:space="0" w:color="auto"/>
        <w:bottom w:val="none" w:sz="0" w:space="0" w:color="auto"/>
        <w:right w:val="none" w:sz="0" w:space="0" w:color="auto"/>
      </w:divBdr>
    </w:div>
    <w:div w:id="1294676829">
      <w:bodyDiv w:val="1"/>
      <w:marLeft w:val="0"/>
      <w:marRight w:val="0"/>
      <w:marTop w:val="0"/>
      <w:marBottom w:val="0"/>
      <w:divBdr>
        <w:top w:val="none" w:sz="0" w:space="0" w:color="auto"/>
        <w:left w:val="none" w:sz="0" w:space="0" w:color="auto"/>
        <w:bottom w:val="none" w:sz="0" w:space="0" w:color="auto"/>
        <w:right w:val="none" w:sz="0" w:space="0" w:color="auto"/>
      </w:divBdr>
    </w:div>
    <w:div w:id="1362054442">
      <w:bodyDiv w:val="1"/>
      <w:marLeft w:val="0"/>
      <w:marRight w:val="0"/>
      <w:marTop w:val="0"/>
      <w:marBottom w:val="0"/>
      <w:divBdr>
        <w:top w:val="none" w:sz="0" w:space="0" w:color="auto"/>
        <w:left w:val="none" w:sz="0" w:space="0" w:color="auto"/>
        <w:bottom w:val="none" w:sz="0" w:space="0" w:color="auto"/>
        <w:right w:val="none" w:sz="0" w:space="0" w:color="auto"/>
      </w:divBdr>
    </w:div>
    <w:div w:id="1426345241">
      <w:bodyDiv w:val="1"/>
      <w:marLeft w:val="0"/>
      <w:marRight w:val="0"/>
      <w:marTop w:val="0"/>
      <w:marBottom w:val="0"/>
      <w:divBdr>
        <w:top w:val="none" w:sz="0" w:space="0" w:color="auto"/>
        <w:left w:val="none" w:sz="0" w:space="0" w:color="auto"/>
        <w:bottom w:val="none" w:sz="0" w:space="0" w:color="auto"/>
        <w:right w:val="none" w:sz="0" w:space="0" w:color="auto"/>
      </w:divBdr>
    </w:div>
    <w:div w:id="1432506214">
      <w:bodyDiv w:val="1"/>
      <w:marLeft w:val="0"/>
      <w:marRight w:val="0"/>
      <w:marTop w:val="0"/>
      <w:marBottom w:val="0"/>
      <w:divBdr>
        <w:top w:val="none" w:sz="0" w:space="0" w:color="auto"/>
        <w:left w:val="none" w:sz="0" w:space="0" w:color="auto"/>
        <w:bottom w:val="none" w:sz="0" w:space="0" w:color="auto"/>
        <w:right w:val="none" w:sz="0" w:space="0" w:color="auto"/>
      </w:divBdr>
    </w:div>
    <w:div w:id="1444962669">
      <w:bodyDiv w:val="1"/>
      <w:marLeft w:val="0"/>
      <w:marRight w:val="0"/>
      <w:marTop w:val="0"/>
      <w:marBottom w:val="0"/>
      <w:divBdr>
        <w:top w:val="none" w:sz="0" w:space="0" w:color="auto"/>
        <w:left w:val="none" w:sz="0" w:space="0" w:color="auto"/>
        <w:bottom w:val="none" w:sz="0" w:space="0" w:color="auto"/>
        <w:right w:val="none" w:sz="0" w:space="0" w:color="auto"/>
      </w:divBdr>
    </w:div>
    <w:div w:id="1475609495">
      <w:bodyDiv w:val="1"/>
      <w:marLeft w:val="0"/>
      <w:marRight w:val="0"/>
      <w:marTop w:val="0"/>
      <w:marBottom w:val="0"/>
      <w:divBdr>
        <w:top w:val="none" w:sz="0" w:space="0" w:color="auto"/>
        <w:left w:val="none" w:sz="0" w:space="0" w:color="auto"/>
        <w:bottom w:val="none" w:sz="0" w:space="0" w:color="auto"/>
        <w:right w:val="none" w:sz="0" w:space="0" w:color="auto"/>
      </w:divBdr>
    </w:div>
    <w:div w:id="1582984661">
      <w:bodyDiv w:val="1"/>
      <w:marLeft w:val="0"/>
      <w:marRight w:val="0"/>
      <w:marTop w:val="0"/>
      <w:marBottom w:val="0"/>
      <w:divBdr>
        <w:top w:val="none" w:sz="0" w:space="0" w:color="auto"/>
        <w:left w:val="none" w:sz="0" w:space="0" w:color="auto"/>
        <w:bottom w:val="none" w:sz="0" w:space="0" w:color="auto"/>
        <w:right w:val="none" w:sz="0" w:space="0" w:color="auto"/>
      </w:divBdr>
    </w:div>
    <w:div w:id="1585605148">
      <w:bodyDiv w:val="1"/>
      <w:marLeft w:val="0"/>
      <w:marRight w:val="0"/>
      <w:marTop w:val="0"/>
      <w:marBottom w:val="0"/>
      <w:divBdr>
        <w:top w:val="none" w:sz="0" w:space="0" w:color="auto"/>
        <w:left w:val="none" w:sz="0" w:space="0" w:color="auto"/>
        <w:bottom w:val="none" w:sz="0" w:space="0" w:color="auto"/>
        <w:right w:val="none" w:sz="0" w:space="0" w:color="auto"/>
      </w:divBdr>
      <w:divsChild>
        <w:div w:id="1077047887">
          <w:marLeft w:val="288"/>
          <w:marRight w:val="0"/>
          <w:marTop w:val="200"/>
          <w:marBottom w:val="0"/>
          <w:divBdr>
            <w:top w:val="none" w:sz="0" w:space="0" w:color="auto"/>
            <w:left w:val="none" w:sz="0" w:space="0" w:color="auto"/>
            <w:bottom w:val="none" w:sz="0" w:space="0" w:color="auto"/>
            <w:right w:val="none" w:sz="0" w:space="0" w:color="auto"/>
          </w:divBdr>
        </w:div>
      </w:divsChild>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700275227">
      <w:bodyDiv w:val="1"/>
      <w:marLeft w:val="0"/>
      <w:marRight w:val="0"/>
      <w:marTop w:val="0"/>
      <w:marBottom w:val="0"/>
      <w:divBdr>
        <w:top w:val="none" w:sz="0" w:space="0" w:color="auto"/>
        <w:left w:val="none" w:sz="0" w:space="0" w:color="auto"/>
        <w:bottom w:val="none" w:sz="0" w:space="0" w:color="auto"/>
        <w:right w:val="none" w:sz="0" w:space="0" w:color="auto"/>
      </w:divBdr>
      <w:divsChild>
        <w:div w:id="892695793">
          <w:marLeft w:val="288"/>
          <w:marRight w:val="0"/>
          <w:marTop w:val="200"/>
          <w:marBottom w:val="0"/>
          <w:divBdr>
            <w:top w:val="none" w:sz="0" w:space="0" w:color="auto"/>
            <w:left w:val="none" w:sz="0" w:space="0" w:color="auto"/>
            <w:bottom w:val="none" w:sz="0" w:space="0" w:color="auto"/>
            <w:right w:val="none" w:sz="0" w:space="0" w:color="auto"/>
          </w:divBdr>
        </w:div>
      </w:divsChild>
    </w:div>
    <w:div w:id="1704744047">
      <w:bodyDiv w:val="1"/>
      <w:marLeft w:val="0"/>
      <w:marRight w:val="0"/>
      <w:marTop w:val="0"/>
      <w:marBottom w:val="0"/>
      <w:divBdr>
        <w:top w:val="none" w:sz="0" w:space="0" w:color="auto"/>
        <w:left w:val="none" w:sz="0" w:space="0" w:color="auto"/>
        <w:bottom w:val="none" w:sz="0" w:space="0" w:color="auto"/>
        <w:right w:val="none" w:sz="0" w:space="0" w:color="auto"/>
      </w:divBdr>
    </w:div>
    <w:div w:id="1788771064">
      <w:bodyDiv w:val="1"/>
      <w:marLeft w:val="0"/>
      <w:marRight w:val="0"/>
      <w:marTop w:val="0"/>
      <w:marBottom w:val="0"/>
      <w:divBdr>
        <w:top w:val="none" w:sz="0" w:space="0" w:color="auto"/>
        <w:left w:val="none" w:sz="0" w:space="0" w:color="auto"/>
        <w:bottom w:val="none" w:sz="0" w:space="0" w:color="auto"/>
        <w:right w:val="none" w:sz="0" w:space="0" w:color="auto"/>
      </w:divBdr>
    </w:div>
    <w:div w:id="1794783306">
      <w:bodyDiv w:val="1"/>
      <w:marLeft w:val="0"/>
      <w:marRight w:val="0"/>
      <w:marTop w:val="0"/>
      <w:marBottom w:val="0"/>
      <w:divBdr>
        <w:top w:val="none" w:sz="0" w:space="0" w:color="auto"/>
        <w:left w:val="none" w:sz="0" w:space="0" w:color="auto"/>
        <w:bottom w:val="none" w:sz="0" w:space="0" w:color="auto"/>
        <w:right w:val="none" w:sz="0" w:space="0" w:color="auto"/>
      </w:divBdr>
    </w:div>
    <w:div w:id="1848668117">
      <w:bodyDiv w:val="1"/>
      <w:marLeft w:val="0"/>
      <w:marRight w:val="0"/>
      <w:marTop w:val="0"/>
      <w:marBottom w:val="0"/>
      <w:divBdr>
        <w:top w:val="none" w:sz="0" w:space="0" w:color="auto"/>
        <w:left w:val="none" w:sz="0" w:space="0" w:color="auto"/>
        <w:bottom w:val="none" w:sz="0" w:space="0" w:color="auto"/>
        <w:right w:val="none" w:sz="0" w:space="0" w:color="auto"/>
      </w:divBdr>
    </w:div>
    <w:div w:id="1866550709">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7887001">
      <w:bodyDiv w:val="1"/>
      <w:marLeft w:val="0"/>
      <w:marRight w:val="0"/>
      <w:marTop w:val="0"/>
      <w:marBottom w:val="0"/>
      <w:divBdr>
        <w:top w:val="none" w:sz="0" w:space="0" w:color="auto"/>
        <w:left w:val="none" w:sz="0" w:space="0" w:color="auto"/>
        <w:bottom w:val="none" w:sz="0" w:space="0" w:color="auto"/>
        <w:right w:val="none" w:sz="0" w:space="0" w:color="auto"/>
      </w:divBdr>
    </w:div>
    <w:div w:id="1890603834">
      <w:bodyDiv w:val="1"/>
      <w:marLeft w:val="0"/>
      <w:marRight w:val="0"/>
      <w:marTop w:val="0"/>
      <w:marBottom w:val="0"/>
      <w:divBdr>
        <w:top w:val="none" w:sz="0" w:space="0" w:color="auto"/>
        <w:left w:val="none" w:sz="0" w:space="0" w:color="auto"/>
        <w:bottom w:val="none" w:sz="0" w:space="0" w:color="auto"/>
        <w:right w:val="none" w:sz="0" w:space="0" w:color="auto"/>
      </w:divBdr>
    </w:div>
    <w:div w:id="1898978931">
      <w:bodyDiv w:val="1"/>
      <w:marLeft w:val="0"/>
      <w:marRight w:val="0"/>
      <w:marTop w:val="0"/>
      <w:marBottom w:val="0"/>
      <w:divBdr>
        <w:top w:val="none" w:sz="0" w:space="0" w:color="auto"/>
        <w:left w:val="none" w:sz="0" w:space="0" w:color="auto"/>
        <w:bottom w:val="none" w:sz="0" w:space="0" w:color="auto"/>
        <w:right w:val="none" w:sz="0" w:space="0" w:color="auto"/>
      </w:divBdr>
    </w:div>
    <w:div w:id="1907297985">
      <w:bodyDiv w:val="1"/>
      <w:marLeft w:val="0"/>
      <w:marRight w:val="0"/>
      <w:marTop w:val="0"/>
      <w:marBottom w:val="0"/>
      <w:divBdr>
        <w:top w:val="none" w:sz="0" w:space="0" w:color="auto"/>
        <w:left w:val="none" w:sz="0" w:space="0" w:color="auto"/>
        <w:bottom w:val="none" w:sz="0" w:space="0" w:color="auto"/>
        <w:right w:val="none" w:sz="0" w:space="0" w:color="auto"/>
      </w:divBdr>
    </w:div>
    <w:div w:id="1918398369">
      <w:bodyDiv w:val="1"/>
      <w:marLeft w:val="0"/>
      <w:marRight w:val="0"/>
      <w:marTop w:val="0"/>
      <w:marBottom w:val="0"/>
      <w:divBdr>
        <w:top w:val="none" w:sz="0" w:space="0" w:color="auto"/>
        <w:left w:val="none" w:sz="0" w:space="0" w:color="auto"/>
        <w:bottom w:val="none" w:sz="0" w:space="0" w:color="auto"/>
        <w:right w:val="none" w:sz="0" w:space="0" w:color="auto"/>
      </w:divBdr>
    </w:div>
    <w:div w:id="1936740304">
      <w:bodyDiv w:val="1"/>
      <w:marLeft w:val="0"/>
      <w:marRight w:val="0"/>
      <w:marTop w:val="0"/>
      <w:marBottom w:val="0"/>
      <w:divBdr>
        <w:top w:val="none" w:sz="0" w:space="0" w:color="auto"/>
        <w:left w:val="none" w:sz="0" w:space="0" w:color="auto"/>
        <w:bottom w:val="none" w:sz="0" w:space="0" w:color="auto"/>
        <w:right w:val="none" w:sz="0" w:space="0" w:color="auto"/>
      </w:divBdr>
    </w:div>
    <w:div w:id="1954939490">
      <w:bodyDiv w:val="1"/>
      <w:marLeft w:val="0"/>
      <w:marRight w:val="0"/>
      <w:marTop w:val="0"/>
      <w:marBottom w:val="0"/>
      <w:divBdr>
        <w:top w:val="none" w:sz="0" w:space="0" w:color="auto"/>
        <w:left w:val="none" w:sz="0" w:space="0" w:color="auto"/>
        <w:bottom w:val="none" w:sz="0" w:space="0" w:color="auto"/>
        <w:right w:val="none" w:sz="0" w:space="0" w:color="auto"/>
      </w:divBdr>
    </w:div>
    <w:div w:id="1963464184">
      <w:bodyDiv w:val="1"/>
      <w:marLeft w:val="0"/>
      <w:marRight w:val="0"/>
      <w:marTop w:val="0"/>
      <w:marBottom w:val="0"/>
      <w:divBdr>
        <w:top w:val="none" w:sz="0" w:space="0" w:color="auto"/>
        <w:left w:val="none" w:sz="0" w:space="0" w:color="auto"/>
        <w:bottom w:val="none" w:sz="0" w:space="0" w:color="auto"/>
        <w:right w:val="none" w:sz="0" w:space="0" w:color="auto"/>
      </w:divBdr>
    </w:div>
    <w:div w:id="1996297519">
      <w:bodyDiv w:val="1"/>
      <w:marLeft w:val="0"/>
      <w:marRight w:val="0"/>
      <w:marTop w:val="0"/>
      <w:marBottom w:val="0"/>
      <w:divBdr>
        <w:top w:val="none" w:sz="0" w:space="0" w:color="auto"/>
        <w:left w:val="none" w:sz="0" w:space="0" w:color="auto"/>
        <w:bottom w:val="none" w:sz="0" w:space="0" w:color="auto"/>
        <w:right w:val="none" w:sz="0" w:space="0" w:color="auto"/>
      </w:divBdr>
    </w:div>
    <w:div w:id="2042780775">
      <w:bodyDiv w:val="1"/>
      <w:marLeft w:val="0"/>
      <w:marRight w:val="0"/>
      <w:marTop w:val="0"/>
      <w:marBottom w:val="0"/>
      <w:divBdr>
        <w:top w:val="none" w:sz="0" w:space="0" w:color="auto"/>
        <w:left w:val="none" w:sz="0" w:space="0" w:color="auto"/>
        <w:bottom w:val="none" w:sz="0" w:space="0" w:color="auto"/>
        <w:right w:val="none" w:sz="0" w:space="0" w:color="auto"/>
      </w:divBdr>
    </w:div>
    <w:div w:id="2077245343">
      <w:bodyDiv w:val="1"/>
      <w:marLeft w:val="0"/>
      <w:marRight w:val="0"/>
      <w:marTop w:val="0"/>
      <w:marBottom w:val="0"/>
      <w:divBdr>
        <w:top w:val="none" w:sz="0" w:space="0" w:color="auto"/>
        <w:left w:val="none" w:sz="0" w:space="0" w:color="auto"/>
        <w:bottom w:val="none" w:sz="0" w:space="0" w:color="auto"/>
        <w:right w:val="none" w:sz="0" w:space="0" w:color="auto"/>
      </w:divBdr>
    </w:div>
    <w:div w:id="2077626938">
      <w:bodyDiv w:val="1"/>
      <w:marLeft w:val="0"/>
      <w:marRight w:val="0"/>
      <w:marTop w:val="0"/>
      <w:marBottom w:val="0"/>
      <w:divBdr>
        <w:top w:val="none" w:sz="0" w:space="0" w:color="auto"/>
        <w:left w:val="none" w:sz="0" w:space="0" w:color="auto"/>
        <w:bottom w:val="none" w:sz="0" w:space="0" w:color="auto"/>
        <w:right w:val="none" w:sz="0" w:space="0" w:color="auto"/>
      </w:divBdr>
    </w:div>
    <w:div w:id="20822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s://www.abs.gov.au/census" TargetMode="External"/><Relationship Id="rId42" Type="http://schemas.openxmlformats.org/officeDocument/2006/relationships/hyperlink" Target="https://www.iddri.org/sites/default/files/import/publications/coal_synthesisreport_v04.pdf" TargetMode="External"/><Relationship Id="rId47" Type="http://schemas.openxmlformats.org/officeDocument/2006/relationships/hyperlink" Target="https://www.aph.gov.au/Parliamentary_Business/Committees/Senate/Environment_and_Communications/Coal_fired_power_stations/~/media/Committees/ec_ctte/Coal_fired_power_stations/Final%20Report/report.pdf" TargetMode="External"/><Relationship Id="rId63" Type="http://schemas.openxmlformats.org/officeDocument/2006/relationships/hyperlink" Target="https://www.destatis.de/EN/Press/2019/01/PE19_001_13321.html" TargetMode="External"/><Relationship Id="rId68" Type="http://schemas.openxmlformats.org/officeDocument/2006/relationships/hyperlink" Target="https://www.fortnightly.com/fortnightly/2020/06/how-many-coal-dependent-jobs-are-there-and-how-important-are-they?authkey=c5b485e50f3e95a5fd6e219884fff27c090a82321028977ac266c5d95ef3fb79" TargetMode="External"/><Relationship Id="rId84" Type="http://schemas.openxmlformats.org/officeDocument/2006/relationships/hyperlink" Target="https://ccep.crawford.anu.edu.au/sites/default/files/publication/ccep_crawford_anu_edu_au/2020-11/ccep20-10_wiseman_workman_fastenrath_jotzo_after_hazelwood.pdf" TargetMode="External"/><Relationship Id="rId89" Type="http://schemas.openxmlformats.org/officeDocument/2006/relationships/glossaryDocument" Target="glossary/document.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6.jpeg"/><Relationship Id="rId37" Type="http://schemas.openxmlformats.org/officeDocument/2006/relationships/hyperlink" Target="https://www.abs.gov.au/census" TargetMode="External"/><Relationship Id="rId53" Type="http://schemas.openxmlformats.org/officeDocument/2006/relationships/hyperlink" Target="https://www.dcceew.gov.au/climate-change/emissions-reduction/net-zero" TargetMode="External"/><Relationship Id="rId58" Type="http://schemas.openxmlformats.org/officeDocument/2006/relationships/hyperlink" Target="https://new.parliament.vic.gov.au/4a4d2e/contentassets/1afbfe1f20f04cf092c14df98557d0da/submission-documents/046---environment-victoria_redacted.pdf" TargetMode="External"/><Relationship Id="rId74" Type="http://schemas.openxmlformats.org/officeDocument/2006/relationships/hyperlink" Target="https://www.premier.vic.gov.au/agreement-secures-transition-loy-yang" TargetMode="External"/><Relationship Id="rId79" Type="http://schemas.openxmlformats.org/officeDocument/2006/relationships/hyperlink" Target="https://treasury.gov.au/sites/default/files/2023-10/p2023-447996-working-future.pdf" TargetMode="External"/><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aemo.com.au/en/energy-systems/electricity/national-electricity-market-nem/nem-forecasting-and-planning/forecasting-and-planning-data/generation-information" TargetMode="External"/><Relationship Id="rId27" Type="http://schemas.openxmlformats.org/officeDocument/2006/relationships/chart" Target="charts/chart4.xml"/><Relationship Id="rId43" Type="http://schemas.openxmlformats.org/officeDocument/2006/relationships/hyperlink" Target="http://aei.pitt.edu/60345/1/GERMANY.pdf" TargetMode="External"/><Relationship Id="rId48" Type="http://schemas.openxmlformats.org/officeDocument/2006/relationships/hyperlink" Target="https://oia.pmc.gov.au/resources/guidance-assessing-impacts/cost-benefit-analysis" TargetMode="External"/><Relationship Id="rId64" Type="http://schemas.openxmlformats.org/officeDocument/2006/relationships/hyperlink" Target="https://www.aph.gov.au/parliamentary_business/committees/senate/environment_and_communications/coal_fired_power_stations/submissions" TargetMode="External"/><Relationship Id="rId69" Type="http://schemas.openxmlformats.org/officeDocument/2006/relationships/hyperlink" Target="https://www.ituc-csi.org/IMG/pdf/ruhrorappalachia_report_final.pdf" TargetMode="External"/><Relationship Id="rId8" Type="http://schemas.openxmlformats.org/officeDocument/2006/relationships/image" Target="media/image1.jpeg"/><Relationship Id="rId51" Type="http://schemas.openxmlformats.org/officeDocument/2006/relationships/hyperlink" Target="https://www.csenergy.com.au/ArticleDocuments/189/Future%20of%20Swanbank%20B%20announced%20-%2026%20March%202010.pdf.aspx" TargetMode="External"/><Relationship Id="rId72" Type="http://schemas.openxmlformats.org/officeDocument/2006/relationships/hyperlink" Target="https://www.brookings.edu/wp-content/uploads/2019/05/Morris_Kaufman_Doshi_RiskofFiscalCollapseinCoalReliantCommunities-CGEP_Report_FINAL.pdf" TargetMode="External"/><Relationship Id="rId80" Type="http://schemas.openxmlformats.org/officeDocument/2006/relationships/hyperlink" Target="https://new.parliament.vic.gov.au/4a4d2e/contentassets/1afbfe1f20f04cf092c14df98557d0da/submission-documents/046---environment-victoria_redacted.pdf" TargetMode="External"/><Relationship Id="rId85" Type="http://schemas.openxmlformats.org/officeDocument/2006/relationships/hyperlink" Target="https://aemo.com.au/en/energy-systems/electricity/national-electricity-market-nem/nem-forecasting-and-planning/forecasting-and-planning-data/generation-information" TargetMode="Externa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treasury.gov.au/employment-whitepaper/final-report" TargetMode="External"/><Relationship Id="rId25" Type="http://schemas.openxmlformats.org/officeDocument/2006/relationships/chart" Target="charts/chart2.xml"/><Relationship Id="rId33" Type="http://schemas.openxmlformats.org/officeDocument/2006/relationships/hyperlink" Target="https://aemo.com.au/en/energy-systems/electricity/national-electricity-market-nem/nem-forecasting-and-planning/forecasting-and-planning-data/generation-information" TargetMode="External"/><Relationship Id="rId38" Type="http://schemas.openxmlformats.org/officeDocument/2006/relationships/hyperlink" Target="https://www.abs.gov.au/statistics/economy/business-indicators/counts-australian-businesses-including-entries-and-exits/latest-release" TargetMode="External"/><Relationship Id="rId46" Type="http://schemas.openxmlformats.org/officeDocument/2006/relationships/hyperlink" Target="https://kohlenstatistik.de/downloads/steinkohle/" TargetMode="External"/><Relationship Id="rId59" Type="http://schemas.openxmlformats.org/officeDocument/2006/relationships/hyperlink" Target="https://new.parliament.vic.gov.au/4a4d2e/contentassets/1afbfe1f20f04cf092c14df98557d0da/submission-documents/046---environment-victoria_redacted.pdf" TargetMode="External"/><Relationship Id="rId67" Type="http://schemas.openxmlformats.org/officeDocument/2006/relationships/hyperlink" Target="https://share.internal.pmc.gov.au/recordid/DOC23-338347" TargetMode="External"/><Relationship Id="rId20" Type="http://schemas.openxmlformats.org/officeDocument/2006/relationships/image" Target="media/image5.png"/><Relationship Id="rId41" Type="http://schemas.openxmlformats.org/officeDocument/2006/relationships/hyperlink" Target="https://aemo.com.au/en/energy-systems/electricity/national-electricity-market-nem/nem-forecasting-and-planning/forecasting-and-planning-data/generation-information" TargetMode="External"/><Relationship Id="rId54" Type="http://schemas.openxmlformats.org/officeDocument/2006/relationships/hyperlink" Target="https://www.dewr.gov.au/whats-next/resources/transition-australian-car-manufacturing-sector-outcomes-and-best-practice-full-report" TargetMode="External"/><Relationship Id="rId62" Type="http://schemas.openxmlformats.org/officeDocument/2006/relationships/hyperlink" Target="https://ecat.ga.gov.au/geonetwork/srv/eng/catalog.search" TargetMode="External"/><Relationship Id="rId70" Type="http://schemas.openxmlformats.org/officeDocument/2006/relationships/hyperlink" Target="https://www.ilo.org/wcmsp5/groups/public/---dgreports/---dcomm/documents/publication/wcms_589098.pdf" TargetMode="External"/><Relationship Id="rId75" Type="http://schemas.openxmlformats.org/officeDocument/2006/relationships/hyperlink" Target="https://www.epw.qld.gov.au/energyandjobsplan/benefits/workers" TargetMode="External"/><Relationship Id="rId83" Type="http://schemas.openxmlformats.org/officeDocument/2006/relationships/hyperlink" Target="https://new.parliament.vic.gov.au/4a4d4e/contentassets/cb0c1b3c0b664bdc8778b03b80fa8f00/submission-documents/062---department-of-jobs-precincts-and-regions.pdf" TargetMode="External"/><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ecat.ga.gov.au/geonetwork/srv/eng/catalog.search" TargetMode="External"/><Relationship Id="rId28" Type="http://schemas.openxmlformats.org/officeDocument/2006/relationships/hyperlink" Target="https://www.abs.gov.au/census" TargetMode="External"/><Relationship Id="rId36" Type="http://schemas.openxmlformats.org/officeDocument/2006/relationships/hyperlink" Target="https://www.agl.com.au/content/dam/digital/agl/documents/about-agl/how-we-source-energy/loy-yang-power-station/220228-loy-yang-community-fund-program-application-guidelines-v1.2.pdf" TargetMode="External"/><Relationship Id="rId49" Type="http://schemas.openxmlformats.org/officeDocument/2006/relationships/hyperlink" Target="https://oia.pmc.gov.au/sites/default/files/2023-09/regulatory-burden-measurement-framework.pdf" TargetMode="External"/><Relationship Id="rId57" Type="http://schemas.openxmlformats.org/officeDocument/2006/relationships/hyperlink" Target="https://www.energyaustralia.com.au/about-us/media/news/energyaustralia-and-elanora-offshore-partner-secure-jobs-and-training-yallourn" TargetMode="External"/><Relationship Id="rId10" Type="http://schemas.openxmlformats.org/officeDocument/2006/relationships/hyperlink" Target="https://www.pmc.gov.au/netzero" TargetMode="External"/><Relationship Id="rId31" Type="http://schemas.openxmlformats.org/officeDocument/2006/relationships/hyperlink" Target="https://aemo.com.au/en/energy-systems/electricity/national-electricity-market-nem/nem-forecasting-and-planning/forecasting-and-planning-data/generation-information" TargetMode="External"/><Relationship Id="rId44" Type="http://schemas.openxmlformats.org/officeDocument/2006/relationships/hyperlink" Target="https://onlinelibrary.wiley.com/doi/full/10.1111/1467-8500.12390" TargetMode="External"/><Relationship Id="rId52" Type="http://schemas.openxmlformats.org/officeDocument/2006/relationships/hyperlink" Target="https://www.dcceew.gov.au/environment/protection/npi" TargetMode="External"/><Relationship Id="rId60" Type="http://schemas.openxmlformats.org/officeDocument/2006/relationships/hyperlink" Target="https://media.rff.org/documents/21-13.pdf" TargetMode="External"/><Relationship Id="rId65" Type="http://schemas.openxmlformats.org/officeDocument/2006/relationships/hyperlink" Target="https://new.parliament.vic.gov.au/4a5c05/contentassets/bb36eec27c15447bbdefee0dec57d50f/lceic-59-08-closure-of-hazelwood-and-yallourn.pdf" TargetMode="External"/><Relationship Id="rId73" Type="http://schemas.openxmlformats.org/officeDocument/2006/relationships/hyperlink" Target="https://www.nationalskillscommission.gov.au/topics/small-area-labour-markets" TargetMode="External"/><Relationship Id="rId78" Type="http://schemas.openxmlformats.org/officeDocument/2006/relationships/hyperlink" Target="https://www.synergy.net.au/About-us/Community-Investment/Muja-Workforce-Transition-Program" TargetMode="External"/><Relationship Id="rId81" Type="http://schemas.openxmlformats.org/officeDocument/2006/relationships/hyperlink" Target="https://new.parliament.vic.gov.au/4a4d4e/contentassets/cb0c1b3c0b664bdc8778b03b80fa8f00/submission-documents/062---department-of-jobs-precincts-and-regions.pdf" TargetMode="External"/><Relationship Id="rId86" Type="http://schemas.openxmlformats.org/officeDocument/2006/relationships/hyperlink" Target="https://www.wa.gov.au/system/files/2023-08/colliecommunityfactsheet.pdf" TargetMode="Externa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s://www.abs.gov.au/statistics/labour/employment-and-unemployment/labour-force-australia/latest-release" TargetMode="External"/><Relationship Id="rId34" Type="http://schemas.openxmlformats.org/officeDocument/2006/relationships/hyperlink" Target="https://www.aph.gov.au/parliamentary_business/committees/senate/environment_and_communications/coal_fired_power_stations/submissions" TargetMode="External"/><Relationship Id="rId50" Type="http://schemas.openxmlformats.org/officeDocument/2006/relationships/hyperlink" Target="https://www.aph.gov.au/parliamentary_business/committees/senate/environment_and_communications/coal_fired_power_stations/submissions" TargetMode="External"/><Relationship Id="rId55" Type="http://schemas.openxmlformats.org/officeDocument/2006/relationships/hyperlink" Target="https://www.energyaustralia.com.au/sites/default/files/2023-09/ClimateTransitionActionPlan.pdf" TargetMode="External"/><Relationship Id="rId76" Type="http://schemas.openxmlformats.org/officeDocument/2006/relationships/hyperlink" Target="https://www.riotinto.com/en/sustainability/health-safety-wellbeing" TargetMode="External"/><Relationship Id="rId7" Type="http://schemas.openxmlformats.org/officeDocument/2006/relationships/endnotes" Target="endnotes.xml"/><Relationship Id="rId71" Type="http://schemas.openxmlformats.org/officeDocument/2006/relationships/hyperlink" Target="https://www.jobsandskills.gov.au/publications/the-clean-energy-generation" TargetMode="Externa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www.nationalskillscommission.gov.au/topics/small-area-labour-markets" TargetMode="External"/><Relationship Id="rId24" Type="http://schemas.openxmlformats.org/officeDocument/2006/relationships/chart" Target="charts/chart1.xml"/><Relationship Id="rId40" Type="http://schemas.openxmlformats.org/officeDocument/2006/relationships/hyperlink" Target="https://www.abs.gov.au/statistics/labour/earnings-and-working-conditions/average-weekly-earnings-australia/latest-release" TargetMode="External"/><Relationship Id="rId45" Type="http://schemas.openxmlformats.org/officeDocument/2006/relationships/hyperlink" Target="https://onlinelibrary.wiley.com/doi/epdf/10.1111/1467-8489.12289" TargetMode="External"/><Relationship Id="rId66" Type="http://schemas.openxmlformats.org/officeDocument/2006/relationships/hyperlink" Target="https://www.wa.gov.au/system/files/2023-08/colliecommunityfactsheet.pdf" TargetMode="External"/><Relationship Id="rId87" Type="http://schemas.openxmlformats.org/officeDocument/2006/relationships/hyperlink" Target="https://www.abs.gov.au/statistics/standards/australian-statistical-geography-standard-asgs-edition-3/jul2021-jun2026" TargetMode="External"/><Relationship Id="rId61" Type="http://schemas.openxmlformats.org/officeDocument/2006/relationships/hyperlink" Target="https://www.aph.gov.au/About_Parliament/Parliamentary_departments/Parliamentary_Library/pubs/rp/rp2223/EmploymentTrendsCoalMiningRenewableEnergy" TargetMode="External"/><Relationship Id="rId82" Type="http://schemas.openxmlformats.org/officeDocument/2006/relationships/hyperlink" Target="https://new.parliament.vic.gov.au/4a4d2e/contentassets/1afbfe1f20f04cf092c14df98557d0da/submission-documents/046---environment-victoria_redacted.pdf" TargetMode="External"/><Relationship Id="rId19" Type="http://schemas.openxmlformats.org/officeDocument/2006/relationships/hyperlink" Target="https://data.gov.au/dataset/ds-dga-043f58e0-a188-4458-b61c-04e5b540aea4/details" TargetMode="External"/><Relationship Id="rId14" Type="http://schemas.openxmlformats.org/officeDocument/2006/relationships/footer" Target="footer2.xml"/><Relationship Id="rId30" Type="http://schemas.openxmlformats.org/officeDocument/2006/relationships/hyperlink" Target="https://www.abs.gov.au/statistics/standards/australian-statistical-geography-standard-asgs-edition-3/jul2021-jun2026/main-structure-and-greater-capital-city-statistical-areas" TargetMode="External"/><Relationship Id="rId35" Type="http://schemas.openxmlformats.org/officeDocument/2006/relationships/hyperlink" Target="https://www.agl.com.au/about-agl/media-centre/asx-and-media-releases/2023/april/agls-liddell-power-station-closes-after-52-years-of-operation" TargetMode="External"/><Relationship Id="rId56" Type="http://schemas.openxmlformats.org/officeDocument/2006/relationships/hyperlink" Target="https://www.energyaustralia.com.au/about-us/media/news/energyaustralia-helps-yallourn-workers-prepare-life-after-coal" TargetMode="External"/><Relationship Id="rId77" Type="http://schemas.openxmlformats.org/officeDocument/2006/relationships/hyperlink" Target="https://www.theguardian.com/world/2021/nov/09/australia-promises-jobs-to-workers-stranded-by-scrapping-of-french-submarine-de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share.internal.pmc.gov.au/recordid/DOC23-338347" TargetMode="External"/><Relationship Id="rId18" Type="http://schemas.openxmlformats.org/officeDocument/2006/relationships/hyperlink" Target="https://www.aemo.com.au/-/media/Files/Electricity/NEM/National-Electricity-Market-Fact-Sheet.pdf" TargetMode="External"/><Relationship Id="rId26" Type="http://schemas.openxmlformats.org/officeDocument/2006/relationships/hyperlink" Target="https://share.internal.pmc.gov.au/recordid/DOC23-338347" TargetMode="External"/><Relationship Id="rId39" Type="http://schemas.openxmlformats.org/officeDocument/2006/relationships/hyperlink" Target="https://treasury.gov.au/sites/default/files/2023-10/p2023-447996-working-future.pdf" TargetMode="External"/><Relationship Id="rId21" Type="http://schemas.openxmlformats.org/officeDocument/2006/relationships/hyperlink" Target="https://onlinelibrary.wiley.com/doi/epdf/10.1111/1467-8489.12289" TargetMode="External"/><Relationship Id="rId34" Type="http://schemas.openxmlformats.org/officeDocument/2006/relationships/hyperlink" Target="https://www.energyaustralia.com.au/about-us/energy-generation/yallourn-power-station/energy-transition" TargetMode="External"/><Relationship Id="rId42" Type="http://schemas.openxmlformats.org/officeDocument/2006/relationships/hyperlink" Target="https://www.jobsandskills.gov.au/publications/the-clean-energy-generation" TargetMode="External"/><Relationship Id="rId47" Type="http://schemas.openxmlformats.org/officeDocument/2006/relationships/hyperlink" Target="https://www.dcceew.gov.au/environment/protection/npi" TargetMode="External"/><Relationship Id="rId50" Type="http://schemas.openxmlformats.org/officeDocument/2006/relationships/hyperlink" Target="https://www.abs.gov.au/census" TargetMode="External"/><Relationship Id="rId55" Type="http://schemas.openxmlformats.org/officeDocument/2006/relationships/hyperlink" Target="https://www.dcceew.gov.au/climate-change/emissions-reduction/net-zero" TargetMode="External"/><Relationship Id="rId63" Type="http://schemas.openxmlformats.org/officeDocument/2006/relationships/hyperlink" Target="https://oia.pmc.gov.au/sites/default/files/2023-08/cost-benefit-analysis.pdf" TargetMode="External"/><Relationship Id="rId68" Type="http://schemas.openxmlformats.org/officeDocument/2006/relationships/hyperlink" Target="https://new.parliament.vic.gov.au/4a4d2e/contentassets/1afbfe1f20f04cf092c14df98557d0da/submission-documents/046---environment-victoria_redacted.pdf" TargetMode="External"/><Relationship Id="rId76" Type="http://schemas.openxmlformats.org/officeDocument/2006/relationships/hyperlink" Target="https://oia.pmc.gov.au/sites/default/files/2023-08/cost-benefit-analysis.pdf" TargetMode="External"/><Relationship Id="rId84" Type="http://schemas.openxmlformats.org/officeDocument/2006/relationships/hyperlink" Target="https://www.ituc-csi.org/IMG/pdf/ruhrorappalachia_report_final.pdf" TargetMode="External"/><Relationship Id="rId89" Type="http://schemas.openxmlformats.org/officeDocument/2006/relationships/hyperlink" Target="https://share.internal.pmc.gov.au/teams/nzrdot/Advice/Worker%20Transition/Policy%20development/Impact%20Analysis/Closures%20of%20coal-fired%20power%20stations%20in%20Australia:%20local%20unemployment%20effects" TargetMode="External"/><Relationship Id="rId7" Type="http://schemas.openxmlformats.org/officeDocument/2006/relationships/hyperlink" Target="https://new.parliament.vic.gov.au/4a4d4e/contentassets/cb0c1b3c0b664bdc8778b03b80fa8f00/submission-documents/062---department-of-jobs-precincts-and-regions.pdf" TargetMode="External"/><Relationship Id="rId71" Type="http://schemas.openxmlformats.org/officeDocument/2006/relationships/hyperlink" Target="https://e61.in/at-the-coalface-what-happens-to-workers-displaced-by-decarbonisation/" TargetMode="External"/><Relationship Id="rId2" Type="http://schemas.openxmlformats.org/officeDocument/2006/relationships/hyperlink" Target="https://treasury.gov.au/sites/default/files/2023-10/p2023-447996-working-future.pdf" TargetMode="External"/><Relationship Id="rId16" Type="http://schemas.openxmlformats.org/officeDocument/2006/relationships/hyperlink" Target="https://aemo.com.au/en/energy-systems/electricity/national-electricity-market-nem/nem-forecasting-and-planning/forecasting-and-planning-data/generation-information" TargetMode="External"/><Relationship Id="rId29" Type="http://schemas.openxmlformats.org/officeDocument/2006/relationships/hyperlink" Target="https://www.agl.com.au/about-agl/media-centre/asx-and-media-releases/2023/april/agls-liddell-power-station-closes-after-52-years-of-operation" TargetMode="External"/><Relationship Id="rId11" Type="http://schemas.openxmlformats.org/officeDocument/2006/relationships/hyperlink" Target="https://onlinelibrary.wiley.com/doi/full/10.1111/1467-8500.12390" TargetMode="External"/><Relationship Id="rId24" Type="http://schemas.openxmlformats.org/officeDocument/2006/relationships/hyperlink" Target="https://www.abs.gov.au/statistics/classifications/anzsco-australian-and-new-zealand-standard-classification-occupations/latest-release" TargetMode="External"/><Relationship Id="rId32" Type="http://schemas.openxmlformats.org/officeDocument/2006/relationships/hyperlink" Target="https://ccep.crawford.anu.edu.au/sites/default/files/publication/ccep_crawford_anu_edu_au/2020-11/ccep20-10_wiseman_workman_fastenrath_jotzo_after_hazelwood.pdf" TargetMode="External"/><Relationship Id="rId37" Type="http://schemas.openxmlformats.org/officeDocument/2006/relationships/hyperlink" Target="https://treasury.gov.au/sites/default/files/2023-10/p2023-447996-working-future.pdf" TargetMode="External"/><Relationship Id="rId40" Type="http://schemas.openxmlformats.org/officeDocument/2006/relationships/hyperlink" Target="https://www.jobsandskills.gov.au/publications/the-clean-energy-generation" TargetMode="External"/><Relationship Id="rId45" Type="http://schemas.openxmlformats.org/officeDocument/2006/relationships/hyperlink" Target="https://www.aph.gov.au/Parliamentary_Business/Committees/Senate/Environment_and_Communications/Coal_fired_power_stations/~/media/Committees/ec_ctte/Coal_fired_power_stations/Final%20Report/report.pdf" TargetMode="External"/><Relationship Id="rId53" Type="http://schemas.openxmlformats.org/officeDocument/2006/relationships/hyperlink" Target="https://treasury.gov.au/sites/default/files/2023-10/p2023-447996-working-future.pdf" TargetMode="External"/><Relationship Id="rId58" Type="http://schemas.openxmlformats.org/officeDocument/2006/relationships/hyperlink" Target="https://share.internal.pmc.gov.au/recordid/DOC23-338347" TargetMode="External"/><Relationship Id="rId66" Type="http://schemas.openxmlformats.org/officeDocument/2006/relationships/hyperlink" Target="file:///C:/Users/PMC19242/Downloads/Coal%20fired%20power%20plants%20-%20Sub78_attach3.pdf" TargetMode="External"/><Relationship Id="rId74" Type="http://schemas.openxmlformats.org/officeDocument/2006/relationships/hyperlink" Target="https://www.theguardian.com/world/2021/nov/09/australia-promises-jobs-to-workers-stranded-by-scrapping-of-french-submarine-deal" TargetMode="External"/><Relationship Id="rId79" Type="http://schemas.openxmlformats.org/officeDocument/2006/relationships/hyperlink" Target="https://kohlenstatistik.de/downloads/steinkohle/" TargetMode="External"/><Relationship Id="rId87" Type="http://schemas.openxmlformats.org/officeDocument/2006/relationships/hyperlink" Target="https://new.parliament.vic.gov.au/4a4d2e/contentassets/1afbfe1f20f04cf092c14df98557d0da/submission-documents/046---environment-victoria_redacted.pdf" TargetMode="External"/><Relationship Id="rId5" Type="http://schemas.openxmlformats.org/officeDocument/2006/relationships/hyperlink" Target="https://www.aph.gov.au/About_Parliament/Parliamentary_departments/Parliamentary_Library/pubs/rp/rp2223/EmploymentTrendsCoalMiningRenewableEnergy" TargetMode="External"/><Relationship Id="rId61" Type="http://schemas.openxmlformats.org/officeDocument/2006/relationships/hyperlink" Target="https://data.gov.au/dataset/ds-dga-043f58e0-a188-4458-b61c-04e5b540aea4/details" TargetMode="External"/><Relationship Id="rId82" Type="http://schemas.openxmlformats.org/officeDocument/2006/relationships/hyperlink" Target="https://www.destatis.de/EN/Press/2019/01/PE19_001_13321.html" TargetMode="External"/><Relationship Id="rId19" Type="http://schemas.openxmlformats.org/officeDocument/2006/relationships/hyperlink" Target="https://aemo.com.au/-/media/files/major-publications/isp/2022/2022-documents/2022-integrated-system-plan-isp.pdf?la=en" TargetMode="External"/><Relationship Id="rId4" Type="http://schemas.openxmlformats.org/officeDocument/2006/relationships/hyperlink" Target="https://www.wa.gov.au/system/files/2023-08/colliecommunityfactsheet.pdf" TargetMode="External"/><Relationship Id="rId9" Type="http://schemas.openxmlformats.org/officeDocument/2006/relationships/hyperlink" Target="https://e61.in/at-the-coalface-what-happens-to-workers-displaced-by-decarbonisation/" TargetMode="External"/><Relationship Id="rId14" Type="http://schemas.openxmlformats.org/officeDocument/2006/relationships/hyperlink" Target="https://www.nationalskillscommission.gov.au/reports/state-of-australia-skills-2021" TargetMode="External"/><Relationship Id="rId22" Type="http://schemas.openxmlformats.org/officeDocument/2006/relationships/hyperlink" Target="https://share.internal.pmc.gov.au/recordid/DOC23-338347" TargetMode="External"/><Relationship Id="rId27" Type="http://schemas.openxmlformats.org/officeDocument/2006/relationships/hyperlink" Target="https://www.brookings.edu/wp-content/uploads/2019/05/Morris_Kaufman_Doshi_RiskofFiscalCollapseinCoalReliantCommunities-CGEP_Report_FINAL.pdf" TargetMode="External"/><Relationship Id="rId30" Type="http://schemas.openxmlformats.org/officeDocument/2006/relationships/hyperlink" Target="https://www.energyaustralia.com.au/about-us/media/news/energyaustralia-helps-yallourn-workers-prepare-life-after-coal" TargetMode="External"/><Relationship Id="rId35" Type="http://schemas.openxmlformats.org/officeDocument/2006/relationships/hyperlink" Target="https://www.epw.qld.gov.au/energyandjobsplan/benefits/workers" TargetMode="External"/><Relationship Id="rId43" Type="http://schemas.openxmlformats.org/officeDocument/2006/relationships/hyperlink" Target="https://new.parliament.vic.gov.au/4a4d2e/contentassets/1afbfe1f20f04cf092c14df98557d0da/submission-documents/046---environment-victoria_redacted.pdf" TargetMode="External"/><Relationship Id="rId48" Type="http://schemas.openxmlformats.org/officeDocument/2006/relationships/hyperlink" Target="https://aemo.com.au/en/energy-systems/electricity/national-electricity-market-nem/nem-forecasting-and-planning/forecasting-and-planning-data/generation-information" TargetMode="External"/><Relationship Id="rId56" Type="http://schemas.openxmlformats.org/officeDocument/2006/relationships/hyperlink" Target="https://www.dcceew.gov.au/climate-change/international-climate-action" TargetMode="External"/><Relationship Id="rId64" Type="http://schemas.openxmlformats.org/officeDocument/2006/relationships/hyperlink" Target="https://onlinelibrary.wiley.com/doi/epdf/10.1111/1467-8489.12289" TargetMode="External"/><Relationship Id="rId69" Type="http://schemas.openxmlformats.org/officeDocument/2006/relationships/hyperlink" Target="https://www.aph.gov.au/DocumentStore.ashx?id=4cc810b6-c373-4867-8a39-e22cf33dae3e&amp;subId=459916" TargetMode="External"/><Relationship Id="rId77" Type="http://schemas.openxmlformats.org/officeDocument/2006/relationships/hyperlink" Target="https://www.ituc-csi.org/IMG/pdf/ruhrorappalachia_report_final.pdf" TargetMode="External"/><Relationship Id="rId8" Type="http://schemas.openxmlformats.org/officeDocument/2006/relationships/hyperlink" Target="https://www.fortnightly.com/fortnightly/2020/06/how-many-coal-dependent-jobs-are-there-and-how-important-are-they?authkey=c5b485e50f3e95a5fd6e219884fff27c090a82321028977ac266c5d95ef3fb79" TargetMode="External"/><Relationship Id="rId51" Type="http://schemas.openxmlformats.org/officeDocument/2006/relationships/hyperlink" Target="https://www.abs.gov.au/statistics/economy/business-indicators/counts-australian-businesses-including-entries-and-exits/latest-release" TargetMode="External"/><Relationship Id="rId72" Type="http://schemas.openxmlformats.org/officeDocument/2006/relationships/hyperlink" Target="https://onlinelibrary.wiley.com/doi/full/10.1111/1467-8489.12289" TargetMode="External"/><Relationship Id="rId80" Type="http://schemas.openxmlformats.org/officeDocument/2006/relationships/hyperlink" Target="http://aei.pitt.edu/60345/1/GERMANY.pdf" TargetMode="External"/><Relationship Id="rId85" Type="http://schemas.openxmlformats.org/officeDocument/2006/relationships/hyperlink" Target="https://www.aph.gov.au/parliamentary_business/committees/senate/environment_and_communications/coal_fired_power_stations/submissions" TargetMode="External"/><Relationship Id="rId3" Type="http://schemas.openxmlformats.org/officeDocument/2006/relationships/hyperlink" Target="https://aemo.com.au/en/energy-systems/electricity/national-electricity-market-nem/nem-forecasting-and-planning/forecasting-and-planning-data/generation-information" TargetMode="External"/><Relationship Id="rId12" Type="http://schemas.openxmlformats.org/officeDocument/2006/relationships/hyperlink" Target="https://onlinelibrary.wiley.com/doi/epdf/10.1111/1467-8489.12289" TargetMode="External"/><Relationship Id="rId17" Type="http://schemas.openxmlformats.org/officeDocument/2006/relationships/hyperlink" Target="https://www.wa.gov.au/system/files/2023-08/colliecommunityfactsheet.pdf" TargetMode="External"/><Relationship Id="rId25" Type="http://schemas.openxmlformats.org/officeDocument/2006/relationships/hyperlink" Target="https://onlinelibrary.wiley.com/doi/epdf/10.1111/1467-8489.12289" TargetMode="External"/><Relationship Id="rId33" Type="http://schemas.openxmlformats.org/officeDocument/2006/relationships/hyperlink" Target="https://www.premier.vic.gov.au/agreement-secures-transition-loy-yang" TargetMode="External"/><Relationship Id="rId38" Type="http://schemas.openxmlformats.org/officeDocument/2006/relationships/hyperlink" Target="https://www.jobsandskills.gov.au/publications/the-clean-energy-generation" TargetMode="External"/><Relationship Id="rId46" Type="http://schemas.openxmlformats.org/officeDocument/2006/relationships/hyperlink" Target="https://www.aph.gov.au/Parliamentary_Business/Committees/Senate/Environment_and_Communications/Coal_fired_power_stations/~/media/Committees/ec_ctte/Coal_fired_power_stations/Final%20Report/report.pdf" TargetMode="External"/><Relationship Id="rId59" Type="http://schemas.openxmlformats.org/officeDocument/2006/relationships/hyperlink" Target="https://www.iddri.org/sites/default/files/import/publications/coal_synthesisreport_v04.pdf" TargetMode="External"/><Relationship Id="rId67" Type="http://schemas.openxmlformats.org/officeDocument/2006/relationships/hyperlink" Target="https://new.parliament.vic.gov.au/4a4d2e/contentassets/1afbfe1f20f04cf092c14df98557d0da/submission-documents/046---environment-victoria_redacted.pdf" TargetMode="External"/><Relationship Id="rId20" Type="http://schemas.openxmlformats.org/officeDocument/2006/relationships/hyperlink" Target="https://data.gov.au/dataset/ds-dga-043f58e0-a188-4458-b61c-04e5b540aea4/details" TargetMode="External"/><Relationship Id="rId41" Type="http://schemas.openxmlformats.org/officeDocument/2006/relationships/hyperlink" Target="https://www.jobsandskills.gov.au/publications/the-clean-energy-generation" TargetMode="External"/><Relationship Id="rId54" Type="http://schemas.openxmlformats.org/officeDocument/2006/relationships/hyperlink" Target="https://treasury.gov.au/sites/default/files/2023-10/p2023-447996-working-future.pdf" TargetMode="External"/><Relationship Id="rId62" Type="http://schemas.openxmlformats.org/officeDocument/2006/relationships/hyperlink" Target="https://www.abs.gov.au/statistics/labour/employment-and-unemployment/labour-force-australia/latest-release" TargetMode="External"/><Relationship Id="rId70" Type="http://schemas.openxmlformats.org/officeDocument/2006/relationships/hyperlink" Target="https://onlinelibrary.wiley.com/doi/full/10.1111/1467-8500.12390" TargetMode="External"/><Relationship Id="rId75" Type="http://schemas.openxmlformats.org/officeDocument/2006/relationships/hyperlink" Target="https://new.parliament.vic.gov.au/4a5c05/contentassets/bb36eec27c15447bbdefee0dec57d50f/lceic-59-08-closure-of-hazelwood-and-yallourn.pdf" TargetMode="External"/><Relationship Id="rId83" Type="http://schemas.openxmlformats.org/officeDocument/2006/relationships/hyperlink" Target="https://media.rff.org/documents/21-13.pdf" TargetMode="External"/><Relationship Id="rId88" Type="http://schemas.openxmlformats.org/officeDocument/2006/relationships/hyperlink" Target="https://new.parliament.vic.gov.au/4a4d4e/contentassets/cb0c1b3c0b664bdc8778b03b80fa8f00/submission-documents/062---department-of-jobs-precincts-and-regions.pdf" TargetMode="External"/><Relationship Id="rId1" Type="http://schemas.openxmlformats.org/officeDocument/2006/relationships/hyperlink" Target="https://www.aemo.com.au/-/media/Files/Electricity/NEM/National-Electricity-Market-Fact-Sheet.pdf" TargetMode="External"/><Relationship Id="rId6" Type="http://schemas.openxmlformats.org/officeDocument/2006/relationships/hyperlink" Target="https://new.parliament.vic.gov.au/4a4d2e/contentassets/1afbfe1f20f04cf092c14df98557d0da/submission-documents/046---environment-victoria_redacted.pdf" TargetMode="External"/><Relationship Id="rId15" Type="http://schemas.openxmlformats.org/officeDocument/2006/relationships/hyperlink" Target="https://www.aemo.com.au/-/media/Files/Electricity/NEM/National-Electricity-Market-Fact-Sheet.pdf" TargetMode="External"/><Relationship Id="rId23" Type="http://schemas.openxmlformats.org/officeDocument/2006/relationships/hyperlink" Target="https://www.tandfonline.com/doi/abs/10.1080/14693062.2019.1657379" TargetMode="External"/><Relationship Id="rId28" Type="http://schemas.openxmlformats.org/officeDocument/2006/relationships/hyperlink" Target="https://www.aer.gov.au/system/files/Generator%20notice%20of%20closure%20exemption%20guideline_1.pdf" TargetMode="External"/><Relationship Id="rId36" Type="http://schemas.openxmlformats.org/officeDocument/2006/relationships/hyperlink" Target="https://www.synergy.net.au/About-us/Community-Investment/Muja-Workforce-Transition-Program" TargetMode="External"/><Relationship Id="rId49" Type="http://schemas.openxmlformats.org/officeDocument/2006/relationships/hyperlink" Target="https://ecat.ga.gov.au/geonetwork/srv/eng/catalog.search" TargetMode="External"/><Relationship Id="rId57" Type="http://schemas.openxmlformats.org/officeDocument/2006/relationships/hyperlink" Target="https://unfccc.int/files/essential_background/convention/application/pdf/english_paris_agreement.pdf" TargetMode="External"/><Relationship Id="rId10" Type="http://schemas.openxmlformats.org/officeDocument/2006/relationships/hyperlink" Target="https://new.parliament.vic.gov.au/4a4d2e/contentassets/1afbfe1f20f04cf092c14df98557d0da/submission-documents/046---environment-victoria_redacted.pdf" TargetMode="External"/><Relationship Id="rId31" Type="http://schemas.openxmlformats.org/officeDocument/2006/relationships/hyperlink" Target="https://www.energyaustralia.com.au/about-us/media/news/energyaustralia-and-elanora-offshore-partner-secure-jobs-and-training-yallourn" TargetMode="External"/><Relationship Id="rId44" Type="http://schemas.openxmlformats.org/officeDocument/2006/relationships/hyperlink" Target="https://new.parliament.vic.gov.au/4a4d4e/contentassets/cb0c1b3c0b664bdc8778b03b80fa8f00/submission-documents/062---department-of-jobs-precincts-and-regions.pdf" TargetMode="External"/><Relationship Id="rId52" Type="http://schemas.openxmlformats.org/officeDocument/2006/relationships/hyperlink" Target="https://www.nationalskillscommission.gov.au/topics/small-area-labour-markets" TargetMode="External"/><Relationship Id="rId60" Type="http://schemas.openxmlformats.org/officeDocument/2006/relationships/hyperlink" Target="https://oia.pmc.gov.au/sites/default/files/2023-09/regulatory-burden-measurement-framework.pdf" TargetMode="External"/><Relationship Id="rId65" Type="http://schemas.openxmlformats.org/officeDocument/2006/relationships/hyperlink" Target="https://www.dewr.gov.au/whats-next/resources/transition-australian-car-manufacturing-sector-outcomes-and-best-practice-full-report" TargetMode="External"/><Relationship Id="rId73" Type="http://schemas.openxmlformats.org/officeDocument/2006/relationships/hyperlink" Target="https://www.csenergy.com.au/ArticleDocuments/189/Future%20of%20Swanbank%20B%20announced%20-%2026%20March%202010.pdf.aspx" TargetMode="External"/><Relationship Id="rId78" Type="http://schemas.openxmlformats.org/officeDocument/2006/relationships/hyperlink" Target="https://www.ituc-csi.org/IMG/pdf/ruhrorappalachia_report_final.pdf" TargetMode="External"/><Relationship Id="rId81" Type="http://schemas.openxmlformats.org/officeDocument/2006/relationships/hyperlink" Target="https://kohlenstatistik.de/downloads/steinkohle/" TargetMode="External"/><Relationship Id="rId86" Type="http://schemas.openxmlformats.org/officeDocument/2006/relationships/hyperlink" Target="https://www.pmc.gov.au/netzero/our-leadershi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share.internal.pmc.gov.au/teams/nzrdot/danzet/09.%20Impact%20analysis/Data/IA%20Worker%20salary%20and%20tenure%20data%20-%20CP%20working%20docu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internal.pmc.gov.au/teams/nzrdot/danzet/09.%20Impact%20analysis/Data/IA%20Worker%20salary%20and%20tenure%20data%20-%20CP%20working%20docu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internal.pmc.gov.au/teams/nzrdot/danzet/09.%20Impact%20analysis/Data/IA%20Worker%20salary%20and%20tenure%20data%20-%20CP%20working%20docu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are.internal.pmc.gov.au/teams/nzrdot/danzet/09.%20Impact%20analysis/Data/IA%20Worker%20salary%20and%20tenure%20data%20-%20CP%20working%20documen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99890917568739"/>
          <c:y val="5.8328703703703693E-3"/>
          <c:w val="0.53142407879801712"/>
          <c:h val="0.96709398148148151"/>
        </c:manualLayout>
      </c:layout>
      <c:barChart>
        <c:barDir val="bar"/>
        <c:grouping val="clustered"/>
        <c:varyColors val="0"/>
        <c:ser>
          <c:idx val="3"/>
          <c:order val="0"/>
          <c:tx>
            <c:strRef>
              <c:f>DEMOGRAPHICS!$C$7</c:f>
              <c:strCache>
                <c:ptCount val="1"/>
                <c:pt idx="0">
                  <c:v>%</c:v>
                </c:pt>
              </c:strCache>
            </c:strRef>
          </c:tx>
          <c:spPr>
            <a:solidFill>
              <a:schemeClr val="accent4"/>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F5D8-4CA1-8551-75B4E8C57431}"/>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F5D8-4CA1-8551-75B4E8C57431}"/>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F5D8-4CA1-8551-75B4E8C5743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5D8-4CA1-8551-75B4E8C57431}"/>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9-F5D8-4CA1-8551-75B4E8C57431}"/>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B-F5D8-4CA1-8551-75B4E8C57431}"/>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D-F5D8-4CA1-8551-75B4E8C574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DEMOGRAPHICS!$B$8:$B$14</c:f>
              <c:strCache>
                <c:ptCount val="7"/>
                <c:pt idx="0">
                  <c:v>National average</c:v>
                </c:pt>
                <c:pt idx="1">
                  <c:v>Lithgow, NSW</c:v>
                </c:pt>
                <c:pt idx="2">
                  <c:v>Latrobe Valley, VIC</c:v>
                </c:pt>
                <c:pt idx="3">
                  <c:v>Hunter Valley, NSW</c:v>
                </c:pt>
                <c:pt idx="4">
                  <c:v>Gladstone &amp; Central QLD</c:v>
                </c:pt>
                <c:pt idx="5">
                  <c:v>Darling Downs, QLD</c:v>
                </c:pt>
                <c:pt idx="6">
                  <c:v>Collie, WA</c:v>
                </c:pt>
              </c:strCache>
            </c:strRef>
          </c:cat>
          <c:val>
            <c:numRef>
              <c:f>DEMOGRAPHICS!$C$8:$C$14</c:f>
              <c:numCache>
                <c:formatCode>0.0%</c:formatCode>
                <c:ptCount val="7"/>
                <c:pt idx="0">
                  <c:v>3.6991647050852478E-2</c:v>
                </c:pt>
                <c:pt idx="1">
                  <c:v>2.1112690271684279E-2</c:v>
                </c:pt>
                <c:pt idx="2">
                  <c:v>5.2371778731577071E-2</c:v>
                </c:pt>
                <c:pt idx="3">
                  <c:v>3.5578609760167065E-2</c:v>
                </c:pt>
                <c:pt idx="4">
                  <c:v>4.0340929990593945E-2</c:v>
                </c:pt>
                <c:pt idx="5">
                  <c:v>4.6611009454101862E-2</c:v>
                </c:pt>
                <c:pt idx="6">
                  <c:v>7.3609684915959581E-2</c:v>
                </c:pt>
              </c:numCache>
            </c:numRef>
          </c:val>
          <c:extLst>
            <c:ext xmlns:c16="http://schemas.microsoft.com/office/drawing/2014/chart" uri="{C3380CC4-5D6E-409C-BE32-E72D297353CC}">
              <c16:uniqueId val="{0000000E-F5D8-4CA1-8551-75B4E8C57431}"/>
            </c:ext>
          </c:extLst>
        </c:ser>
        <c:dLbls>
          <c:showLegendKey val="0"/>
          <c:showVal val="0"/>
          <c:showCatName val="0"/>
          <c:showSerName val="0"/>
          <c:showPercent val="0"/>
          <c:showBubbleSize val="0"/>
        </c:dLbls>
        <c:gapWidth val="150"/>
        <c:axId val="772089360"/>
        <c:axId val="772089032"/>
      </c:barChart>
      <c:catAx>
        <c:axId val="77208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crossAx val="772089032"/>
        <c:crosses val="autoZero"/>
        <c:auto val="1"/>
        <c:lblAlgn val="ctr"/>
        <c:lblOffset val="100"/>
        <c:noMultiLvlLbl val="0"/>
      </c:catAx>
      <c:valAx>
        <c:axId val="772089032"/>
        <c:scaling>
          <c:orientation val="minMax"/>
          <c:max val="0.1"/>
        </c:scaling>
        <c:delete val="1"/>
        <c:axPos val="b"/>
        <c:numFmt formatCode="0%" sourceLinked="0"/>
        <c:majorTickMark val="out"/>
        <c:minorTickMark val="none"/>
        <c:tickLblPos val="nextTo"/>
        <c:crossAx val="77208936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Montserrat" panose="00000500000000000000" pitchFamily="50" charset="0"/>
          <a:cs typeface="Segoe UI" panose="020B05020402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65098039215674"/>
          <c:y val="1.8421296296296297E-2"/>
          <c:w val="0.43056394924541724"/>
          <c:h val="0.96315740740740741"/>
        </c:manualLayout>
      </c:layout>
      <c:barChart>
        <c:barDir val="bar"/>
        <c:grouping val="clustered"/>
        <c:varyColors val="0"/>
        <c:ser>
          <c:idx val="3"/>
          <c:order val="0"/>
          <c:tx>
            <c:strRef>
              <c:f>DEMOGRAPHICS!$F$7</c:f>
              <c:strCache>
                <c:ptCount val="1"/>
                <c:pt idx="0">
                  <c:v>%</c:v>
                </c:pt>
              </c:strCache>
            </c:strRef>
          </c:tx>
          <c:spPr>
            <a:solidFill>
              <a:schemeClr val="accent4"/>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DD4A-48EF-BD19-A3CEA5F6DEC6}"/>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DD4A-48EF-BD19-A3CEA5F6DEC6}"/>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DD4A-48EF-BD19-A3CEA5F6DEC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D4A-48EF-BD19-A3CEA5F6DEC6}"/>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9-DD4A-48EF-BD19-A3CEA5F6DEC6}"/>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B-DD4A-48EF-BD19-A3CEA5F6DEC6}"/>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D-DD4A-48EF-BD19-A3CEA5F6DEC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DEMOGRAPHICS!$B$8:$B$14</c:f>
              <c:strCache>
                <c:ptCount val="7"/>
                <c:pt idx="0">
                  <c:v>National average</c:v>
                </c:pt>
                <c:pt idx="1">
                  <c:v>Lithgow, NSW</c:v>
                </c:pt>
                <c:pt idx="2">
                  <c:v>Latrobe Valley, VIC</c:v>
                </c:pt>
                <c:pt idx="3">
                  <c:v>Hunter Valley, NSW</c:v>
                </c:pt>
                <c:pt idx="4">
                  <c:v>Gladstone &amp; Central QLD</c:v>
                </c:pt>
                <c:pt idx="5">
                  <c:v>Darling Downs, QLD</c:v>
                </c:pt>
                <c:pt idx="6">
                  <c:v>Collie, WA</c:v>
                </c:pt>
              </c:strCache>
            </c:strRef>
          </c:cat>
          <c:val>
            <c:numRef>
              <c:f>DEMOGRAPHICS!$F$8:$F$14</c:f>
              <c:numCache>
                <c:formatCode>0%</c:formatCode>
                <c:ptCount val="7"/>
                <c:pt idx="0">
                  <c:v>0.53742400000000001</c:v>
                </c:pt>
                <c:pt idx="1">
                  <c:v>0.64111399999999996</c:v>
                </c:pt>
                <c:pt idx="2">
                  <c:v>0.61427900000000002</c:v>
                </c:pt>
                <c:pt idx="3">
                  <c:v>0.59878699999999996</c:v>
                </c:pt>
                <c:pt idx="4">
                  <c:v>0.641934</c:v>
                </c:pt>
                <c:pt idx="5">
                  <c:v>0.60147600000000001</c:v>
                </c:pt>
                <c:pt idx="6">
                  <c:v>0.70858399999999999</c:v>
                </c:pt>
              </c:numCache>
            </c:numRef>
          </c:val>
          <c:extLst>
            <c:ext xmlns:c16="http://schemas.microsoft.com/office/drawing/2014/chart" uri="{C3380CC4-5D6E-409C-BE32-E72D297353CC}">
              <c16:uniqueId val="{0000000E-DD4A-48EF-BD19-A3CEA5F6DEC6}"/>
            </c:ext>
          </c:extLst>
        </c:ser>
        <c:dLbls>
          <c:showLegendKey val="0"/>
          <c:showVal val="0"/>
          <c:showCatName val="0"/>
          <c:showSerName val="0"/>
          <c:showPercent val="0"/>
          <c:showBubbleSize val="0"/>
        </c:dLbls>
        <c:gapWidth val="150"/>
        <c:axId val="772089360"/>
        <c:axId val="772089032"/>
      </c:barChart>
      <c:catAx>
        <c:axId val="77208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crossAx val="772089032"/>
        <c:crosses val="autoZero"/>
        <c:auto val="1"/>
        <c:lblAlgn val="ctr"/>
        <c:lblOffset val="100"/>
        <c:noMultiLvlLbl val="0"/>
      </c:catAx>
      <c:valAx>
        <c:axId val="772089032"/>
        <c:scaling>
          <c:orientation val="minMax"/>
        </c:scaling>
        <c:delete val="1"/>
        <c:axPos val="b"/>
        <c:numFmt formatCode="0%" sourceLinked="0"/>
        <c:majorTickMark val="out"/>
        <c:minorTickMark val="none"/>
        <c:tickLblPos val="nextTo"/>
        <c:crossAx val="772089360"/>
        <c:crosses val="autoZero"/>
        <c:crossBetween val="between"/>
        <c:majorUnit val="0.2"/>
      </c:valAx>
      <c:spPr>
        <a:noFill/>
        <a:ln w="25400">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Montserrat" panose="00000500000000000000" pitchFamily="50"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69353768512427"/>
          <c:y val="0"/>
          <c:w val="0.48030646231487567"/>
          <c:h val="0.97244706702332062"/>
        </c:manualLayout>
      </c:layout>
      <c:barChart>
        <c:barDir val="bar"/>
        <c:grouping val="clustered"/>
        <c:varyColors val="0"/>
        <c:ser>
          <c:idx val="3"/>
          <c:order val="0"/>
          <c:tx>
            <c:strRef>
              <c:f>DEMOGRAPHICS!$C$17</c:f>
              <c:strCache>
                <c:ptCount val="1"/>
                <c:pt idx="0">
                  <c:v>No.</c:v>
                </c:pt>
              </c:strCache>
            </c:strRef>
          </c:tx>
          <c:spPr>
            <a:solidFill>
              <a:schemeClr val="accent4"/>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C68C-4181-9166-E0B3DB15EB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DEMOGRAPHICS!$B$18:$B$24</c:f>
              <c:strCache>
                <c:ptCount val="7"/>
                <c:pt idx="0">
                  <c:v>Nation as a whole</c:v>
                </c:pt>
                <c:pt idx="1">
                  <c:v>Lithgow, NSW</c:v>
                </c:pt>
                <c:pt idx="2">
                  <c:v>Latrobe Valley, VIC</c:v>
                </c:pt>
                <c:pt idx="3">
                  <c:v>Hunter Valley, NSW</c:v>
                </c:pt>
                <c:pt idx="4">
                  <c:v>Gladstone &amp; Central QLD</c:v>
                </c:pt>
                <c:pt idx="5">
                  <c:v>Darling Downs, QLD</c:v>
                </c:pt>
                <c:pt idx="6">
                  <c:v>Collie, WA</c:v>
                </c:pt>
              </c:strCache>
            </c:strRef>
          </c:cat>
          <c:val>
            <c:numRef>
              <c:f>DEMOGRAPHICS!$C$18:$C$24</c:f>
              <c:numCache>
                <c:formatCode>0.0</c:formatCode>
                <c:ptCount val="7"/>
                <c:pt idx="0" formatCode="#,##0_ ;\-#,##0\ ">
                  <c:v>1</c:v>
                </c:pt>
                <c:pt idx="1">
                  <c:v>0.173813600123569</c:v>
                </c:pt>
                <c:pt idx="2">
                  <c:v>0.48359252523392698</c:v>
                </c:pt>
                <c:pt idx="3">
                  <c:v>0.79514569748735497</c:v>
                </c:pt>
                <c:pt idx="4">
                  <c:v>0.58744307124515904</c:v>
                </c:pt>
                <c:pt idx="5">
                  <c:v>0.70114109219433496</c:v>
                </c:pt>
                <c:pt idx="6">
                  <c:v>5.4334926897622302E-2</c:v>
                </c:pt>
              </c:numCache>
            </c:numRef>
          </c:val>
          <c:extLst>
            <c:ext xmlns:c16="http://schemas.microsoft.com/office/drawing/2014/chart" uri="{C3380CC4-5D6E-409C-BE32-E72D297353CC}">
              <c16:uniqueId val="{00000002-C68C-4181-9166-E0B3DB15EBD5}"/>
            </c:ext>
          </c:extLst>
        </c:ser>
        <c:dLbls>
          <c:showLegendKey val="0"/>
          <c:showVal val="0"/>
          <c:showCatName val="0"/>
          <c:showSerName val="0"/>
          <c:showPercent val="0"/>
          <c:showBubbleSize val="0"/>
        </c:dLbls>
        <c:gapWidth val="150"/>
        <c:axId val="772089360"/>
        <c:axId val="772089032"/>
      </c:barChart>
      <c:catAx>
        <c:axId val="77208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crossAx val="772089032"/>
        <c:crosses val="autoZero"/>
        <c:auto val="1"/>
        <c:lblAlgn val="ctr"/>
        <c:lblOffset val="100"/>
        <c:noMultiLvlLbl val="0"/>
      </c:catAx>
      <c:valAx>
        <c:axId val="772089032"/>
        <c:scaling>
          <c:orientation val="minMax"/>
        </c:scaling>
        <c:delete val="1"/>
        <c:axPos val="b"/>
        <c:numFmt formatCode="0%" sourceLinked="0"/>
        <c:majorTickMark val="out"/>
        <c:minorTickMark val="none"/>
        <c:tickLblPos val="nextTo"/>
        <c:crossAx val="77208936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Montserrat" panose="00000500000000000000" pitchFamily="50" charset="0"/>
          <a:cs typeface="Segoe UI" panose="020B05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20261437908502"/>
          <c:y val="0"/>
          <c:w val="0.50678496732026146"/>
          <c:h val="0.9729268518518519"/>
        </c:manualLayout>
      </c:layout>
      <c:barChart>
        <c:barDir val="bar"/>
        <c:grouping val="clustered"/>
        <c:varyColors val="0"/>
        <c:ser>
          <c:idx val="3"/>
          <c:order val="0"/>
          <c:tx>
            <c:strRef>
              <c:f>DEMOGRAPHICS!$I$7</c:f>
              <c:strCache>
                <c:ptCount val="1"/>
                <c:pt idx="0">
                  <c:v>No.</c:v>
                </c:pt>
              </c:strCache>
            </c:strRef>
          </c:tx>
          <c:spPr>
            <a:solidFill>
              <a:schemeClr val="accent4"/>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E012-461F-8A9A-FE366351E8A9}"/>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E012-461F-8A9A-FE366351E8A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E012-461F-8A9A-FE366351E8A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012-461F-8A9A-FE366351E8A9}"/>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9-E012-461F-8A9A-FE366351E8A9}"/>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B-E012-461F-8A9A-FE366351E8A9}"/>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D-E012-461F-8A9A-FE366351E8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DEMOGRAPHICS!$B$8:$B$14</c:f>
              <c:strCache>
                <c:ptCount val="7"/>
                <c:pt idx="0">
                  <c:v>National average</c:v>
                </c:pt>
                <c:pt idx="1">
                  <c:v>Lithgow, NSW</c:v>
                </c:pt>
                <c:pt idx="2">
                  <c:v>Latrobe Valley, VIC</c:v>
                </c:pt>
                <c:pt idx="3">
                  <c:v>Hunter Valley, NSW</c:v>
                </c:pt>
                <c:pt idx="4">
                  <c:v>Gladstone &amp; Central QLD</c:v>
                </c:pt>
                <c:pt idx="5">
                  <c:v>Darling Downs, QLD</c:v>
                </c:pt>
                <c:pt idx="6">
                  <c:v>Collie, WA</c:v>
                </c:pt>
              </c:strCache>
            </c:strRef>
          </c:cat>
          <c:val>
            <c:numRef>
              <c:f>DEMOGRAPHICS!$I$8:$I$14</c:f>
              <c:numCache>
                <c:formatCode>#,##0</c:formatCode>
                <c:ptCount val="7"/>
                <c:pt idx="0">
                  <c:v>78000</c:v>
                </c:pt>
                <c:pt idx="1">
                  <c:v>57000</c:v>
                </c:pt>
                <c:pt idx="2">
                  <c:v>53000</c:v>
                </c:pt>
                <c:pt idx="3">
                  <c:v>70000</c:v>
                </c:pt>
                <c:pt idx="4">
                  <c:v>69000</c:v>
                </c:pt>
                <c:pt idx="5">
                  <c:v>61000</c:v>
                </c:pt>
                <c:pt idx="6">
                  <c:v>51000</c:v>
                </c:pt>
              </c:numCache>
            </c:numRef>
          </c:val>
          <c:extLst>
            <c:ext xmlns:c16="http://schemas.microsoft.com/office/drawing/2014/chart" uri="{C3380CC4-5D6E-409C-BE32-E72D297353CC}">
              <c16:uniqueId val="{0000000E-E012-461F-8A9A-FE366351E8A9}"/>
            </c:ext>
          </c:extLst>
        </c:ser>
        <c:dLbls>
          <c:showLegendKey val="0"/>
          <c:showVal val="0"/>
          <c:showCatName val="0"/>
          <c:showSerName val="0"/>
          <c:showPercent val="0"/>
          <c:showBubbleSize val="0"/>
        </c:dLbls>
        <c:gapWidth val="150"/>
        <c:axId val="772089360"/>
        <c:axId val="772089032"/>
      </c:barChart>
      <c:catAx>
        <c:axId val="77208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Segoe UI" panose="020B0502040204020203" pitchFamily="34" charset="0"/>
              </a:defRPr>
            </a:pPr>
            <a:endParaRPr lang="en-US"/>
          </a:p>
        </c:txPr>
        <c:crossAx val="772089032"/>
        <c:crosses val="autoZero"/>
        <c:auto val="1"/>
        <c:lblAlgn val="ctr"/>
        <c:lblOffset val="100"/>
        <c:noMultiLvlLbl val="0"/>
      </c:catAx>
      <c:valAx>
        <c:axId val="772089032"/>
        <c:scaling>
          <c:orientation val="minMax"/>
        </c:scaling>
        <c:delete val="1"/>
        <c:axPos val="b"/>
        <c:numFmt formatCode="#,##0" sourceLinked="0"/>
        <c:majorTickMark val="out"/>
        <c:minorTickMark val="none"/>
        <c:tickLblPos val="nextTo"/>
        <c:crossAx val="77208936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Montserrat" panose="00000500000000000000" pitchFamily="50"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D41"/>
    <w:rsid w:val="0000046F"/>
    <w:rsid w:val="00002F99"/>
    <w:rsid w:val="00051E6C"/>
    <w:rsid w:val="00055164"/>
    <w:rsid w:val="00060793"/>
    <w:rsid w:val="00065B47"/>
    <w:rsid w:val="00066140"/>
    <w:rsid w:val="00090110"/>
    <w:rsid w:val="00091D2E"/>
    <w:rsid w:val="001233AD"/>
    <w:rsid w:val="00133F18"/>
    <w:rsid w:val="0016063D"/>
    <w:rsid w:val="0017308A"/>
    <w:rsid w:val="001F15E2"/>
    <w:rsid w:val="00234B67"/>
    <w:rsid w:val="002362E9"/>
    <w:rsid w:val="002741B7"/>
    <w:rsid w:val="002741F2"/>
    <w:rsid w:val="002D2AF2"/>
    <w:rsid w:val="002D4966"/>
    <w:rsid w:val="002E16AB"/>
    <w:rsid w:val="00313535"/>
    <w:rsid w:val="00335DAB"/>
    <w:rsid w:val="003555D2"/>
    <w:rsid w:val="00374E32"/>
    <w:rsid w:val="00381680"/>
    <w:rsid w:val="003D5F32"/>
    <w:rsid w:val="00414686"/>
    <w:rsid w:val="0041485A"/>
    <w:rsid w:val="00430A89"/>
    <w:rsid w:val="004562B0"/>
    <w:rsid w:val="00456D13"/>
    <w:rsid w:val="004832BA"/>
    <w:rsid w:val="00485344"/>
    <w:rsid w:val="00485D41"/>
    <w:rsid w:val="00490E03"/>
    <w:rsid w:val="004947B8"/>
    <w:rsid w:val="004C2492"/>
    <w:rsid w:val="004C6F14"/>
    <w:rsid w:val="004D323C"/>
    <w:rsid w:val="005013C5"/>
    <w:rsid w:val="0051447A"/>
    <w:rsid w:val="005219D2"/>
    <w:rsid w:val="00536C5A"/>
    <w:rsid w:val="00552815"/>
    <w:rsid w:val="00586569"/>
    <w:rsid w:val="005C17F0"/>
    <w:rsid w:val="005D4D0D"/>
    <w:rsid w:val="005E65AE"/>
    <w:rsid w:val="005F2FC5"/>
    <w:rsid w:val="00636346"/>
    <w:rsid w:val="006442DB"/>
    <w:rsid w:val="006663BD"/>
    <w:rsid w:val="00673F5E"/>
    <w:rsid w:val="0069092F"/>
    <w:rsid w:val="0069127C"/>
    <w:rsid w:val="006A1CCA"/>
    <w:rsid w:val="0073412E"/>
    <w:rsid w:val="007618B7"/>
    <w:rsid w:val="00871F9C"/>
    <w:rsid w:val="00875F7D"/>
    <w:rsid w:val="008D30DA"/>
    <w:rsid w:val="009705A5"/>
    <w:rsid w:val="00986D8A"/>
    <w:rsid w:val="009D7DDD"/>
    <w:rsid w:val="009E73CE"/>
    <w:rsid w:val="009F486C"/>
    <w:rsid w:val="00A34382"/>
    <w:rsid w:val="00A354CA"/>
    <w:rsid w:val="00A401E6"/>
    <w:rsid w:val="00A848BC"/>
    <w:rsid w:val="00A85FE1"/>
    <w:rsid w:val="00AD500D"/>
    <w:rsid w:val="00B31A10"/>
    <w:rsid w:val="00B65CAB"/>
    <w:rsid w:val="00B7305A"/>
    <w:rsid w:val="00C03F24"/>
    <w:rsid w:val="00C6196F"/>
    <w:rsid w:val="00C96C0F"/>
    <w:rsid w:val="00D332C2"/>
    <w:rsid w:val="00D841F0"/>
    <w:rsid w:val="00DB4A57"/>
    <w:rsid w:val="00DB59F9"/>
    <w:rsid w:val="00DE2455"/>
    <w:rsid w:val="00E17A23"/>
    <w:rsid w:val="00E3372A"/>
    <w:rsid w:val="00E608CB"/>
    <w:rsid w:val="00E83435"/>
    <w:rsid w:val="00E92BD1"/>
    <w:rsid w:val="00EB184B"/>
    <w:rsid w:val="00EB2E8E"/>
    <w:rsid w:val="00EB608C"/>
    <w:rsid w:val="00ED0DD2"/>
    <w:rsid w:val="00F17DB6"/>
    <w:rsid w:val="00F52695"/>
    <w:rsid w:val="00F735ED"/>
    <w:rsid w:val="00F92B6E"/>
    <w:rsid w:val="00FD5BDF"/>
    <w:rsid w:val="00FF7E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5D41"/>
    <w:rPr>
      <w:color w:val="808080"/>
    </w:rPr>
  </w:style>
  <w:style w:type="paragraph" w:customStyle="1" w:styleId="2AFFE9AC62814218A214F99507C7B600">
    <w:name w:val="2AFFE9AC62814218A214F99507C7B600"/>
    <w:rsid w:val="00485D41"/>
  </w:style>
  <w:style w:type="paragraph" w:customStyle="1" w:styleId="DD06C94761AF405A80317BDC31B402F7">
    <w:name w:val="DD06C94761AF405A80317BDC31B402F7"/>
    <w:rsid w:val="00485D41"/>
  </w:style>
  <w:style w:type="paragraph" w:customStyle="1" w:styleId="AD899E0A319043D094346062D3A9FC3D">
    <w:name w:val="AD899E0A319043D094346062D3A9FC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PMC colour theme">
  <a:themeElements>
    <a:clrScheme name="PM&amp;C 2022">
      <a:dk1>
        <a:srgbClr val="000000"/>
      </a:dk1>
      <a:lt1>
        <a:srgbClr val="FFFFFF"/>
      </a:lt1>
      <a:dk2>
        <a:srgbClr val="0F1F35"/>
      </a:dk2>
      <a:lt2>
        <a:srgbClr val="E0E8F2"/>
      </a:lt2>
      <a:accent1>
        <a:srgbClr val="1B375C"/>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MC colour theme" id="{933363A1-46FF-4A91-9D44-7C23316B596B}" vid="{FC72519D-BDBC-4E45-9A8E-DB8A18906C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9" ma:contentTypeDescription="Create a new document." ma:contentTypeScope="" ma:versionID="509bb4dcf39477eb83e04680f8be942d">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e38ccbe6cbdd953dd6cc23e705d0942"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DOCID-322795542-49495</_dlc_DocId>
    <_dlc_DocIdUrl xmlns="4195ad5f-cdf2-4c4a-8d9b-b7944a108e98">
      <Url>https://pmc01.sharepoint.com/sites/CRMOBPR/_layouts/15/DocIdRedir.aspx?ID=DOCID-322795542-49495</Url>
      <Description>DOCID-322795542-49495</Description>
    </_dlc_DocIdUrl>
  </documentManagement>
</p:properties>
</file>

<file path=customXml/itemProps1.xml><?xml version="1.0" encoding="utf-8"?>
<ds:datastoreItem xmlns:ds="http://schemas.openxmlformats.org/officeDocument/2006/customXml" ds:itemID="{DDC52D45-FE82-4B3F-B440-EC2E831A3437}">
  <ds:schemaRefs>
    <ds:schemaRef ds:uri="http://schemas.openxmlformats.org/officeDocument/2006/bibliography"/>
  </ds:schemaRefs>
</ds:datastoreItem>
</file>

<file path=customXml/itemProps2.xml><?xml version="1.0" encoding="utf-8"?>
<ds:datastoreItem xmlns:ds="http://schemas.openxmlformats.org/officeDocument/2006/customXml" ds:itemID="{286614BE-F882-4123-BEF1-8E73484A24F0}"/>
</file>

<file path=customXml/itemProps3.xml><?xml version="1.0" encoding="utf-8"?>
<ds:datastoreItem xmlns:ds="http://schemas.openxmlformats.org/officeDocument/2006/customXml" ds:itemID="{1C6A8A75-5C4C-4693-80A3-9ADD4E40631A}"/>
</file>

<file path=customXml/itemProps4.xml><?xml version="1.0" encoding="utf-8"?>
<ds:datastoreItem xmlns:ds="http://schemas.openxmlformats.org/officeDocument/2006/customXml" ds:itemID="{15BA8636-9914-43AF-87C5-8258BBEBA7E9}"/>
</file>

<file path=customXml/itemProps5.xml><?xml version="1.0" encoding="utf-8"?>
<ds:datastoreItem xmlns:ds="http://schemas.openxmlformats.org/officeDocument/2006/customXml" ds:itemID="{F0F702AE-4735-46F8-931C-B77ACB8A0048}"/>
</file>

<file path=docProps/app.xml><?xml version="1.0" encoding="utf-8"?>
<Properties xmlns="http://schemas.openxmlformats.org/officeDocument/2006/extended-properties" xmlns:vt="http://schemas.openxmlformats.org/officeDocument/2006/docPropsVTypes">
  <Template>Normal</Template>
  <TotalTime>0</TotalTime>
  <Pages>83</Pages>
  <Words>31721</Words>
  <Characters>180816</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2024-03-25T02:47:00Z</dcterms:created>
  <dcterms:modified xsi:type="dcterms:W3CDTF">2024-03-25T02:51:00Z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9114c053-3551-4fb6-9f94-18d5e063044c</vt:lpwstr>
  </property>
</Properties>
</file>